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2420" w:line="240" w:lineRule="auto"/>
        <w:ind w:left="0" w:right="0" w:firstLine="0"/>
        <w:jc w:val="center"/>
      </w:pPr>
      <w:r>
        <w:rPr>
          <w:color w:val="000000"/>
          <w:spacing w:val="0"/>
          <w:w w:val="100"/>
          <w:position w:val="0"/>
        </w:rPr>
        <w:t>广东国盛金控集团股份有限公司</w:t>
      </w:r>
    </w:p>
    <w:p>
      <w:pPr>
        <w:pStyle w:val="Style2"/>
        <w:keepNext w:val="0"/>
        <w:keepLines w:val="0"/>
        <w:widowControl w:val="0"/>
        <w:shd w:val="clear" w:color="auto" w:fill="auto"/>
        <w:bidi w:val="0"/>
        <w:spacing w:before="0" w:after="606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年年度报告</w:t>
      </w:r>
    </w:p>
    <w:p>
      <w:pPr>
        <w:pStyle w:val="Style9"/>
        <w:keepNext w:val="0"/>
        <w:keepLines w:val="0"/>
        <w:widowControl w:val="0"/>
        <w:shd w:val="clear" w:color="auto" w:fill="auto"/>
        <w:bidi w:val="0"/>
        <w:spacing w:before="0" w:after="0" w:line="240" w:lineRule="auto"/>
        <w:ind w:left="0" w:right="0" w:firstLine="0"/>
        <w:jc w:val="center"/>
        <w:sectPr>
          <w:headerReference w:type="default" r:id="rId5"/>
          <w:footerReference w:type="default" r:id="rId6"/>
          <w:footnotePr>
            <w:pos w:val="pageBottom"/>
            <w:numFmt w:val="decimal"/>
            <w:numRestart w:val="continuous"/>
          </w:footnotePr>
          <w:pgSz w:w="11900" w:h="16840"/>
          <w:pgMar w:top="2881" w:right="1109" w:bottom="2881" w:left="1104" w:header="0" w:footer="3" w:gutter="0"/>
          <w:pgNumType w:start="1"/>
          <w:cols w:space="720"/>
          <w:noEndnote/>
          <w:rtlGutter w:val="0"/>
          <w:docGrid w:linePitch="360"/>
        </w:sectPr>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p>
    <w:p>
      <w:pPr>
        <w:pStyle w:val="Style12"/>
        <w:keepNext/>
        <w:keepLines/>
        <w:widowControl w:val="0"/>
        <w:shd w:val="clear" w:color="auto" w:fill="auto"/>
        <w:bidi w:val="0"/>
        <w:spacing w:before="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4"/>
        <w:keepNext w:val="0"/>
        <w:keepLines w:val="0"/>
        <w:widowControl w:val="0"/>
        <w:shd w:val="clear" w:color="auto" w:fill="auto"/>
        <w:bidi w:val="0"/>
        <w:spacing w:before="0"/>
        <w:ind w:left="0" w:right="0"/>
        <w:jc w:val="both"/>
      </w:pPr>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p>
    <w:p>
      <w:pPr>
        <w:pStyle w:val="Style14"/>
        <w:keepNext w:val="0"/>
        <w:keepLines w:val="0"/>
        <w:widowControl w:val="0"/>
        <w:shd w:val="clear" w:color="auto" w:fill="auto"/>
        <w:bidi w:val="0"/>
        <w:spacing w:before="0" w:line="619" w:lineRule="exact"/>
        <w:ind w:left="0" w:right="0"/>
        <w:jc w:val="both"/>
      </w:pPr>
      <w:r>
        <w:rPr>
          <w:color w:val="000000"/>
          <w:spacing w:val="0"/>
          <w:w w:val="100"/>
          <w:position w:val="0"/>
        </w:rPr>
        <w:t>公司负责人杜力、主管会计工作负责人赵岑及会计机构负责人（会计主管 人员）赵岑声明：保证年度报告中财务报告的真实、准确、完整。</w:t>
      </w:r>
    </w:p>
    <w:p>
      <w:pPr>
        <w:pStyle w:val="Style14"/>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4"/>
        <w:keepNext w:val="0"/>
        <w:keepLines w:val="0"/>
        <w:widowControl w:val="0"/>
        <w:shd w:val="clear" w:color="auto" w:fill="auto"/>
        <w:bidi w:val="0"/>
        <w:spacing w:before="0" w:line="631" w:lineRule="exact"/>
        <w:ind w:left="0" w:right="0"/>
        <w:jc w:val="both"/>
      </w:pPr>
      <w:r>
        <w:rPr>
          <w:color w:val="000000"/>
          <w:spacing w:val="0"/>
          <w:w w:val="100"/>
          <w:position w:val="0"/>
        </w:rPr>
        <w:t>本报告涉及公司未来计划等前瞻性陈述。该等陈述不构成公司对投资者的 实质承诺，投资者及相关人士均应当对此保持足够的风险认识，并且应当理解 计划、预测与承诺之间的差异。</w:t>
      </w:r>
    </w:p>
    <w:p>
      <w:pPr>
        <w:pStyle w:val="Style14"/>
        <w:keepNext w:val="0"/>
        <w:keepLines w:val="0"/>
        <w:widowControl w:val="0"/>
        <w:shd w:val="clear" w:color="auto" w:fill="auto"/>
        <w:bidi w:val="0"/>
        <w:spacing w:before="0" w:line="643" w:lineRule="exact"/>
        <w:ind w:left="0" w:right="0"/>
        <w:jc w:val="both"/>
      </w:pPr>
      <w:r>
        <w:rPr>
          <w:color w:val="000000"/>
          <w:spacing w:val="0"/>
          <w:w w:val="100"/>
          <w:position w:val="0"/>
        </w:rPr>
        <w:t>本报告第四节“经营情况讨论与分析”揭示公司经营过程中可能存在的风 险，敬请投资者关注。</w:t>
      </w:r>
    </w:p>
    <w:p>
      <w:pPr>
        <w:pStyle w:val="Style14"/>
        <w:keepNext w:val="0"/>
        <w:keepLines w:val="0"/>
        <w:widowControl w:val="0"/>
        <w:shd w:val="clear" w:color="auto" w:fill="auto"/>
        <w:bidi w:val="0"/>
        <w:spacing w:before="0" w:line="624" w:lineRule="exact"/>
        <w:ind w:left="0" w:right="0"/>
        <w:jc w:val="both"/>
        <w:sectPr>
          <w:headerReference w:type="default" r:id="rId7"/>
          <w:footerReference w:type="default" r:id="rId8"/>
          <w:footnotePr>
            <w:pos w:val="pageBottom"/>
            <w:numFmt w:val="decimal"/>
            <w:numRestart w:val="continuous"/>
          </w:footnotePr>
          <w:pgSz w:w="11900" w:h="16840"/>
          <w:pgMar w:top="1974" w:right="1109" w:bottom="1974" w:left="1104" w:header="0" w:footer="3" w:gutter="0"/>
          <w:cols w:space="720"/>
          <w:noEndnote/>
          <w:rtlGutter w:val="0"/>
          <w:docGrid w:linePitch="360"/>
        </w:sectPr>
      </w:pPr>
      <w:r>
        <w:rPr>
          <w:color w:val="000000"/>
          <w:spacing w:val="0"/>
          <w:w w:val="100"/>
          <w:position w:val="0"/>
        </w:rPr>
        <w:t>公司经本次董事会审议通过的利润分配预案为：以截至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公司总股本</w:t>
      </w:r>
      <w:r>
        <w:rPr>
          <w:rFonts w:ascii="Times New Roman" w:eastAsia="Times New Roman" w:hAnsi="Times New Roman" w:cs="Times New Roman"/>
          <w:color w:val="000000"/>
          <w:spacing w:val="0"/>
          <w:w w:val="100"/>
          <w:position w:val="0"/>
        </w:rPr>
        <w:t>936,127,750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0.20</w:t>
      </w:r>
      <w:r>
        <w:rPr>
          <w:color w:val="000000"/>
          <w:spacing w:val="0"/>
          <w:w w:val="100"/>
          <w:position w:val="0"/>
        </w:rPr>
        <w:t>元（含 税），送红股</w:t>
      </w:r>
      <w:r>
        <w:rPr>
          <w:rFonts w:ascii="Times New Roman" w:eastAsia="Times New Roman" w:hAnsi="Times New Roman" w:cs="Times New Roman"/>
          <w:color w:val="000000"/>
          <w:spacing w:val="0"/>
          <w:w w:val="100"/>
          <w:position w:val="0"/>
        </w:rPr>
        <w:t>0</w:t>
      </w:r>
      <w:r>
        <w:rPr>
          <w:color w:val="000000"/>
          <w:spacing w:val="0"/>
          <w:w w:val="100"/>
          <w:position w:val="0"/>
        </w:rPr>
        <w:t>股（含税），以资本公积金向全体股东每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6</w:t>
      </w:r>
      <w:r>
        <w:rPr>
          <w:color w:val="000000"/>
          <w:spacing w:val="0"/>
          <w:w w:val="100"/>
          <w:position w:val="0"/>
        </w:rPr>
        <w:t>股。</w:t>
      </w:r>
    </w:p>
    <w:p>
      <w:pPr>
        <w:pStyle w:val="Style17"/>
        <w:keepNext w:val="0"/>
        <w:keepLines w:val="0"/>
        <w:widowControl w:val="0"/>
        <w:shd w:val="clear" w:color="auto" w:fill="auto"/>
        <w:tabs>
          <w:tab w:pos="1035" w:val="left"/>
          <w:tab w:leader="dot" w:pos="9612" w:val="right"/>
        </w:tabs>
        <w:bidi w:val="0"/>
        <w:spacing w:before="2640" w:line="240" w:lineRule="auto"/>
        <w:ind w:left="0" w:right="0" w:firstLine="0"/>
        <w:jc w:val="both"/>
      </w:pPr>
      <w:r>
        <w:fldChar w:fldCharType="begin"/>
        <w:instrText xml:space="preserve"> TOC \o "1-5" \h \z </w:instrText>
        <w:fldChar w:fldCharType="separate"/>
      </w:r>
      <w:hyperlink w:anchor="bookmark1" w:tooltip="Current Document">
        <w:r>
          <w:rPr>
            <w:color w:val="000000"/>
            <w:spacing w:val="0"/>
            <w:w w:val="100"/>
            <w:position w:val="0"/>
          </w:rPr>
          <w:t>第一节</w:t>
          <w:tab/>
          <w:t>重要提示、目录和释义</w:t>
        </w:r>
        <w:r>
          <w:rPr>
            <w:color w:val="000000"/>
            <w:spacing w:val="0"/>
            <w:w w:val="100"/>
            <w:position w:val="0"/>
          </w:rPr>
          <w:tab/>
        </w:r>
        <w:r>
          <w:rPr>
            <w:rFonts w:ascii="Times New Roman" w:eastAsia="Times New Roman" w:hAnsi="Times New Roman" w:cs="Times New Roman"/>
            <w:color w:val="000000"/>
            <w:spacing w:val="0"/>
            <w:w w:val="100"/>
            <w:position w:val="0"/>
          </w:rPr>
          <w:t>6</w:t>
        </w:r>
      </w:hyperlink>
    </w:p>
    <w:p>
      <w:pPr>
        <w:pStyle w:val="Style17"/>
        <w:keepNext w:val="0"/>
        <w:keepLines w:val="0"/>
        <w:widowControl w:val="0"/>
        <w:shd w:val="clear" w:color="auto" w:fill="auto"/>
        <w:tabs>
          <w:tab w:leader="dot" w:pos="9612" w:val="right"/>
        </w:tabs>
        <w:bidi w:val="0"/>
        <w:spacing w:before="0" w:line="240" w:lineRule="auto"/>
        <w:ind w:left="0" w:right="0" w:firstLine="0"/>
        <w:jc w:val="both"/>
      </w:pPr>
      <w:hyperlink w:anchor="bookmark4" w:tooltip="Current Document">
        <w:r>
          <w:rPr>
            <w:color w:val="000000"/>
            <w:spacing w:val="0"/>
            <w:w w:val="100"/>
            <w:position w:val="0"/>
          </w:rPr>
          <w:t>第二节公司简介和主要财务指标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10</w:t>
        </w:r>
      </w:hyperlink>
    </w:p>
    <w:p>
      <w:pPr>
        <w:pStyle w:val="Style17"/>
        <w:keepNext w:val="0"/>
        <w:keepLines w:val="0"/>
        <w:widowControl w:val="0"/>
        <w:shd w:val="clear" w:color="auto" w:fill="auto"/>
        <w:tabs>
          <w:tab w:pos="1035" w:val="left"/>
          <w:tab w:leader="dot" w:pos="9612" w:val="right"/>
        </w:tabs>
        <w:bidi w:val="0"/>
        <w:spacing w:before="0" w:line="240" w:lineRule="auto"/>
        <w:ind w:left="0" w:right="0" w:firstLine="0"/>
        <w:jc w:val="both"/>
      </w:pPr>
      <w:hyperlink w:anchor="bookmark51" w:tooltip="Current Document">
        <w:r>
          <w:rPr>
            <w:color w:val="000000"/>
            <w:spacing w:val="0"/>
            <w:w w:val="100"/>
            <w:position w:val="0"/>
          </w:rPr>
          <w:t>第三节</w:t>
          <w:tab/>
          <w:t>公司业务概要</w:t>
        </w:r>
        <w:r>
          <w:rPr>
            <w:color w:val="000000"/>
            <w:spacing w:val="0"/>
            <w:w w:val="100"/>
            <w:position w:val="0"/>
          </w:rPr>
          <w:tab/>
        </w:r>
        <w:r>
          <w:rPr>
            <w:rFonts w:ascii="Times New Roman" w:eastAsia="Times New Roman" w:hAnsi="Times New Roman" w:cs="Times New Roman"/>
            <w:color w:val="000000"/>
            <w:spacing w:val="0"/>
            <w:w w:val="100"/>
            <w:position w:val="0"/>
          </w:rPr>
          <w:t>12</w:t>
        </w:r>
      </w:hyperlink>
    </w:p>
    <w:p>
      <w:pPr>
        <w:pStyle w:val="Style17"/>
        <w:keepNext w:val="0"/>
        <w:keepLines w:val="0"/>
        <w:widowControl w:val="0"/>
        <w:shd w:val="clear" w:color="auto" w:fill="auto"/>
        <w:tabs>
          <w:tab w:leader="dot" w:pos="9612" w:val="right"/>
        </w:tabs>
        <w:bidi w:val="0"/>
        <w:spacing w:before="0" w:line="240" w:lineRule="auto"/>
        <w:ind w:left="0" w:right="0" w:firstLine="0"/>
        <w:jc w:val="both"/>
      </w:pPr>
      <w:hyperlink w:anchor="bookmark78" w:tooltip="Current Document">
        <w:r>
          <w:rPr>
            <w:color w:val="000000"/>
            <w:spacing w:val="0"/>
            <w:w w:val="100"/>
            <w:position w:val="0"/>
          </w:rPr>
          <w:t>第四节经营情况讨论与分析</w:t>
        </w:r>
        <w:r>
          <w:rPr>
            <w:color w:val="000000"/>
            <w:spacing w:val="0"/>
            <w:w w:val="100"/>
            <w:position w:val="0"/>
          </w:rPr>
          <w:tab/>
        </w:r>
        <w:r>
          <w:rPr>
            <w:rFonts w:ascii="Times New Roman" w:eastAsia="Times New Roman" w:hAnsi="Times New Roman" w:cs="Times New Roman"/>
            <w:color w:val="000000"/>
            <w:spacing w:val="0"/>
            <w:w w:val="100"/>
            <w:position w:val="0"/>
          </w:rPr>
          <w:t>29</w:t>
        </w:r>
      </w:hyperlink>
    </w:p>
    <w:p>
      <w:pPr>
        <w:pStyle w:val="Style17"/>
        <w:keepNext w:val="0"/>
        <w:keepLines w:val="0"/>
        <w:widowControl w:val="0"/>
        <w:shd w:val="clear" w:color="auto" w:fill="auto"/>
        <w:tabs>
          <w:tab w:pos="1035" w:val="left"/>
          <w:tab w:leader="dot" w:pos="9612" w:val="right"/>
        </w:tabs>
        <w:bidi w:val="0"/>
        <w:spacing w:before="0" w:line="240" w:lineRule="auto"/>
        <w:ind w:left="0" w:right="0" w:firstLine="0"/>
        <w:jc w:val="both"/>
      </w:pPr>
      <w:hyperlink w:anchor="bookmark293" w:tooltip="Current Document">
        <w:r>
          <w:rPr>
            <w:color w:val="000000"/>
            <w:spacing w:val="0"/>
            <w:w w:val="100"/>
            <w:position w:val="0"/>
          </w:rPr>
          <w:t>第五节</w:t>
          <w:tab/>
          <w:t>重要事项</w:t>
        </w:r>
        <w:r>
          <w:rPr>
            <w:color w:val="000000"/>
            <w:spacing w:val="0"/>
            <w:w w:val="100"/>
            <w:position w:val="0"/>
          </w:rPr>
          <w:tab/>
        </w:r>
        <w:r>
          <w:rPr>
            <w:rFonts w:ascii="Times New Roman" w:eastAsia="Times New Roman" w:hAnsi="Times New Roman" w:cs="Times New Roman"/>
            <w:color w:val="000000"/>
            <w:spacing w:val="0"/>
            <w:w w:val="100"/>
            <w:position w:val="0"/>
          </w:rPr>
          <w:t>51</w:t>
        </w:r>
      </w:hyperlink>
    </w:p>
    <w:p>
      <w:pPr>
        <w:pStyle w:val="Style17"/>
        <w:keepNext w:val="0"/>
        <w:keepLines w:val="0"/>
        <w:widowControl w:val="0"/>
        <w:shd w:val="clear" w:color="auto" w:fill="auto"/>
        <w:tabs>
          <w:tab w:leader="dot" w:pos="9612" w:val="right"/>
        </w:tabs>
        <w:bidi w:val="0"/>
        <w:spacing w:before="0" w:line="240" w:lineRule="auto"/>
        <w:ind w:left="0" w:right="0" w:firstLine="0"/>
        <w:jc w:val="both"/>
      </w:pPr>
      <w:hyperlink w:anchor="bookmark430" w:tooltip="Current Document">
        <w:r>
          <w:rPr>
            <w:color w:val="000000"/>
            <w:spacing w:val="0"/>
            <w:w w:val="100"/>
            <w:position w:val="0"/>
          </w:rPr>
          <w:t>第六节股份变动及股东情况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58</w:t>
        </w:r>
      </w:hyperlink>
    </w:p>
    <w:p>
      <w:pPr>
        <w:pStyle w:val="Style17"/>
        <w:keepNext w:val="0"/>
        <w:keepLines w:val="0"/>
        <w:widowControl w:val="0"/>
        <w:shd w:val="clear" w:color="auto" w:fill="auto"/>
        <w:tabs>
          <w:tab w:pos="1035" w:val="left"/>
          <w:tab w:leader="dot" w:pos="9612" w:val="right"/>
        </w:tabs>
        <w:bidi w:val="0"/>
        <w:spacing w:before="0" w:line="240" w:lineRule="auto"/>
        <w:ind w:left="0" w:right="0" w:firstLine="0"/>
        <w:jc w:val="both"/>
      </w:pPr>
      <w:hyperlink w:anchor="bookmark474" w:tooltip="Current Document">
        <w:r>
          <w:rPr>
            <w:color w:val="000000"/>
            <w:spacing w:val="0"/>
            <w:w w:val="100"/>
            <w:position w:val="0"/>
          </w:rPr>
          <w:t>第七节</w:t>
          <w:tab/>
          <w:t>优先股相关情况</w:t>
        </w:r>
        <w:r>
          <w:rPr>
            <w:color w:val="000000"/>
            <w:spacing w:val="0"/>
            <w:w w:val="100"/>
            <w:position w:val="0"/>
          </w:rPr>
          <w:tab/>
        </w:r>
        <w:r>
          <w:rPr>
            <w:rFonts w:ascii="Times New Roman" w:eastAsia="Times New Roman" w:hAnsi="Times New Roman" w:cs="Times New Roman"/>
            <w:color w:val="000000"/>
            <w:spacing w:val="0"/>
            <w:w w:val="100"/>
            <w:position w:val="0"/>
          </w:rPr>
          <w:t>58</w:t>
        </w:r>
      </w:hyperlink>
    </w:p>
    <w:p>
      <w:pPr>
        <w:pStyle w:val="Style17"/>
        <w:keepNext w:val="0"/>
        <w:keepLines w:val="0"/>
        <w:widowControl w:val="0"/>
        <w:shd w:val="clear" w:color="auto" w:fill="auto"/>
        <w:tabs>
          <w:tab w:leader="dot" w:pos="9612" w:val="right"/>
        </w:tabs>
        <w:bidi w:val="0"/>
        <w:spacing w:before="0" w:line="240" w:lineRule="auto"/>
        <w:ind w:left="0" w:right="0" w:firstLine="0"/>
        <w:jc w:val="both"/>
      </w:pPr>
      <w:hyperlink w:anchor="bookmark477" w:tooltip="Current Document">
        <w:r>
          <w:rPr>
            <w:color w:val="000000"/>
            <w:spacing w:val="0"/>
            <w:w w:val="100"/>
            <w:position w:val="0"/>
          </w:rPr>
          <w:t>第八节董事、监事、高级管理人员和员工情况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59</w:t>
        </w:r>
      </w:hyperlink>
    </w:p>
    <w:p>
      <w:pPr>
        <w:pStyle w:val="Style17"/>
        <w:keepNext w:val="0"/>
        <w:keepLines w:val="0"/>
        <w:widowControl w:val="0"/>
        <w:shd w:val="clear" w:color="auto" w:fill="auto"/>
        <w:tabs>
          <w:tab w:leader="dot" w:pos="9612" w:val="right"/>
        </w:tabs>
        <w:bidi w:val="0"/>
        <w:spacing w:before="0" w:line="240" w:lineRule="auto"/>
        <w:ind w:left="0" w:right="0" w:firstLine="0"/>
        <w:jc w:val="both"/>
      </w:pPr>
      <w:hyperlink w:anchor="bookmark513" w:tooltip="Current Document">
        <w:r>
          <w:rPr>
            <w:color w:val="000000"/>
            <w:spacing w:val="0"/>
            <w:w w:val="100"/>
            <w:position w:val="0"/>
          </w:rPr>
          <w:t>第九节公司治理</w:t>
        </w:r>
        <w:r>
          <w:rPr>
            <w:color w:val="000000"/>
            <w:spacing w:val="0"/>
            <w:w w:val="100"/>
            <w:position w:val="0"/>
          </w:rPr>
          <w:tab/>
        </w:r>
        <w:r>
          <w:rPr>
            <w:rFonts w:ascii="Times New Roman" w:eastAsia="Times New Roman" w:hAnsi="Times New Roman" w:cs="Times New Roman"/>
            <w:color w:val="000000"/>
            <w:spacing w:val="0"/>
            <w:w w:val="100"/>
            <w:position w:val="0"/>
          </w:rPr>
          <w:t>67</w:t>
        </w:r>
      </w:hyperlink>
    </w:p>
    <w:p>
      <w:pPr>
        <w:pStyle w:val="Style17"/>
        <w:keepNext w:val="0"/>
        <w:keepLines w:val="0"/>
        <w:widowControl w:val="0"/>
        <w:shd w:val="clear" w:color="auto" w:fill="auto"/>
        <w:tabs>
          <w:tab w:leader="dot" w:pos="9612" w:val="right"/>
        </w:tabs>
        <w:bidi w:val="0"/>
        <w:spacing w:before="0" w:line="240" w:lineRule="auto"/>
        <w:ind w:left="0" w:right="0" w:firstLine="0"/>
        <w:jc w:val="both"/>
      </w:pPr>
      <w:hyperlink w:anchor="bookmark579" w:tooltip="Current Document">
        <w:r>
          <w:rPr>
            <w:color w:val="000000"/>
            <w:spacing w:val="0"/>
            <w:w w:val="100"/>
            <w:position w:val="0"/>
          </w:rPr>
          <w:t>第十节公司债券相关情况</w:t>
        </w:r>
        <w:r>
          <w:rPr>
            <w:color w:val="000000"/>
            <w:spacing w:val="0"/>
            <w:w w:val="100"/>
            <w:position w:val="0"/>
          </w:rPr>
          <w:tab/>
        </w:r>
        <w:r>
          <w:rPr>
            <w:rFonts w:ascii="Times New Roman" w:eastAsia="Times New Roman" w:hAnsi="Times New Roman" w:cs="Times New Roman"/>
            <w:color w:val="000000"/>
            <w:spacing w:val="0"/>
            <w:w w:val="100"/>
            <w:position w:val="0"/>
          </w:rPr>
          <w:t>71</w:t>
        </w:r>
      </w:hyperlink>
    </w:p>
    <w:p>
      <w:pPr>
        <w:pStyle w:val="Style17"/>
        <w:keepNext w:val="0"/>
        <w:keepLines w:val="0"/>
        <w:widowControl w:val="0"/>
        <w:shd w:val="clear" w:color="auto" w:fill="auto"/>
        <w:tabs>
          <w:tab w:leader="dot" w:pos="9612" w:val="right"/>
        </w:tabs>
        <w:bidi w:val="0"/>
        <w:spacing w:before="0" w:line="240" w:lineRule="auto"/>
        <w:ind w:left="0" w:right="0" w:firstLine="0"/>
        <w:jc w:val="both"/>
      </w:pPr>
      <w:hyperlink w:anchor="bookmark660" w:tooltip="Current Document">
        <w:r>
          <w:rPr>
            <w:color w:val="000000"/>
            <w:spacing w:val="0"/>
            <w:w w:val="100"/>
            <w:position w:val="0"/>
          </w:rPr>
          <w:t>第十一节财务报告</w:t>
        </w:r>
        <w:r>
          <w:rPr>
            <w:color w:val="000000"/>
            <w:spacing w:val="0"/>
            <w:w w:val="100"/>
            <w:position w:val="0"/>
          </w:rPr>
          <w:tab/>
        </w:r>
        <w:r>
          <w:rPr>
            <w:rFonts w:ascii="Times New Roman" w:eastAsia="Times New Roman" w:hAnsi="Times New Roman" w:cs="Times New Roman"/>
            <w:color w:val="000000"/>
            <w:spacing w:val="0"/>
            <w:w w:val="100"/>
            <w:position w:val="0"/>
          </w:rPr>
          <w:t>77</w:t>
        </w:r>
      </w:hyperlink>
    </w:p>
    <w:p>
      <w:pPr>
        <w:pStyle w:val="Style17"/>
        <w:keepNext w:val="0"/>
        <w:keepLines w:val="0"/>
        <w:widowControl w:val="0"/>
        <w:shd w:val="clear" w:color="auto" w:fill="auto"/>
        <w:tabs>
          <w:tab w:leader="dot" w:pos="9612" w:val="right"/>
        </w:tabs>
        <w:bidi w:val="0"/>
        <w:spacing w:before="0" w:line="240" w:lineRule="auto"/>
        <w:ind w:left="0" w:right="0" w:firstLine="0"/>
        <w:jc w:val="both"/>
      </w:pPr>
      <w:hyperlink w:anchor="bookmark1675" w:tooltip="Current Document">
        <w:r>
          <w:rPr>
            <w:color w:val="000000"/>
            <w:spacing w:val="0"/>
            <w:w w:val="100"/>
            <w:position w:val="0"/>
          </w:rPr>
          <w:t>第十二节 备查文件目录</w:t>
        </w:r>
        <w:r>
          <w:rPr>
            <w:color w:val="000000"/>
            <w:spacing w:val="0"/>
            <w:w w:val="100"/>
            <w:position w:val="0"/>
          </w:rPr>
          <w:tab/>
        </w:r>
        <w:r>
          <w:rPr>
            <w:rFonts w:ascii="Times New Roman" w:eastAsia="Times New Roman" w:hAnsi="Times New Roman" w:cs="Times New Roman"/>
            <w:color w:val="000000"/>
            <w:spacing w:val="0"/>
            <w:w w:val="100"/>
            <w:position w:val="0"/>
          </w:rPr>
          <w:t>181</w:t>
        </w:r>
      </w:hyperlink>
      <w:r>
        <w:br w:type="page"/>
      </w:r>
      <w:r>
        <w:fldChar w:fldCharType="end"/>
      </w:r>
    </w:p>
    <w:tbl>
      <w:tblPr>
        <w:tblOverlap w:val="never"/>
        <w:jc w:val="center"/>
        <w:tblLayout w:type="fixed"/>
      </w:tblPr>
      <w:tblGrid>
        <w:gridCol w:w="3528"/>
        <w:gridCol w:w="619"/>
        <w:gridCol w:w="5434"/>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公司、本公司、母公司、国盛金控</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广东国盛金控集团股份有限公司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前海发展</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深圳前海财智发展投资中心（有限合伙）</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前海远大</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深圳前海财智远大投资中心（有限合伙）</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凤凰财鑫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北京凤凰财鑫股权投资中心（有限合伙）</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凤凰财智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北京凤凰财智创新投资中心（有限合伙）</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中江信托</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中江国际信托股份有限公司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赣粤高速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江西赣粤高速公路股份有限公司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江西财投</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江西省财政投资管理公司</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江西投资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江西省投资集团公司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江西能源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江西省能源集团公司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江西地矿</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江西省地质矿产勘查开发局</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江西地勘</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江西有色地质勘查局</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锦峰投资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江西省锦峰投资管理有限责任公司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江西医药</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江西省医药集团公司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北京迅杰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北京迅杰新科科技有限公司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北京岫晞</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北京岫晞股权投资中心（有限合伙）</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国盛证券</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国盛证券有限责任公司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国盛期货</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江信国盛期货有限责任公司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国盛资管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国盛证券资产管理有限公司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全钰投资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上海全钰股权投资有限公司</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深圳华声前海投资有限公司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华声香港</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Wa Sung Investment Limited</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BVI</w:t>
            </w:r>
            <w:r>
              <w:rPr>
                <w:color w:val="000000"/>
                <w:spacing w:val="0"/>
                <w:w w:val="100"/>
                <w:position w:val="0"/>
              </w:rPr>
              <w:t>华声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华声国际投资有限公司</w:t>
            </w:r>
            <w:r>
              <w:rPr>
                <w:color w:val="000000"/>
                <w:spacing w:val="0"/>
                <w:w w:val="100"/>
                <w:position w:val="0"/>
              </w:rPr>
              <w:t>(</w:t>
            </w:r>
            <w:r>
              <w:rPr>
                <w:rFonts w:ascii="Times New Roman" w:eastAsia="Times New Roman" w:hAnsi="Times New Roman" w:cs="Times New Roman"/>
                <w:color w:val="000000"/>
                <w:spacing w:val="0"/>
                <w:w w:val="100"/>
                <w:position w:val="0"/>
              </w:rPr>
              <w:t>Wa Sung International Investment Limited</w:t>
            </w: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开曼华声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华声互联网投资管理有限公司</w:t>
            </w:r>
            <w:r>
              <w:rPr>
                <w:color w:val="000000"/>
                <w:spacing w:val="0"/>
                <w:w w:val="100"/>
                <w:position w:val="0"/>
              </w:rPr>
              <w:t>(</w:t>
            </w:r>
            <w:r>
              <w:rPr>
                <w:rFonts w:ascii="Times New Roman" w:eastAsia="Times New Roman" w:hAnsi="Times New Roman" w:cs="Times New Roman"/>
                <w:color w:val="000000"/>
                <w:spacing w:val="0"/>
                <w:w w:val="100"/>
                <w:position w:val="0"/>
              </w:rPr>
              <w:t>Huasheng Internet Investment Management Limited</w:t>
            </w:r>
            <w:r>
              <w:rPr>
                <w:color w:val="000000"/>
                <w:spacing w:val="0"/>
                <w:w w:val="100"/>
                <w:position w:val="0"/>
              </w:rPr>
              <w:t>)</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开曼有限合伙</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华声互联网投资有限合伙</w:t>
            </w:r>
            <w:r>
              <w:rPr>
                <w:color w:val="000000"/>
                <w:spacing w:val="0"/>
                <w:w w:val="100"/>
                <w:position w:val="0"/>
              </w:rPr>
              <w:t>（</w:t>
            </w:r>
            <w:r>
              <w:rPr>
                <w:rFonts w:ascii="Times New Roman" w:eastAsia="Times New Roman" w:hAnsi="Times New Roman" w:cs="Times New Roman"/>
                <w:color w:val="000000"/>
                <w:spacing w:val="0"/>
                <w:w w:val="100"/>
                <w:position w:val="0"/>
              </w:rPr>
              <w:t>Huasheng Internet Investment L.P.</w:t>
            </w:r>
            <w:r>
              <w:rPr>
                <w:color w:val="000000"/>
                <w:spacing w:val="0"/>
                <w:w w:val="100"/>
                <w:position w:val="0"/>
              </w:rPr>
              <w:t>）</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华声实业</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广东华声电器实业有限公司</w:t>
            </w:r>
          </w:p>
        </w:tc>
      </w:tr>
    </w:tbl>
    <w:p>
      <w:pPr>
        <w:spacing w:lineRule="exact" w:line="1"/>
        <w:rPr>
          <w:sz w:val="2"/>
          <w:szCs w:val="2"/>
        </w:rPr>
      </w:pPr>
      <w:r>
        <w:br w:type="page"/>
      </w:r>
    </w:p>
    <w:tbl>
      <w:tblPr>
        <w:tblOverlap w:val="never"/>
        <w:jc w:val="center"/>
        <w:tblLayout w:type="fixed"/>
      </w:tblPr>
      <w:tblGrid>
        <w:gridCol w:w="3528"/>
        <w:gridCol w:w="619"/>
        <w:gridCol w:w="5434"/>
      </w:tblGrid>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扬州华声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扬州华声电子实业有限公司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佛山装配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佛山市华声电子装配有限责任公司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扬州装配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扬州华声电器装配有限公司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华声电缆</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广东华声电缆有限公司</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前海科技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深圳前海国盛科技有限公司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江信基金</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江信基金管理有限公司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北京快乐时代</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北京快乐时代科技发展有限公司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凤凰祥瑞</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北京凤凰祥瑞互联投资基金（有限合伙）</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证券业务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证券、期货及资管业务</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线缆业务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应用于家用电器等领域的线缆业务</w:t>
            </w:r>
          </w:p>
        </w:tc>
      </w:tr>
    </w:tbl>
    <w:p>
      <w:pPr>
        <w:sectPr>
          <w:footnotePr>
            <w:pos w:val="pageBottom"/>
            <w:numFmt w:val="decimal"/>
            <w:numRestart w:val="continuous"/>
          </w:footnotePr>
          <w:pgSz w:w="11900" w:h="16840"/>
          <w:pgMar w:top="1441" w:right="1137" w:bottom="1753" w:left="1085" w:header="0" w:footer="3" w:gutter="0"/>
          <w:cols w:space="720"/>
          <w:noEndnote/>
          <w:rtlGutter w:val="0"/>
          <w:docGrid w:linePitch="360"/>
        </w:sectPr>
      </w:pPr>
    </w:p>
    <w:p>
      <w:pPr>
        <w:pStyle w:val="Style12"/>
        <w:keepNext/>
        <w:keepLines/>
        <w:widowControl w:val="0"/>
        <w:shd w:val="clear" w:color="auto" w:fill="auto"/>
        <w:bidi w:val="0"/>
        <w:spacing w:line="240" w:lineRule="auto"/>
        <w:ind w:left="0" w:right="0" w:firstLine="0"/>
        <w:jc w:val="center"/>
      </w:pPr>
      <w:bookmarkStart w:id="3" w:name="bookmark3"/>
      <w:bookmarkStart w:id="4" w:name="bookmark4"/>
      <w:bookmarkStart w:id="5" w:name="bookmark5"/>
      <w:r>
        <w:rPr>
          <w:color w:val="000000"/>
          <w:spacing w:val="0"/>
          <w:w w:val="100"/>
          <w:position w:val="0"/>
        </w:rPr>
        <w:t>第二节公司简介和主要财务指标</w:t>
      </w:r>
      <w:bookmarkEnd w:id="3"/>
      <w:bookmarkEnd w:id="4"/>
      <w:bookmarkEnd w:id="5"/>
    </w:p>
    <w:p>
      <w:pPr>
        <w:pStyle w:val="Style23"/>
        <w:keepNext/>
        <w:keepLines/>
        <w:widowControl w:val="0"/>
        <w:shd w:val="clear" w:color="auto" w:fill="auto"/>
        <w:bidi w:val="0"/>
        <w:spacing w:before="0" w:after="320" w:line="240" w:lineRule="auto"/>
        <w:ind w:left="0" w:right="0" w:firstLine="0"/>
        <w:jc w:val="left"/>
        <w:rPr>
          <w:sz w:val="22"/>
          <w:szCs w:val="22"/>
        </w:rPr>
      </w:pPr>
      <w:bookmarkStart w:id="6" w:name="bookmark6"/>
      <w:bookmarkStart w:id="7" w:name="bookmark7"/>
      <w:bookmarkStart w:id="8" w:name="bookmark8"/>
      <w:bookmarkStart w:id="9" w:name="bookmark9"/>
      <w:r>
        <w:rPr>
          <w:b/>
          <w:bCs/>
          <w:color w:val="000000"/>
          <w:spacing w:val="0"/>
          <w:w w:val="100"/>
          <w:position w:val="0"/>
          <w:sz w:val="22"/>
          <w:szCs w:val="22"/>
        </w:rPr>
        <w:t>一</w:t>
      </w:r>
      <w:bookmarkEnd w:id="8"/>
      <w:r>
        <w:rPr>
          <w:b/>
          <w:bCs/>
          <w:color w:val="000000"/>
          <w:spacing w:val="0"/>
          <w:w w:val="100"/>
          <w:position w:val="0"/>
          <w:sz w:val="22"/>
          <w:szCs w:val="22"/>
        </w:rPr>
        <w:t>、公司信息</w:t>
      </w:r>
      <w:bookmarkEnd w:id="6"/>
      <w:bookmarkEnd w:id="7"/>
      <w:bookmarkEnd w:id="9"/>
    </w:p>
    <w:tbl>
      <w:tblPr>
        <w:tblOverlap w:val="never"/>
        <w:jc w:val="center"/>
        <w:tblLayout w:type="fixed"/>
      </w:tblPr>
      <w:tblGrid>
        <w:gridCol w:w="2842"/>
        <w:gridCol w:w="2832"/>
        <w:gridCol w:w="1723"/>
        <w:gridCol w:w="2184"/>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国盛金控</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002670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广东国盛金控集团股份有限公司</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国盛金控</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Guosheng Financial Holding Inc.</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Guosheng Finance</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杜力</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佛山市顺德区容桂街道华口昌宝东路</w:t>
            </w:r>
            <w:r>
              <w:rPr>
                <w:rFonts w:ascii="Times New Roman" w:eastAsia="Times New Roman" w:hAnsi="Times New Roman" w:cs="Times New Roman"/>
                <w:color w:val="000000"/>
                <w:spacing w:val="0"/>
                <w:w w:val="100"/>
                <w:position w:val="0"/>
              </w:rPr>
              <w:t>13</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528306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佛山市顺德区容桂街道华口昌宝东路</w:t>
            </w:r>
            <w:r>
              <w:rPr>
                <w:rFonts w:ascii="Times New Roman" w:eastAsia="Times New Roman" w:hAnsi="Times New Roman" w:cs="Times New Roman"/>
                <w:color w:val="000000"/>
                <w:spacing w:val="0"/>
                <w:w w:val="100"/>
                <w:position w:val="0"/>
              </w:rPr>
              <w:t>13</w:t>
            </w:r>
            <w:r>
              <w:rPr>
                <w:color w:val="000000"/>
                <w:spacing w:val="0"/>
                <w:w w:val="100"/>
                <w:position w:val="0"/>
              </w:rPr>
              <w:t>号</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528306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原网站划转至子公司华声实业,</w:t>
            </w:r>
          </w:p>
        </w:tc>
        <w:tc>
          <w:tcPr>
            <w:gridSpan w:val="2"/>
            <w:tcBorders>
              <w:top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公司网站建设工作正在进行中。</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fldChar w:fldCharType="begin"/>
            </w:r>
            <w:r>
              <w:rPr/>
              <w:instrText> HYPERLINK "mailto:zqb@wasung.com" </w:instrText>
            </w:r>
            <w:r>
              <w:fldChar w:fldCharType="separate"/>
            </w:r>
            <w:r>
              <w:rPr>
                <w:rFonts w:ascii="Times New Roman" w:eastAsia="Times New Roman" w:hAnsi="Times New Roman" w:cs="Times New Roman"/>
                <w:color w:val="000000"/>
                <w:spacing w:val="0"/>
                <w:w w:val="100"/>
                <w:position w:val="0"/>
              </w:rPr>
              <w:t>zqb@wasung.com</w:t>
            </w:r>
            <w:r>
              <w:fldChar w:fldCharType="end"/>
            </w:r>
          </w:p>
        </w:tc>
      </w:tr>
    </w:tbl>
    <w:p>
      <w:pPr>
        <w:widowControl w:val="0"/>
        <w:spacing w:after="319" w:line="1" w:lineRule="exact"/>
      </w:pPr>
    </w:p>
    <w:p>
      <w:pPr>
        <w:pStyle w:val="Style23"/>
        <w:keepNext/>
        <w:keepLines/>
        <w:widowControl w:val="0"/>
        <w:shd w:val="clear" w:color="auto" w:fill="auto"/>
        <w:bidi w:val="0"/>
        <w:spacing w:before="0" w:after="320" w:line="240" w:lineRule="auto"/>
        <w:ind w:left="0" w:right="0" w:firstLine="0"/>
        <w:jc w:val="left"/>
        <w:rPr>
          <w:sz w:val="22"/>
          <w:szCs w:val="22"/>
        </w:rPr>
      </w:pPr>
      <w:bookmarkStart w:id="10" w:name="bookmark10"/>
      <w:bookmarkStart w:id="11" w:name="bookmark11"/>
      <w:bookmarkStart w:id="12" w:name="bookmark12"/>
      <w:bookmarkStart w:id="13" w:name="bookmark13"/>
      <w:r>
        <w:rPr>
          <w:b/>
          <w:bCs/>
          <w:color w:val="000000"/>
          <w:spacing w:val="0"/>
          <w:w w:val="100"/>
          <w:position w:val="0"/>
          <w:sz w:val="22"/>
          <w:szCs w:val="22"/>
        </w:rPr>
        <w:t>二</w:t>
      </w:r>
      <w:bookmarkEnd w:id="12"/>
      <w:r>
        <w:rPr>
          <w:b/>
          <w:bCs/>
          <w:color w:val="000000"/>
          <w:spacing w:val="0"/>
          <w:w w:val="100"/>
          <w:position w:val="0"/>
          <w:sz w:val="22"/>
          <w:szCs w:val="22"/>
        </w:rPr>
        <w:t>、联系人和联系方式</w:t>
      </w:r>
      <w:bookmarkEnd w:id="10"/>
      <w:bookmarkEnd w:id="11"/>
      <w:bookmarkEnd w:id="13"/>
    </w:p>
    <w:tbl>
      <w:tblPr>
        <w:tblOverlap w:val="never"/>
        <w:jc w:val="center"/>
        <w:tblLayout w:type="fixed"/>
      </w:tblPr>
      <w:tblGrid>
        <w:gridCol w:w="2842"/>
        <w:gridCol w:w="3365"/>
        <w:gridCol w:w="3374"/>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赵岑</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方胜玲</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left"/>
            </w:pPr>
            <w:r>
              <w:rPr>
                <w:color w:val="000000"/>
                <w:spacing w:val="0"/>
                <w:w w:val="100"/>
                <w:position w:val="0"/>
              </w:rPr>
              <w:t>佛山市顺德区容桂街道华口昌宝东 路</w:t>
            </w:r>
            <w:r>
              <w:rPr>
                <w:rFonts w:ascii="Times New Roman" w:eastAsia="Times New Roman" w:hAnsi="Times New Roman" w:cs="Times New Roman"/>
                <w:color w:val="000000"/>
                <w:spacing w:val="0"/>
                <w:w w:val="100"/>
                <w:position w:val="0"/>
              </w:rPr>
              <w:t>13</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left"/>
            </w:pPr>
            <w:r>
              <w:rPr>
                <w:color w:val="000000"/>
                <w:spacing w:val="0"/>
                <w:w w:val="100"/>
                <w:position w:val="0"/>
              </w:rPr>
              <w:t>佛山市顺德区容桂街道华口昌宝东 路</w:t>
            </w:r>
            <w:r>
              <w:rPr>
                <w:rFonts w:ascii="Times New Roman" w:eastAsia="Times New Roman" w:hAnsi="Times New Roman" w:cs="Times New Roman"/>
                <w:color w:val="000000"/>
                <w:spacing w:val="0"/>
                <w:w w:val="100"/>
                <w:position w:val="0"/>
              </w:rPr>
              <w:t>13</w:t>
            </w:r>
            <w:r>
              <w:rPr>
                <w:color w:val="000000"/>
                <w:spacing w:val="0"/>
                <w:w w:val="100"/>
                <w:position w:val="0"/>
              </w:rPr>
              <w:t>号</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0757-26680089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0757-26680089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0757-26680089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0757-26680089</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fldChar w:fldCharType="begin"/>
            </w:r>
            <w:r>
              <w:rPr/>
              <w:instrText> HYPERLINK "mailto:zqb@wasung.com" </w:instrText>
            </w:r>
            <w:r>
              <w:fldChar w:fldCharType="separate"/>
            </w:r>
            <w:r>
              <w:rPr>
                <w:rFonts w:ascii="Times New Roman" w:eastAsia="Times New Roman" w:hAnsi="Times New Roman" w:cs="Times New Roman"/>
                <w:color w:val="000000"/>
                <w:spacing w:val="0"/>
                <w:w w:val="100"/>
                <w:position w:val="0"/>
              </w:rPr>
              <w:t>zqb@wasung.com</w:t>
            </w:r>
            <w:r>
              <w:fldChar w:fldCharType="end"/>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fldChar w:fldCharType="begin"/>
            </w:r>
            <w:r>
              <w:rPr/>
              <w:instrText> HYPERLINK "mailto:zqb@wasung.com" </w:instrText>
            </w:r>
            <w:r>
              <w:fldChar w:fldCharType="separate"/>
            </w:r>
            <w:r>
              <w:rPr>
                <w:rFonts w:ascii="Times New Roman" w:eastAsia="Times New Roman" w:hAnsi="Times New Roman" w:cs="Times New Roman"/>
                <w:color w:val="000000"/>
                <w:spacing w:val="0"/>
                <w:w w:val="100"/>
                <w:position w:val="0"/>
              </w:rPr>
              <w:t>zqb@wasung.com</w:t>
            </w:r>
            <w:r>
              <w:fldChar w:fldCharType="end"/>
            </w:r>
          </w:p>
        </w:tc>
      </w:tr>
    </w:tbl>
    <w:p>
      <w:pPr>
        <w:widowControl w:val="0"/>
        <w:spacing w:after="319" w:line="1" w:lineRule="exact"/>
      </w:pPr>
    </w:p>
    <w:p>
      <w:pPr>
        <w:pStyle w:val="Style23"/>
        <w:keepNext/>
        <w:keepLines/>
        <w:widowControl w:val="0"/>
        <w:shd w:val="clear" w:color="auto" w:fill="auto"/>
        <w:bidi w:val="0"/>
        <w:spacing w:before="0" w:after="320" w:line="240" w:lineRule="auto"/>
        <w:ind w:left="0" w:right="0" w:firstLine="0"/>
        <w:jc w:val="left"/>
        <w:rPr>
          <w:sz w:val="22"/>
          <w:szCs w:val="22"/>
        </w:rPr>
      </w:pPr>
      <w:bookmarkStart w:id="14" w:name="bookmark14"/>
      <w:bookmarkStart w:id="15" w:name="bookmark15"/>
      <w:bookmarkStart w:id="16" w:name="bookmark16"/>
      <w:bookmarkStart w:id="17" w:name="bookmark17"/>
      <w:r>
        <w:rPr>
          <w:b/>
          <w:bCs/>
          <w:color w:val="000000"/>
          <w:spacing w:val="0"/>
          <w:w w:val="100"/>
          <w:position w:val="0"/>
          <w:sz w:val="22"/>
          <w:szCs w:val="22"/>
        </w:rPr>
        <w:t>三</w:t>
      </w:r>
      <w:bookmarkEnd w:id="16"/>
      <w:r>
        <w:rPr>
          <w:b/>
          <w:bCs/>
          <w:color w:val="000000"/>
          <w:spacing w:val="0"/>
          <w:w w:val="100"/>
          <w:position w:val="0"/>
          <w:sz w:val="22"/>
          <w:szCs w:val="22"/>
        </w:rPr>
        <w:t>、信息披露及备置地点</w:t>
      </w:r>
      <w:bookmarkEnd w:id="14"/>
      <w:bookmarkEnd w:id="15"/>
      <w:bookmarkEnd w:id="17"/>
    </w:p>
    <w:tbl>
      <w:tblPr>
        <w:tblOverlap w:val="never"/>
        <w:jc w:val="center"/>
        <w:tblLayout w:type="fixed"/>
      </w:tblPr>
      <w:tblGrid>
        <w:gridCol w:w="4402"/>
        <w:gridCol w:w="5179"/>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《中国证券报》、《证券时报》、《上海证券报》</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rPr>
              <w:t>www.cninfo.com</w:t>
            </w:r>
            <w:r>
              <w:fldChar w:fldCharType="end"/>
            </w:r>
            <w:r>
              <w:rPr>
                <w:rFonts w:ascii="Times New Roman" w:eastAsia="Times New Roman" w:hAnsi="Times New Roman" w:cs="Times New Roman"/>
                <w:color w:val="000000"/>
                <w:spacing w:val="0"/>
                <w:w w:val="100"/>
                <w:position w:val="0"/>
              </w:rPr>
              <w:t xml:space="preserve"> .cn</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公司董事会办公室</w:t>
            </w:r>
          </w:p>
        </w:tc>
      </w:tr>
    </w:tbl>
    <w:p>
      <w:pPr>
        <w:widowControl w:val="0"/>
        <w:spacing w:after="319" w:line="1" w:lineRule="exact"/>
      </w:pPr>
    </w:p>
    <w:p>
      <w:pPr>
        <w:pStyle w:val="Style23"/>
        <w:keepNext/>
        <w:keepLines/>
        <w:widowControl w:val="0"/>
        <w:shd w:val="clear" w:color="auto" w:fill="auto"/>
        <w:bidi w:val="0"/>
        <w:spacing w:before="0" w:after="320" w:line="240" w:lineRule="auto"/>
        <w:ind w:left="0" w:right="0" w:firstLine="0"/>
        <w:jc w:val="left"/>
        <w:rPr>
          <w:sz w:val="22"/>
          <w:szCs w:val="22"/>
        </w:rPr>
      </w:pPr>
      <w:bookmarkStart w:id="18" w:name="bookmark18"/>
      <w:bookmarkStart w:id="19" w:name="bookmark19"/>
      <w:bookmarkStart w:id="20" w:name="bookmark20"/>
      <w:bookmarkStart w:id="21" w:name="bookmark21"/>
      <w:r>
        <w:rPr>
          <w:b/>
          <w:bCs/>
          <w:color w:val="000000"/>
          <w:spacing w:val="0"/>
          <w:w w:val="100"/>
          <w:position w:val="0"/>
          <w:sz w:val="22"/>
          <w:szCs w:val="22"/>
        </w:rPr>
        <w:t>四</w:t>
      </w:r>
      <w:bookmarkEnd w:id="20"/>
      <w:r>
        <w:rPr>
          <w:b/>
          <w:bCs/>
          <w:color w:val="000000"/>
          <w:spacing w:val="0"/>
          <w:w w:val="100"/>
          <w:position w:val="0"/>
          <w:sz w:val="22"/>
          <w:szCs w:val="22"/>
        </w:rPr>
        <w:t>、注册变更情况</w:t>
      </w:r>
      <w:bookmarkEnd w:id="18"/>
      <w:bookmarkEnd w:id="19"/>
      <w:bookmarkEnd w:id="21"/>
      <w:r>
        <w:br w:type="page"/>
      </w:r>
    </w:p>
    <w:tbl>
      <w:tblPr>
        <w:tblOverlap w:val="never"/>
        <w:jc w:val="center"/>
        <w:tblLayout w:type="fixed"/>
      </w:tblPr>
      <w:tblGrid>
        <w:gridCol w:w="3192"/>
        <w:gridCol w:w="6389"/>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61765561-3</w:t>
            </w:r>
          </w:p>
        </w:tc>
      </w:tr>
      <w:tr>
        <w:trPr>
          <w:trHeight w:val="133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公司上市以来主营业务的变化情 况（如有）</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报告期内，公司实施发行股份及支付现金购买国盛证券</w:t>
            </w:r>
            <w:r>
              <w:rPr>
                <w:rFonts w:ascii="Times New Roman" w:eastAsia="Times New Roman" w:hAnsi="Times New Roman" w:cs="Times New Roman"/>
                <w:color w:val="000000"/>
                <w:spacing w:val="0"/>
                <w:w w:val="100"/>
                <w:position w:val="0"/>
              </w:rPr>
              <w:t>100%</w:t>
            </w:r>
            <w:r>
              <w:rPr>
                <w:color w:val="000000"/>
                <w:spacing w:val="0"/>
                <w:w w:val="100"/>
                <w:position w:val="0"/>
              </w:rPr>
              <w:t>股权方 案，并将线缆业务资产下沉至子公司，母公司升级为控股管理平台， 公司（集团）主营业务由单一线缆制造变更为同时拥有证券业务和线 缆业务。</w:t>
            </w:r>
          </w:p>
        </w:tc>
      </w:tr>
      <w:tr>
        <w:trPr>
          <w:trHeight w:val="2011"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tabs>
                <w:tab w:pos="250" w:val="left"/>
              </w:tabs>
              <w:bidi w:val="0"/>
              <w:spacing w:before="0" w:after="0" w:line="320"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月，公司控股股东变更为北京凤凰财智创新投资中心（有 限合伙）。</w:t>
            </w:r>
          </w:p>
          <w:p>
            <w:pPr>
              <w:pStyle w:val="Style20"/>
              <w:keepNext w:val="0"/>
              <w:keepLines w:val="0"/>
              <w:widowControl w:val="0"/>
              <w:shd w:val="clear" w:color="auto" w:fill="auto"/>
              <w:tabs>
                <w:tab w:pos="269" w:val="left"/>
              </w:tabs>
              <w:bidi w:val="0"/>
              <w:spacing w:before="0" w:after="0" w:line="320"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月，公司控股股东变更为深圳前海财智发展投资中心（有 限合伙）及其一致行动人深圳前海财智远大投资中心（有限合伙）、北 京凤凰财智创新投资中心（有限合伙）、北京凤凰财鑫股权投资中心（有 限合伙）。</w:t>
            </w:r>
          </w:p>
        </w:tc>
      </w:tr>
    </w:tbl>
    <w:p>
      <w:pPr>
        <w:widowControl w:val="0"/>
        <w:spacing w:after="339" w:line="1" w:lineRule="exact"/>
      </w:pPr>
    </w:p>
    <w:p>
      <w:pPr>
        <w:pStyle w:val="Style23"/>
        <w:keepNext/>
        <w:keepLines/>
        <w:widowControl w:val="0"/>
        <w:shd w:val="clear" w:color="auto" w:fill="auto"/>
        <w:bidi w:val="0"/>
        <w:spacing w:before="0" w:after="340" w:line="240" w:lineRule="auto"/>
        <w:ind w:left="0" w:right="0" w:firstLine="0"/>
        <w:jc w:val="left"/>
        <w:rPr>
          <w:sz w:val="22"/>
          <w:szCs w:val="22"/>
        </w:rPr>
      </w:pPr>
      <w:bookmarkStart w:id="22" w:name="bookmark22"/>
      <w:bookmarkStart w:id="23" w:name="bookmark23"/>
      <w:bookmarkStart w:id="24" w:name="bookmark24"/>
      <w:bookmarkStart w:id="25" w:name="bookmark25"/>
      <w:r>
        <w:rPr>
          <w:b/>
          <w:bCs/>
          <w:color w:val="000000"/>
          <w:spacing w:val="0"/>
          <w:w w:val="100"/>
          <w:position w:val="0"/>
          <w:sz w:val="22"/>
          <w:szCs w:val="22"/>
        </w:rPr>
        <w:t>五</w:t>
      </w:r>
      <w:bookmarkEnd w:id="24"/>
      <w:r>
        <w:rPr>
          <w:b/>
          <w:bCs/>
          <w:color w:val="000000"/>
          <w:spacing w:val="0"/>
          <w:w w:val="100"/>
          <w:position w:val="0"/>
          <w:sz w:val="22"/>
          <w:szCs w:val="22"/>
        </w:rPr>
        <w:t>、其他有关资料</w:t>
      </w:r>
      <w:bookmarkEnd w:id="22"/>
      <w:bookmarkEnd w:id="23"/>
      <w:bookmarkEnd w:id="25"/>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4"/>
        <w:gridCol w:w="691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上海市黄浦区南京东路</w:t>
            </w:r>
            <w:r>
              <w:rPr>
                <w:rFonts w:ascii="Times New Roman" w:eastAsia="Times New Roman" w:hAnsi="Times New Roman" w:cs="Times New Roman"/>
                <w:color w:val="000000"/>
                <w:spacing w:val="0"/>
                <w:w w:val="100"/>
                <w:position w:val="0"/>
              </w:rPr>
              <w:t>61</w:t>
            </w:r>
            <w:r>
              <w:rPr>
                <w:color w:val="000000"/>
                <w:spacing w:val="0"/>
                <w:w w:val="100"/>
                <w:position w:val="0"/>
              </w:rPr>
              <w:t>号</w:t>
            </w:r>
            <w:r>
              <w:rPr>
                <w:rFonts w:ascii="Times New Roman" w:eastAsia="Times New Roman" w:hAnsi="Times New Roman" w:cs="Times New Roman"/>
                <w:color w:val="000000"/>
                <w:spacing w:val="0"/>
                <w:w w:val="100"/>
                <w:position w:val="0"/>
              </w:rPr>
              <w:t>4</w:t>
            </w:r>
            <w:r>
              <w:rPr>
                <w:color w:val="000000"/>
                <w:spacing w:val="0"/>
                <w:w w:val="100"/>
                <w:position w:val="0"/>
              </w:rPr>
              <w:t>楼</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杨志平、潘留焱</w:t>
            </w:r>
          </w:p>
        </w:tc>
      </w:tr>
    </w:tbl>
    <w:p>
      <w:pPr>
        <w:widowControl w:val="0"/>
        <w:spacing w:after="39" w:line="1" w:lineRule="exact"/>
      </w:pPr>
    </w:p>
    <w:p>
      <w:pPr>
        <w:pStyle w:val="Style26"/>
        <w:keepNext w:val="0"/>
        <w:keepLines w:val="0"/>
        <w:widowControl w:val="0"/>
        <w:shd w:val="clear" w:color="auto" w:fill="auto"/>
        <w:tabs>
          <w:tab w:pos="7978" w:val="left"/>
        </w:tabs>
        <w:bidi w:val="0"/>
        <w:spacing w:before="0" w:after="100" w:line="240" w:lineRule="auto"/>
        <w:ind w:left="0" w:right="0" w:firstLine="0"/>
        <w:jc w:val="center"/>
      </w:pPr>
      <w:r>
        <w:rPr>
          <w:color w:val="000000"/>
          <w:spacing w:val="0"/>
          <w:w w:val="100"/>
          <w:position w:val="0"/>
        </w:rPr>
        <w:t>公司聘请的报告期内履行持续督导职责的保荐机构</w:t>
        <w:tab/>
      </w: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6"/>
        <w:keepNext w:val="0"/>
        <w:keepLines w:val="0"/>
        <w:widowControl w:val="0"/>
        <w:shd w:val="clear" w:color="auto" w:fill="auto"/>
        <w:tabs>
          <w:tab w:pos="7968" w:val="left"/>
        </w:tabs>
        <w:bidi w:val="0"/>
        <w:spacing w:before="0" w:after="0" w:line="240" w:lineRule="auto"/>
        <w:ind w:left="0" w:right="0" w:firstLine="0"/>
        <w:jc w:val="center"/>
      </w:pPr>
      <w:r>
        <w:rPr>
          <w:color w:val="000000"/>
          <w:spacing w:val="0"/>
          <w:w w:val="100"/>
          <w:position w:val="0"/>
        </w:rPr>
        <w:t>公司聘请的报告期内履行持续督导职责的财务顾问</w:t>
        <w:tab/>
      </w: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698"/>
        <w:gridCol w:w="2410"/>
        <w:gridCol w:w="1987"/>
        <w:gridCol w:w="2486"/>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财务顾问名称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财务顾问办公地址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财务顾问主办人姓名</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光大证券股份有限公司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02" w:lineRule="exact"/>
              <w:ind w:left="0" w:right="0" w:firstLine="0"/>
              <w:jc w:val="both"/>
            </w:pPr>
            <w:r>
              <w:rPr>
                <w:color w:val="000000"/>
                <w:spacing w:val="0"/>
                <w:w w:val="100"/>
                <w:position w:val="0"/>
              </w:rPr>
              <w:t>上海市静安区新闸路</w:t>
            </w:r>
            <w:r>
              <w:rPr>
                <w:rFonts w:ascii="Times New Roman" w:eastAsia="Times New Roman" w:hAnsi="Times New Roman" w:cs="Times New Roman"/>
                <w:color w:val="000000"/>
                <w:spacing w:val="0"/>
                <w:w w:val="100"/>
                <w:position w:val="0"/>
              </w:rPr>
              <w:t xml:space="preserve">1508 </w:t>
            </w:r>
            <w:r>
              <w:rPr>
                <w:color w:val="000000"/>
                <w:spacing w:val="0"/>
                <w:w w:val="100"/>
                <w:position w:val="0"/>
              </w:rPr>
              <w:t>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晏学飞、卫成业</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日至</w:t>
            </w:r>
            <w:r>
              <w:rPr>
                <w:rFonts w:ascii="Times New Roman" w:eastAsia="Times New Roman" w:hAnsi="Times New Roman" w:cs="Times New Roman"/>
                <w:color w:val="000000"/>
                <w:spacing w:val="0"/>
                <w:w w:val="100"/>
                <w:position w:val="0"/>
              </w:rPr>
              <w:t>2017</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恒泰长财证券股份有限公司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北京市西城区金融大街</w:t>
            </w:r>
            <w:r>
              <w:rPr>
                <w:rFonts w:ascii="Times New Roman" w:eastAsia="Times New Roman" w:hAnsi="Times New Roman" w:cs="Times New Roman"/>
                <w:color w:val="000000"/>
                <w:spacing w:val="0"/>
                <w:w w:val="100"/>
                <w:position w:val="0"/>
              </w:rPr>
              <w:t xml:space="preserve">33 </w:t>
            </w:r>
            <w:r>
              <w:rPr>
                <w:color w:val="000000"/>
                <w:spacing w:val="0"/>
                <w:w w:val="100"/>
                <w:position w:val="0"/>
              </w:rPr>
              <w:t>号通泰大厦</w:t>
            </w:r>
            <w:r>
              <w:rPr>
                <w:rFonts w:ascii="Times New Roman" w:eastAsia="Times New Roman" w:hAnsi="Times New Roman" w:cs="Times New Roman"/>
                <w:color w:val="000000"/>
                <w:spacing w:val="0"/>
                <w:w w:val="100"/>
                <w:position w:val="0"/>
              </w:rPr>
              <w:t>C</w:t>
            </w:r>
            <w:r>
              <w:rPr>
                <w:color w:val="000000"/>
                <w:spacing w:val="0"/>
                <w:w w:val="100"/>
                <w:position w:val="0"/>
              </w:rPr>
              <w:t>座</w:t>
            </w:r>
            <w:r>
              <w:rPr>
                <w:rFonts w:ascii="Times New Roman" w:eastAsia="Times New Roman" w:hAnsi="Times New Roman" w:cs="Times New Roman"/>
                <w:color w:val="000000"/>
                <w:spacing w:val="0"/>
                <w:w w:val="100"/>
                <w:position w:val="0"/>
              </w:rPr>
              <w:t>5</w:t>
            </w:r>
            <w:r>
              <w:rPr>
                <w:color w:val="000000"/>
                <w:spacing w:val="0"/>
                <w:w w:val="100"/>
                <w:position w:val="0"/>
              </w:rPr>
              <w:t>层</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靳磊、李荆金</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日至</w:t>
            </w:r>
            <w:r>
              <w:rPr>
                <w:rFonts w:ascii="Times New Roman" w:eastAsia="Times New Roman" w:hAnsi="Times New Roman" w:cs="Times New Roman"/>
                <w:color w:val="000000"/>
                <w:spacing w:val="0"/>
                <w:w w:val="100"/>
                <w:position w:val="0"/>
              </w:rPr>
              <w:t>2017</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bl>
    <w:p>
      <w:pPr>
        <w:widowControl w:val="0"/>
        <w:spacing w:after="339" w:line="1" w:lineRule="exact"/>
      </w:pPr>
    </w:p>
    <w:p>
      <w:pPr>
        <w:pStyle w:val="Style23"/>
        <w:keepNext/>
        <w:keepLines/>
        <w:widowControl w:val="0"/>
        <w:shd w:val="clear" w:color="auto" w:fill="auto"/>
        <w:bidi w:val="0"/>
        <w:spacing w:before="0" w:after="340" w:line="240" w:lineRule="auto"/>
        <w:ind w:left="0" w:right="0" w:firstLine="0"/>
        <w:jc w:val="left"/>
        <w:rPr>
          <w:sz w:val="22"/>
          <w:szCs w:val="22"/>
        </w:rPr>
      </w:pPr>
      <w:bookmarkStart w:id="26" w:name="bookmark26"/>
      <w:bookmarkStart w:id="27" w:name="bookmark27"/>
      <w:bookmarkStart w:id="28" w:name="bookmark28"/>
      <w:bookmarkStart w:id="29" w:name="bookmark29"/>
      <w:r>
        <w:rPr>
          <w:b/>
          <w:bCs/>
          <w:color w:val="000000"/>
          <w:spacing w:val="0"/>
          <w:w w:val="100"/>
          <w:position w:val="0"/>
          <w:sz w:val="22"/>
          <w:szCs w:val="22"/>
        </w:rPr>
        <w:t>六</w:t>
      </w:r>
      <w:bookmarkEnd w:id="28"/>
      <w:r>
        <w:rPr>
          <w:b/>
          <w:bCs/>
          <w:color w:val="000000"/>
          <w:spacing w:val="0"/>
          <w:w w:val="100"/>
          <w:position w:val="0"/>
          <w:sz w:val="22"/>
          <w:szCs w:val="22"/>
        </w:rPr>
        <w:t>、主要会计数据和财务指标</w:t>
      </w:r>
      <w:bookmarkEnd w:id="26"/>
      <w:bookmarkEnd w:id="27"/>
      <w:bookmarkEnd w:id="29"/>
    </w:p>
    <w:p>
      <w:pPr>
        <w:pStyle w:val="Style26"/>
        <w:keepNext w:val="0"/>
        <w:keepLines w:val="0"/>
        <w:widowControl w:val="0"/>
        <w:shd w:val="clear" w:color="auto" w:fill="auto"/>
        <w:tabs>
          <w:tab w:pos="8573" w:val="left"/>
        </w:tabs>
        <w:bidi w:val="0"/>
        <w:spacing w:before="0" w:after="0" w:line="240" w:lineRule="auto"/>
        <w:ind w:left="0" w:right="0" w:firstLine="0"/>
        <w:jc w:val="center"/>
      </w:pPr>
      <w:r>
        <w:rPr>
          <w:color w:val="000000"/>
          <w:spacing w:val="0"/>
          <w:w w:val="100"/>
          <w:position w:val="0"/>
        </w:rPr>
        <w:t>公司是否因会计政策变更及会计差错更正等追溯调整或重述以前年度会计数据</w:t>
        <w:tab/>
      </w: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q</w:t>
      </w:r>
      <w:r>
        <w:rPr>
          <w:color w:val="000000"/>
          <w:spacing w:val="0"/>
          <w:w w:val="100"/>
          <w:position w:val="0"/>
        </w:rPr>
        <w:t>否</w:t>
      </w:r>
    </w:p>
    <w:tbl>
      <w:tblPr>
        <w:tblOverlap w:val="never"/>
        <w:jc w:val="center"/>
        <w:tblLayout w:type="fixed"/>
      </w:tblPr>
      <w:tblGrid>
        <w:gridCol w:w="3408"/>
        <w:gridCol w:w="1699"/>
        <w:gridCol w:w="1560"/>
        <w:gridCol w:w="1277"/>
        <w:gridCol w:w="1637"/>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本年比上年 增减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营业总收入（元）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1,641,860,329.98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1,049,493,193.33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1,497,070,161.20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498,145,590.82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26,163,454.80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1,803.97%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93,359,166.05</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归属于上市公司股东的扣除非经常 性损益的净利润（元）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494,562,469.33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23,482,881.69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2,006.06%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94,187,758.60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-6,233,746,504.35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266,728,451.47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-2,437.11%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127,378,601.64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0.7915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0.1308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505.12%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0.4668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0.7915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0.1308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505.12%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0.4668</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11.60%</w:t>
            </w:r>
          </w:p>
        </w:tc>
      </w:tr>
    </w:tbl>
    <w:p>
      <w:pPr>
        <w:spacing w:lineRule="exact" w:line="1"/>
        <w:rPr>
          <w:sz w:val="2"/>
          <w:szCs w:val="2"/>
        </w:rPr>
      </w:pPr>
      <w:r>
        <w:br w:type="page"/>
      </w:r>
    </w:p>
    <w:tbl>
      <w:tblPr>
        <w:tblOverlap w:val="never"/>
        <w:jc w:val="center"/>
        <w:tblLayout w:type="fixed"/>
      </w:tblPr>
      <w:tblGrid>
        <w:gridCol w:w="3408"/>
        <w:gridCol w:w="1699"/>
        <w:gridCol w:w="1560"/>
        <w:gridCol w:w="1277"/>
        <w:gridCol w:w="1637"/>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w:t>
            </w:r>
            <w:r>
              <w:rPr>
                <w:color w:val="000000"/>
                <w:spacing w:val="0"/>
                <w:w w:val="100"/>
                <w:position w:val="0"/>
              </w:rPr>
              <w:t>年末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本年末比上 年末增减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2014</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25,930,550,038.17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1,044,881,532.13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2,381.67%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1,358,335,178.07</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归属于上市公司股东的净资产（元）</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11,564,082,579.95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772,588,152.44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1,396.80%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826,424,697.64</w:t>
            </w:r>
          </w:p>
        </w:tc>
      </w:tr>
    </w:tbl>
    <w:p>
      <w:pPr>
        <w:widowControl w:val="0"/>
        <w:spacing w:after="359" w:line="1" w:lineRule="exact"/>
      </w:pPr>
    </w:p>
    <w:p>
      <w:pPr>
        <w:pStyle w:val="Style23"/>
        <w:keepNext/>
        <w:keepLines/>
        <w:widowControl w:val="0"/>
        <w:shd w:val="clear" w:color="auto" w:fill="auto"/>
        <w:tabs>
          <w:tab w:pos="517" w:val="left"/>
        </w:tabs>
        <w:bidi w:val="0"/>
        <w:spacing w:before="0" w:after="360" w:line="240" w:lineRule="auto"/>
        <w:ind w:left="0" w:right="0" w:firstLine="0"/>
        <w:jc w:val="left"/>
        <w:rPr>
          <w:sz w:val="22"/>
          <w:szCs w:val="22"/>
        </w:rPr>
      </w:pPr>
      <w:bookmarkStart w:id="30" w:name="bookmark30"/>
      <w:bookmarkStart w:id="31" w:name="bookmark31"/>
      <w:bookmarkStart w:id="32" w:name="bookmark32"/>
      <w:bookmarkStart w:id="33" w:name="bookmark33"/>
      <w:r>
        <w:rPr>
          <w:b/>
          <w:bCs/>
          <w:color w:val="000000"/>
          <w:spacing w:val="0"/>
          <w:w w:val="100"/>
          <w:position w:val="0"/>
          <w:sz w:val="22"/>
          <w:szCs w:val="22"/>
        </w:rPr>
        <w:t>七</w:t>
      </w:r>
      <w:bookmarkEnd w:id="32"/>
      <w:r>
        <w:rPr>
          <w:b/>
          <w:bCs/>
          <w:color w:val="000000"/>
          <w:spacing w:val="0"/>
          <w:w w:val="100"/>
          <w:position w:val="0"/>
          <w:sz w:val="22"/>
          <w:szCs w:val="22"/>
        </w:rPr>
        <w:t>、</w:t>
        <w:tab/>
        <w:t>境内外会计准则下会计数据差异</w:t>
      </w:r>
      <w:bookmarkEnd w:id="30"/>
      <w:bookmarkEnd w:id="31"/>
      <w:bookmarkEnd w:id="33"/>
    </w:p>
    <w:p>
      <w:pPr>
        <w:pStyle w:val="Style30"/>
        <w:keepNext/>
        <w:keepLines/>
        <w:widowControl w:val="0"/>
        <w:shd w:val="clear" w:color="auto" w:fill="auto"/>
        <w:tabs>
          <w:tab w:pos="392" w:val="left"/>
        </w:tabs>
        <w:bidi w:val="0"/>
        <w:spacing w:before="0" w:after="360" w:line="240" w:lineRule="auto"/>
        <w:ind w:left="0" w:right="0" w:firstLine="0"/>
        <w:jc w:val="left"/>
      </w:pPr>
      <w:bookmarkStart w:id="34" w:name="bookmark34"/>
      <w:bookmarkStart w:id="35" w:name="bookmark35"/>
      <w:bookmarkStart w:id="36" w:name="bookmark36"/>
      <w:bookmarkStart w:id="37" w:name="bookmark37"/>
      <w:r>
        <w:rPr>
          <w:rFonts w:ascii="Times New Roman" w:eastAsia="Times New Roman" w:hAnsi="Times New Roman" w:cs="Times New Roman"/>
          <w:color w:val="000000"/>
          <w:spacing w:val="0"/>
          <w:w w:val="100"/>
          <w:position w:val="0"/>
        </w:rPr>
        <w:t>1</w:t>
      </w:r>
      <w:bookmarkEnd w:id="36"/>
      <w:r>
        <w:rPr>
          <w:color w:val="000000"/>
          <w:spacing w:val="0"/>
          <w:w w:val="100"/>
          <w:position w:val="0"/>
        </w:rPr>
        <w:t>、</w:t>
        <w:tab/>
        <w:t>同时按照国际会计准则与按照中国会计准则披露的财务报告中净利润和净资产差异情况</w:t>
      </w:r>
      <w:bookmarkEnd w:id="34"/>
      <w:bookmarkEnd w:id="35"/>
      <w:bookmarkEnd w:id="37"/>
    </w:p>
    <w:p>
      <w:pPr>
        <w:pStyle w:val="Style3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30"/>
        <w:keepNext/>
        <w:keepLines/>
        <w:widowControl w:val="0"/>
        <w:shd w:val="clear" w:color="auto" w:fill="auto"/>
        <w:tabs>
          <w:tab w:pos="392" w:val="left"/>
        </w:tabs>
        <w:bidi w:val="0"/>
        <w:spacing w:before="0" w:after="360" w:line="240" w:lineRule="auto"/>
        <w:ind w:left="0" w:right="0" w:firstLine="0"/>
        <w:jc w:val="left"/>
      </w:pPr>
      <w:bookmarkStart w:id="38" w:name="bookmark38"/>
      <w:bookmarkStart w:id="39" w:name="bookmark39"/>
      <w:bookmarkStart w:id="40" w:name="bookmark40"/>
      <w:bookmarkStart w:id="41" w:name="bookmark41"/>
      <w:r>
        <w:rPr>
          <w:rFonts w:ascii="Times New Roman" w:eastAsia="Times New Roman" w:hAnsi="Times New Roman" w:cs="Times New Roman"/>
          <w:color w:val="000000"/>
          <w:spacing w:val="0"/>
          <w:w w:val="100"/>
          <w:position w:val="0"/>
        </w:rPr>
        <w:t>2</w:t>
      </w:r>
      <w:bookmarkEnd w:id="40"/>
      <w:r>
        <w:rPr>
          <w:color w:val="000000"/>
          <w:spacing w:val="0"/>
          <w:w w:val="100"/>
          <w:position w:val="0"/>
        </w:rPr>
        <w:t>、</w:t>
        <w:tab/>
        <w:t>同时按照境外会计准则与按照中国会计准则披露的财务报告中净利润和净资产差异情况</w:t>
      </w:r>
      <w:bookmarkEnd w:id="38"/>
      <w:bookmarkEnd w:id="39"/>
      <w:bookmarkEnd w:id="41"/>
    </w:p>
    <w:p>
      <w:pPr>
        <w:pStyle w:val="Style3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3"/>
        <w:keepNext/>
        <w:keepLines/>
        <w:widowControl w:val="0"/>
        <w:shd w:val="clear" w:color="auto" w:fill="auto"/>
        <w:tabs>
          <w:tab w:pos="517" w:val="left"/>
        </w:tabs>
        <w:bidi w:val="0"/>
        <w:spacing w:before="0" w:after="360" w:line="240" w:lineRule="auto"/>
        <w:ind w:left="0" w:right="0" w:firstLine="0"/>
        <w:jc w:val="left"/>
        <w:rPr>
          <w:sz w:val="22"/>
          <w:szCs w:val="22"/>
        </w:rPr>
      </w:pPr>
      <w:bookmarkStart w:id="42" w:name="bookmark42"/>
      <w:bookmarkStart w:id="43" w:name="bookmark43"/>
      <w:bookmarkStart w:id="44" w:name="bookmark44"/>
      <w:bookmarkStart w:id="45" w:name="bookmark45"/>
      <w:r>
        <w:rPr>
          <w:b/>
          <w:bCs/>
          <w:color w:val="000000"/>
          <w:spacing w:val="0"/>
          <w:w w:val="100"/>
          <w:position w:val="0"/>
          <w:sz w:val="22"/>
          <w:szCs w:val="22"/>
        </w:rPr>
        <w:t>八</w:t>
      </w:r>
      <w:bookmarkEnd w:id="44"/>
      <w:r>
        <w:rPr>
          <w:b/>
          <w:bCs/>
          <w:color w:val="000000"/>
          <w:spacing w:val="0"/>
          <w:w w:val="100"/>
          <w:position w:val="0"/>
          <w:sz w:val="22"/>
          <w:szCs w:val="22"/>
        </w:rPr>
        <w:t>、</w:t>
        <w:tab/>
        <w:t>分季度主要财务指标</w:t>
      </w:r>
      <w:bookmarkEnd w:id="42"/>
      <w:bookmarkEnd w:id="43"/>
      <w:bookmarkEnd w:id="4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81"/>
        <w:gridCol w:w="1560"/>
        <w:gridCol w:w="1560"/>
        <w:gridCol w:w="1699"/>
        <w:gridCol w:w="1781"/>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营业总收入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177,284,167.60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402,406,639.92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522,363,964.02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539,805,558.44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7,182,218.91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91,222,346.88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134,035,290.85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265,705,734.18</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 经常性损益的净利润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6,923,354.25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93,964,879.99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128,986,477.04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264,687,758.05</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15,343,555.07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-363,120,394.97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-1,217,924,387.80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-4,668,045,276.65</w:t>
            </w:r>
          </w:p>
        </w:tc>
      </w:tr>
    </w:tbl>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上述财务指标或其加总数是否与公司已披露季度报告、半年度报告相关财务指标存在重大差异</w:t>
      </w: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q</w:t>
      </w:r>
      <w:r>
        <w:rPr>
          <w:color w:val="000000"/>
          <w:spacing w:val="0"/>
          <w:w w:val="100"/>
          <w:position w:val="0"/>
        </w:rPr>
        <w:t>否</w:t>
      </w:r>
    </w:p>
    <w:p>
      <w:pPr>
        <w:widowControl w:val="0"/>
        <w:spacing w:after="359" w:line="1" w:lineRule="exact"/>
      </w:pPr>
    </w:p>
    <w:p>
      <w:pPr>
        <w:pStyle w:val="Style23"/>
        <w:keepNext/>
        <w:keepLines/>
        <w:widowControl w:val="0"/>
        <w:shd w:val="clear" w:color="auto" w:fill="auto"/>
        <w:bidi w:val="0"/>
        <w:spacing w:before="0" w:after="360" w:line="240" w:lineRule="auto"/>
        <w:ind w:left="0" w:right="0" w:firstLine="0"/>
        <w:jc w:val="left"/>
        <w:rPr>
          <w:sz w:val="22"/>
          <w:szCs w:val="22"/>
        </w:rPr>
      </w:pPr>
      <w:bookmarkStart w:id="46" w:name="bookmark46"/>
      <w:bookmarkStart w:id="47" w:name="bookmark47"/>
      <w:bookmarkStart w:id="48" w:name="bookmark48"/>
      <w:bookmarkStart w:id="49" w:name="bookmark49"/>
      <w:r>
        <w:rPr>
          <w:b/>
          <w:bCs/>
          <w:color w:val="000000"/>
          <w:spacing w:val="0"/>
          <w:w w:val="100"/>
          <w:position w:val="0"/>
          <w:sz w:val="22"/>
          <w:szCs w:val="22"/>
        </w:rPr>
        <w:t>九</w:t>
      </w:r>
      <w:bookmarkEnd w:id="48"/>
      <w:r>
        <w:rPr>
          <w:b/>
          <w:bCs/>
          <w:color w:val="000000"/>
          <w:spacing w:val="0"/>
          <w:w w:val="100"/>
          <w:position w:val="0"/>
          <w:sz w:val="22"/>
          <w:szCs w:val="22"/>
        </w:rPr>
        <w:t>、非经常性损益项目及金额</w:t>
      </w:r>
      <w:bookmarkEnd w:id="46"/>
      <w:bookmarkEnd w:id="47"/>
      <w:bookmarkEnd w:id="4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114"/>
        <w:gridCol w:w="1325"/>
        <w:gridCol w:w="1325"/>
        <w:gridCol w:w="1320"/>
        <w:gridCol w:w="149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2015</w:t>
            </w:r>
            <w:r>
              <w:rPr>
                <w:color w:val="000000"/>
                <w:spacing w:val="0"/>
                <w:w w:val="100"/>
                <w:position w:val="0"/>
              </w:rPr>
              <w:t>年金额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2014</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非流动资产处置损益（包括己计提资产减值 准备的冲销部分）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-995,469.92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-1,085,927.24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-2,795,972.00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计入当期损益的政府补助（与企业业务密切 相关，按照国家统一标准定额或定量享受的 政府补助除外）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12,548,428.02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4,532,794.50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1,736,808.00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-5,230,835.83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-215,605.20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84,438.52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2,739,000.78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550,766.02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-146,132.93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少数股东权益影响额（税后）</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114"/>
        <w:gridCol w:w="1325"/>
        <w:gridCol w:w="1325"/>
        <w:gridCol w:w="1320"/>
        <w:gridCol w:w="1498"/>
      </w:tblGrid>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3,583,121.49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2,680,573.11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-828,592.55</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6"/>
        <w:keepNext w:val="0"/>
        <w:keepLines w:val="0"/>
        <w:widowControl w:val="0"/>
        <w:shd w:val="clear" w:color="auto" w:fill="auto"/>
        <w:bidi w:val="0"/>
        <w:spacing w:before="0" w:after="0" w:line="324" w:lineRule="exact"/>
        <w:ind w:left="0" w:right="0" w:firstLine="0"/>
        <w:jc w:val="distribute"/>
        <w:sectPr>
          <w:footnotePr>
            <w:pos w:val="pageBottom"/>
            <w:numFmt w:val="decimal"/>
            <w:numRestart w:val="continuous"/>
          </w:footnotePr>
          <w:pgSz w:w="11900" w:h="16840"/>
          <w:pgMar w:top="1441" w:right="1132" w:bottom="1465" w:left="1087" w:header="0" w:footer="3" w:gutter="0"/>
          <w:cols w:space="720"/>
          <w:noEndnote/>
          <w:rtlGutter w:val="0"/>
          <w:docGrid w:linePitch="360"/>
        </w:sectPr>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号一非经常性损益》定义界定的非经常性损 益项目，以及把《公开发行证券的公司信息披露解释性公告第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 xml:space="preserve">号一非经常性损益》中列举的非经常性 损益项目界定为经常性损益的项目，应说明原因 </w:t>
      </w: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 公司报告期不存在将根据《公开发行证券的公司信息披露解释性公告第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号一非经常性损益》定义、列 举的非经常性损益项目界定为经常性损益的项目的情形。</w:t>
      </w:r>
    </w:p>
    <w:p>
      <w:pPr>
        <w:pStyle w:val="Style12"/>
        <w:keepNext/>
        <w:keepLines/>
        <w:widowControl w:val="0"/>
        <w:shd w:val="clear" w:color="auto" w:fill="auto"/>
        <w:bidi w:val="0"/>
        <w:spacing w:before="800" w:line="240" w:lineRule="auto"/>
        <w:ind w:left="0" w:right="0" w:firstLine="0"/>
        <w:jc w:val="center"/>
      </w:pPr>
      <w:bookmarkStart w:id="50" w:name="bookmark50"/>
      <w:bookmarkStart w:id="51" w:name="bookmark51"/>
      <w:bookmarkStart w:id="52" w:name="bookmark52"/>
      <w:r>
        <w:rPr>
          <w:color w:val="000000"/>
          <w:spacing w:val="0"/>
          <w:w w:val="100"/>
          <w:position w:val="0"/>
        </w:rPr>
        <w:t>第三节公司业务概要</w:t>
      </w:r>
      <w:bookmarkEnd w:id="50"/>
      <w:bookmarkEnd w:id="51"/>
      <w:bookmarkEnd w:id="52"/>
    </w:p>
    <w:p>
      <w:pPr>
        <w:pStyle w:val="Style23"/>
        <w:keepNext/>
        <w:keepLines/>
        <w:widowControl w:val="0"/>
        <w:shd w:val="clear" w:color="auto" w:fill="auto"/>
        <w:tabs>
          <w:tab w:pos="517" w:val="left"/>
        </w:tabs>
        <w:bidi w:val="0"/>
        <w:spacing w:before="0" w:after="280" w:line="240" w:lineRule="auto"/>
        <w:ind w:left="0" w:right="0" w:firstLine="0"/>
        <w:jc w:val="left"/>
        <w:rPr>
          <w:sz w:val="22"/>
          <w:szCs w:val="22"/>
        </w:rPr>
      </w:pPr>
      <w:bookmarkStart w:id="53" w:name="bookmark53"/>
      <w:bookmarkStart w:id="54" w:name="bookmark54"/>
      <w:bookmarkStart w:id="55" w:name="bookmark55"/>
      <w:bookmarkStart w:id="56" w:name="bookmark56"/>
      <w:r>
        <w:rPr>
          <w:b/>
          <w:bCs/>
          <w:color w:val="000000"/>
          <w:spacing w:val="0"/>
          <w:w w:val="100"/>
          <w:position w:val="0"/>
          <w:sz w:val="22"/>
          <w:szCs w:val="22"/>
        </w:rPr>
        <w:t>一</w:t>
      </w:r>
      <w:bookmarkEnd w:id="55"/>
      <w:r>
        <w:rPr>
          <w:b/>
          <w:bCs/>
          <w:color w:val="000000"/>
          <w:spacing w:val="0"/>
          <w:w w:val="100"/>
          <w:position w:val="0"/>
          <w:sz w:val="22"/>
          <w:szCs w:val="22"/>
        </w:rPr>
        <w:t>、</w:t>
        <w:tab/>
        <w:t>报告期内公司从事的主要业务</w:t>
      </w:r>
      <w:bookmarkEnd w:id="53"/>
      <w:bookmarkEnd w:id="54"/>
      <w:bookmarkEnd w:id="56"/>
    </w:p>
    <w:p>
      <w:pPr>
        <w:pStyle w:val="Style33"/>
        <w:keepNext w:val="0"/>
        <w:keepLines w:val="0"/>
        <w:widowControl w:val="0"/>
        <w:shd w:val="clear" w:color="auto" w:fill="auto"/>
        <w:tabs>
          <w:tab w:pos="9221" w:val="left"/>
        </w:tabs>
        <w:bidi w:val="0"/>
        <w:spacing w:before="0" w:after="340" w:line="313" w:lineRule="exact"/>
        <w:ind w:left="0" w:right="0" w:firstLine="0"/>
        <w:jc w:val="left"/>
      </w:pPr>
      <w:r>
        <w:rPr>
          <w:color w:val="000000"/>
          <w:spacing w:val="0"/>
          <w:w w:val="100"/>
          <w:position w:val="0"/>
        </w:rPr>
        <w:t>公司是否需要遵守特殊行业的披露要求</w:t>
        <w:tab/>
        <w:t>否</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报告期内，公司从事的主要业务包括证券业务、投资业务和线缆业务。</w:t>
      </w:r>
    </w:p>
    <w:p>
      <w:pPr>
        <w:pStyle w:val="Style33"/>
        <w:keepNext w:val="0"/>
        <w:keepLines w:val="0"/>
        <w:widowControl w:val="0"/>
        <w:shd w:val="clear" w:color="auto" w:fill="auto"/>
        <w:tabs>
          <w:tab w:pos="1029" w:val="left"/>
        </w:tabs>
        <w:bidi w:val="0"/>
        <w:spacing w:before="0" w:after="0" w:line="313" w:lineRule="exact"/>
        <w:ind w:left="0" w:right="0" w:firstLine="440"/>
        <w:jc w:val="both"/>
      </w:pPr>
      <w:bookmarkStart w:id="57" w:name="bookmark57"/>
      <w:r>
        <w:rPr>
          <w:color w:val="000000"/>
          <w:spacing w:val="0"/>
          <w:w w:val="100"/>
          <w:position w:val="0"/>
        </w:rPr>
        <w:t>（</w:t>
      </w:r>
      <w:bookmarkEnd w:id="57"/>
      <w:r>
        <w:rPr>
          <w:color w:val="000000"/>
          <w:spacing w:val="0"/>
          <w:w w:val="100"/>
          <w:position w:val="0"/>
        </w:rPr>
        <w:t>一）</w:t>
        <w:tab/>
        <w:t>证券业务</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公司证券业务运营实体为子公司国盛证券及其下属子公司国盛期货、国盛资管、全钰投资，业务类型 涉及证券经纪、证券自营、证券承销与保荐、证券投资咨询、与证券交易、证券投资活动有关的财务顾问、 融资融券、转融通、新三板做市、证券期货、资产管理等。</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公司证券业务经营模式主要是通过提供证券服务获取手续费及佣金收入以及通过证券投资获取投资 收益。</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证券业的利润水平具有较强的周期性、波动性，而我国证券业盈利模式仍以经纪、自营和承销等传统 业务为主，信用交易、资产管理等业务与证券市场的关联度也比较高，使行业的收入和利润对于证券市场 变化趋势依赖程度更高。十几年来，伴随着我国证券市场的规范发展，我国证券业经历了不断规范和发展 壮大的历程，证券公司创新步伐逐步加快、业务范围逐步扩大、盈利能力逐步提升、抗风险能力逐步增强; 同时，伴随着股票市场景气周期的变化，我国证券业利润水平也产生了较大幅度的波动，表现出了明显的 强周期特征。</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根据中国证券业协会发布的《</w:t>
      </w:r>
      <w:r>
        <w:rPr>
          <w:rFonts w:ascii="Times New Roman" w:eastAsia="Times New Roman" w:hAnsi="Times New Roman" w:cs="Times New Roman"/>
          <w:color w:val="000000"/>
          <w:spacing w:val="0"/>
          <w:w w:val="100"/>
          <w:position w:val="0"/>
        </w:rPr>
        <w:t>2015</w:t>
      </w:r>
      <w:r>
        <w:rPr>
          <w:color w:val="000000"/>
          <w:spacing w:val="0"/>
          <w:w w:val="100"/>
          <w:position w:val="0"/>
        </w:rPr>
        <w:t>年度证券公司经营业绩排名情况》，国盛证券</w:t>
      </w:r>
      <w:r>
        <w:rPr>
          <w:rFonts w:ascii="Times New Roman" w:eastAsia="Times New Roman" w:hAnsi="Times New Roman" w:cs="Times New Roman"/>
          <w:color w:val="000000"/>
          <w:spacing w:val="0"/>
          <w:w w:val="100"/>
          <w:position w:val="0"/>
        </w:rPr>
        <w:t>2015</w:t>
      </w:r>
      <w:r>
        <w:rPr>
          <w:color w:val="000000"/>
          <w:spacing w:val="0"/>
          <w:w w:val="100"/>
          <w:position w:val="0"/>
        </w:rPr>
        <w:t>年末总资产、净 资产，</w:t>
      </w:r>
      <w:r>
        <w:rPr>
          <w:rFonts w:ascii="Times New Roman" w:eastAsia="Times New Roman" w:hAnsi="Times New Roman" w:cs="Times New Roman"/>
          <w:color w:val="000000"/>
          <w:spacing w:val="0"/>
          <w:w w:val="100"/>
          <w:position w:val="0"/>
        </w:rPr>
        <w:t>2015</w:t>
      </w:r>
      <w:r>
        <w:rPr>
          <w:color w:val="000000"/>
          <w:spacing w:val="0"/>
          <w:w w:val="100"/>
          <w:position w:val="0"/>
        </w:rPr>
        <w:t>年度营业收入、净利润在行业排名分别为第</w:t>
      </w:r>
      <w:r>
        <w:rPr>
          <w:rFonts w:ascii="Times New Roman" w:eastAsia="Times New Roman" w:hAnsi="Times New Roman" w:cs="Times New Roman"/>
          <w:color w:val="000000"/>
          <w:spacing w:val="0"/>
          <w:w w:val="100"/>
          <w:position w:val="0"/>
        </w:rPr>
        <w:t>70</w:t>
      </w:r>
      <w:r>
        <w:rPr>
          <w:color w:val="000000"/>
          <w:spacing w:val="0"/>
          <w:w w:val="100"/>
          <w:position w:val="0"/>
        </w:rPr>
        <w:t>位、</w:t>
      </w:r>
      <w:r>
        <w:rPr>
          <w:rFonts w:ascii="Times New Roman" w:eastAsia="Times New Roman" w:hAnsi="Times New Roman" w:cs="Times New Roman"/>
          <w:color w:val="000000"/>
          <w:spacing w:val="0"/>
          <w:w w:val="100"/>
          <w:position w:val="0"/>
        </w:rPr>
        <w:t>70</w:t>
      </w:r>
      <w:r>
        <w:rPr>
          <w:color w:val="000000"/>
          <w:spacing w:val="0"/>
          <w:w w:val="100"/>
          <w:position w:val="0"/>
        </w:rPr>
        <w:t>位、</w:t>
      </w:r>
      <w:r>
        <w:rPr>
          <w:rFonts w:ascii="Times New Roman" w:eastAsia="Times New Roman" w:hAnsi="Times New Roman" w:cs="Times New Roman"/>
          <w:color w:val="000000"/>
          <w:spacing w:val="0"/>
          <w:w w:val="100"/>
          <w:position w:val="0"/>
        </w:rPr>
        <w:t>68</w:t>
      </w:r>
      <w:r>
        <w:rPr>
          <w:color w:val="000000"/>
          <w:spacing w:val="0"/>
          <w:w w:val="100"/>
          <w:position w:val="0"/>
        </w:rPr>
        <w:t>位、</w:t>
      </w:r>
      <w:r>
        <w:rPr>
          <w:rFonts w:ascii="Times New Roman" w:eastAsia="Times New Roman" w:hAnsi="Times New Roman" w:cs="Times New Roman"/>
          <w:color w:val="000000"/>
          <w:spacing w:val="0"/>
          <w:w w:val="100"/>
          <w:position w:val="0"/>
        </w:rPr>
        <w:t>69</w:t>
      </w:r>
      <w:r>
        <w:rPr>
          <w:color w:val="000000"/>
          <w:spacing w:val="0"/>
          <w:w w:val="100"/>
          <w:position w:val="0"/>
        </w:rPr>
        <w:t>位。</w:t>
      </w:r>
      <w:r>
        <w:rPr>
          <w:rFonts w:ascii="Times New Roman" w:eastAsia="Times New Roman" w:hAnsi="Times New Roman" w:cs="Times New Roman"/>
          <w:color w:val="000000"/>
          <w:spacing w:val="0"/>
          <w:w w:val="100"/>
          <w:position w:val="0"/>
        </w:rPr>
        <w:t>2016</w:t>
      </w:r>
      <w:r>
        <w:rPr>
          <w:color w:val="000000"/>
          <w:spacing w:val="0"/>
          <w:w w:val="100"/>
          <w:position w:val="0"/>
        </w:rPr>
        <w:t>年，公司向国盛证 券增资</w:t>
      </w:r>
      <w:r>
        <w:rPr>
          <w:rFonts w:ascii="Times New Roman" w:eastAsia="Times New Roman" w:hAnsi="Times New Roman" w:cs="Times New Roman"/>
          <w:color w:val="000000"/>
          <w:spacing w:val="0"/>
          <w:w w:val="100"/>
          <w:position w:val="0"/>
        </w:rPr>
        <w:t>33.96</w:t>
      </w:r>
      <w:r>
        <w:rPr>
          <w:color w:val="000000"/>
          <w:spacing w:val="0"/>
          <w:w w:val="100"/>
          <w:position w:val="0"/>
        </w:rPr>
        <w:t>亿元，其总资产、净资产规模大幅提升。</w:t>
      </w:r>
    </w:p>
    <w:p>
      <w:pPr>
        <w:pStyle w:val="Style33"/>
        <w:keepNext w:val="0"/>
        <w:keepLines w:val="0"/>
        <w:widowControl w:val="0"/>
        <w:shd w:val="clear" w:color="auto" w:fill="auto"/>
        <w:tabs>
          <w:tab w:pos="1029" w:val="left"/>
        </w:tabs>
        <w:bidi w:val="0"/>
        <w:spacing w:before="0" w:after="40" w:line="313" w:lineRule="exact"/>
        <w:ind w:left="0" w:right="0" w:firstLine="440"/>
        <w:jc w:val="both"/>
      </w:pPr>
      <w:bookmarkStart w:id="58" w:name="bookmark58"/>
      <w:r>
        <w:rPr>
          <w:color w:val="000000"/>
          <w:spacing w:val="0"/>
          <w:w w:val="100"/>
          <w:position w:val="0"/>
        </w:rPr>
        <w:t>（</w:t>
      </w:r>
      <w:bookmarkEnd w:id="58"/>
      <w:r>
        <w:rPr>
          <w:color w:val="000000"/>
          <w:spacing w:val="0"/>
          <w:w w:val="100"/>
          <w:position w:val="0"/>
        </w:rPr>
        <w:t>二）</w:t>
        <w:tab/>
        <w:t>投资业务</w:t>
      </w:r>
    </w:p>
    <w:p>
      <w:pPr>
        <w:pStyle w:val="Style33"/>
        <w:keepNext w:val="0"/>
        <w:keepLines w:val="0"/>
        <w:widowControl w:val="0"/>
        <w:shd w:val="clear" w:color="auto" w:fill="auto"/>
        <w:bidi w:val="0"/>
        <w:spacing w:before="0" w:after="0" w:line="264" w:lineRule="exact"/>
        <w:ind w:left="0" w:right="0" w:firstLine="440"/>
        <w:jc w:val="both"/>
      </w:pPr>
      <w:r>
        <w:rPr>
          <w:color w:val="000000"/>
          <w:spacing w:val="0"/>
          <w:w w:val="100"/>
          <w:position w:val="0"/>
        </w:rPr>
        <w:t>公司投资业务包括集团内各主体对外投资和以下属子公司为运营实体开展的投资管理业务。其中，子 公司深圳华声是公司人民币股权投资管理业务平台，子公司华声香港是公司外币股权投资管理业务平台。</w:t>
      </w:r>
    </w:p>
    <w:p>
      <w:pPr>
        <w:pStyle w:val="Style33"/>
        <w:keepNext w:val="0"/>
        <w:keepLines w:val="0"/>
        <w:widowControl w:val="0"/>
        <w:shd w:val="clear" w:color="auto" w:fill="auto"/>
        <w:tabs>
          <w:tab w:pos="1029" w:val="left"/>
        </w:tabs>
        <w:bidi w:val="0"/>
        <w:spacing w:before="0" w:after="0" w:line="313" w:lineRule="exact"/>
        <w:ind w:left="0" w:right="0" w:firstLine="440"/>
        <w:jc w:val="both"/>
      </w:pPr>
      <w:bookmarkStart w:id="59" w:name="bookmark59"/>
      <w:r>
        <w:rPr>
          <w:color w:val="000000"/>
          <w:spacing w:val="0"/>
          <w:w w:val="100"/>
          <w:position w:val="0"/>
        </w:rPr>
        <w:t>（</w:t>
      </w:r>
      <w:bookmarkEnd w:id="59"/>
      <w:r>
        <w:rPr>
          <w:color w:val="000000"/>
          <w:spacing w:val="0"/>
          <w:w w:val="100"/>
          <w:position w:val="0"/>
        </w:rPr>
        <w:t>三）</w:t>
        <w:tab/>
        <w:t>线缆业务</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公司线缆业务模块主要从事应用于家用电器等领域的线缆产品研发、生产和销售，主要产品包括空调 连接组件、各种家用电器的电源输入组件。公司线缆业务企业通过直销方式销售产品，采取以销定产方式 组织材料采购和产品生产。为确保快速及时、保质保量供货，公司线缆业务企业一般会在评估客户需求计 划后提前组织生产，设置安全储备的产成品、半成品。</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公司线缆业务主要业绩驱动因素包括取得订单的能力和成本费用控制能力。</w:t>
      </w:r>
    </w:p>
    <w:p>
      <w:pPr>
        <w:pStyle w:val="Style33"/>
        <w:keepNext w:val="0"/>
        <w:keepLines w:val="0"/>
        <w:widowControl w:val="0"/>
        <w:shd w:val="clear" w:color="auto" w:fill="auto"/>
        <w:bidi w:val="0"/>
        <w:spacing w:before="0" w:after="340" w:line="313" w:lineRule="exact"/>
        <w:ind w:left="0" w:right="0" w:firstLine="440"/>
        <w:jc w:val="both"/>
      </w:pPr>
      <w:r>
        <w:rPr>
          <w:color w:val="000000"/>
          <w:spacing w:val="0"/>
          <w:w w:val="100"/>
          <w:position w:val="0"/>
        </w:rPr>
        <w:t>线缆行业所处发展阶段为成熟发展期。公司是国内空调连接组件主要供应商之一，主要产品为空调配 线组件。由于空调销售具有一定季节性，公司应用于空调产品的线缆业务生产经营存在季节性。</w:t>
      </w:r>
    </w:p>
    <w:p>
      <w:pPr>
        <w:pStyle w:val="Style23"/>
        <w:keepNext/>
        <w:keepLines/>
        <w:widowControl w:val="0"/>
        <w:shd w:val="clear" w:color="auto" w:fill="auto"/>
        <w:tabs>
          <w:tab w:pos="517" w:val="left"/>
        </w:tabs>
        <w:bidi w:val="0"/>
        <w:spacing w:before="0" w:after="340" w:line="240" w:lineRule="auto"/>
        <w:ind w:left="0" w:right="0" w:firstLine="0"/>
        <w:jc w:val="left"/>
        <w:rPr>
          <w:sz w:val="22"/>
          <w:szCs w:val="22"/>
        </w:rPr>
      </w:pPr>
      <w:bookmarkStart w:id="60" w:name="bookmark60"/>
      <w:bookmarkStart w:id="61" w:name="bookmark61"/>
      <w:bookmarkStart w:id="62" w:name="bookmark62"/>
      <w:bookmarkStart w:id="63" w:name="bookmark63"/>
      <w:r>
        <w:rPr>
          <w:b/>
          <w:bCs/>
          <w:color w:val="000000"/>
          <w:spacing w:val="0"/>
          <w:w w:val="100"/>
          <w:position w:val="0"/>
          <w:sz w:val="22"/>
          <w:szCs w:val="22"/>
        </w:rPr>
        <w:t>二</w:t>
      </w:r>
      <w:bookmarkEnd w:id="62"/>
      <w:r>
        <w:rPr>
          <w:b/>
          <w:bCs/>
          <w:color w:val="000000"/>
          <w:spacing w:val="0"/>
          <w:w w:val="100"/>
          <w:position w:val="0"/>
          <w:sz w:val="22"/>
          <w:szCs w:val="22"/>
        </w:rPr>
        <w:t>、</w:t>
        <w:tab/>
        <w:t>主要资产重大变化情况</w:t>
      </w:r>
      <w:bookmarkEnd w:id="60"/>
      <w:bookmarkEnd w:id="61"/>
      <w:bookmarkEnd w:id="63"/>
    </w:p>
    <w:p>
      <w:pPr>
        <w:pStyle w:val="Style26"/>
        <w:keepNext w:val="0"/>
        <w:keepLines w:val="0"/>
        <w:widowControl w:val="0"/>
        <w:shd w:val="clear" w:color="auto" w:fill="auto"/>
        <w:bidi w:val="0"/>
        <w:spacing w:before="0" w:after="0" w:line="240" w:lineRule="auto"/>
        <w:ind w:left="0" w:right="0" w:firstLine="0"/>
        <w:jc w:val="left"/>
      </w:pPr>
      <w:bookmarkStart w:id="64" w:name="bookmark64"/>
      <w:r>
        <w:rPr>
          <w:rFonts w:ascii="Times New Roman" w:eastAsia="Times New Roman" w:hAnsi="Times New Roman" w:cs="Times New Roman"/>
          <w:b/>
          <w:bCs/>
          <w:color w:val="000000"/>
          <w:spacing w:val="0"/>
          <w:w w:val="100"/>
          <w:position w:val="0"/>
        </w:rPr>
        <w:t>1</w:t>
      </w:r>
      <w:r>
        <w:rPr>
          <w:b/>
          <w:bCs/>
          <w:color w:val="000000"/>
          <w:spacing w:val="0"/>
          <w:w w:val="100"/>
          <w:position w:val="0"/>
        </w:rPr>
        <w:t>、主要资产重大变化情况</w:t>
      </w:r>
      <w:bookmarkEnd w:id="64"/>
    </w:p>
    <w:tbl>
      <w:tblPr>
        <w:tblOverlap w:val="never"/>
        <w:jc w:val="center"/>
        <w:tblLayout w:type="fixed"/>
      </w:tblPr>
      <w:tblGrid>
        <w:gridCol w:w="2558"/>
        <w:gridCol w:w="7022"/>
      </w:tblGrid>
      <w:tr>
        <w:trPr>
          <w:trHeight w:val="76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报告期末，流动资产较期初增长</w:t>
            </w:r>
            <w:r>
              <w:rPr>
                <w:rFonts w:ascii="Times New Roman" w:eastAsia="Times New Roman" w:hAnsi="Times New Roman" w:cs="Times New Roman"/>
                <w:color w:val="000000"/>
                <w:spacing w:val="0"/>
                <w:w w:val="100"/>
                <w:position w:val="0"/>
              </w:rPr>
              <w:t>2,532.67%</w:t>
            </w:r>
            <w:r>
              <w:rPr>
                <w:color w:val="000000"/>
                <w:spacing w:val="0"/>
                <w:w w:val="100"/>
                <w:position w:val="0"/>
              </w:rPr>
              <w:t>、非流动资产较期初增长</w:t>
            </w:r>
          </w:p>
        </w:tc>
      </w:tr>
    </w:tbl>
    <w:tbl>
      <w:tblPr>
        <w:tblOverlap w:val="never"/>
        <w:jc w:val="center"/>
        <w:tblLayout w:type="fixed"/>
      </w:tblPr>
      <w:tblGrid>
        <w:gridCol w:w="2587"/>
        <w:gridCol w:w="7118"/>
      </w:tblGrid>
      <w:tr>
        <w:trPr>
          <w:trHeight w:val="341" w:hRule="exact"/>
        </w:trPr>
        <w:tc>
          <w:tcPr>
            <w:gridSpan w:val="2"/>
            <w:tcBorders>
              <w:top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vMerge w:val="restart"/>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2,088.95%</w:t>
            </w:r>
            <w:r>
              <w:rPr>
                <w:color w:val="000000"/>
                <w:spacing w:val="0"/>
                <w:w w:val="100"/>
                <w:position w:val="0"/>
              </w:rPr>
              <w:t>、总资产较期初增长</w:t>
            </w:r>
            <w:r>
              <w:rPr>
                <w:rFonts w:ascii="Times New Roman" w:eastAsia="Times New Roman" w:hAnsi="Times New Roman" w:cs="Times New Roman"/>
                <w:color w:val="000000"/>
                <w:spacing w:val="0"/>
                <w:w w:val="100"/>
                <w:position w:val="0"/>
              </w:rPr>
              <w:t>2,381.67%</w:t>
            </w:r>
            <w:r>
              <w:rPr>
                <w:color w:val="000000"/>
                <w:spacing w:val="0"/>
                <w:w w:val="100"/>
                <w:position w:val="0"/>
              </w:rPr>
              <w:t>，主要原因是收购国盛证券导致合 并范围变化、本年发行股份、本年发行债券。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w:t>
            </w:r>
          </w:p>
        </w:tc>
        <w:tc>
          <w:tcPr>
            <w:vMerge/>
            <w:tcBorders>
              <w:left w:val="single" w:sz="4"/>
            </w:tcBorders>
            <w:shd w:val="clear" w:color="auto" w:fill="FFFFFF"/>
            <w:vAlign w:val="top"/>
          </w:tcPr>
          <w:p>
            <w:pPr/>
          </w:p>
        </w:tc>
      </w:tr>
      <w:tr>
        <w:trPr>
          <w:trHeight w:val="59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bookmarkStart w:id="65" w:name="bookmark65"/>
            <w:r>
              <w:rPr>
                <w:rFonts w:ascii="Times New Roman" w:eastAsia="Times New Roman" w:hAnsi="Times New Roman" w:cs="Times New Roman"/>
                <w:b/>
                <w:bCs/>
                <w:color w:val="000000"/>
                <w:spacing w:val="0"/>
                <w:w w:val="100"/>
                <w:position w:val="0"/>
              </w:rPr>
              <w:t>2</w:t>
            </w:r>
            <w:r>
              <w:rPr>
                <w:b/>
                <w:bCs/>
                <w:color w:val="000000"/>
                <w:spacing w:val="0"/>
                <w:w w:val="100"/>
                <w:position w:val="0"/>
              </w:rPr>
              <w:t>、主要境外资产情况</w:t>
            </w:r>
            <w:bookmarkEnd w:id="65"/>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tc>
      </w:tr>
    </w:tbl>
    <w:p>
      <w:pPr>
        <w:widowControl w:val="0"/>
        <w:spacing w:after="359" w:line="1" w:lineRule="exact"/>
      </w:pPr>
    </w:p>
    <w:p>
      <w:pPr>
        <w:pStyle w:val="Style23"/>
        <w:keepNext/>
        <w:keepLines/>
        <w:widowControl w:val="0"/>
        <w:shd w:val="clear" w:color="auto" w:fill="auto"/>
        <w:bidi w:val="0"/>
        <w:spacing w:before="0" w:after="260" w:line="240" w:lineRule="auto"/>
        <w:ind w:left="0" w:right="0" w:firstLine="0"/>
        <w:jc w:val="both"/>
        <w:rPr>
          <w:sz w:val="22"/>
          <w:szCs w:val="22"/>
        </w:rPr>
      </w:pPr>
      <w:bookmarkStart w:id="66" w:name="bookmark66"/>
      <w:bookmarkStart w:id="67" w:name="bookmark67"/>
      <w:bookmarkStart w:id="68" w:name="bookmark68"/>
      <w:bookmarkStart w:id="69" w:name="bookmark69"/>
      <w:r>
        <w:rPr>
          <w:b/>
          <w:bCs/>
          <w:color w:val="000000"/>
          <w:spacing w:val="0"/>
          <w:w w:val="100"/>
          <w:position w:val="0"/>
          <w:sz w:val="22"/>
          <w:szCs w:val="22"/>
        </w:rPr>
        <w:t>三</w:t>
      </w:r>
      <w:bookmarkEnd w:id="68"/>
      <w:r>
        <w:rPr>
          <w:b/>
          <w:bCs/>
          <w:color w:val="000000"/>
          <w:spacing w:val="0"/>
          <w:w w:val="100"/>
          <w:position w:val="0"/>
          <w:sz w:val="22"/>
          <w:szCs w:val="22"/>
        </w:rPr>
        <w:t>、核心竞争力分析</w:t>
      </w:r>
      <w:bookmarkEnd w:id="66"/>
      <w:bookmarkEnd w:id="67"/>
      <w:bookmarkEnd w:id="69"/>
    </w:p>
    <w:p>
      <w:pPr>
        <w:pStyle w:val="Style33"/>
        <w:keepNext w:val="0"/>
        <w:keepLines w:val="0"/>
        <w:widowControl w:val="0"/>
        <w:shd w:val="clear" w:color="auto" w:fill="auto"/>
        <w:tabs>
          <w:tab w:pos="9341" w:val="left"/>
        </w:tabs>
        <w:bidi w:val="0"/>
        <w:spacing w:before="0" w:after="40" w:line="315" w:lineRule="exact"/>
        <w:ind w:left="0" w:right="0" w:firstLine="0"/>
        <w:jc w:val="both"/>
      </w:pPr>
      <w:r>
        <w:rPr>
          <w:color w:val="000000"/>
          <w:spacing w:val="0"/>
          <w:w w:val="100"/>
          <w:position w:val="0"/>
        </w:rPr>
        <w:t>公司是否需要遵守特殊行业的披露要求</w:t>
        <w:tab/>
        <w:t>否</w:t>
      </w:r>
    </w:p>
    <w:p>
      <w:pPr>
        <w:pStyle w:val="Style33"/>
        <w:keepNext w:val="0"/>
        <w:keepLines w:val="0"/>
        <w:widowControl w:val="0"/>
        <w:shd w:val="clear" w:color="auto" w:fill="auto"/>
        <w:tabs>
          <w:tab w:pos="775" w:val="left"/>
        </w:tabs>
        <w:bidi w:val="0"/>
        <w:spacing w:before="0" w:after="0" w:line="315" w:lineRule="exact"/>
        <w:ind w:left="0" w:right="0" w:firstLine="440"/>
        <w:jc w:val="both"/>
      </w:pPr>
      <w:bookmarkStart w:id="70" w:name="bookmark70"/>
      <w:r>
        <w:rPr>
          <w:rFonts w:ascii="Times New Roman" w:eastAsia="Times New Roman" w:hAnsi="Times New Roman" w:cs="Times New Roman"/>
          <w:color w:val="000000"/>
          <w:spacing w:val="0"/>
          <w:w w:val="100"/>
          <w:position w:val="0"/>
        </w:rPr>
        <w:t>1</w:t>
      </w:r>
      <w:bookmarkEnd w:id="70"/>
      <w:r>
        <w:rPr>
          <w:color w:val="000000"/>
          <w:spacing w:val="0"/>
          <w:w w:val="100"/>
          <w:position w:val="0"/>
        </w:rPr>
        <w:t>、</w:t>
        <w:tab/>
        <w:t>证券业务核心竞争力</w:t>
      </w:r>
    </w:p>
    <w:p>
      <w:pPr>
        <w:pStyle w:val="Style33"/>
        <w:keepNext w:val="0"/>
        <w:keepLines w:val="0"/>
        <w:widowControl w:val="0"/>
        <w:shd w:val="clear" w:color="auto" w:fill="auto"/>
        <w:tabs>
          <w:tab w:pos="1002" w:val="left"/>
        </w:tabs>
        <w:bidi w:val="0"/>
        <w:spacing w:before="0" w:after="0" w:line="315" w:lineRule="exact"/>
        <w:ind w:left="0" w:right="0" w:firstLine="440"/>
        <w:jc w:val="both"/>
      </w:pPr>
      <w:bookmarkStart w:id="71" w:name="bookmark71"/>
      <w:r>
        <w:rPr>
          <w:color w:val="000000"/>
          <w:spacing w:val="0"/>
          <w:w w:val="100"/>
          <w:position w:val="0"/>
        </w:rPr>
        <w:t>（</w:t>
      </w:r>
      <w:bookmarkEnd w:id="71"/>
      <w:r>
        <w:rPr>
          <w:rFonts w:ascii="Times New Roman" w:eastAsia="Times New Roman" w:hAnsi="Times New Roman" w:cs="Times New Roman"/>
          <w:color w:val="000000"/>
          <w:spacing w:val="0"/>
          <w:w w:val="100"/>
          <w:position w:val="0"/>
        </w:rPr>
        <w:t>1</w:t>
      </w:r>
      <w:r>
        <w:rPr>
          <w:color w:val="000000"/>
          <w:spacing w:val="0"/>
          <w:w w:val="100"/>
          <w:position w:val="0"/>
        </w:rPr>
        <w:t>）</w:t>
        <w:tab/>
        <w:t>网点实现全国性布局。截至报告期末，国盛证券共有营业网点</w:t>
      </w:r>
      <w:r>
        <w:rPr>
          <w:rFonts w:ascii="Times New Roman" w:eastAsia="Times New Roman" w:hAnsi="Times New Roman" w:cs="Times New Roman"/>
          <w:color w:val="000000"/>
          <w:spacing w:val="0"/>
          <w:w w:val="100"/>
          <w:position w:val="0"/>
        </w:rPr>
        <w:t>243</w:t>
      </w:r>
      <w:r>
        <w:rPr>
          <w:color w:val="000000"/>
          <w:spacing w:val="0"/>
          <w:w w:val="100"/>
          <w:position w:val="0"/>
        </w:rPr>
        <w:t>余家（以轻型营业部为主）， 分公司</w:t>
      </w:r>
      <w:r>
        <w:rPr>
          <w:rFonts w:ascii="Times New Roman" w:eastAsia="Times New Roman" w:hAnsi="Times New Roman" w:cs="Times New Roman"/>
          <w:color w:val="000000"/>
          <w:spacing w:val="0"/>
          <w:w w:val="100"/>
          <w:position w:val="0"/>
        </w:rPr>
        <w:t>2</w:t>
      </w:r>
      <w:r>
        <w:rPr>
          <w:color w:val="000000"/>
          <w:spacing w:val="0"/>
          <w:w w:val="100"/>
          <w:position w:val="0"/>
        </w:rPr>
        <w:t>家，分布于北京、上海、深圳、天津、杭州等国内中心城市及江西省各地市，在全国所有券商营 业网点数量排名中位居前列。依托全国性的网点布局及江西省内各网点的深耕细作，国盛证券不断构建强 大的服务及营销体系，在本地区域市场形成竞争优势。</w:t>
      </w:r>
    </w:p>
    <w:p>
      <w:pPr>
        <w:pStyle w:val="Style33"/>
        <w:keepNext w:val="0"/>
        <w:keepLines w:val="0"/>
        <w:widowControl w:val="0"/>
        <w:shd w:val="clear" w:color="auto" w:fill="auto"/>
        <w:tabs>
          <w:tab w:pos="1002" w:val="left"/>
        </w:tabs>
        <w:bidi w:val="0"/>
        <w:spacing w:before="0" w:after="0" w:line="315" w:lineRule="exact"/>
        <w:ind w:left="0" w:right="0" w:firstLine="440"/>
        <w:jc w:val="both"/>
      </w:pPr>
      <w:bookmarkStart w:id="72" w:name="bookmark72"/>
      <w:r>
        <w:rPr>
          <w:color w:val="000000"/>
          <w:spacing w:val="0"/>
          <w:w w:val="100"/>
          <w:position w:val="0"/>
        </w:rPr>
        <w:t>（</w:t>
      </w:r>
      <w:bookmarkEnd w:id="72"/>
      <w:r>
        <w:rPr>
          <w:rFonts w:ascii="Times New Roman" w:eastAsia="Times New Roman" w:hAnsi="Times New Roman" w:cs="Times New Roman"/>
          <w:color w:val="000000"/>
          <w:spacing w:val="0"/>
          <w:w w:val="100"/>
          <w:position w:val="0"/>
        </w:rPr>
        <w:t>2</w:t>
      </w:r>
      <w:r>
        <w:rPr>
          <w:color w:val="000000"/>
          <w:spacing w:val="0"/>
          <w:w w:val="100"/>
          <w:position w:val="0"/>
        </w:rPr>
        <w:t>）</w:t>
        <w:tab/>
        <w:t>具备提供全方位服务的资质。国盛证券控股国盛期货、国盛资管，是全国银行间和交易所间同 业拆借及债券市场成员单位，机构间私募产品报价与服务系统参与人，港股通首批参与人。国盛证券拥有 证券经纪、证券自营、证券承销与保荐、证券资产管理、证券投资咨询、财务顾问、融资融券、转融通、 股转系统主办券商、中小企业私募债、约定购回式证券交易、股票质押式回购证券交易、代销金融产品、 证券投资基金销售、新三板做市商、港股通、上海股票期权等多种业务资格，能够为客户提供一揽子综合 金融服务。国盛证券致力以人性化服务提升客户体验，结合互联网平台建设，成为线上线下综合金融服务 运营商。</w:t>
      </w:r>
    </w:p>
    <w:p>
      <w:pPr>
        <w:pStyle w:val="Style33"/>
        <w:keepNext w:val="0"/>
        <w:keepLines w:val="0"/>
        <w:widowControl w:val="0"/>
        <w:shd w:val="clear" w:color="auto" w:fill="auto"/>
        <w:tabs>
          <w:tab w:pos="794" w:val="left"/>
        </w:tabs>
        <w:bidi w:val="0"/>
        <w:spacing w:before="0" w:after="0" w:line="317" w:lineRule="exact"/>
        <w:ind w:left="0" w:right="0" w:firstLine="440"/>
        <w:jc w:val="both"/>
      </w:pPr>
      <w:bookmarkStart w:id="73" w:name="bookmark73"/>
      <w:r>
        <w:rPr>
          <w:rFonts w:ascii="Times New Roman" w:eastAsia="Times New Roman" w:hAnsi="Times New Roman" w:cs="Times New Roman"/>
          <w:color w:val="000000"/>
          <w:spacing w:val="0"/>
          <w:w w:val="100"/>
          <w:position w:val="0"/>
        </w:rPr>
        <w:t>2</w:t>
      </w:r>
      <w:bookmarkEnd w:id="73"/>
      <w:r>
        <w:rPr>
          <w:color w:val="000000"/>
          <w:spacing w:val="0"/>
          <w:w w:val="100"/>
          <w:position w:val="0"/>
        </w:rPr>
        <w:t>、</w:t>
        <w:tab/>
        <w:t>投资业务核心竞争力</w:t>
      </w:r>
    </w:p>
    <w:p>
      <w:pPr>
        <w:pStyle w:val="Style33"/>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公司管理层具有长期的股权投资运作经验，长期专注于互联网、金融领域的股权投资，积累了广泛的 市场资源。</w:t>
      </w:r>
    </w:p>
    <w:p>
      <w:pPr>
        <w:pStyle w:val="Style33"/>
        <w:keepNext w:val="0"/>
        <w:keepLines w:val="0"/>
        <w:widowControl w:val="0"/>
        <w:shd w:val="clear" w:color="auto" w:fill="auto"/>
        <w:tabs>
          <w:tab w:pos="794" w:val="left"/>
        </w:tabs>
        <w:bidi w:val="0"/>
        <w:spacing w:before="0" w:after="0" w:line="317" w:lineRule="exact"/>
        <w:ind w:left="0" w:right="0" w:firstLine="440"/>
        <w:jc w:val="both"/>
      </w:pPr>
      <w:bookmarkStart w:id="74" w:name="bookmark74"/>
      <w:r>
        <w:rPr>
          <w:rFonts w:ascii="Times New Roman" w:eastAsia="Times New Roman" w:hAnsi="Times New Roman" w:cs="Times New Roman"/>
          <w:color w:val="000000"/>
          <w:spacing w:val="0"/>
          <w:w w:val="100"/>
          <w:position w:val="0"/>
        </w:rPr>
        <w:t>3</w:t>
      </w:r>
      <w:bookmarkEnd w:id="74"/>
      <w:r>
        <w:rPr>
          <w:color w:val="000000"/>
          <w:spacing w:val="0"/>
          <w:w w:val="100"/>
          <w:position w:val="0"/>
        </w:rPr>
        <w:t>、</w:t>
        <w:tab/>
        <w:t>线缆业务核心竞争力</w:t>
      </w:r>
    </w:p>
    <w:p>
      <w:pPr>
        <w:pStyle w:val="Style33"/>
        <w:keepNext w:val="0"/>
        <w:keepLines w:val="0"/>
        <w:widowControl w:val="0"/>
        <w:shd w:val="clear" w:color="auto" w:fill="auto"/>
        <w:bidi w:val="0"/>
        <w:spacing w:before="0" w:after="260" w:line="317" w:lineRule="exact"/>
        <w:ind w:left="0" w:right="0" w:firstLine="440"/>
        <w:jc w:val="both"/>
        <w:sectPr>
          <w:footnotePr>
            <w:pos w:val="pageBottom"/>
            <w:numFmt w:val="decimal"/>
            <w:numRestart w:val="continuous"/>
          </w:footnotePr>
          <w:pgSz w:w="11900" w:h="16840"/>
          <w:pgMar w:top="1128" w:right="1032" w:bottom="1585" w:left="1085" w:header="0" w:footer="3" w:gutter="0"/>
          <w:cols w:space="720"/>
          <w:noEndnote/>
          <w:rtlGutter w:val="0"/>
          <w:docGrid w:linePitch="360"/>
        </w:sectPr>
      </w:pPr>
      <w:r>
        <w:rPr>
          <w:color w:val="000000"/>
          <w:spacing w:val="0"/>
          <w:w w:val="100"/>
          <w:position w:val="0"/>
        </w:rPr>
        <w:t>公司线缆业务在客户资源稳定、技术和研发实力等方面拥有优势。</w:t>
      </w:r>
    </w:p>
    <w:p>
      <w:pPr>
        <w:pStyle w:val="Style12"/>
        <w:keepNext/>
        <w:keepLines/>
        <w:widowControl w:val="0"/>
        <w:shd w:val="clear" w:color="auto" w:fill="auto"/>
        <w:bidi w:val="0"/>
        <w:spacing w:before="540" w:line="240" w:lineRule="auto"/>
        <w:ind w:left="0" w:right="0" w:firstLine="0"/>
        <w:jc w:val="center"/>
      </w:pPr>
      <w:bookmarkStart w:id="77" w:name="bookmark77"/>
      <w:bookmarkStart w:id="78" w:name="bookmark78"/>
      <w:bookmarkStart w:id="79" w:name="bookmark79"/>
      <w:r>
        <w:rPr>
          <w:color w:val="000000"/>
          <w:spacing w:val="0"/>
          <w:w w:val="100"/>
          <w:position w:val="0"/>
        </w:rPr>
        <w:t>第四节经营情况讨论与分析</w:t>
      </w:r>
      <w:bookmarkEnd w:id="77"/>
      <w:bookmarkEnd w:id="78"/>
      <w:bookmarkEnd w:id="79"/>
    </w:p>
    <w:p>
      <w:pPr>
        <w:pStyle w:val="Style23"/>
        <w:keepNext/>
        <w:keepLines/>
        <w:widowControl w:val="0"/>
        <w:shd w:val="clear" w:color="auto" w:fill="auto"/>
        <w:bidi w:val="0"/>
        <w:spacing w:before="0" w:after="300" w:line="240" w:lineRule="auto"/>
        <w:ind w:left="0" w:right="0" w:firstLine="0"/>
        <w:jc w:val="both"/>
        <w:rPr>
          <w:sz w:val="22"/>
          <w:szCs w:val="22"/>
        </w:rPr>
      </w:pPr>
      <w:bookmarkStart w:id="80" w:name="bookmark80"/>
      <w:bookmarkStart w:id="81" w:name="bookmark81"/>
      <w:bookmarkStart w:id="82" w:name="bookmark82"/>
      <w:bookmarkStart w:id="83" w:name="bookmark83"/>
      <w:r>
        <w:rPr>
          <w:b/>
          <w:bCs/>
          <w:color w:val="000000"/>
          <w:spacing w:val="0"/>
          <w:w w:val="100"/>
          <w:position w:val="0"/>
          <w:sz w:val="22"/>
          <w:szCs w:val="22"/>
        </w:rPr>
        <w:t>一</w:t>
      </w:r>
      <w:bookmarkEnd w:id="82"/>
      <w:r>
        <w:rPr>
          <w:b/>
          <w:bCs/>
          <w:color w:val="000000"/>
          <w:spacing w:val="0"/>
          <w:w w:val="100"/>
          <w:position w:val="0"/>
          <w:sz w:val="22"/>
          <w:szCs w:val="22"/>
        </w:rPr>
        <w:t>、概述</w:t>
      </w:r>
      <w:bookmarkEnd w:id="80"/>
      <w:bookmarkEnd w:id="81"/>
      <w:bookmarkEnd w:id="83"/>
    </w:p>
    <w:p>
      <w:pPr>
        <w:pStyle w:val="Style23"/>
        <w:keepNext/>
        <w:keepLines/>
        <w:widowControl w:val="0"/>
        <w:shd w:val="clear" w:color="auto" w:fill="auto"/>
        <w:bidi w:val="0"/>
        <w:spacing w:before="0" w:after="0" w:line="274" w:lineRule="exact"/>
        <w:ind w:left="0" w:right="0"/>
        <w:jc w:val="both"/>
      </w:pPr>
      <w:bookmarkStart w:id="84" w:name="bookmark84"/>
      <w:bookmarkStart w:id="85" w:name="bookmark85"/>
      <w:bookmarkStart w:id="86" w:name="bookmark86"/>
      <w:r>
        <w:rPr>
          <w:rFonts w:ascii="Times New Roman" w:eastAsia="Times New Roman" w:hAnsi="Times New Roman" w:cs="Times New Roman"/>
          <w:color w:val="000000"/>
          <w:spacing w:val="0"/>
          <w:w w:val="100"/>
          <w:position w:val="0"/>
        </w:rPr>
        <w:t>2016</w:t>
      </w:r>
      <w:r>
        <w:rPr>
          <w:color w:val="000000"/>
          <w:spacing w:val="0"/>
          <w:w w:val="100"/>
          <w:position w:val="0"/>
        </w:rPr>
        <w:t>年是公司实施战略转型后的第一年。这一年，国内、国际政治、经济形势均发生了较大变化，我 国加大经济结构调整力度、持续推动供给侧改革，各项改革逐步进入深水区。国内资本市场稳中求进，强 监管、去杠杆等一系列正本清源的举措奠定了市场稳定发展的基础，同时，加快</w:t>
      </w:r>
      <w:r>
        <w:rPr>
          <w:rFonts w:ascii="Times New Roman" w:eastAsia="Times New Roman" w:hAnsi="Times New Roman" w:cs="Times New Roman"/>
          <w:color w:val="000000"/>
          <w:spacing w:val="0"/>
          <w:w w:val="100"/>
          <w:position w:val="0"/>
        </w:rPr>
        <w:t>IPO</w:t>
      </w:r>
      <w:r>
        <w:rPr>
          <w:color w:val="000000"/>
          <w:spacing w:val="0"/>
          <w:w w:val="100"/>
          <w:position w:val="0"/>
        </w:rPr>
        <w:t>进度、支持实体经济 发展、建设多层次资本市场体系等改革措施为市场参与者提供了广阔的机遇。</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年证券市场整体环境较 </w:t>
      </w:r>
      <w:r>
        <w:rPr>
          <w:rFonts w:ascii="Times New Roman" w:eastAsia="Times New Roman" w:hAnsi="Times New Roman" w:cs="Times New Roman"/>
          <w:color w:val="000000"/>
          <w:spacing w:val="0"/>
          <w:w w:val="100"/>
          <w:position w:val="0"/>
        </w:rPr>
        <w:t>2015</w:t>
      </w:r>
      <w:r>
        <w:rPr>
          <w:color w:val="000000"/>
          <w:spacing w:val="0"/>
          <w:w w:val="100"/>
          <w:position w:val="0"/>
        </w:rPr>
        <w:t>年出现了较大变化，证券公司之间的市场竞争日益激烈，逐步呈现多元化、差异化、全方位的竞争格 局，证券公司的经营风险和压力不断加大。</w:t>
      </w:r>
      <w:bookmarkEnd w:id="84"/>
      <w:bookmarkEnd w:id="85"/>
      <w:bookmarkEnd w:id="86"/>
    </w:p>
    <w:p>
      <w:pPr>
        <w:pStyle w:val="Style23"/>
        <w:keepNext/>
        <w:keepLines/>
        <w:widowControl w:val="0"/>
        <w:shd w:val="clear" w:color="auto" w:fill="auto"/>
        <w:bidi w:val="0"/>
        <w:spacing w:before="0" w:after="0" w:line="274" w:lineRule="exact"/>
        <w:ind w:left="0" w:right="0"/>
        <w:jc w:val="both"/>
      </w:pPr>
      <w:bookmarkStart w:id="87" w:name="bookmark87"/>
      <w:bookmarkStart w:id="88" w:name="bookmark88"/>
      <w:bookmarkStart w:id="89" w:name="bookmark89"/>
      <w:r>
        <w:rPr>
          <w:color w:val="000000"/>
          <w:spacing w:val="0"/>
          <w:w w:val="100"/>
          <w:position w:val="0"/>
        </w:rPr>
        <w:t>报告期内，公司重点完成对国盛证券</w:t>
      </w:r>
      <w:r>
        <w:rPr>
          <w:rFonts w:ascii="Times New Roman" w:eastAsia="Times New Roman" w:hAnsi="Times New Roman" w:cs="Times New Roman"/>
          <w:color w:val="000000"/>
          <w:spacing w:val="0"/>
          <w:w w:val="100"/>
          <w:position w:val="0"/>
        </w:rPr>
        <w:t>100%</w:t>
      </w:r>
      <w:r>
        <w:rPr>
          <w:color w:val="000000"/>
          <w:spacing w:val="0"/>
          <w:w w:val="100"/>
          <w:position w:val="0"/>
        </w:rPr>
        <w:t>股权的收购工作，将母公司逐步改组为控股管理平台。公 司（合并口径）实现营业收入</w:t>
      </w:r>
      <w:r>
        <w:rPr>
          <w:rFonts w:ascii="Times New Roman" w:eastAsia="Times New Roman" w:hAnsi="Times New Roman" w:cs="Times New Roman"/>
          <w:color w:val="000000"/>
          <w:spacing w:val="0"/>
          <w:w w:val="100"/>
          <w:position w:val="0"/>
        </w:rPr>
        <w:t>16.4</w:t>
      </w:r>
      <w:r>
        <w:rPr>
          <w:rFonts w:ascii="Times New Roman" w:eastAsia="Times New Roman" w:hAnsi="Times New Roman" w:cs="Times New Roman"/>
          <w:color w:val="000000"/>
          <w:spacing w:val="0"/>
          <w:w w:val="100"/>
          <w:position w:val="0"/>
        </w:rPr>
        <w:t>2</w:t>
      </w:r>
      <w:r>
        <w:rPr>
          <w:color w:val="000000"/>
          <w:spacing w:val="0"/>
          <w:w w:val="100"/>
          <w:position w:val="0"/>
        </w:rPr>
        <w:t>亿元、较上年同期增长</w:t>
      </w:r>
      <w:r>
        <w:rPr>
          <w:rFonts w:ascii="Times New Roman" w:eastAsia="Times New Roman" w:hAnsi="Times New Roman" w:cs="Times New Roman"/>
          <w:color w:val="000000"/>
          <w:spacing w:val="0"/>
          <w:w w:val="100"/>
          <w:position w:val="0"/>
        </w:rPr>
        <w:t>56.44%</w:t>
      </w:r>
      <w:r>
        <w:rPr>
          <w:color w:val="000000"/>
          <w:spacing w:val="0"/>
          <w:w w:val="100"/>
          <w:position w:val="0"/>
        </w:rPr>
        <w:t>，实现归属于上市公司股东的净利润</w:t>
      </w:r>
      <w:r>
        <w:rPr>
          <w:rFonts w:ascii="Times New Roman" w:eastAsia="Times New Roman" w:hAnsi="Times New Roman" w:cs="Times New Roman"/>
          <w:color w:val="000000"/>
          <w:spacing w:val="0"/>
          <w:w w:val="100"/>
          <w:position w:val="0"/>
        </w:rPr>
        <w:t xml:space="preserve">4.98 </w:t>
      </w:r>
      <w:r>
        <w:rPr>
          <w:color w:val="000000"/>
          <w:spacing w:val="0"/>
          <w:w w:val="100"/>
          <w:position w:val="0"/>
        </w:rPr>
        <w:t>亿元、同比增长</w:t>
      </w:r>
      <w:r>
        <w:rPr>
          <w:rFonts w:ascii="Times New Roman" w:eastAsia="Times New Roman" w:hAnsi="Times New Roman" w:cs="Times New Roman"/>
          <w:color w:val="000000"/>
          <w:spacing w:val="0"/>
          <w:w w:val="100"/>
          <w:position w:val="0"/>
        </w:rPr>
        <w:t>1803.97%</w:t>
      </w:r>
      <w:r>
        <w:rPr>
          <w:color w:val="000000"/>
          <w:spacing w:val="0"/>
          <w:w w:val="100"/>
          <w:position w:val="0"/>
        </w:rPr>
        <w:t>，公司期末总资产为</w:t>
      </w:r>
      <w:r>
        <w:rPr>
          <w:rFonts w:ascii="Times New Roman" w:eastAsia="Times New Roman" w:hAnsi="Times New Roman" w:cs="Times New Roman"/>
          <w:color w:val="000000"/>
          <w:spacing w:val="0"/>
          <w:w w:val="100"/>
          <w:position w:val="0"/>
        </w:rPr>
        <w:t>259.3</w:t>
      </w:r>
      <w:r>
        <w:rPr>
          <w:rFonts w:ascii="Times New Roman" w:eastAsia="Times New Roman" w:hAnsi="Times New Roman" w:cs="Times New Roman"/>
          <w:color w:val="000000"/>
          <w:spacing w:val="0"/>
          <w:w w:val="100"/>
          <w:position w:val="0"/>
        </w:rPr>
        <w:t>1</w:t>
      </w:r>
      <w:r>
        <w:rPr>
          <w:color w:val="000000"/>
          <w:spacing w:val="0"/>
          <w:w w:val="100"/>
          <w:position w:val="0"/>
        </w:rPr>
        <w:t>亿元，归属于上市公司股东的所有者权益为</w:t>
      </w:r>
      <w:r>
        <w:rPr>
          <w:rFonts w:ascii="Times New Roman" w:eastAsia="Times New Roman" w:hAnsi="Times New Roman" w:cs="Times New Roman"/>
          <w:color w:val="000000"/>
          <w:spacing w:val="0"/>
          <w:w w:val="100"/>
          <w:position w:val="0"/>
        </w:rPr>
        <w:t xml:space="preserve">115.64 </w:t>
      </w:r>
      <w:r>
        <w:rPr>
          <w:color w:val="000000"/>
          <w:spacing w:val="0"/>
          <w:w w:val="100"/>
          <w:position w:val="0"/>
        </w:rPr>
        <w:t>亿元，资产负债率</w:t>
      </w:r>
      <w:r>
        <w:rPr>
          <w:rFonts w:ascii="Times New Roman" w:eastAsia="Times New Roman" w:hAnsi="Times New Roman" w:cs="Times New Roman"/>
          <w:color w:val="000000"/>
          <w:spacing w:val="0"/>
          <w:w w:val="100"/>
          <w:position w:val="0"/>
        </w:rPr>
        <w:t>55.37%</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年全年，国盛证券实现营业收入</w:t>
      </w:r>
      <w:r>
        <w:rPr>
          <w:rFonts w:ascii="Times New Roman" w:eastAsia="Times New Roman" w:hAnsi="Times New Roman" w:cs="Times New Roman"/>
          <w:color w:val="000000"/>
          <w:spacing w:val="0"/>
          <w:w w:val="100"/>
          <w:position w:val="0"/>
        </w:rPr>
        <w:t>12.52</w:t>
      </w:r>
      <w:r>
        <w:rPr>
          <w:color w:val="000000"/>
          <w:spacing w:val="0"/>
          <w:w w:val="100"/>
          <w:position w:val="0"/>
        </w:rPr>
        <w:t>亿元、利润总额</w:t>
      </w:r>
      <w:r>
        <w:rPr>
          <w:rFonts w:ascii="Times New Roman" w:eastAsia="Times New Roman" w:hAnsi="Times New Roman" w:cs="Times New Roman"/>
          <w:color w:val="000000"/>
          <w:spacing w:val="0"/>
          <w:w w:val="100"/>
          <w:position w:val="0"/>
        </w:rPr>
        <w:t>7.96</w:t>
      </w:r>
      <w:r>
        <w:rPr>
          <w:color w:val="000000"/>
          <w:spacing w:val="0"/>
          <w:w w:val="100"/>
          <w:position w:val="0"/>
        </w:rPr>
        <w:t>亿元。报告 期末，公司市值</w:t>
      </w:r>
      <w:r>
        <w:rPr>
          <w:rFonts w:ascii="Times New Roman" w:eastAsia="Times New Roman" w:hAnsi="Times New Roman" w:cs="Times New Roman"/>
          <w:color w:val="000000"/>
          <w:spacing w:val="0"/>
          <w:w w:val="100"/>
          <w:position w:val="0"/>
        </w:rPr>
        <w:t>315</w:t>
      </w:r>
      <w:r>
        <w:rPr>
          <w:color w:val="000000"/>
          <w:spacing w:val="0"/>
          <w:w w:val="100"/>
          <w:position w:val="0"/>
        </w:rPr>
        <w:t>亿元，位列中国上市公司第</w:t>
      </w:r>
      <w:r>
        <w:rPr>
          <w:rFonts w:ascii="Times New Roman" w:eastAsia="Times New Roman" w:hAnsi="Times New Roman" w:cs="Times New Roman"/>
          <w:color w:val="000000"/>
          <w:spacing w:val="0"/>
          <w:w w:val="100"/>
          <w:position w:val="0"/>
        </w:rPr>
        <w:t>328</w:t>
      </w:r>
      <w:r>
        <w:rPr>
          <w:color w:val="000000"/>
          <w:spacing w:val="0"/>
          <w:w w:val="100"/>
          <w:position w:val="0"/>
        </w:rPr>
        <w:t>名，较</w:t>
      </w:r>
      <w:r>
        <w:rPr>
          <w:rFonts w:ascii="Times New Roman" w:eastAsia="Times New Roman" w:hAnsi="Times New Roman" w:cs="Times New Roman"/>
          <w:color w:val="000000"/>
          <w:spacing w:val="0"/>
          <w:w w:val="100"/>
          <w:position w:val="0"/>
        </w:rPr>
        <w:t>2015</w:t>
      </w:r>
      <w:r>
        <w:rPr>
          <w:color w:val="000000"/>
          <w:spacing w:val="0"/>
          <w:w w:val="100"/>
          <w:position w:val="0"/>
        </w:rPr>
        <w:t>年末的</w:t>
      </w:r>
      <w:r>
        <w:rPr>
          <w:rFonts w:ascii="Times New Roman" w:eastAsia="Times New Roman" w:hAnsi="Times New Roman" w:cs="Times New Roman"/>
          <w:color w:val="000000"/>
          <w:spacing w:val="0"/>
          <w:w w:val="100"/>
          <w:position w:val="0"/>
        </w:rPr>
        <w:t>73.26</w:t>
      </w:r>
      <w:r>
        <w:rPr>
          <w:color w:val="000000"/>
          <w:spacing w:val="0"/>
          <w:w w:val="100"/>
          <w:position w:val="0"/>
        </w:rPr>
        <w:t>亿元增长</w:t>
      </w:r>
      <w:r>
        <w:rPr>
          <w:rFonts w:ascii="Times New Roman" w:eastAsia="Times New Roman" w:hAnsi="Times New Roman" w:cs="Times New Roman"/>
          <w:color w:val="000000"/>
          <w:spacing w:val="0"/>
          <w:w w:val="100"/>
          <w:position w:val="0"/>
        </w:rPr>
        <w:t>329.98%</w:t>
      </w:r>
      <w:r>
        <w:rPr>
          <w:color w:val="000000"/>
          <w:spacing w:val="0"/>
          <w:w w:val="100"/>
          <w:position w:val="0"/>
        </w:rPr>
        <w:t>。</w:t>
      </w:r>
      <w:bookmarkEnd w:id="87"/>
      <w:bookmarkEnd w:id="88"/>
      <w:bookmarkEnd w:id="89"/>
    </w:p>
    <w:p>
      <w:pPr>
        <w:pStyle w:val="Style23"/>
        <w:keepNext/>
        <w:keepLines/>
        <w:widowControl w:val="0"/>
        <w:shd w:val="clear" w:color="auto" w:fill="auto"/>
        <w:bidi w:val="0"/>
        <w:spacing w:before="0" w:after="380" w:line="274" w:lineRule="exact"/>
        <w:ind w:left="0" w:right="0"/>
        <w:jc w:val="both"/>
      </w:pPr>
      <w:bookmarkStart w:id="90" w:name="bookmark90"/>
      <w:bookmarkStart w:id="91" w:name="bookmark91"/>
      <w:bookmarkStart w:id="92" w:name="bookmark92"/>
      <w:r>
        <w:rPr>
          <w:rFonts w:ascii="Times New Roman" w:eastAsia="Times New Roman" w:hAnsi="Times New Roman" w:cs="Times New Roman"/>
          <w:color w:val="000000"/>
          <w:spacing w:val="0"/>
          <w:w w:val="100"/>
          <w:position w:val="0"/>
        </w:rPr>
        <w:t>2016</w:t>
      </w:r>
      <w:r>
        <w:rPr>
          <w:color w:val="000000"/>
          <w:spacing w:val="0"/>
          <w:w w:val="100"/>
          <w:position w:val="0"/>
        </w:rPr>
        <w:t>年度公司主要开展以下工作：</w:t>
      </w:r>
      <w:bookmarkEnd w:id="90"/>
      <w:bookmarkEnd w:id="91"/>
      <w:bookmarkEnd w:id="92"/>
    </w:p>
    <w:p>
      <w:pPr>
        <w:pStyle w:val="Style23"/>
        <w:keepNext/>
        <w:keepLines/>
        <w:widowControl w:val="0"/>
        <w:shd w:val="clear" w:color="auto" w:fill="auto"/>
        <w:bidi w:val="0"/>
        <w:spacing w:before="0" w:after="0" w:line="275" w:lineRule="exact"/>
        <w:ind w:left="0" w:right="0"/>
        <w:jc w:val="both"/>
      </w:pPr>
      <w:bookmarkStart w:id="93" w:name="bookmark93"/>
      <w:bookmarkStart w:id="94" w:name="bookmark94"/>
      <w:bookmarkStart w:id="95" w:name="bookmark95"/>
      <w:bookmarkStart w:id="96" w:name="bookmark96"/>
      <w:r>
        <w:rPr>
          <w:color w:val="000000"/>
          <w:spacing w:val="0"/>
          <w:w w:val="100"/>
          <w:position w:val="0"/>
        </w:rPr>
        <w:t>（</w:t>
      </w:r>
      <w:bookmarkEnd w:id="95"/>
      <w:r>
        <w:rPr>
          <w:color w:val="000000"/>
          <w:spacing w:val="0"/>
          <w:w w:val="100"/>
          <w:position w:val="0"/>
        </w:rPr>
        <w:t>一）实施外部、内部两层重组</w:t>
      </w:r>
      <w:bookmarkEnd w:id="93"/>
      <w:bookmarkEnd w:id="94"/>
      <w:bookmarkEnd w:id="96"/>
    </w:p>
    <w:p>
      <w:pPr>
        <w:pStyle w:val="Style23"/>
        <w:keepNext/>
        <w:keepLines/>
        <w:widowControl w:val="0"/>
        <w:shd w:val="clear" w:color="auto" w:fill="auto"/>
        <w:tabs>
          <w:tab w:pos="766" w:val="left"/>
        </w:tabs>
        <w:bidi w:val="0"/>
        <w:spacing w:before="0" w:after="0" w:line="275" w:lineRule="exact"/>
        <w:ind w:left="0" w:right="0"/>
        <w:jc w:val="left"/>
      </w:pPr>
      <w:bookmarkStart w:id="100" w:name="bookmark100"/>
      <w:bookmarkStart w:id="97" w:name="bookmark97"/>
      <w:bookmarkStart w:id="98" w:name="bookmark98"/>
      <w:bookmarkStart w:id="99" w:name="bookmark99"/>
      <w:r>
        <w:rPr>
          <w:rFonts w:ascii="Times New Roman" w:eastAsia="Times New Roman" w:hAnsi="Times New Roman" w:cs="Times New Roman"/>
          <w:color w:val="000000"/>
          <w:spacing w:val="0"/>
          <w:w w:val="100"/>
          <w:position w:val="0"/>
        </w:rPr>
        <w:t>1</w:t>
      </w:r>
      <w:bookmarkEnd w:id="99"/>
      <w:r>
        <w:rPr>
          <w:color w:val="000000"/>
          <w:spacing w:val="0"/>
          <w:w w:val="100"/>
          <w:position w:val="0"/>
        </w:rPr>
        <w:t>、</w:t>
        <w:tab/>
        <w:t>外部重组带来公司业务构成、资产规模、盈利能力、资本实力、市场影响等方面重大变化。</w:t>
      </w:r>
      <w:bookmarkEnd w:id="100"/>
      <w:bookmarkEnd w:id="97"/>
      <w:bookmarkEnd w:id="98"/>
    </w:p>
    <w:p>
      <w:pPr>
        <w:pStyle w:val="Style23"/>
        <w:keepNext/>
        <w:keepLines/>
        <w:widowControl w:val="0"/>
        <w:shd w:val="clear" w:color="auto" w:fill="auto"/>
        <w:bidi w:val="0"/>
        <w:spacing w:before="0" w:after="0" w:line="275" w:lineRule="exact"/>
        <w:ind w:left="0" w:right="0"/>
        <w:jc w:val="left"/>
      </w:pPr>
      <w:bookmarkStart w:id="101" w:name="bookmark101"/>
      <w:bookmarkStart w:id="102" w:name="bookmark102"/>
      <w:bookmarkStart w:id="103" w:name="bookmark103"/>
      <w:r>
        <w:rPr>
          <w:rFonts w:ascii="Times New Roman" w:eastAsia="Times New Roman" w:hAnsi="Times New Roman" w:cs="Times New Roman"/>
          <w:color w:val="000000"/>
          <w:spacing w:val="0"/>
          <w:w w:val="100"/>
          <w:position w:val="0"/>
        </w:rPr>
        <w:t>2016</w:t>
      </w:r>
      <w:r>
        <w:rPr>
          <w:color w:val="000000"/>
          <w:spacing w:val="0"/>
          <w:w w:val="100"/>
          <w:position w:val="0"/>
        </w:rPr>
        <w:t>年公司实施发行股份及支付现金购买国盛证券</w:t>
      </w:r>
      <w:r>
        <w:rPr>
          <w:rFonts w:ascii="Times New Roman" w:eastAsia="Times New Roman" w:hAnsi="Times New Roman" w:cs="Times New Roman"/>
          <w:color w:val="000000"/>
          <w:spacing w:val="0"/>
          <w:w w:val="100"/>
          <w:position w:val="0"/>
        </w:rPr>
        <w:t>100%</w:t>
      </w:r>
      <w:r>
        <w:rPr>
          <w:color w:val="000000"/>
          <w:spacing w:val="0"/>
          <w:w w:val="100"/>
          <w:position w:val="0"/>
        </w:rPr>
        <w:t>股权并募集配套资金方案。本次重组完成后， 国盛证券成为公司全资子公司。受国盛证券纳入本公司合并报表影响，公司收入构成、资产构成发生重大 变化，主要业务由线缆制造变更为证券业务，期末金融类资产占比大幅增加而房产、土地、设备类资产占 比大幅下降，公司净利润水平、净利率指标均发生了重大变化。报告期内公司来源于证券业务的营业收入 为</w:t>
      </w:r>
      <w:r>
        <w:rPr>
          <w:rFonts w:ascii="Times New Roman" w:eastAsia="Times New Roman" w:hAnsi="Times New Roman" w:cs="Times New Roman"/>
          <w:color w:val="000000"/>
          <w:spacing w:val="0"/>
          <w:w w:val="100"/>
          <w:position w:val="0"/>
        </w:rPr>
        <w:t>8.22</w:t>
      </w:r>
      <w:r>
        <w:rPr>
          <w:color w:val="000000"/>
          <w:spacing w:val="0"/>
          <w:w w:val="100"/>
          <w:position w:val="0"/>
        </w:rPr>
        <w:t>亿元，占比</w:t>
      </w:r>
      <w:r>
        <w:rPr>
          <w:rFonts w:ascii="Times New Roman" w:eastAsia="Times New Roman" w:hAnsi="Times New Roman" w:cs="Times New Roman"/>
          <w:color w:val="000000"/>
          <w:spacing w:val="0"/>
          <w:w w:val="100"/>
          <w:position w:val="0"/>
        </w:rPr>
        <w:t>50.06%</w:t>
      </w:r>
      <w:r>
        <w:rPr>
          <w:color w:val="000000"/>
          <w:spacing w:val="0"/>
          <w:w w:val="100"/>
          <w:position w:val="0"/>
        </w:rPr>
        <w:t>，来源于证券业务的归属于母公司净利润为</w:t>
      </w:r>
      <w:r>
        <w:rPr>
          <w:rFonts w:ascii="Times New Roman" w:eastAsia="Times New Roman" w:hAnsi="Times New Roman" w:cs="Times New Roman"/>
          <w:color w:val="000000"/>
          <w:spacing w:val="0"/>
          <w:w w:val="100"/>
          <w:position w:val="0"/>
        </w:rPr>
        <w:t>4.58</w:t>
      </w:r>
      <w:r>
        <w:rPr>
          <w:color w:val="000000"/>
          <w:spacing w:val="0"/>
          <w:w w:val="100"/>
          <w:position w:val="0"/>
        </w:rPr>
        <w:t>亿元，占比</w:t>
      </w:r>
      <w:r>
        <w:rPr>
          <w:rFonts w:ascii="Times New Roman" w:eastAsia="Times New Roman" w:hAnsi="Times New Roman" w:cs="Times New Roman"/>
          <w:color w:val="000000"/>
          <w:spacing w:val="0"/>
          <w:w w:val="100"/>
          <w:position w:val="0"/>
        </w:rPr>
        <w:t>92.05%</w:t>
      </w:r>
      <w:r>
        <w:rPr>
          <w:color w:val="000000"/>
          <w:spacing w:val="0"/>
          <w:w w:val="100"/>
          <w:position w:val="0"/>
        </w:rPr>
        <w:t>；报告期末， 公司资产总额中占比最高的为货币资金、可供出售金融资产、买入返售金融资产，三项资产总金额达</w:t>
      </w:r>
      <w:r>
        <w:rPr>
          <w:rFonts w:ascii="Times New Roman" w:eastAsia="Times New Roman" w:hAnsi="Times New Roman" w:cs="Times New Roman"/>
          <w:color w:val="000000"/>
          <w:spacing w:val="0"/>
          <w:w w:val="100"/>
          <w:position w:val="0"/>
        </w:rPr>
        <w:t xml:space="preserve">148.56 </w:t>
      </w:r>
      <w:r>
        <w:rPr>
          <w:color w:val="000000"/>
          <w:spacing w:val="0"/>
          <w:w w:val="100"/>
          <w:position w:val="0"/>
        </w:rPr>
        <w:t>亿元，占公司总资产的</w:t>
      </w:r>
      <w:r>
        <w:rPr>
          <w:rFonts w:ascii="Times New Roman" w:eastAsia="Times New Roman" w:hAnsi="Times New Roman" w:cs="Times New Roman"/>
          <w:color w:val="000000"/>
          <w:spacing w:val="0"/>
          <w:w w:val="100"/>
          <w:position w:val="0"/>
        </w:rPr>
        <w:t>57.29%</w:t>
      </w:r>
      <w:r>
        <w:rPr>
          <w:color w:val="000000"/>
          <w:spacing w:val="0"/>
          <w:w w:val="100"/>
          <w:position w:val="0"/>
        </w:rPr>
        <w:t>。公司总股本由</w:t>
      </w:r>
      <w:r>
        <w:rPr>
          <w:rFonts w:ascii="Times New Roman" w:eastAsia="Times New Roman" w:hAnsi="Times New Roman" w:cs="Times New Roman"/>
          <w:color w:val="000000"/>
          <w:spacing w:val="0"/>
          <w:w w:val="100"/>
          <w:position w:val="0"/>
        </w:rPr>
        <w:t>20,000</w:t>
      </w:r>
      <w:r>
        <w:rPr>
          <w:color w:val="000000"/>
          <w:spacing w:val="0"/>
          <w:w w:val="100"/>
          <w:position w:val="0"/>
        </w:rPr>
        <w:t>万元增加至</w:t>
      </w:r>
      <w:r>
        <w:rPr>
          <w:rFonts w:ascii="Times New Roman" w:eastAsia="Times New Roman" w:hAnsi="Times New Roman" w:cs="Times New Roman"/>
          <w:color w:val="000000"/>
          <w:spacing w:val="0"/>
          <w:w w:val="100"/>
          <w:position w:val="0"/>
        </w:rPr>
        <w:t>93,612.7750</w:t>
      </w:r>
      <w:r>
        <w:rPr>
          <w:color w:val="000000"/>
          <w:spacing w:val="0"/>
          <w:w w:val="100"/>
          <w:position w:val="0"/>
        </w:rPr>
        <w:t>万元。</w:t>
      </w:r>
      <w:bookmarkEnd w:id="101"/>
      <w:bookmarkEnd w:id="102"/>
      <w:bookmarkEnd w:id="103"/>
    </w:p>
    <w:p>
      <w:pPr>
        <w:pStyle w:val="Style23"/>
        <w:keepNext/>
        <w:keepLines/>
        <w:widowControl w:val="0"/>
        <w:shd w:val="clear" w:color="auto" w:fill="auto"/>
        <w:tabs>
          <w:tab w:pos="766" w:val="left"/>
        </w:tabs>
        <w:bidi w:val="0"/>
        <w:spacing w:before="0" w:after="0" w:line="275" w:lineRule="exact"/>
        <w:ind w:left="0" w:right="0"/>
        <w:jc w:val="both"/>
      </w:pPr>
      <w:bookmarkStart w:id="104" w:name="bookmark104"/>
      <w:bookmarkStart w:id="105" w:name="bookmark105"/>
      <w:bookmarkStart w:id="106" w:name="bookmark106"/>
      <w:bookmarkStart w:id="107" w:name="bookmark107"/>
      <w:r>
        <w:rPr>
          <w:rFonts w:ascii="Times New Roman" w:eastAsia="Times New Roman" w:hAnsi="Times New Roman" w:cs="Times New Roman"/>
          <w:color w:val="000000"/>
          <w:spacing w:val="0"/>
          <w:w w:val="100"/>
          <w:position w:val="0"/>
        </w:rPr>
        <w:t>2</w:t>
      </w:r>
      <w:bookmarkEnd w:id="106"/>
      <w:r>
        <w:rPr>
          <w:color w:val="000000"/>
          <w:spacing w:val="0"/>
          <w:w w:val="100"/>
          <w:position w:val="0"/>
        </w:rPr>
        <w:t>、</w:t>
        <w:tab/>
        <w:t>内部重组为实现以股权管理方式开展对各业务板块管理奠定基础。</w:t>
      </w:r>
      <w:bookmarkEnd w:id="104"/>
      <w:bookmarkEnd w:id="105"/>
      <w:bookmarkEnd w:id="107"/>
    </w:p>
    <w:p>
      <w:pPr>
        <w:pStyle w:val="Style23"/>
        <w:keepNext/>
        <w:keepLines/>
        <w:widowControl w:val="0"/>
        <w:shd w:val="clear" w:color="auto" w:fill="auto"/>
        <w:bidi w:val="0"/>
        <w:spacing w:before="0" w:after="0" w:line="275" w:lineRule="exact"/>
        <w:ind w:left="0" w:right="0"/>
        <w:jc w:val="both"/>
      </w:pPr>
      <w:bookmarkStart w:id="108" w:name="bookmark108"/>
      <w:bookmarkStart w:id="109" w:name="bookmark109"/>
      <w:bookmarkStart w:id="110" w:name="bookmark110"/>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5-12</w:t>
      </w:r>
      <w:r>
        <w:rPr>
          <w:color w:val="000000"/>
          <w:spacing w:val="0"/>
          <w:w w:val="100"/>
          <w:position w:val="0"/>
        </w:rPr>
        <w:t>月间，公司进行内部组织与管理架构调整，将截止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日拥有的线缆业务相关 资产、债务、业务资源、知识产权下沉至子公司。母公司升级为控股管理平台，通过对下属企业的股权管 理实现集团范围内各业务板块的管理。截至报告期末，公司共有全资及控股子公司</w:t>
      </w:r>
      <w:r>
        <w:rPr>
          <w:rFonts w:ascii="Times New Roman" w:eastAsia="Times New Roman" w:hAnsi="Times New Roman" w:cs="Times New Roman"/>
          <w:color w:val="000000"/>
          <w:spacing w:val="0"/>
          <w:w w:val="100"/>
          <w:position w:val="0"/>
        </w:rPr>
        <w:t>14</w:t>
      </w:r>
      <w:r>
        <w:rPr>
          <w:color w:val="000000"/>
          <w:spacing w:val="0"/>
          <w:w w:val="100"/>
          <w:position w:val="0"/>
        </w:rPr>
        <w:t>家，分属证券、投 资、线缆制造三个板块。</w:t>
      </w:r>
      <w:bookmarkEnd w:id="108"/>
      <w:bookmarkEnd w:id="109"/>
      <w:bookmarkEnd w:id="110"/>
    </w:p>
    <w:p>
      <w:pPr>
        <w:pStyle w:val="Style23"/>
        <w:keepNext/>
        <w:keepLines/>
        <w:widowControl w:val="0"/>
        <w:shd w:val="clear" w:color="auto" w:fill="auto"/>
        <w:bidi w:val="0"/>
        <w:spacing w:before="0" w:after="380" w:line="275" w:lineRule="exact"/>
        <w:ind w:left="0" w:right="0"/>
        <w:jc w:val="both"/>
      </w:pPr>
      <w:bookmarkStart w:id="111" w:name="bookmark111"/>
      <w:bookmarkStart w:id="112" w:name="bookmark112"/>
      <w:bookmarkStart w:id="113" w:name="bookmark113"/>
      <w:r>
        <w:rPr>
          <w:color w:val="000000"/>
          <w:spacing w:val="0"/>
          <w:w w:val="100"/>
          <w:position w:val="0"/>
        </w:rPr>
        <w:t>报告期内，公司完成基于重组后战略、资产、组织与管理架构变化的章程修订工作。结合组织架构、 业务结构、管理模式的重大变化，公司坚持规范运行、权责分明、严控风险、协调一致的原则，逐步建立 与之相适应的管控体系，人员陆续到位，并启动下属企业管理制度、信息披露管理制度、重大信息内部报 告制度等制度修订工作。</w:t>
      </w:r>
      <w:bookmarkEnd w:id="111"/>
      <w:bookmarkEnd w:id="112"/>
      <w:bookmarkEnd w:id="113"/>
    </w:p>
    <w:p>
      <w:pPr>
        <w:pStyle w:val="Style23"/>
        <w:keepNext/>
        <w:keepLines/>
        <w:widowControl w:val="0"/>
        <w:shd w:val="clear" w:color="auto" w:fill="auto"/>
        <w:bidi w:val="0"/>
        <w:spacing w:before="0" w:after="0" w:line="274" w:lineRule="exact"/>
        <w:ind w:left="0" w:right="0"/>
        <w:jc w:val="both"/>
      </w:pPr>
      <w:bookmarkStart w:id="114" w:name="bookmark114"/>
      <w:bookmarkStart w:id="115" w:name="bookmark115"/>
      <w:bookmarkStart w:id="116" w:name="bookmark116"/>
      <w:bookmarkStart w:id="117" w:name="bookmark117"/>
      <w:r>
        <w:rPr>
          <w:color w:val="000000"/>
          <w:spacing w:val="0"/>
          <w:w w:val="100"/>
          <w:position w:val="0"/>
        </w:rPr>
        <w:t>（</w:t>
      </w:r>
      <w:bookmarkEnd w:id="116"/>
      <w:r>
        <w:rPr>
          <w:color w:val="000000"/>
          <w:spacing w:val="0"/>
          <w:w w:val="100"/>
          <w:position w:val="0"/>
        </w:rPr>
        <w:t>二）整合、推进证券业务</w:t>
      </w:r>
      <w:bookmarkEnd w:id="114"/>
      <w:bookmarkEnd w:id="115"/>
      <w:bookmarkEnd w:id="117"/>
    </w:p>
    <w:p>
      <w:pPr>
        <w:pStyle w:val="Style23"/>
        <w:keepNext/>
        <w:keepLines/>
        <w:widowControl w:val="0"/>
        <w:shd w:val="clear" w:color="auto" w:fill="auto"/>
        <w:bidi w:val="0"/>
        <w:spacing w:before="0" w:after="0" w:line="274" w:lineRule="exact"/>
        <w:ind w:left="0" w:right="0"/>
        <w:jc w:val="both"/>
      </w:pPr>
      <w:bookmarkStart w:id="118" w:name="bookmark118"/>
      <w:bookmarkStart w:id="119" w:name="bookmark119"/>
      <w:bookmarkStart w:id="120" w:name="bookmark120"/>
      <w:r>
        <w:rPr>
          <w:color w:val="000000"/>
          <w:spacing w:val="0"/>
          <w:w w:val="100"/>
          <w:position w:val="0"/>
        </w:rPr>
        <w:t>公司在梳理和稳定国盛证券原有业务的基础上,确定了国盛证券作为</w:t>
      </w:r>
      <w:r>
        <w:rPr>
          <w:rFonts w:ascii="Times New Roman" w:eastAsia="Times New Roman" w:hAnsi="Times New Roman" w:cs="Times New Roman"/>
          <w:color w:val="000000"/>
          <w:spacing w:val="0"/>
          <w:w w:val="100"/>
          <w:position w:val="0"/>
        </w:rPr>
        <w:t>“</w:t>
      </w:r>
      <w:r>
        <w:rPr>
          <w:color w:val="000000"/>
          <w:spacing w:val="0"/>
          <w:w w:val="100"/>
          <w:position w:val="0"/>
        </w:rPr>
        <w:t>资本市场服务平台</w:t>
      </w:r>
      <w:r>
        <w:rPr>
          <w:rFonts w:ascii="Times New Roman" w:eastAsia="Times New Roman" w:hAnsi="Times New Roman" w:cs="Times New Roman"/>
          <w:color w:val="000000"/>
          <w:spacing w:val="0"/>
          <w:w w:val="100"/>
          <w:position w:val="0"/>
        </w:rPr>
        <w:t>''</w:t>
      </w:r>
      <w:r>
        <w:rPr>
          <w:color w:val="000000"/>
          <w:spacing w:val="0"/>
          <w:w w:val="100"/>
          <w:position w:val="0"/>
        </w:rPr>
        <w:t>的战略定位, 提出了</w:t>
      </w:r>
      <w:r>
        <w:rPr>
          <w:rFonts w:ascii="Times New Roman" w:eastAsia="Times New Roman" w:hAnsi="Times New Roman" w:cs="Times New Roman"/>
          <w:color w:val="000000"/>
          <w:spacing w:val="0"/>
          <w:w w:val="100"/>
          <w:position w:val="0"/>
        </w:rPr>
        <w:t>“</w:t>
      </w:r>
      <w:r>
        <w:rPr>
          <w:color w:val="000000"/>
          <w:spacing w:val="0"/>
          <w:w w:val="100"/>
          <w:position w:val="0"/>
        </w:rPr>
        <w:t>全方位发展、全国性布局、全时性服务</w:t>
      </w:r>
      <w:r>
        <w:rPr>
          <w:rFonts w:ascii="Times New Roman" w:eastAsia="Times New Roman" w:hAnsi="Times New Roman" w:cs="Times New Roman"/>
          <w:color w:val="000000"/>
          <w:spacing w:val="0"/>
          <w:w w:val="100"/>
          <w:position w:val="0"/>
        </w:rPr>
        <w:t>”</w:t>
      </w:r>
      <w:r>
        <w:rPr>
          <w:color w:val="000000"/>
          <w:spacing w:val="0"/>
          <w:w w:val="100"/>
          <w:position w:val="0"/>
        </w:rPr>
        <w:t>的发展目标，严格控制风险、合法合规经营，以客户为中 心、以科技创新为手段，意欲将国盛证券打造成为公司互联网金控平台的重要支点。</w:t>
      </w:r>
      <w:bookmarkEnd w:id="118"/>
      <w:bookmarkEnd w:id="119"/>
      <w:bookmarkEnd w:id="120"/>
    </w:p>
    <w:p>
      <w:pPr>
        <w:pStyle w:val="Style23"/>
        <w:keepNext/>
        <w:keepLines/>
        <w:widowControl w:val="0"/>
        <w:shd w:val="clear" w:color="auto" w:fill="auto"/>
        <w:bidi w:val="0"/>
        <w:spacing w:before="0" w:after="0" w:line="274" w:lineRule="exact"/>
        <w:ind w:left="0" w:right="0"/>
        <w:jc w:val="both"/>
      </w:pPr>
      <w:bookmarkStart w:id="121" w:name="bookmark121"/>
      <w:bookmarkStart w:id="122" w:name="bookmark122"/>
      <w:bookmarkStart w:id="123" w:name="bookmark123"/>
      <w:bookmarkStart w:id="124" w:name="bookmark124"/>
      <w:r>
        <w:rPr>
          <w:color w:val="000000"/>
          <w:spacing w:val="0"/>
          <w:w w:val="100"/>
          <w:position w:val="0"/>
        </w:rPr>
        <w:t>报告期内，公司推进国盛证券修改章程，改组其董事会、监事会，向国盛证券推荐董事、董事长、监 事人选。期内，国盛证券董事长变更顺利完成，其他董事、监事变更正在履行江西证监局核准程序。</w:t>
      </w:r>
      <w:bookmarkEnd w:id="121"/>
      <w:bookmarkEnd w:id="122"/>
      <w:bookmarkEnd w:id="123"/>
      <w:bookmarkEnd w:id="124"/>
    </w:p>
    <w:p>
      <w:pPr>
        <w:pStyle w:val="Style33"/>
        <w:keepNext w:val="0"/>
        <w:keepLines w:val="0"/>
        <w:widowControl w:val="0"/>
        <w:shd w:val="clear" w:color="auto" w:fill="auto"/>
        <w:bidi w:val="0"/>
        <w:spacing w:before="0" w:after="0" w:line="274" w:lineRule="exact"/>
        <w:ind w:left="0" w:right="0" w:firstLine="440"/>
        <w:jc w:val="both"/>
      </w:pPr>
      <w:bookmarkStart w:id="125" w:name="bookmark125"/>
      <w:r>
        <w:rPr>
          <w:color w:val="000000"/>
          <w:spacing w:val="0"/>
          <w:w w:val="100"/>
          <w:position w:val="0"/>
        </w:rPr>
        <w:t>报告期，公司通过定向增发股份和发行债券的方式，筹集近</w:t>
      </w:r>
      <w:r>
        <w:rPr>
          <w:rFonts w:ascii="Times New Roman" w:eastAsia="Times New Roman" w:hAnsi="Times New Roman" w:cs="Times New Roman"/>
          <w:color w:val="000000"/>
          <w:spacing w:val="0"/>
          <w:w w:val="100"/>
          <w:position w:val="0"/>
        </w:rPr>
        <w:t>110</w:t>
      </w:r>
      <w:r>
        <w:rPr>
          <w:color w:val="000000"/>
          <w:spacing w:val="0"/>
          <w:w w:val="100"/>
          <w:position w:val="0"/>
        </w:rPr>
        <w:t>亿资金并将其中</w:t>
      </w:r>
      <w:r>
        <w:rPr>
          <w:rFonts w:ascii="Times New Roman" w:eastAsia="Times New Roman" w:hAnsi="Times New Roman" w:cs="Times New Roman"/>
          <w:color w:val="000000"/>
          <w:spacing w:val="0"/>
          <w:w w:val="100"/>
          <w:position w:val="0"/>
        </w:rPr>
        <w:t>63.96</w:t>
      </w:r>
      <w:r>
        <w:rPr>
          <w:color w:val="000000"/>
          <w:spacing w:val="0"/>
          <w:w w:val="100"/>
          <w:position w:val="0"/>
        </w:rPr>
        <w:t>亿元运用于国 盛证券，一定程度缓解了困扰国盛证券业务发展多年的净资本约束和营运资金不足的问题。其中，</w:t>
      </w:r>
      <w:r>
        <w:rPr>
          <w:rFonts w:ascii="Times New Roman" w:eastAsia="Times New Roman" w:hAnsi="Times New Roman" w:cs="Times New Roman"/>
          <w:color w:val="000000"/>
          <w:spacing w:val="0"/>
          <w:w w:val="100"/>
          <w:position w:val="0"/>
        </w:rPr>
        <w:t>5</w:t>
      </w:r>
      <w:r>
        <w:rPr>
          <w:color w:val="000000"/>
          <w:spacing w:val="0"/>
          <w:w w:val="100"/>
          <w:position w:val="0"/>
        </w:rPr>
        <w:t>月， 国盛证券成功以公开方式发行公司债券</w:t>
      </w:r>
      <w:r>
        <w:rPr>
          <w:rFonts w:ascii="Times New Roman" w:eastAsia="Times New Roman" w:hAnsi="Times New Roman" w:cs="Times New Roman"/>
          <w:color w:val="000000"/>
          <w:spacing w:val="0"/>
          <w:w w:val="100"/>
          <w:position w:val="0"/>
        </w:rPr>
        <w:t>10</w:t>
      </w:r>
      <w:r>
        <w:rPr>
          <w:color w:val="000000"/>
          <w:spacing w:val="0"/>
          <w:w w:val="100"/>
          <w:position w:val="0"/>
        </w:rPr>
        <w:t>亿元，用于补充其营运资金；</w:t>
      </w:r>
      <w:r>
        <w:rPr>
          <w:rFonts w:ascii="Times New Roman" w:eastAsia="Times New Roman" w:hAnsi="Times New Roman" w:cs="Times New Roman"/>
          <w:color w:val="000000"/>
          <w:spacing w:val="0"/>
          <w:w w:val="100"/>
          <w:position w:val="0"/>
        </w:rPr>
        <w:t>9</w:t>
      </w:r>
      <w:r>
        <w:rPr>
          <w:color w:val="000000"/>
          <w:spacing w:val="0"/>
          <w:w w:val="100"/>
          <w:position w:val="0"/>
        </w:rPr>
        <w:t>月，公司（母）以定向增发方式 募集资金向国盛证券增资</w:t>
      </w:r>
      <w:r>
        <w:rPr>
          <w:rFonts w:ascii="Times New Roman" w:eastAsia="Times New Roman" w:hAnsi="Times New Roman" w:cs="Times New Roman"/>
          <w:color w:val="000000"/>
          <w:spacing w:val="0"/>
          <w:w w:val="100"/>
          <w:position w:val="0"/>
        </w:rPr>
        <w:t>33.96</w:t>
      </w:r>
      <w:r>
        <w:rPr>
          <w:color w:val="000000"/>
          <w:spacing w:val="0"/>
          <w:w w:val="100"/>
          <w:position w:val="0"/>
        </w:rPr>
        <w:t>亿元，充实其资本金；</w:t>
      </w:r>
      <w:r>
        <w:rPr>
          <w:rFonts w:ascii="Times New Roman" w:eastAsia="Times New Roman" w:hAnsi="Times New Roman" w:cs="Times New Roman"/>
          <w:color w:val="000000"/>
          <w:spacing w:val="0"/>
          <w:w w:val="100"/>
          <w:position w:val="0"/>
        </w:rPr>
        <w:t>12</w:t>
      </w:r>
      <w:r>
        <w:rPr>
          <w:color w:val="000000"/>
          <w:spacing w:val="0"/>
          <w:w w:val="100"/>
          <w:position w:val="0"/>
        </w:rPr>
        <w:t>月，公司（母）成功以公开和非公开方式合计发</w:t>
      </w:r>
      <w:bookmarkEnd w:id="125"/>
      <w:r>
        <w:rPr>
          <w:color w:val="000000"/>
          <w:spacing w:val="0"/>
          <w:w w:val="100"/>
          <w:position w:val="0"/>
        </w:rPr>
        <w:t xml:space="preserve"> </w:t>
      </w:r>
      <w:r>
        <w:rPr>
          <w:color w:val="000000"/>
          <w:spacing w:val="0"/>
          <w:w w:val="100"/>
          <w:position w:val="0"/>
        </w:rPr>
        <w:t>行公司债券</w:t>
      </w:r>
      <w:r>
        <w:rPr>
          <w:rFonts w:ascii="Times New Roman" w:eastAsia="Times New Roman" w:hAnsi="Times New Roman" w:cs="Times New Roman"/>
          <w:color w:val="000000"/>
          <w:spacing w:val="0"/>
          <w:w w:val="100"/>
          <w:position w:val="0"/>
        </w:rPr>
        <w:t>30</w:t>
      </w:r>
      <w:r>
        <w:rPr>
          <w:color w:val="000000"/>
          <w:spacing w:val="0"/>
          <w:w w:val="100"/>
          <w:position w:val="0"/>
        </w:rPr>
        <w:t>亿元，其中</w:t>
      </w:r>
      <w:r>
        <w:rPr>
          <w:rFonts w:ascii="Times New Roman" w:eastAsia="Times New Roman" w:hAnsi="Times New Roman" w:cs="Times New Roman"/>
          <w:color w:val="000000"/>
          <w:spacing w:val="0"/>
          <w:w w:val="100"/>
          <w:position w:val="0"/>
        </w:rPr>
        <w:t>20</w:t>
      </w:r>
      <w:r>
        <w:rPr>
          <w:color w:val="000000"/>
          <w:spacing w:val="0"/>
          <w:w w:val="100"/>
          <w:position w:val="0"/>
        </w:rPr>
        <w:t>亿元用于补充国盛证券营运资金。上述资金注入和提供为国盛证券扩大业务 规模、提升金融服务能力、增强综合竞争力奠定重要基础。</w:t>
      </w:r>
    </w:p>
    <w:p>
      <w:pPr>
        <w:pStyle w:val="Style23"/>
        <w:keepNext/>
        <w:keepLines/>
        <w:widowControl w:val="0"/>
        <w:shd w:val="clear" w:color="auto" w:fill="auto"/>
        <w:bidi w:val="0"/>
        <w:spacing w:before="0" w:after="0"/>
        <w:ind w:left="0" w:right="0" w:firstLine="540"/>
        <w:jc w:val="both"/>
      </w:pPr>
      <w:bookmarkStart w:id="126" w:name="bookmark126"/>
      <w:bookmarkStart w:id="127" w:name="bookmark127"/>
      <w:bookmarkStart w:id="128" w:name="bookmark128"/>
      <w:r>
        <w:rPr>
          <w:color w:val="000000"/>
          <w:spacing w:val="0"/>
          <w:w w:val="100"/>
          <w:position w:val="0"/>
        </w:rPr>
        <w:t>公司积极推动国盛证券市场化、专业化、规范化发展，在保持原有业务稳定发展的基础上，公司加大 对证券业务整合力度，充分利用市场资源，积极培育新的利润增长点；公司通过全新的发展理念和市场化 手段，以开放的方式吸引业内专业人才的加盟，同时建立与之相适应的人才培养和激励机制，强调团队建 设的梯队和协调发展，力图为证券公司的长远发展奠定坚实的人力资源基础。</w:t>
      </w:r>
      <w:bookmarkEnd w:id="126"/>
      <w:bookmarkEnd w:id="127"/>
      <w:bookmarkEnd w:id="128"/>
    </w:p>
    <w:p>
      <w:pPr>
        <w:pStyle w:val="Style23"/>
        <w:keepNext/>
        <w:keepLines/>
        <w:widowControl w:val="0"/>
        <w:shd w:val="clear" w:color="auto" w:fill="auto"/>
        <w:bidi w:val="0"/>
        <w:spacing w:before="0" w:after="360"/>
        <w:ind w:left="0" w:right="0" w:firstLine="540"/>
        <w:jc w:val="both"/>
      </w:pPr>
      <w:bookmarkStart w:id="129" w:name="bookmark129"/>
      <w:bookmarkStart w:id="130" w:name="bookmark130"/>
      <w:bookmarkStart w:id="131" w:name="bookmark131"/>
      <w:r>
        <w:rPr>
          <w:rFonts w:ascii="Times New Roman" w:eastAsia="Times New Roman" w:hAnsi="Times New Roman" w:cs="Times New Roman"/>
          <w:color w:val="000000"/>
          <w:spacing w:val="0"/>
          <w:w w:val="100"/>
          <w:position w:val="0"/>
        </w:rPr>
        <w:t>2016</w:t>
      </w:r>
      <w:r>
        <w:rPr>
          <w:color w:val="000000"/>
          <w:spacing w:val="0"/>
          <w:w w:val="100"/>
          <w:position w:val="0"/>
        </w:rPr>
        <w:t>年，证券市场整体环境较</w:t>
      </w:r>
      <w:r>
        <w:rPr>
          <w:rFonts w:ascii="Times New Roman" w:eastAsia="Times New Roman" w:hAnsi="Times New Roman" w:cs="Times New Roman"/>
          <w:color w:val="000000"/>
          <w:spacing w:val="0"/>
          <w:w w:val="100"/>
          <w:position w:val="0"/>
        </w:rPr>
        <w:t>2015</w:t>
      </w:r>
      <w:r>
        <w:rPr>
          <w:color w:val="000000"/>
          <w:spacing w:val="0"/>
          <w:w w:val="100"/>
          <w:position w:val="0"/>
        </w:rPr>
        <w:t>年出现了较深刻变化。全年证券交易市场量价齐跌，日均交易量 为</w:t>
      </w:r>
      <w:r>
        <w:rPr>
          <w:rFonts w:ascii="Times New Roman" w:eastAsia="Times New Roman" w:hAnsi="Times New Roman" w:cs="Times New Roman"/>
          <w:color w:val="000000"/>
          <w:spacing w:val="0"/>
          <w:w w:val="100"/>
          <w:position w:val="0"/>
        </w:rPr>
        <w:t>0.52</w:t>
      </w:r>
      <w:r>
        <w:rPr>
          <w:color w:val="000000"/>
          <w:spacing w:val="0"/>
          <w:w w:val="100"/>
          <w:position w:val="0"/>
        </w:rPr>
        <w:t>万亿元，较上年的</w:t>
      </w:r>
      <w:r>
        <w:rPr>
          <w:rFonts w:ascii="Times New Roman" w:eastAsia="Times New Roman" w:hAnsi="Times New Roman" w:cs="Times New Roman"/>
          <w:color w:val="000000"/>
          <w:spacing w:val="0"/>
          <w:w w:val="100"/>
          <w:position w:val="0"/>
        </w:rPr>
        <w:t>1.03</w:t>
      </w:r>
      <w:r>
        <w:rPr>
          <w:color w:val="000000"/>
          <w:spacing w:val="0"/>
          <w:w w:val="100"/>
          <w:position w:val="0"/>
        </w:rPr>
        <w:t>万亿下降</w:t>
      </w:r>
      <w:r>
        <w:rPr>
          <w:rFonts w:ascii="Times New Roman" w:eastAsia="Times New Roman" w:hAnsi="Times New Roman" w:cs="Times New Roman"/>
          <w:color w:val="000000"/>
          <w:spacing w:val="0"/>
          <w:w w:val="100"/>
          <w:position w:val="0"/>
        </w:rPr>
        <w:t>49.51%</w:t>
      </w:r>
      <w:r>
        <w:rPr>
          <w:color w:val="000000"/>
          <w:spacing w:val="0"/>
          <w:w w:val="100"/>
          <w:position w:val="0"/>
        </w:rPr>
        <w:t>，这给以经纪业务为主的国盛证券带来较大业绩压力。另 外，虽然公司各项优化、整合措施初见成效，但由于组织机构的调整、人员引进、团队建设以及业务布局 与开展需要一定的磨合时间，新增资本金到位时间较晚以及新增资金效益发挥速度、新的业务和利润增长 点对国盛证券</w:t>
      </w:r>
      <w:r>
        <w:rPr>
          <w:rFonts w:ascii="Times New Roman" w:eastAsia="Times New Roman" w:hAnsi="Times New Roman" w:cs="Times New Roman"/>
          <w:color w:val="000000"/>
          <w:spacing w:val="0"/>
          <w:w w:val="100"/>
          <w:position w:val="0"/>
        </w:rPr>
        <w:t>2016</w:t>
      </w:r>
      <w:r>
        <w:rPr>
          <w:color w:val="000000"/>
          <w:spacing w:val="0"/>
          <w:w w:val="100"/>
          <w:position w:val="0"/>
        </w:rPr>
        <w:t>年业绩贡献略低于预期。</w:t>
      </w:r>
      <w:bookmarkEnd w:id="129"/>
      <w:bookmarkEnd w:id="130"/>
      <w:bookmarkEnd w:id="131"/>
    </w:p>
    <w:p>
      <w:pPr>
        <w:pStyle w:val="Style23"/>
        <w:keepNext/>
        <w:keepLines/>
        <w:widowControl w:val="0"/>
        <w:shd w:val="clear" w:color="auto" w:fill="auto"/>
        <w:bidi w:val="0"/>
        <w:spacing w:before="0" w:after="0" w:line="277" w:lineRule="exact"/>
        <w:ind w:left="0" w:right="0" w:firstLine="540"/>
        <w:jc w:val="both"/>
      </w:pPr>
      <w:bookmarkStart w:id="132" w:name="bookmark132"/>
      <w:bookmarkStart w:id="133" w:name="bookmark133"/>
      <w:bookmarkStart w:id="134" w:name="bookmark134"/>
      <w:bookmarkStart w:id="135" w:name="bookmark135"/>
      <w:r>
        <w:rPr>
          <w:color w:val="000000"/>
          <w:spacing w:val="0"/>
          <w:w w:val="100"/>
          <w:position w:val="0"/>
        </w:rPr>
        <w:t>（</w:t>
      </w:r>
      <w:bookmarkEnd w:id="134"/>
      <w:r>
        <w:rPr>
          <w:color w:val="000000"/>
          <w:spacing w:val="0"/>
          <w:w w:val="100"/>
          <w:position w:val="0"/>
        </w:rPr>
        <w:t>三）以投资为纽带，进一步拓展金融服务体系</w:t>
      </w:r>
      <w:bookmarkEnd w:id="132"/>
      <w:bookmarkEnd w:id="133"/>
      <w:bookmarkEnd w:id="135"/>
    </w:p>
    <w:p>
      <w:pPr>
        <w:pStyle w:val="Style23"/>
        <w:keepNext/>
        <w:keepLines/>
        <w:widowControl w:val="0"/>
        <w:shd w:val="clear" w:color="auto" w:fill="auto"/>
        <w:tabs>
          <w:tab w:pos="746" w:val="left"/>
        </w:tabs>
        <w:bidi w:val="0"/>
        <w:spacing w:before="0" w:after="0" w:line="277" w:lineRule="exact"/>
        <w:ind w:left="0" w:right="0" w:firstLine="540"/>
        <w:jc w:val="both"/>
      </w:pPr>
      <w:bookmarkStart w:id="136" w:name="bookmark136"/>
      <w:bookmarkStart w:id="137" w:name="bookmark137"/>
      <w:bookmarkStart w:id="138" w:name="bookmark138"/>
      <w:bookmarkStart w:id="139" w:name="bookmark139"/>
      <w:r>
        <w:rPr>
          <w:rFonts w:ascii="Times New Roman" w:eastAsia="Times New Roman" w:hAnsi="Times New Roman" w:cs="Times New Roman"/>
          <w:color w:val="000000"/>
          <w:spacing w:val="0"/>
          <w:w w:val="100"/>
          <w:position w:val="0"/>
        </w:rPr>
        <w:t>1</w:t>
      </w:r>
      <w:bookmarkEnd w:id="138"/>
      <w:r>
        <w:rPr>
          <w:color w:val="000000"/>
          <w:spacing w:val="0"/>
          <w:w w:val="100"/>
          <w:position w:val="0"/>
        </w:rPr>
        <w:t>、</w:t>
        <w:tab/>
        <w:t>寻求保险企业股权投资机会。</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月，公司与西安国际医学投资股份有限公司等</w:t>
      </w:r>
      <w:r>
        <w:rPr>
          <w:rFonts w:ascii="Times New Roman" w:eastAsia="Times New Roman" w:hAnsi="Times New Roman" w:cs="Times New Roman"/>
          <w:color w:val="000000"/>
          <w:spacing w:val="0"/>
          <w:w w:val="100"/>
          <w:position w:val="0"/>
        </w:rPr>
        <w:t>8</w:t>
      </w:r>
      <w:r>
        <w:rPr>
          <w:color w:val="000000"/>
          <w:spacing w:val="0"/>
          <w:w w:val="100"/>
          <w:position w:val="0"/>
        </w:rPr>
        <w:t>家单位共 同签署《投资人股份认购协议书》，拟出资</w:t>
      </w:r>
      <w:r>
        <w:rPr>
          <w:rFonts w:ascii="Times New Roman" w:eastAsia="Times New Roman" w:hAnsi="Times New Roman" w:cs="Times New Roman"/>
          <w:color w:val="000000"/>
          <w:spacing w:val="0"/>
          <w:w w:val="100"/>
          <w:position w:val="0"/>
        </w:rPr>
        <w:t>1</w:t>
      </w:r>
      <w:r>
        <w:rPr>
          <w:color w:val="000000"/>
          <w:spacing w:val="0"/>
          <w:w w:val="100"/>
          <w:position w:val="0"/>
        </w:rPr>
        <w:t>亿元参与设立君安人寿保险股份有限公司，涉足寿险业务。 该企业的设立正在等待中国保监会核准。</w:t>
      </w:r>
      <w:bookmarkEnd w:id="136"/>
      <w:bookmarkEnd w:id="137"/>
      <w:bookmarkEnd w:id="139"/>
    </w:p>
    <w:p>
      <w:pPr>
        <w:pStyle w:val="Style23"/>
        <w:keepNext/>
        <w:keepLines/>
        <w:widowControl w:val="0"/>
        <w:shd w:val="clear" w:color="auto" w:fill="auto"/>
        <w:tabs>
          <w:tab w:pos="750" w:val="left"/>
        </w:tabs>
        <w:bidi w:val="0"/>
        <w:spacing w:before="0" w:after="0" w:line="277" w:lineRule="exact"/>
        <w:ind w:left="0" w:right="0" w:firstLine="540"/>
        <w:jc w:val="both"/>
      </w:pPr>
      <w:bookmarkStart w:id="140" w:name="bookmark140"/>
      <w:bookmarkStart w:id="141" w:name="bookmark141"/>
      <w:bookmarkStart w:id="142" w:name="bookmark142"/>
      <w:bookmarkStart w:id="143" w:name="bookmark143"/>
      <w:r>
        <w:rPr>
          <w:rFonts w:ascii="Times New Roman" w:eastAsia="Times New Roman" w:hAnsi="Times New Roman" w:cs="Times New Roman"/>
          <w:color w:val="000000"/>
          <w:spacing w:val="0"/>
          <w:w w:val="100"/>
          <w:position w:val="0"/>
        </w:rPr>
        <w:t>2</w:t>
      </w:r>
      <w:bookmarkEnd w:id="142"/>
      <w:r>
        <w:rPr>
          <w:color w:val="000000"/>
          <w:spacing w:val="0"/>
          <w:w w:val="100"/>
          <w:position w:val="0"/>
        </w:rPr>
        <w:t>、</w:t>
        <w:tab/>
        <w:t>积极布局消费金融领域。</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月，公司子公司深圳华声前海投资有限公司与北京凤凰祥瑞互 联投资基金（有限合伙）签署《股权转让协议》，以</w:t>
      </w:r>
      <w:r>
        <w:rPr>
          <w:rFonts w:ascii="Times New Roman" w:eastAsia="Times New Roman" w:hAnsi="Times New Roman" w:cs="Times New Roman"/>
          <w:color w:val="000000"/>
          <w:spacing w:val="0"/>
          <w:w w:val="100"/>
          <w:position w:val="0"/>
        </w:rPr>
        <w:t>3.75</w:t>
      </w:r>
      <w:r>
        <w:rPr>
          <w:color w:val="000000"/>
          <w:spacing w:val="0"/>
          <w:w w:val="100"/>
          <w:position w:val="0"/>
        </w:rPr>
        <w:t>亿元受让北京快乐时代科技发展有限公司（即： 趣店集团）</w:t>
      </w:r>
      <w:r>
        <w:rPr>
          <w:rFonts w:ascii="Times New Roman" w:eastAsia="Times New Roman" w:hAnsi="Times New Roman" w:cs="Times New Roman"/>
          <w:color w:val="000000"/>
          <w:spacing w:val="0"/>
          <w:w w:val="100"/>
          <w:position w:val="0"/>
        </w:rPr>
        <w:t>5%</w:t>
      </w:r>
      <w:r>
        <w:rPr>
          <w:color w:val="000000"/>
          <w:spacing w:val="0"/>
          <w:w w:val="100"/>
          <w:position w:val="0"/>
        </w:rPr>
        <w:t>股权，涉足消费金融领域。趣店集团是主要面向国内</w:t>
      </w:r>
      <w:r>
        <w:rPr>
          <w:rFonts w:ascii="Times New Roman" w:eastAsia="Times New Roman" w:hAnsi="Times New Roman" w:cs="Times New Roman"/>
          <w:color w:val="000000"/>
          <w:spacing w:val="0"/>
          <w:w w:val="100"/>
          <w:position w:val="0"/>
        </w:rPr>
        <w:t>5</w:t>
      </w:r>
      <w:r>
        <w:rPr>
          <w:color w:val="000000"/>
          <w:spacing w:val="0"/>
          <w:w w:val="100"/>
          <w:position w:val="0"/>
        </w:rPr>
        <w:t>亿非信用卡人群的互联网消费金融科 技公司，累计用户突破千万，以年轻的蓝领和白领人群为主。公司有意在投融资、资产证券化、申请设立 消费金融公司等多方面与趣店集团展开战略合作。</w:t>
      </w:r>
      <w:bookmarkEnd w:id="140"/>
      <w:bookmarkEnd w:id="141"/>
      <w:bookmarkEnd w:id="143"/>
    </w:p>
    <w:p>
      <w:pPr>
        <w:pStyle w:val="Style23"/>
        <w:keepNext/>
        <w:keepLines/>
        <w:widowControl w:val="0"/>
        <w:shd w:val="clear" w:color="auto" w:fill="auto"/>
        <w:tabs>
          <w:tab w:pos="750" w:val="left"/>
        </w:tabs>
        <w:bidi w:val="0"/>
        <w:spacing w:before="0" w:after="360" w:line="277" w:lineRule="exact"/>
        <w:ind w:left="0" w:right="0" w:firstLine="540"/>
        <w:jc w:val="both"/>
      </w:pPr>
      <w:bookmarkStart w:id="144" w:name="bookmark144"/>
      <w:bookmarkStart w:id="145" w:name="bookmark145"/>
      <w:bookmarkStart w:id="146" w:name="bookmark146"/>
      <w:bookmarkStart w:id="147" w:name="bookmark147"/>
      <w:r>
        <w:rPr>
          <w:rFonts w:ascii="Times New Roman" w:eastAsia="Times New Roman" w:hAnsi="Times New Roman" w:cs="Times New Roman"/>
          <w:color w:val="000000"/>
          <w:spacing w:val="0"/>
          <w:w w:val="100"/>
          <w:position w:val="0"/>
        </w:rPr>
        <w:t>3</w:t>
      </w:r>
      <w:bookmarkEnd w:id="146"/>
      <w:r>
        <w:rPr>
          <w:color w:val="000000"/>
          <w:spacing w:val="0"/>
          <w:w w:val="100"/>
          <w:position w:val="0"/>
        </w:rPr>
        <w:t>、</w:t>
        <w:tab/>
        <w:t>设立互联网小额贷款公司。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月，公司与深圳市加德信投资有限公司、西藏家家乐购信息 技术有限公司、吴鹰等投资人共同发起设立了广州仁诺互联网小额贷款有限公司（以下简称仁诺小贷）。 公司将通过仁诺小贷积极探索如何将互联网大数据、云计算等创新技术手段与特定金融场景相结合，从而 为未来金控平台</w:t>
      </w:r>
      <w:r>
        <w:rPr>
          <w:rFonts w:ascii="Times New Roman" w:eastAsia="Times New Roman" w:hAnsi="Times New Roman" w:cs="Times New Roman"/>
          <w:color w:val="000000"/>
          <w:spacing w:val="0"/>
          <w:w w:val="100"/>
          <w:position w:val="0"/>
        </w:rPr>
        <w:t>“</w:t>
      </w:r>
      <w:r>
        <w:rPr>
          <w:color w:val="000000"/>
          <w:spacing w:val="0"/>
          <w:w w:val="100"/>
          <w:position w:val="0"/>
        </w:rPr>
        <w:t>金融</w:t>
      </w:r>
      <w:r>
        <w:rPr>
          <w:rFonts w:ascii="Times New Roman" w:eastAsia="Times New Roman" w:hAnsi="Times New Roman" w:cs="Times New Roman"/>
          <w:color w:val="000000"/>
          <w:spacing w:val="0"/>
          <w:w w:val="100"/>
          <w:position w:val="0"/>
        </w:rPr>
        <w:t>+</w:t>
      </w:r>
      <w:r>
        <w:rPr>
          <w:color w:val="000000"/>
          <w:spacing w:val="0"/>
          <w:w w:val="100"/>
          <w:position w:val="0"/>
        </w:rPr>
        <w:t>科技</w:t>
      </w:r>
      <w:r>
        <w:rPr>
          <w:rFonts w:ascii="Times New Roman" w:eastAsia="Times New Roman" w:hAnsi="Times New Roman" w:cs="Times New Roman"/>
          <w:color w:val="000000"/>
          <w:spacing w:val="0"/>
          <w:w w:val="100"/>
          <w:position w:val="0"/>
        </w:rPr>
        <w:t>''</w:t>
      </w:r>
      <w:r>
        <w:rPr>
          <w:color w:val="000000"/>
          <w:spacing w:val="0"/>
          <w:w w:val="100"/>
          <w:position w:val="0"/>
        </w:rPr>
        <w:t>的全面布局积累经验。目前，该公司设立事项已通过广州市金融工作局组织 的广州民间金融街小额贷款公司准入评审，正在积极筹备设立中。</w:t>
      </w:r>
      <w:bookmarkEnd w:id="144"/>
      <w:bookmarkEnd w:id="145"/>
      <w:bookmarkEnd w:id="147"/>
    </w:p>
    <w:p>
      <w:pPr>
        <w:pStyle w:val="Style23"/>
        <w:keepNext/>
        <w:keepLines/>
        <w:widowControl w:val="0"/>
        <w:shd w:val="clear" w:color="auto" w:fill="auto"/>
        <w:bidi w:val="0"/>
        <w:spacing w:before="0" w:after="0" w:line="271" w:lineRule="exact"/>
        <w:ind w:left="0" w:right="0" w:firstLine="540"/>
        <w:jc w:val="both"/>
      </w:pPr>
      <w:bookmarkStart w:id="148" w:name="bookmark148"/>
      <w:bookmarkStart w:id="149" w:name="bookmark149"/>
      <w:bookmarkStart w:id="150" w:name="bookmark150"/>
      <w:bookmarkStart w:id="151" w:name="bookmark151"/>
      <w:r>
        <w:rPr>
          <w:color w:val="000000"/>
          <w:spacing w:val="0"/>
          <w:w w:val="100"/>
          <w:position w:val="0"/>
        </w:rPr>
        <w:t>（</w:t>
      </w:r>
      <w:bookmarkEnd w:id="150"/>
      <w:r>
        <w:rPr>
          <w:color w:val="000000"/>
          <w:spacing w:val="0"/>
          <w:w w:val="100"/>
          <w:position w:val="0"/>
        </w:rPr>
        <w:t>四）加强降本增效管理，推进线缆业务开展</w:t>
      </w:r>
      <w:bookmarkEnd w:id="148"/>
      <w:bookmarkEnd w:id="149"/>
      <w:bookmarkEnd w:id="151"/>
    </w:p>
    <w:p>
      <w:pPr>
        <w:pStyle w:val="Style33"/>
        <w:keepNext w:val="0"/>
        <w:keepLines w:val="0"/>
        <w:widowControl w:val="0"/>
        <w:shd w:val="clear" w:color="auto" w:fill="auto"/>
        <w:bidi w:val="0"/>
        <w:spacing w:before="0" w:after="360" w:line="271" w:lineRule="exact"/>
        <w:ind w:left="0" w:right="0" w:firstLine="540"/>
        <w:jc w:val="both"/>
      </w:pPr>
      <w:r>
        <w:rPr>
          <w:color w:val="000000"/>
          <w:spacing w:val="0"/>
          <w:w w:val="100"/>
          <w:position w:val="0"/>
        </w:rPr>
        <w:t>报告期内，线缆业务团队采取一系列扩收降本增效措施：一是建立销售激励机制，调动销售人员积极 性；二是加强订单结构管理，提升产品整体毛利率；三是加强投入产出与质量控制，开发新工艺，提升产 品盈利能力与市场竞争力。</w:t>
      </w:r>
    </w:p>
    <w:p>
      <w:pPr>
        <w:pStyle w:val="Style23"/>
        <w:keepNext/>
        <w:keepLines/>
        <w:widowControl w:val="0"/>
        <w:shd w:val="clear" w:color="auto" w:fill="auto"/>
        <w:bidi w:val="0"/>
        <w:spacing w:before="0" w:after="360" w:line="240" w:lineRule="auto"/>
        <w:ind w:left="0" w:right="0" w:firstLine="0"/>
        <w:jc w:val="left"/>
        <w:rPr>
          <w:sz w:val="22"/>
          <w:szCs w:val="22"/>
        </w:rPr>
      </w:pPr>
      <w:bookmarkStart w:id="152" w:name="bookmark152"/>
      <w:bookmarkStart w:id="153" w:name="bookmark153"/>
      <w:bookmarkStart w:id="154" w:name="bookmark154"/>
      <w:bookmarkStart w:id="155" w:name="bookmark155"/>
      <w:r>
        <w:rPr>
          <w:b/>
          <w:bCs/>
          <w:color w:val="000000"/>
          <w:spacing w:val="0"/>
          <w:w w:val="100"/>
          <w:position w:val="0"/>
          <w:sz w:val="22"/>
          <w:szCs w:val="22"/>
        </w:rPr>
        <w:t>二</w:t>
      </w:r>
      <w:bookmarkEnd w:id="154"/>
      <w:r>
        <w:rPr>
          <w:b/>
          <w:bCs/>
          <w:color w:val="000000"/>
          <w:spacing w:val="0"/>
          <w:w w:val="100"/>
          <w:position w:val="0"/>
          <w:sz w:val="22"/>
          <w:szCs w:val="22"/>
        </w:rPr>
        <w:t>、主营业务分析</w:t>
      </w:r>
      <w:bookmarkEnd w:id="152"/>
      <w:bookmarkEnd w:id="153"/>
      <w:bookmarkEnd w:id="155"/>
    </w:p>
    <w:p>
      <w:pPr>
        <w:pStyle w:val="Style30"/>
        <w:keepNext/>
        <w:keepLines/>
        <w:widowControl w:val="0"/>
        <w:shd w:val="clear" w:color="auto" w:fill="auto"/>
        <w:tabs>
          <w:tab w:pos="328" w:val="left"/>
        </w:tabs>
        <w:bidi w:val="0"/>
        <w:spacing w:before="0" w:after="280" w:line="283" w:lineRule="auto"/>
        <w:ind w:left="0" w:right="0" w:firstLine="0"/>
        <w:jc w:val="both"/>
      </w:pPr>
      <w:bookmarkStart w:id="156" w:name="bookmark156"/>
      <w:bookmarkStart w:id="157" w:name="bookmark157"/>
      <w:bookmarkStart w:id="158" w:name="bookmark158"/>
      <w:bookmarkStart w:id="159" w:name="bookmark159"/>
      <w:r>
        <w:rPr>
          <w:rFonts w:ascii="Times New Roman" w:eastAsia="Times New Roman" w:hAnsi="Times New Roman" w:cs="Times New Roman"/>
          <w:color w:val="000000"/>
          <w:spacing w:val="0"/>
          <w:w w:val="100"/>
          <w:position w:val="0"/>
        </w:rPr>
        <w:t>1</w:t>
      </w:r>
      <w:bookmarkEnd w:id="158"/>
      <w:r>
        <w:rPr>
          <w:color w:val="000000"/>
          <w:spacing w:val="0"/>
          <w:w w:val="100"/>
          <w:position w:val="0"/>
        </w:rPr>
        <w:t>、</w:t>
        <w:tab/>
        <w:t>概述</w:t>
      </w:r>
      <w:bookmarkEnd w:id="156"/>
      <w:bookmarkEnd w:id="157"/>
      <w:bookmarkEnd w:id="159"/>
    </w:p>
    <w:p>
      <w:pPr>
        <w:pStyle w:val="Style33"/>
        <w:keepNext w:val="0"/>
        <w:keepLines w:val="0"/>
        <w:widowControl w:val="0"/>
        <w:shd w:val="clear" w:color="auto" w:fill="auto"/>
        <w:bidi w:val="0"/>
        <w:spacing w:before="0" w:after="360" w:line="271" w:lineRule="exact"/>
        <w:ind w:left="0" w:right="0" w:firstLine="540"/>
        <w:jc w:val="both"/>
      </w:pPr>
      <w:r>
        <w:rPr>
          <w:color w:val="000000"/>
          <w:spacing w:val="0"/>
          <w:w w:val="100"/>
          <w:position w:val="0"/>
        </w:rPr>
        <w:t>参见</w:t>
      </w:r>
      <w:r>
        <w:rPr>
          <w:rFonts w:ascii="Times New Roman" w:eastAsia="Times New Roman" w:hAnsi="Times New Roman" w:cs="Times New Roman"/>
          <w:color w:val="000000"/>
          <w:spacing w:val="0"/>
          <w:w w:val="100"/>
          <w:position w:val="0"/>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rPr>
        <w:t>''</w:t>
      </w:r>
      <w:r>
        <w:rPr>
          <w:color w:val="000000"/>
          <w:spacing w:val="0"/>
          <w:w w:val="100"/>
          <w:position w:val="0"/>
        </w:rPr>
        <w:t>中的</w:t>
      </w:r>
      <w:r>
        <w:rPr>
          <w:rFonts w:ascii="Times New Roman" w:eastAsia="Times New Roman" w:hAnsi="Times New Roman" w:cs="Times New Roman"/>
          <w:color w:val="000000"/>
          <w:spacing w:val="0"/>
          <w:w w:val="100"/>
          <w:position w:val="0"/>
        </w:rPr>
        <w:t>“</w:t>
      </w:r>
      <w:r>
        <w:rPr>
          <w:color w:val="000000"/>
          <w:spacing w:val="0"/>
          <w:w w:val="100"/>
          <w:position w:val="0"/>
        </w:rPr>
        <w:t>一、概述</w:t>
      </w:r>
      <w:r>
        <w:rPr>
          <w:rFonts w:ascii="Times New Roman" w:eastAsia="Times New Roman" w:hAnsi="Times New Roman" w:cs="Times New Roman"/>
          <w:color w:val="000000"/>
          <w:spacing w:val="0"/>
          <w:w w:val="100"/>
          <w:position w:val="0"/>
        </w:rPr>
        <w:t>''</w:t>
      </w:r>
      <w:r>
        <w:rPr>
          <w:color w:val="000000"/>
          <w:spacing w:val="0"/>
          <w:w w:val="100"/>
          <w:position w:val="0"/>
        </w:rPr>
        <w:t>相关内容。</w:t>
      </w:r>
    </w:p>
    <w:p>
      <w:pPr>
        <w:pStyle w:val="Style30"/>
        <w:keepNext/>
        <w:keepLines/>
        <w:widowControl w:val="0"/>
        <w:shd w:val="clear" w:color="auto" w:fill="auto"/>
        <w:tabs>
          <w:tab w:pos="338" w:val="left"/>
        </w:tabs>
        <w:bidi w:val="0"/>
        <w:spacing w:before="0" w:after="280" w:line="283" w:lineRule="auto"/>
        <w:ind w:left="0" w:right="0" w:firstLine="0"/>
        <w:jc w:val="both"/>
      </w:pPr>
      <w:bookmarkStart w:id="160" w:name="bookmark160"/>
      <w:bookmarkStart w:id="161" w:name="bookmark161"/>
      <w:bookmarkStart w:id="162" w:name="bookmark162"/>
      <w:bookmarkStart w:id="163" w:name="bookmark163"/>
      <w:r>
        <w:rPr>
          <w:rFonts w:ascii="Times New Roman" w:eastAsia="Times New Roman" w:hAnsi="Times New Roman" w:cs="Times New Roman"/>
          <w:color w:val="000000"/>
          <w:spacing w:val="0"/>
          <w:w w:val="100"/>
          <w:position w:val="0"/>
        </w:rPr>
        <w:t>2</w:t>
      </w:r>
      <w:bookmarkEnd w:id="162"/>
      <w:r>
        <w:rPr>
          <w:color w:val="000000"/>
          <w:spacing w:val="0"/>
          <w:w w:val="100"/>
          <w:position w:val="0"/>
        </w:rPr>
        <w:t>、</w:t>
        <w:tab/>
        <w:t>收入与成本</w:t>
      </w:r>
      <w:bookmarkEnd w:id="160"/>
      <w:bookmarkEnd w:id="161"/>
      <w:bookmarkEnd w:id="163"/>
    </w:p>
    <w:p>
      <w:pPr>
        <w:pStyle w:val="Style47"/>
        <w:keepNext/>
        <w:keepLines/>
        <w:widowControl w:val="0"/>
        <w:shd w:val="clear" w:color="auto" w:fill="auto"/>
        <w:bidi w:val="0"/>
        <w:spacing w:before="0" w:line="271" w:lineRule="exact"/>
        <w:ind w:left="0" w:right="0" w:firstLine="0"/>
        <w:jc w:val="both"/>
      </w:pPr>
      <w:bookmarkStart w:id="164" w:name="bookmark164"/>
      <w:bookmarkStart w:id="165" w:name="bookmark165"/>
      <w:bookmarkStart w:id="166" w:name="bookmark166"/>
      <w:bookmarkStart w:id="167" w:name="bookmark167"/>
      <w:r>
        <w:rPr>
          <w:color w:val="000000"/>
          <w:spacing w:val="0"/>
          <w:w w:val="100"/>
          <w:position w:val="0"/>
        </w:rPr>
        <w:t>（</w:t>
      </w:r>
      <w:bookmarkEnd w:id="166"/>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64"/>
      <w:bookmarkEnd w:id="165"/>
      <w:bookmarkEnd w:id="16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98"/>
        <w:gridCol w:w="1843"/>
        <w:gridCol w:w="1565"/>
        <w:gridCol w:w="1982"/>
        <w:gridCol w:w="1286"/>
        <w:gridCol w:w="1003"/>
      </w:tblGrid>
      <w:tr>
        <w:trPr>
          <w:trHeight w:val="341"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同比增 减</w:t>
            </w:r>
          </w:p>
        </w:tc>
      </w:tr>
      <w:tr>
        <w:trPr>
          <w:trHeight w:val="64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占营业总收入 比重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占营业总收 入比重</w:t>
            </w:r>
          </w:p>
        </w:tc>
        <w:tc>
          <w:tcPr>
            <w:vMerge/>
            <w:tcBorders>
              <w:left w:val="single" w:sz="4"/>
              <w:right w:val="single" w:sz="4"/>
            </w:tcBorders>
            <w:shd w:val="clear" w:color="auto" w:fill="FFFFFF"/>
            <w:vAlign w:val="center"/>
          </w:tcPr>
          <w:p>
            <w:pPr/>
          </w:p>
        </w:tc>
      </w:tr>
      <w:tr>
        <w:trPr>
          <w:trHeight w:val="35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营业总收入合计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1,641,860,329.98</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1,049,493,193.33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56.44%</w:t>
            </w:r>
          </w:p>
        </w:tc>
      </w:tr>
    </w:tbl>
    <w:p>
      <w:pPr>
        <w:widowControl w:val="0"/>
        <w:spacing w:line="1" w:lineRule="exact"/>
      </w:pPr>
      <w:r>
        <w:br w:type="page"/>
      </w:r>
    </w:p>
    <w:tbl>
      <w:tblPr>
        <w:tblOverlap w:val="never"/>
        <w:jc w:val="center"/>
        <w:tblLayout w:type="fixed"/>
      </w:tblPr>
      <w:tblGrid>
        <w:gridCol w:w="2098"/>
        <w:gridCol w:w="1843"/>
        <w:gridCol w:w="1565"/>
        <w:gridCol w:w="1982"/>
        <w:gridCol w:w="1286"/>
        <w:gridCol w:w="1003"/>
      </w:tblGrid>
      <w:tr>
        <w:trPr>
          <w:trHeight w:val="346" w:hRule="exact"/>
        </w:trPr>
        <w:tc>
          <w:tcPr>
            <w:gridSpan w:val="6"/>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33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线缆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819,893,522.46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49.94%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1,049,493,193.33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-21.89%</w:t>
            </w:r>
          </w:p>
        </w:tc>
      </w:tr>
      <w:tr>
        <w:trPr>
          <w:trHeight w:val="33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821,966,807.52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50.06%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gridSpan w:val="6"/>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31" w:hRule="exact"/>
        </w:trPr>
        <w:tc>
          <w:tcPr>
            <w:gridSpan w:val="6"/>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线缆</w:t>
            </w:r>
          </w:p>
        </w:tc>
      </w:tr>
      <w:tr>
        <w:trPr>
          <w:trHeight w:val="33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空调连接组件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586,158,211.85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35.70%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742,482,610.12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70.75%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-21.05%</w:t>
            </w:r>
          </w:p>
        </w:tc>
      </w:tr>
      <w:tr>
        <w:trPr>
          <w:trHeight w:val="33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空调电源输入组件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179,315,021.51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10.92%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249,149,437.62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23.74%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-28.03%</w:t>
            </w:r>
          </w:p>
        </w:tc>
      </w:tr>
      <w:tr>
        <w:trPr>
          <w:trHeight w:val="64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pPr>
            <w:r>
              <w:rPr>
                <w:color w:val="000000"/>
                <w:spacing w:val="0"/>
                <w:w w:val="100"/>
                <w:position w:val="0"/>
              </w:rPr>
              <w:t>电热水器电源输入</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组件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20,934,754.05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22,225,273.30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-5.81%</w:t>
            </w:r>
          </w:p>
        </w:tc>
      </w:tr>
      <w:tr>
        <w:trPr>
          <w:trHeight w:val="64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pPr>
            <w:r>
              <w:rPr>
                <w:color w:val="000000"/>
                <w:spacing w:val="0"/>
                <w:w w:val="100"/>
                <w:position w:val="0"/>
              </w:rPr>
              <w:t>冰洗电器电源输入</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组件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15,706,718.15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0.96%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14,872,720.92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5.61%</w:t>
            </w:r>
          </w:p>
        </w:tc>
      </w:tr>
      <w:tr>
        <w:trPr>
          <w:trHeight w:val="64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其他家电电源输入</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组件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17,621,243.22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20,549,279.89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-14.25%</w:t>
            </w:r>
          </w:p>
        </w:tc>
      </w:tr>
      <w:tr>
        <w:trPr>
          <w:trHeight w:val="33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材料销售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157,573.68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0.01%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213,871.48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0.02%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-26.32%</w:t>
            </w:r>
          </w:p>
        </w:tc>
      </w:tr>
      <w:tr>
        <w:trPr>
          <w:trHeight w:val="336" w:hRule="exact"/>
        </w:trPr>
        <w:tc>
          <w:tcPr>
            <w:gridSpan w:val="6"/>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w:t>
            </w:r>
          </w:p>
        </w:tc>
      </w:tr>
      <w:tr>
        <w:trPr>
          <w:trHeight w:val="33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证券经纪业务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372,378,490.52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22.68%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期货经纪业务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5,312,741.17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0.32%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投资银行业务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70,564,467.28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4.30%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资产管理业务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34,835,122.55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335,514,816.76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20.44%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3,361,169.24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gridSpan w:val="6"/>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31" w:hRule="exact"/>
        </w:trPr>
        <w:tc>
          <w:tcPr>
            <w:gridSpan w:val="6"/>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线缆</w:t>
            </w:r>
          </w:p>
        </w:tc>
      </w:tr>
      <w:tr>
        <w:trPr>
          <w:trHeight w:val="33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267,586,280.54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16.29%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331,125,222.80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31.53%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-19.18%</w:t>
            </w:r>
          </w:p>
        </w:tc>
      </w:tr>
      <w:tr>
        <w:trPr>
          <w:trHeight w:val="33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514,873,561.90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31.36%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683,078,148.70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65.09%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-24.62%</w:t>
            </w:r>
          </w:p>
        </w:tc>
      </w:tr>
      <w:tr>
        <w:trPr>
          <w:trHeight w:val="33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37,433,680.02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35,289,821.83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6.08%</w:t>
            </w:r>
          </w:p>
        </w:tc>
      </w:tr>
      <w:tr>
        <w:trPr>
          <w:trHeight w:val="336" w:hRule="exact"/>
        </w:trPr>
        <w:tc>
          <w:tcPr>
            <w:gridSpan w:val="6"/>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w:t>
            </w:r>
          </w:p>
        </w:tc>
      </w:tr>
      <w:tr>
        <w:trPr>
          <w:trHeight w:val="33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江西省内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603,802,518.49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36.78%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江西省外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218,164,289.03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13.29%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pPr>
            <w:bookmarkStart w:id="168" w:name="bookmark168"/>
            <w:r>
              <w:rPr>
                <w:color w:val="000000"/>
                <w:spacing w:val="0"/>
                <w:w w:val="100"/>
                <w:position w:val="0"/>
              </w:rPr>
              <w:t>注：证券业的营业</w:t>
            </w:r>
            <w:bookmarkEnd w:id="168"/>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上成本除包括利润表的利息支出、手续</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:费及佣金支出，还包:</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括证券业的业务及管理费</w:t>
            </w:r>
          </w:p>
        </w:tc>
      </w:tr>
    </w:tbl>
    <w:p>
      <w:pPr>
        <w:widowControl w:val="0"/>
        <w:spacing w:after="59" w:line="1" w:lineRule="exact"/>
      </w:pPr>
    </w:p>
    <w:p>
      <w:pPr>
        <w:pStyle w:val="Style47"/>
        <w:keepNext/>
        <w:keepLines/>
        <w:widowControl w:val="0"/>
        <w:shd w:val="clear" w:color="auto" w:fill="auto"/>
        <w:bidi w:val="0"/>
        <w:spacing w:before="0" w:line="240" w:lineRule="auto"/>
        <w:ind w:left="0" w:right="0" w:firstLine="220"/>
        <w:jc w:val="both"/>
      </w:pPr>
      <w:bookmarkStart w:id="169" w:name="bookmark169"/>
      <w:bookmarkStart w:id="170" w:name="bookmark170"/>
      <w:bookmarkStart w:id="171" w:name="bookmark171"/>
      <w:r>
        <w:rPr>
          <w:rFonts w:ascii="Times New Roman" w:eastAsia="Times New Roman" w:hAnsi="Times New Roman" w:cs="Times New Roman"/>
          <w:b w:val="0"/>
          <w:bCs w:val="0"/>
          <w:color w:val="000000"/>
          <w:spacing w:val="0"/>
          <w:w w:val="100"/>
          <w:position w:val="0"/>
        </w:rPr>
        <w:t xml:space="preserve">296,565,152.61 </w:t>
      </w:r>
      <w:r>
        <w:rPr>
          <w:b w:val="0"/>
          <w:bCs w:val="0"/>
          <w:color w:val="000000"/>
          <w:spacing w:val="0"/>
          <w:w w:val="100"/>
          <w:position w:val="0"/>
        </w:rPr>
        <w:t>元</w:t>
      </w:r>
      <w:bookmarkEnd w:id="169"/>
      <w:bookmarkEnd w:id="170"/>
      <w:bookmarkEnd w:id="171"/>
    </w:p>
    <w:p>
      <w:pPr>
        <w:pStyle w:val="Style33"/>
        <w:keepNext w:val="0"/>
        <w:keepLines w:val="0"/>
        <w:widowControl w:val="0"/>
        <w:numPr>
          <w:ilvl w:val="0"/>
          <w:numId w:val="1"/>
        </w:numPr>
        <w:shd w:val="clear" w:color="auto" w:fill="auto"/>
        <w:tabs>
          <w:tab w:pos="8058" w:val="left"/>
        </w:tabs>
        <w:bidi w:val="0"/>
        <w:spacing w:before="0" w:after="360" w:line="240" w:lineRule="auto"/>
        <w:ind w:left="0" w:right="0" w:firstLine="220"/>
        <w:jc w:val="both"/>
      </w:pPr>
      <w:bookmarkStart w:id="172" w:name="bookmark172"/>
      <w:bookmarkStart w:id="173" w:name="bookmark173"/>
      <w:bookmarkEnd w:id="172"/>
      <w:r>
        <w:rPr>
          <w:b/>
          <w:bCs/>
          <w:color w:val="000000"/>
          <w:spacing w:val="0"/>
          <w:w w:val="100"/>
          <w:position w:val="0"/>
        </w:rPr>
        <w:t>占公司营业收入或营业利润</w:t>
      </w:r>
      <w:r>
        <w:rPr>
          <w:rFonts w:ascii="Times New Roman" w:eastAsia="Times New Roman" w:hAnsi="Times New Roman" w:cs="Times New Roman"/>
          <w:b/>
          <w:bCs/>
          <w:color w:val="000000"/>
          <w:spacing w:val="0"/>
          <w:w w:val="100"/>
          <w:position w:val="0"/>
        </w:rPr>
        <w:t>10%</w:t>
      </w:r>
      <w:r>
        <w:rPr>
          <w:b/>
          <w:bCs/>
          <w:color w:val="000000"/>
          <w:spacing w:val="0"/>
          <w:w w:val="100"/>
          <w:position w:val="0"/>
        </w:rPr>
        <w:t>以上的行业、产品或地区情况</w:t>
        <w:tab/>
      </w:r>
      <w:r>
        <w:rPr>
          <w:rFonts w:ascii="Times New Roman" w:eastAsia="Times New Roman" w:hAnsi="Times New Roman" w:cs="Times New Roman"/>
          <w:color w:val="000000"/>
          <w:spacing w:val="0"/>
          <w:w w:val="100"/>
          <w:position w:val="0"/>
        </w:rPr>
        <w:t>4</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173"/>
    </w:p>
    <w:p>
      <w:pPr>
        <w:pStyle w:val="Style33"/>
        <w:keepNext w:val="0"/>
        <w:keepLines w:val="0"/>
        <w:widowControl w:val="0"/>
        <w:shd w:val="clear" w:color="auto" w:fill="auto"/>
        <w:tabs>
          <w:tab w:pos="9513" w:val="left"/>
        </w:tabs>
        <w:bidi w:val="0"/>
        <w:spacing w:before="0" w:after="100" w:line="240" w:lineRule="auto"/>
        <w:ind w:left="0" w:right="0" w:firstLine="220"/>
        <w:jc w:val="both"/>
      </w:pPr>
      <w:bookmarkStart w:id="174" w:name="bookmark174"/>
      <w:r>
        <w:rPr>
          <w:color w:val="000000"/>
          <w:spacing w:val="0"/>
          <w:w w:val="100"/>
          <w:position w:val="0"/>
        </w:rPr>
        <w:t>公</w:t>
      </w:r>
      <w:bookmarkEnd w:id="174"/>
      <w:r>
        <w:rPr>
          <w:color w:val="000000"/>
          <w:spacing w:val="0"/>
          <w:w w:val="100"/>
          <w:position w:val="0"/>
        </w:rPr>
        <w:t>司是否需要遵守特殊行业的披露要求</w:t>
        <w:tab/>
        <w:t>否</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57"/>
        <w:gridCol w:w="1560"/>
        <w:gridCol w:w="1560"/>
        <w:gridCol w:w="989"/>
        <w:gridCol w:w="1051"/>
        <w:gridCol w:w="1142"/>
        <w:gridCol w:w="1075"/>
      </w:tblGrid>
      <w:tr>
        <w:trPr>
          <w:trHeight w:val="103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营业收入 比上年同 期增减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5" w:lineRule="exact"/>
              <w:ind w:left="0" w:right="0" w:firstLine="0"/>
              <w:jc w:val="center"/>
            </w:pPr>
            <w:r>
              <w:rPr>
                <w:color w:val="000000"/>
                <w:spacing w:val="0"/>
                <w:w w:val="100"/>
                <w:position w:val="0"/>
              </w:rPr>
              <w:t>营业成本 比上年同 期增减</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毛利率比 上年同期 增减</w:t>
            </w:r>
          </w:p>
        </w:tc>
      </w:tr>
      <w:tr>
        <w:trPr>
          <w:trHeight w:val="403" w:hRule="exact"/>
        </w:trPr>
        <w:tc>
          <w:tcPr>
            <w:gridSpan w:val="7"/>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线缆</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819,893,522.46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684,491,530.17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16.51%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-21.88%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-24.52%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21.55%</w:t>
            </w:r>
          </w:p>
        </w:tc>
      </w:tr>
    </w:tbl>
    <w:p>
      <w:pPr>
        <w:widowControl w:val="0"/>
        <w:spacing w:line="1" w:lineRule="exact"/>
      </w:pPr>
      <w:r>
        <w:br w:type="page"/>
      </w:r>
    </w:p>
    <w:tbl>
      <w:tblPr>
        <w:tblOverlap w:val="never"/>
        <w:jc w:val="center"/>
        <w:tblLayout w:type="fixed"/>
      </w:tblPr>
      <w:tblGrid>
        <w:gridCol w:w="2357"/>
        <w:gridCol w:w="1560"/>
        <w:gridCol w:w="1546"/>
        <w:gridCol w:w="1008"/>
        <w:gridCol w:w="1027"/>
        <w:gridCol w:w="1166"/>
        <w:gridCol w:w="1037"/>
      </w:tblGrid>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821,966,807.52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506,064,695.75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38.43%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7"/>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gridSpan w:val="7"/>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线缆</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空调连接组件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586,158,211.85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483,576,052.26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17.50%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-21.05%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-23.22%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15.32%</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空调电源输入组件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179,315,021.51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159,435,482.13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11.09%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-28.03%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-30.85%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48.63%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电热水器电源输入组件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20,934,754.05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16,197,410.69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22.63%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-14.64%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54.72%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冰洗电器电源输入组件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15,706,718.15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13,206,857.94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15.92%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其他家电电源输入组件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17,621,243.22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11,919,105.35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32.36%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18.88%</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157,573.68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156,621.80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-26.32%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-99.28%</w:t>
            </w:r>
          </w:p>
        </w:tc>
      </w:tr>
      <w:tr>
        <w:trPr>
          <w:trHeight w:val="403" w:hRule="exact"/>
        </w:trPr>
        <w:tc>
          <w:tcPr>
            <w:gridSpan w:val="7"/>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证券经纪业务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372,378,490.52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334,986,008.81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期货经纪业务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5,312,741.17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5,717,312.25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投资银行业务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70,564,467.28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24,730,141.82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64.95%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资产管理业务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34,835,122.55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20,973,292.92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39.79%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335,514,816.76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117,964,237.86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64.84%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3,361,169.24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7"/>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线缆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267,428,706.86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220,345,865.36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17.61%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-19.18%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-22.15%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21.74%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515,031,135.58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435,407,647.36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15.46%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-24.63%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-26.92%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20.96%</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37,433,680.02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28,738,017.45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23.23%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81.76%</w:t>
            </w:r>
          </w:p>
        </w:tc>
      </w:tr>
      <w:tr>
        <w:trPr>
          <w:trHeight w:val="403" w:hRule="exact"/>
        </w:trPr>
        <w:tc>
          <w:tcPr>
            <w:gridSpan w:val="7"/>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江西省内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603,802,518.49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322,163,960.31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46.64%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江西省外</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218,164,289.03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183,900,735.44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15.71%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tabs>
          <w:tab w:pos="8198" w:val="left"/>
        </w:tabs>
        <w:bidi w:val="0"/>
        <w:spacing w:before="0" w:after="0" w:line="322" w:lineRule="exact"/>
        <w:ind w:left="220" w:right="0" w:firstLine="0"/>
        <w:jc w:val="left"/>
      </w:pPr>
      <w:bookmarkStart w:id="175" w:name="bookmark175"/>
      <w:r>
        <w:rPr>
          <w:color w:val="000000"/>
          <w:spacing w:val="0"/>
          <w:w w:val="100"/>
          <w:position w:val="0"/>
        </w:rPr>
        <w:t>公</w:t>
      </w:r>
      <w:bookmarkEnd w:id="175"/>
      <w:r>
        <w:rPr>
          <w:color w:val="000000"/>
          <w:spacing w:val="0"/>
          <w:w w:val="100"/>
          <w:position w:val="0"/>
        </w:rPr>
        <w:t>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年按报告期末口径调整后的主营业务 数据</w:t>
        <w:tab/>
      </w: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widowControl w:val="0"/>
        <w:spacing w:line="1" w:lineRule="exact"/>
      </w:pPr>
      <w:r>
        <mc:AlternateContent>
          <mc:Choice Requires="wps">
            <w:drawing>
              <wp:anchor distT="142875" distB="396240" distL="0" distR="0" simplePos="0" relativeHeight="125829378" behindDoc="0" locked="0" layoutInCell="1" allowOverlap="1">
                <wp:simplePos x="0" y="0"/>
                <wp:positionH relativeFrom="page">
                  <wp:posOffset>822960</wp:posOffset>
                </wp:positionH>
                <wp:positionV relativeFrom="paragraph">
                  <wp:posOffset>142875</wp:posOffset>
                </wp:positionV>
                <wp:extent cx="265430" cy="170815"/>
                <wp:wrapTopAndBottom/>
                <wp:docPr id="11" name="Shape 11"/>
                <a:graphic xmlns:a="http://schemas.openxmlformats.org/drawingml/2006/main">
                  <a:graphicData uri="http://schemas.microsoft.com/office/word/2010/wordprocessingShape">
                    <wps:wsp>
                      <wps:cNvSpPr txBox="1"/>
                      <wps:spPr>
                        <a:xfrm>
                          <a:ext cx="265430" cy="170815"/>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both"/>
                            </w:pPr>
                            <w:bookmarkStart w:id="75" w:name="bookmark75"/>
                            <w:r>
                              <w:rPr>
                                <w:b/>
                                <w:bCs/>
                                <w:color w:val="000000"/>
                                <w:spacing w:val="0"/>
                                <w:w w:val="100"/>
                                <w:position w:val="0"/>
                              </w:rPr>
                              <w:t>(3</w:t>
                            </w:r>
                            <w:r>
                              <w:rPr>
                                <w:rFonts w:ascii="SimSun" w:eastAsia="SimSun" w:hAnsi="SimSun" w:cs="SimSun"/>
                                <w:b/>
                                <w:bCs/>
                                <w:color w:val="000000"/>
                                <w:spacing w:val="0"/>
                                <w:w w:val="100"/>
                                <w:position w:val="0"/>
                              </w:rPr>
                              <w:t>)</w:t>
                            </w:r>
                            <w:bookmarkEnd w:id="75"/>
                          </w:p>
                        </w:txbxContent>
                      </wps:txbx>
                      <wps:bodyPr wrap="none" lIns="0" tIns="0" rIns="0" bIns="0">
                        <a:noAutoFit/>
                      </wps:bodyPr>
                    </wps:wsp>
                  </a:graphicData>
                </a:graphic>
              </wp:anchor>
            </w:drawing>
          </mc:Choice>
          <mc:Fallback>
            <w:pict>
              <v:shape id="_x0000_s1037" type="#_x0000_t202" style="position:absolute;margin-left:64.799999999999997pt;margin-top:11.25pt;width:20.900000000000002pt;height:13.450000000000001pt;z-index:-125829375;mso-wrap-distance-left:0;mso-wrap-distance-top:11.25pt;mso-wrap-distance-right:0;mso-wrap-distance-bottom:31.199999999999999pt;mso-position-horizontal-relative:page" filled="f" stroked="f">
                <v:textbox inset="0,0,0,0">
                  <w:txbxContent>
                    <w:p>
                      <w:pPr>
                        <w:pStyle w:val="Style41"/>
                        <w:keepNext w:val="0"/>
                        <w:keepLines w:val="0"/>
                        <w:widowControl w:val="0"/>
                        <w:shd w:val="clear" w:color="auto" w:fill="auto"/>
                        <w:bidi w:val="0"/>
                        <w:spacing w:before="0" w:after="0" w:line="240" w:lineRule="auto"/>
                        <w:ind w:left="0" w:right="0" w:firstLine="0"/>
                        <w:jc w:val="both"/>
                      </w:pPr>
                      <w:bookmarkStart w:id="75" w:name="bookmark75"/>
                      <w:r>
                        <w:rPr>
                          <w:b/>
                          <w:bCs/>
                          <w:color w:val="000000"/>
                          <w:spacing w:val="0"/>
                          <w:w w:val="100"/>
                          <w:position w:val="0"/>
                        </w:rPr>
                        <w:t>(3</w:t>
                      </w:r>
                      <w:r>
                        <w:rPr>
                          <w:rFonts w:ascii="SimSun" w:eastAsia="SimSun" w:hAnsi="SimSun" w:cs="SimSun"/>
                          <w:b/>
                          <w:bCs/>
                          <w:color w:val="000000"/>
                          <w:spacing w:val="0"/>
                          <w:w w:val="100"/>
                          <w:position w:val="0"/>
                        </w:rPr>
                        <w:t>)</w:t>
                      </w:r>
                      <w:bookmarkEnd w:id="75"/>
                    </w:p>
                  </w:txbxContent>
                </v:textbox>
                <w10:wrap type="topAndBottom" anchorx="page"/>
              </v:shape>
            </w:pict>
          </mc:Fallback>
        </mc:AlternateContent>
      </w:r>
      <w:r>
        <mc:AlternateContent>
          <mc:Choice Requires="wps">
            <w:drawing>
              <wp:anchor distT="139700" distB="399415" distL="0" distR="0" simplePos="0" relativeHeight="125829380" behindDoc="0" locked="0" layoutInCell="1" allowOverlap="1">
                <wp:simplePos x="0" y="0"/>
                <wp:positionH relativeFrom="page">
                  <wp:posOffset>1090930</wp:posOffset>
                </wp:positionH>
                <wp:positionV relativeFrom="paragraph">
                  <wp:posOffset>139700</wp:posOffset>
                </wp:positionV>
                <wp:extent cx="2164080" cy="170815"/>
                <wp:wrapTopAndBottom/>
                <wp:docPr id="13" name="Shape 13"/>
                <a:graphic xmlns:a="http://schemas.openxmlformats.org/drawingml/2006/main">
                  <a:graphicData uri="http://schemas.microsoft.com/office/word/2010/wordprocessingShape">
                    <wps:wsp>
                      <wps:cNvSpPr txBox="1"/>
                      <wps:spPr>
                        <a:xfrm>
                          <a:ext cx="2164080" cy="17081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公司实物销售收入是否大于劳务收入</w:t>
                            </w:r>
                          </w:p>
                        </w:txbxContent>
                      </wps:txbx>
                      <wps:bodyPr wrap="none" lIns="0" tIns="0" rIns="0" bIns="0">
                        <a:noAutoFit/>
                      </wps:bodyPr>
                    </wps:wsp>
                  </a:graphicData>
                </a:graphic>
              </wp:anchor>
            </w:drawing>
          </mc:Choice>
          <mc:Fallback>
            <w:pict>
              <v:shape id="_x0000_s1039" type="#_x0000_t202" style="position:absolute;margin-left:85.900000000000006pt;margin-top:11.pt;width:170.40000000000001pt;height:13.450000000000001pt;z-index:-125829373;mso-wrap-distance-left:0;mso-wrap-distance-top:11.pt;mso-wrap-distance-right:0;mso-wrap-distance-bottom:31.449999999999999pt;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公司实物销售收入是否大于劳务收入</w:t>
                      </w:r>
                    </w:p>
                  </w:txbxContent>
                </v:textbox>
                <w10:wrap type="topAndBottom" anchorx="page"/>
              </v:shape>
            </w:pict>
          </mc:Fallback>
        </mc:AlternateContent>
      </w:r>
      <w:r>
        <mc:AlternateContent>
          <mc:Choice Requires="wps">
            <w:drawing>
              <wp:anchor distT="532765" distB="6350" distL="0" distR="0" simplePos="0" relativeHeight="125829382" behindDoc="0" locked="0" layoutInCell="1" allowOverlap="1">
                <wp:simplePos x="0" y="0"/>
                <wp:positionH relativeFrom="page">
                  <wp:posOffset>822960</wp:posOffset>
                </wp:positionH>
                <wp:positionV relativeFrom="paragraph">
                  <wp:posOffset>532765</wp:posOffset>
                </wp:positionV>
                <wp:extent cx="265430" cy="170815"/>
                <wp:wrapTopAndBottom/>
                <wp:docPr id="15" name="Shape 15"/>
                <a:graphic xmlns:a="http://schemas.openxmlformats.org/drawingml/2006/main">
                  <a:graphicData uri="http://schemas.microsoft.com/office/word/2010/wordprocessingShape">
                    <wps:wsp>
                      <wps:cNvSpPr txBox="1"/>
                      <wps:spPr>
                        <a:xfrm>
                          <a:ext cx="265430" cy="170815"/>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both"/>
                            </w:pPr>
                            <w:bookmarkStart w:id="76" w:name="bookmark76"/>
                            <w:r>
                              <w:rPr>
                                <w:b/>
                                <w:bCs/>
                                <w:color w:val="000000"/>
                                <w:spacing w:val="0"/>
                                <w:w w:val="100"/>
                                <w:position w:val="0"/>
                              </w:rPr>
                              <w:t>(4</w:t>
                            </w:r>
                            <w:r>
                              <w:rPr>
                                <w:rFonts w:ascii="SimSun" w:eastAsia="SimSun" w:hAnsi="SimSun" w:cs="SimSun"/>
                                <w:b/>
                                <w:bCs/>
                                <w:color w:val="000000"/>
                                <w:spacing w:val="0"/>
                                <w:w w:val="100"/>
                                <w:position w:val="0"/>
                              </w:rPr>
                              <w:t>)</w:t>
                            </w:r>
                            <w:bookmarkEnd w:id="76"/>
                          </w:p>
                        </w:txbxContent>
                      </wps:txbx>
                      <wps:bodyPr wrap="none" lIns="0" tIns="0" rIns="0" bIns="0">
                        <a:noAutoFit/>
                      </wps:bodyPr>
                    </wps:wsp>
                  </a:graphicData>
                </a:graphic>
              </wp:anchor>
            </w:drawing>
          </mc:Choice>
          <mc:Fallback>
            <w:pict>
              <v:shape id="_x0000_s1041" type="#_x0000_t202" style="position:absolute;margin-left:64.799999999999997pt;margin-top:41.950000000000003pt;width:20.900000000000002pt;height:13.450000000000001pt;z-index:-125829371;mso-wrap-distance-left:0;mso-wrap-distance-top:41.950000000000003pt;mso-wrap-distance-right:0;mso-wrap-distance-bottom:0.5pt;mso-position-horizontal-relative:page" filled="f" stroked="f">
                <v:textbox inset="0,0,0,0">
                  <w:txbxContent>
                    <w:p>
                      <w:pPr>
                        <w:pStyle w:val="Style41"/>
                        <w:keepNext w:val="0"/>
                        <w:keepLines w:val="0"/>
                        <w:widowControl w:val="0"/>
                        <w:shd w:val="clear" w:color="auto" w:fill="auto"/>
                        <w:bidi w:val="0"/>
                        <w:spacing w:before="0" w:after="0" w:line="240" w:lineRule="auto"/>
                        <w:ind w:left="0" w:right="0" w:firstLine="0"/>
                        <w:jc w:val="both"/>
                      </w:pPr>
                      <w:bookmarkStart w:id="76" w:name="bookmark76"/>
                      <w:r>
                        <w:rPr>
                          <w:b/>
                          <w:bCs/>
                          <w:color w:val="000000"/>
                          <w:spacing w:val="0"/>
                          <w:w w:val="100"/>
                          <w:position w:val="0"/>
                        </w:rPr>
                        <w:t>(4</w:t>
                      </w:r>
                      <w:r>
                        <w:rPr>
                          <w:rFonts w:ascii="SimSun" w:eastAsia="SimSun" w:hAnsi="SimSun" w:cs="SimSun"/>
                          <w:b/>
                          <w:bCs/>
                          <w:color w:val="000000"/>
                          <w:spacing w:val="0"/>
                          <w:w w:val="100"/>
                          <w:position w:val="0"/>
                        </w:rPr>
                        <w:t>)</w:t>
                      </w:r>
                      <w:bookmarkEnd w:id="76"/>
                    </w:p>
                  </w:txbxContent>
                </v:textbox>
                <w10:wrap type="topAndBottom" anchorx="page"/>
              </v:shape>
            </w:pict>
          </mc:Fallback>
        </mc:AlternateContent>
      </w:r>
      <w:r>
        <mc:AlternateContent>
          <mc:Choice Requires="wps">
            <w:drawing>
              <wp:anchor distT="532765" distB="9525" distL="0" distR="0" simplePos="0" relativeHeight="125829384" behindDoc="0" locked="0" layoutInCell="1" allowOverlap="1">
                <wp:simplePos x="0" y="0"/>
                <wp:positionH relativeFrom="page">
                  <wp:posOffset>1090930</wp:posOffset>
                </wp:positionH>
                <wp:positionV relativeFrom="paragraph">
                  <wp:posOffset>532765</wp:posOffset>
                </wp:positionV>
                <wp:extent cx="3100070" cy="167640"/>
                <wp:wrapTopAndBottom/>
                <wp:docPr id="17" name="Shape 17"/>
                <a:graphic xmlns:a="http://schemas.openxmlformats.org/drawingml/2006/main">
                  <a:graphicData uri="http://schemas.microsoft.com/office/word/2010/wordprocessingShape">
                    <wps:wsp>
                      <wps:cNvSpPr txBox="1"/>
                      <wps:spPr>
                        <a:xfrm>
                          <a:ext cx="3100070" cy="16764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公司巳签订的重大销售合同截至本报告期的履行情况</w:t>
                            </w:r>
                          </w:p>
                        </w:txbxContent>
                      </wps:txbx>
                      <wps:bodyPr wrap="none" lIns="0" tIns="0" rIns="0" bIns="0">
                        <a:noAutoFit/>
                      </wps:bodyPr>
                    </wps:wsp>
                  </a:graphicData>
                </a:graphic>
              </wp:anchor>
            </w:drawing>
          </mc:Choice>
          <mc:Fallback>
            <w:pict>
              <v:shape id="_x0000_s1043" type="#_x0000_t202" style="position:absolute;margin-left:85.900000000000006pt;margin-top:41.950000000000003pt;width:244.09999999999999pt;height:13.200000000000001pt;z-index:-125829369;mso-wrap-distance-left:0;mso-wrap-distance-top:41.950000000000003pt;mso-wrap-distance-right:0;mso-wrap-distance-bottom:0.75pt;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公司巳签订的重大销售合同截至本报告期的履行情况</w:t>
                      </w:r>
                    </w:p>
                  </w:txbxContent>
                </v:textbox>
                <w10:wrap type="topAndBottom" anchorx="page"/>
              </v:shape>
            </w:pict>
          </mc:Fallback>
        </mc:AlternateContent>
      </w:r>
      <w:r>
        <mc:AlternateContent>
          <mc:Choice Requires="wps">
            <w:drawing>
              <wp:anchor distT="532765" distB="6350" distL="0" distR="0" simplePos="0" relativeHeight="125829386" behindDoc="0" locked="0" layoutInCell="1" allowOverlap="1">
                <wp:simplePos x="0" y="0"/>
                <wp:positionH relativeFrom="page">
                  <wp:posOffset>5836920</wp:posOffset>
                </wp:positionH>
                <wp:positionV relativeFrom="paragraph">
                  <wp:posOffset>532765</wp:posOffset>
                </wp:positionV>
                <wp:extent cx="435610" cy="170815"/>
                <wp:wrapTopAndBottom/>
                <wp:docPr id="19" name="Shape 19"/>
                <a:graphic xmlns:a="http://schemas.openxmlformats.org/drawingml/2006/main">
                  <a:graphicData uri="http://schemas.microsoft.com/office/word/2010/wordprocessingShape">
                    <wps:wsp>
                      <wps:cNvSpPr txBox="1"/>
                      <wps:spPr>
                        <a:xfrm>
                          <a:ext cx="435610" cy="17081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 </w:t>
                            </w:r>
                            <w:r>
                              <w:rPr>
                                <w:color w:val="000000"/>
                                <w:spacing w:val="0"/>
                                <w:w w:val="100"/>
                                <w:position w:val="0"/>
                              </w:rPr>
                              <w:t>适用</w:t>
                            </w:r>
                          </w:p>
                        </w:txbxContent>
                      </wps:txbx>
                      <wps:bodyPr wrap="none" lIns="0" tIns="0" rIns="0" bIns="0">
                        <a:noAutoFit/>
                      </wps:bodyPr>
                    </wps:wsp>
                  </a:graphicData>
                </a:graphic>
              </wp:anchor>
            </w:drawing>
          </mc:Choice>
          <mc:Fallback>
            <w:pict>
              <v:shape id="_x0000_s1045" type="#_x0000_t202" style="position:absolute;margin-left:459.60000000000002pt;margin-top:41.950000000000003pt;width:34.300000000000004pt;height:13.450000000000001pt;z-index:-125829367;mso-wrap-distance-left:0;mso-wrap-distance-top:41.950000000000003pt;mso-wrap-distance-right:0;mso-wrap-distance-bottom:0.5pt;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 </w:t>
                      </w:r>
                      <w:r>
                        <w:rPr>
                          <w:color w:val="000000"/>
                          <w:spacing w:val="0"/>
                          <w:w w:val="100"/>
                          <w:position w:val="0"/>
                        </w:rPr>
                        <w:t>适用</w:t>
                      </w:r>
                    </w:p>
                  </w:txbxContent>
                </v:textbox>
                <w10:wrap type="topAndBottom" anchorx="page"/>
              </v:shape>
            </w:pict>
          </mc:Fallback>
        </mc:AlternateContent>
      </w:r>
      <w:r>
        <mc:AlternateContent>
          <mc:Choice Requires="wps">
            <w:drawing>
              <wp:anchor distT="520700" distB="0" distL="0" distR="0" simplePos="0" relativeHeight="125829388" behindDoc="0" locked="0" layoutInCell="1" allowOverlap="1">
                <wp:simplePos x="0" y="0"/>
                <wp:positionH relativeFrom="page">
                  <wp:posOffset>6312535</wp:posOffset>
                </wp:positionH>
                <wp:positionV relativeFrom="paragraph">
                  <wp:posOffset>520700</wp:posOffset>
                </wp:positionV>
                <wp:extent cx="567055" cy="189230"/>
                <wp:wrapTopAndBottom/>
                <wp:docPr id="21" name="Shape 21"/>
                <a:graphic xmlns:a="http://schemas.openxmlformats.org/drawingml/2006/main">
                  <a:graphicData uri="http://schemas.microsoft.com/office/word/2010/wordprocessingShape">
                    <wps:wsp>
                      <wps:cNvSpPr txBox="1"/>
                      <wps:spPr>
                        <a:xfrm>
                          <a:ext cx="567055" cy="18923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q</w:t>
                            </w:r>
                            <w:r>
                              <w:rPr>
                                <w:color w:val="000000"/>
                                <w:spacing w:val="0"/>
                                <w:w w:val="100"/>
                                <w:position w:val="0"/>
                              </w:rPr>
                              <w:t>不适用</w:t>
                            </w:r>
                          </w:p>
                        </w:txbxContent>
                      </wps:txbx>
                      <wps:bodyPr wrap="none" lIns="0" tIns="0" rIns="0" bIns="0">
                        <a:noAutoFit/>
                      </wps:bodyPr>
                    </wps:wsp>
                  </a:graphicData>
                </a:graphic>
              </wp:anchor>
            </w:drawing>
          </mc:Choice>
          <mc:Fallback>
            <w:pict>
              <v:shape id="_x0000_s1047" type="#_x0000_t202" style="position:absolute;margin-left:497.05000000000001pt;margin-top:41.pt;width:44.649999999999999pt;height:14.9pt;z-index:-125829365;mso-wrap-distance-left:0;mso-wrap-distance-top:41.pt;mso-wrap-distance-right:0;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q</w:t>
                      </w:r>
                      <w:r>
                        <w:rPr>
                          <w:color w:val="000000"/>
                          <w:spacing w:val="0"/>
                          <w:w w:val="100"/>
                          <w:position w:val="0"/>
                        </w:rPr>
                        <w:t>不适用</w:t>
                      </w:r>
                    </w:p>
                  </w:txbxContent>
                </v:textbox>
                <w10:wrap type="topAndBottom" anchorx="page"/>
              </v:shape>
            </w:pict>
          </mc:Fallback>
        </mc:AlternateContent>
      </w:r>
    </w:p>
    <w:p>
      <w:pPr>
        <w:pStyle w:val="Style47"/>
        <w:keepNext/>
        <w:keepLines/>
        <w:widowControl w:val="0"/>
        <w:numPr>
          <w:ilvl w:val="0"/>
          <w:numId w:val="3"/>
        </w:numPr>
        <w:shd w:val="clear" w:color="auto" w:fill="auto"/>
        <w:bidi w:val="0"/>
        <w:spacing w:before="0" w:line="240" w:lineRule="auto"/>
        <w:ind w:left="0" w:right="0" w:firstLine="340"/>
        <w:jc w:val="left"/>
      </w:pPr>
      <w:bookmarkStart w:id="176" w:name="bookmark176"/>
      <w:bookmarkStart w:id="177" w:name="bookmark177"/>
      <w:bookmarkStart w:id="178" w:name="bookmark178"/>
      <w:bookmarkStart w:id="179" w:name="bookmark179"/>
      <w:bookmarkEnd w:id="178"/>
      <w:r>
        <w:rPr>
          <w:color w:val="000000"/>
          <w:spacing w:val="0"/>
          <w:w w:val="100"/>
          <w:position w:val="0"/>
        </w:rPr>
        <w:t>营业成本构成</w:t>
      </w:r>
      <w:bookmarkEnd w:id="176"/>
      <w:bookmarkEnd w:id="177"/>
      <w:bookmarkEnd w:id="17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14"/>
        <w:gridCol w:w="1416"/>
        <w:gridCol w:w="1421"/>
        <w:gridCol w:w="989"/>
        <w:gridCol w:w="1421"/>
        <w:gridCol w:w="989"/>
        <w:gridCol w:w="936"/>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同比增减</w:t>
            </w:r>
          </w:p>
        </w:tc>
      </w:tr>
      <w:tr>
        <w:trPr>
          <w:trHeight w:val="725"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占营业成 本比重</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占营业成 本比重</w:t>
            </w: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2414"/>
        <w:gridCol w:w="1416"/>
        <w:gridCol w:w="1421"/>
        <w:gridCol w:w="989"/>
        <w:gridCol w:w="1421"/>
        <w:gridCol w:w="989"/>
        <w:gridCol w:w="936"/>
      </w:tblGrid>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线缆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684,491,530.17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57.49%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906,896,335.09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-24.52%</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506,064,695.75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42.51%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8683" w:right="0" w:firstLine="0"/>
        <w:jc w:val="left"/>
      </w:pPr>
      <w:r>
        <w:rPr>
          <w:color w:val="000000"/>
          <w:spacing w:val="0"/>
          <w:w w:val="100"/>
          <w:position w:val="0"/>
        </w:rPr>
        <w:t>单位：元</w:t>
      </w:r>
    </w:p>
    <w:p>
      <w:pPr>
        <w:widowControl w:val="0"/>
        <w:spacing w:after="59" w:line="1" w:lineRule="exact"/>
      </w:pPr>
    </w:p>
    <w:p>
      <w:pPr>
        <w:widowControl w:val="0"/>
        <w:spacing w:line="1" w:lineRule="exact"/>
      </w:pPr>
    </w:p>
    <w:tbl>
      <w:tblPr>
        <w:tblOverlap w:val="never"/>
        <w:jc w:val="center"/>
        <w:tblLayout w:type="fixed"/>
      </w:tblPr>
      <w:tblGrid>
        <w:gridCol w:w="2414"/>
        <w:gridCol w:w="1416"/>
        <w:gridCol w:w="1421"/>
        <w:gridCol w:w="989"/>
        <w:gridCol w:w="1421"/>
        <w:gridCol w:w="989"/>
        <w:gridCol w:w="936"/>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同比增减</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占营业成 本比重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占营业成 本比重</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线缆</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空调连接组件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483,576,052.26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629,803,791.08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69.45%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空调电源输入组件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159,435,482.13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230,564,923.71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25.42%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-30.85%</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电热电器电源输入组件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16,197,410.69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18,974,551.16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冰洗电器电源输入组件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13,206,857.94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12,563,312.74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其他家电电源输入组件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11,919,105.35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14,955,750.02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156,621.80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34,006.38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360.57%</w:t>
            </w:r>
          </w:p>
        </w:tc>
      </w:tr>
      <w:tr>
        <w:trPr>
          <w:trHeight w:val="398" w:hRule="exact"/>
        </w:trPr>
        <w:tc>
          <w:tcPr>
            <w:gridSpan w:val="7"/>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证券经纪业务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334,986,008.81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期货经纪业务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5,717,312.25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投资银行业务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24,730,141.82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资产管理业务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20,973,292.92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117,964,237.86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1,693,702.09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tabs>
          <w:tab w:pos="8506" w:val="left"/>
        </w:tabs>
        <w:bidi w:val="0"/>
        <w:spacing w:before="0" w:after="0" w:line="240" w:lineRule="auto"/>
        <w:ind w:left="0" w:right="0" w:firstLine="0"/>
        <w:jc w:val="center"/>
      </w:pPr>
      <w:bookmarkStart w:id="180" w:name="bookmark180"/>
      <w:r>
        <w:rPr>
          <w:b/>
          <w:bCs/>
          <w:color w:val="000000"/>
          <w:spacing w:val="0"/>
          <w:w w:val="100"/>
          <w:position w:val="0"/>
        </w:rPr>
        <w:t>（</w:t>
      </w:r>
      <w:r>
        <w:rPr>
          <w:rFonts w:ascii="Times New Roman" w:eastAsia="Times New Roman" w:hAnsi="Times New Roman" w:cs="Times New Roman"/>
          <w:b/>
          <w:bCs/>
          <w:color w:val="000000"/>
          <w:spacing w:val="0"/>
          <w:w w:val="100"/>
          <w:position w:val="0"/>
        </w:rPr>
        <w:t>6</w:t>
      </w:r>
      <w:r>
        <w:rPr>
          <w:b/>
          <w:bCs/>
          <w:color w:val="000000"/>
          <w:spacing w:val="0"/>
          <w:w w:val="100"/>
          <w:position w:val="0"/>
        </w:rPr>
        <w:t>）报告期内合并范围是否发生变动</w:t>
        <w:tab/>
      </w:r>
      <w:r>
        <w:rPr>
          <w:rFonts w:ascii="Times New Roman" w:eastAsia="Times New Roman" w:hAnsi="Times New Roman" w:cs="Times New Roman"/>
          <w:color w:val="000000"/>
          <w:spacing w:val="0"/>
          <w:w w:val="100"/>
          <w:position w:val="0"/>
        </w:rPr>
        <w:t>q</w:t>
      </w:r>
      <w:r>
        <w:rPr>
          <w:color w:val="000000"/>
          <w:spacing w:val="0"/>
          <w:w w:val="100"/>
          <w:position w:val="0"/>
        </w:rPr>
        <w:t>是</w:t>
      </w:r>
      <w:r>
        <w:rPr>
          <w:color w:val="000000"/>
          <w:spacing w:val="0"/>
          <w:w w:val="100"/>
          <w:position w:val="0"/>
        </w:rPr>
        <w:t>口</w:t>
      </w:r>
      <w:r>
        <w:rPr>
          <w:color w:val="000000"/>
          <w:spacing w:val="0"/>
          <w:w w:val="100"/>
          <w:position w:val="0"/>
        </w:rPr>
        <w:t>否</w:t>
      </w:r>
      <w:bookmarkEnd w:id="180"/>
    </w:p>
    <w:p>
      <w:pPr>
        <w:widowControl w:val="0"/>
        <w:spacing w:after="279" w:line="1" w:lineRule="exact"/>
      </w:pPr>
    </w:p>
    <w:p>
      <w:pPr>
        <w:pStyle w:val="Style33"/>
        <w:keepNext w:val="0"/>
        <w:keepLines w:val="0"/>
        <w:widowControl w:val="0"/>
        <w:shd w:val="clear" w:color="auto" w:fill="auto"/>
        <w:bidi w:val="0"/>
        <w:spacing w:before="0" w:after="280" w:line="314" w:lineRule="exact"/>
        <w:ind w:left="0" w:right="0" w:firstLine="440"/>
        <w:jc w:val="left"/>
      </w:pPr>
      <w:bookmarkStart w:id="181" w:name="bookmark181"/>
      <w:r>
        <w:rPr>
          <w:color w:val="000000"/>
          <w:spacing w:val="0"/>
          <w:w w:val="100"/>
          <w:position w:val="0"/>
        </w:rPr>
        <w:t>报</w:t>
      </w:r>
      <w:bookmarkEnd w:id="181"/>
      <w:r>
        <w:rPr>
          <w:color w:val="000000"/>
          <w:spacing w:val="0"/>
          <w:w w:val="100"/>
          <w:position w:val="0"/>
        </w:rPr>
        <w:t>告期内，公司实施发行股份及支付现金购买国盛证券</w:t>
      </w:r>
      <w:r>
        <w:rPr>
          <w:rFonts w:ascii="Times New Roman" w:eastAsia="Times New Roman" w:hAnsi="Times New Roman" w:cs="Times New Roman"/>
          <w:color w:val="000000"/>
          <w:spacing w:val="0"/>
          <w:w w:val="100"/>
          <w:position w:val="0"/>
        </w:rPr>
        <w:t>100%</w:t>
      </w:r>
      <w:r>
        <w:rPr>
          <w:color w:val="000000"/>
          <w:spacing w:val="0"/>
          <w:w w:val="100"/>
          <w:position w:val="0"/>
        </w:rPr>
        <w:t>股权方案，国盛证券及其下属国盛期货、 国盛资管、全钰投资纳入合并范围；</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月，公司设立全资子公司前海科技，前海科技自成立日起纳 入合并范围。</w:t>
      </w:r>
    </w:p>
    <w:p>
      <w:pPr>
        <w:pStyle w:val="Style47"/>
        <w:keepNext/>
        <w:keepLines/>
        <w:widowControl w:val="0"/>
        <w:shd w:val="clear" w:color="auto" w:fill="auto"/>
        <w:tabs>
          <w:tab w:pos="7877" w:val="left"/>
        </w:tabs>
        <w:bidi w:val="0"/>
        <w:spacing w:before="0" w:after="280" w:line="312" w:lineRule="exact"/>
        <w:ind w:left="0" w:right="0" w:firstLine="0"/>
        <w:jc w:val="left"/>
      </w:pPr>
      <w:bookmarkStart w:id="182" w:name="bookmark182"/>
      <w:bookmarkStart w:id="183" w:name="bookmark183"/>
      <w:bookmarkStart w:id="184" w:name="bookmark184"/>
      <w:bookmarkStart w:id="185" w:name="bookmark185"/>
      <w:r>
        <w:rPr>
          <w:color w:val="000000"/>
          <w:spacing w:val="0"/>
          <w:w w:val="100"/>
          <w:position w:val="0"/>
        </w:rPr>
        <w:t>（</w:t>
      </w:r>
      <w:bookmarkEnd w:id="184"/>
      <w:r>
        <w:rPr>
          <w:rFonts w:ascii="Times New Roman" w:eastAsia="Times New Roman" w:hAnsi="Times New Roman" w:cs="Times New Roman"/>
          <w:color w:val="000000"/>
          <w:spacing w:val="0"/>
          <w:w w:val="100"/>
          <w:position w:val="0"/>
        </w:rPr>
        <w:t>7</w:t>
      </w:r>
      <w:r>
        <w:rPr>
          <w:color w:val="000000"/>
          <w:spacing w:val="0"/>
          <w:w w:val="100"/>
          <w:position w:val="0"/>
        </w:rPr>
        <w:t>） 公司报告期内业务、产品或服务发生重大变化或调整有关情况</w:t>
        <w:tab/>
      </w:r>
      <w:r>
        <w:rPr>
          <w:rFonts w:ascii="Times New Roman" w:eastAsia="Times New Roman" w:hAnsi="Times New Roman" w:cs="Times New Roman"/>
          <w:b w:val="0"/>
          <w:bCs w:val="0"/>
          <w:color w:val="000000"/>
          <w:spacing w:val="0"/>
          <w:w w:val="100"/>
          <w:position w:val="0"/>
        </w:rPr>
        <w:t>q</w:t>
      </w:r>
      <w:r>
        <w:rPr>
          <w:b w:val="0"/>
          <w:bCs w:val="0"/>
          <w:color w:val="000000"/>
          <w:spacing w:val="0"/>
          <w:w w:val="100"/>
          <w:position w:val="0"/>
        </w:rPr>
        <w:t>适用</w:t>
      </w:r>
      <w:r>
        <w:rPr>
          <w:b w:val="0"/>
          <w:bCs w:val="0"/>
          <w:color w:val="000000"/>
          <w:spacing w:val="0"/>
          <w:w w:val="100"/>
          <w:position w:val="0"/>
        </w:rPr>
        <w:t>口</w:t>
      </w:r>
      <w:r>
        <w:rPr>
          <w:b w:val="0"/>
          <w:bCs w:val="0"/>
          <w:color w:val="000000"/>
          <w:spacing w:val="0"/>
          <w:w w:val="100"/>
          <w:position w:val="0"/>
        </w:rPr>
        <w:t>不适用</w:t>
      </w:r>
      <w:bookmarkEnd w:id="182"/>
      <w:bookmarkEnd w:id="183"/>
      <w:bookmarkEnd w:id="185"/>
    </w:p>
    <w:p>
      <w:pPr>
        <w:pStyle w:val="Style33"/>
        <w:keepNext w:val="0"/>
        <w:keepLines w:val="0"/>
        <w:widowControl w:val="0"/>
        <w:shd w:val="clear" w:color="auto" w:fill="auto"/>
        <w:bidi w:val="0"/>
        <w:spacing w:before="0" w:after="280" w:line="310" w:lineRule="exact"/>
        <w:ind w:left="0" w:right="0" w:firstLine="440"/>
        <w:jc w:val="left"/>
      </w:pPr>
      <w:bookmarkStart w:id="186" w:name="bookmark186"/>
      <w:r>
        <w:rPr>
          <w:color w:val="000000"/>
          <w:spacing w:val="0"/>
          <w:w w:val="100"/>
          <w:position w:val="0"/>
        </w:rPr>
        <w:t>报告期内，公司实施发行股份及支付现金购买国盛证券</w:t>
      </w:r>
      <w:r>
        <w:rPr>
          <w:rFonts w:ascii="Times New Roman" w:eastAsia="Times New Roman" w:hAnsi="Times New Roman" w:cs="Times New Roman"/>
          <w:color w:val="000000"/>
          <w:spacing w:val="0"/>
          <w:w w:val="100"/>
          <w:position w:val="0"/>
        </w:rPr>
        <w:t>100%</w:t>
      </w:r>
      <w:r>
        <w:rPr>
          <w:color w:val="000000"/>
          <w:spacing w:val="0"/>
          <w:w w:val="100"/>
          <w:position w:val="0"/>
        </w:rPr>
        <w:t>股权方案，国盛证券成为公司全资子公司， 公司主要业务由单一线缆业务变更为同时拥有线缆业务和证券业务。</w:t>
      </w:r>
      <w:r>
        <w:rPr>
          <w:rFonts w:ascii="Times New Roman" w:eastAsia="Times New Roman" w:hAnsi="Times New Roman" w:cs="Times New Roman"/>
          <w:color w:val="000000"/>
          <w:spacing w:val="0"/>
          <w:w w:val="100"/>
          <w:position w:val="0"/>
        </w:rPr>
        <w:t>2016</w:t>
      </w:r>
      <w:r>
        <w:rPr>
          <w:color w:val="000000"/>
          <w:spacing w:val="0"/>
          <w:w w:val="100"/>
          <w:position w:val="0"/>
        </w:rPr>
        <w:t>年度，公司营业总收入中证券业 务占比为</w:t>
      </w:r>
      <w:r>
        <w:rPr>
          <w:rFonts w:ascii="Times New Roman" w:eastAsia="Times New Roman" w:hAnsi="Times New Roman" w:cs="Times New Roman"/>
          <w:color w:val="000000"/>
          <w:spacing w:val="0"/>
          <w:w w:val="100"/>
          <w:position w:val="0"/>
        </w:rPr>
        <w:t>50.06%</w:t>
      </w:r>
      <w:r>
        <w:rPr>
          <w:color w:val="000000"/>
          <w:spacing w:val="0"/>
          <w:w w:val="100"/>
          <w:position w:val="0"/>
        </w:rPr>
        <w:t>。</w:t>
      </w:r>
      <w:bookmarkEnd w:id="186"/>
    </w:p>
    <w:p>
      <w:pPr>
        <w:pStyle w:val="Style47"/>
        <w:keepNext/>
        <w:keepLines/>
        <w:widowControl w:val="0"/>
        <w:shd w:val="clear" w:color="auto" w:fill="auto"/>
        <w:tabs>
          <w:tab w:pos="484" w:val="left"/>
        </w:tabs>
        <w:bidi w:val="0"/>
        <w:spacing w:before="0" w:after="380" w:line="312" w:lineRule="exact"/>
        <w:ind w:left="0" w:right="0" w:firstLine="0"/>
        <w:jc w:val="left"/>
      </w:pPr>
      <w:bookmarkStart w:id="187" w:name="bookmark187"/>
      <w:bookmarkStart w:id="188" w:name="bookmark188"/>
      <w:bookmarkStart w:id="189" w:name="bookmark189"/>
      <w:bookmarkStart w:id="190" w:name="bookmark190"/>
      <w:r>
        <w:rPr>
          <w:color w:val="000000"/>
          <w:spacing w:val="0"/>
          <w:w w:val="100"/>
          <w:position w:val="0"/>
        </w:rPr>
        <w:t>（</w:t>
      </w:r>
      <w:bookmarkEnd w:id="189"/>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87"/>
      <w:bookmarkEnd w:id="188"/>
      <w:bookmarkEnd w:id="190"/>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5390"/>
        <w:gridCol w:w="419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677,407,459.47</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41.26%</w:t>
            </w:r>
          </w:p>
        </w:tc>
      </w:tr>
    </w:tbl>
    <w:p>
      <w:pPr>
        <w:widowControl w:val="0"/>
        <w:spacing w:line="1" w:lineRule="exact"/>
      </w:pPr>
      <w:r>
        <w:br w:type="page"/>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p>
    <w:tbl>
      <w:tblPr>
        <w:tblOverlap w:val="never"/>
        <w:jc w:val="center"/>
        <w:tblLayout w:type="fixed"/>
      </w:tblPr>
      <w:tblGrid>
        <w:gridCol w:w="854"/>
        <w:gridCol w:w="4536"/>
        <w:gridCol w:w="2093"/>
        <w:gridCol w:w="209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368,540,128.06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22.45%</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148,592,533.71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9.05%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69,462,883.71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4.23%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57,034,427.29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3.47%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33,777,486.69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2.06%</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677,407,459.47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41.04%</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主要客户其他情况说明</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widowControl w:val="0"/>
        <w:spacing w:after="5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5390"/>
        <w:gridCol w:w="419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480,805,064.71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84.79%</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5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p>
    <w:tbl>
      <w:tblPr>
        <w:tblOverlap w:val="never"/>
        <w:jc w:val="center"/>
        <w:tblLayout w:type="fixed"/>
      </w:tblPr>
      <w:tblGrid>
        <w:gridCol w:w="854"/>
        <w:gridCol w:w="4536"/>
        <w:gridCol w:w="2093"/>
        <w:gridCol w:w="209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408,293,043.26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72.00%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25,476,282.05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4.49%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20,225,170.94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3.57%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16,556,414.61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2.92%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10,254,153.85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1.81%</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480,805,064.71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84.79%</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主要供应商其他情况说明</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widowControl w:val="0"/>
        <w:spacing w:after="339" w:line="1" w:lineRule="exact"/>
      </w:pPr>
    </w:p>
    <w:p>
      <w:pPr>
        <w:widowControl w:val="0"/>
        <w:spacing w:line="1" w:lineRule="exact"/>
      </w:pPr>
      <w:r>
        <mc:AlternateContent>
          <mc:Choice Requires="wps">
            <w:drawing>
              <wp:anchor distT="0" distB="12700" distL="0" distR="0" simplePos="0" relativeHeight="125829390" behindDoc="0" locked="0" layoutInCell="1" allowOverlap="1">
                <wp:simplePos x="0" y="0"/>
                <wp:positionH relativeFrom="page">
                  <wp:posOffset>723900</wp:posOffset>
                </wp:positionH>
                <wp:positionV relativeFrom="paragraph">
                  <wp:posOffset>0</wp:posOffset>
                </wp:positionV>
                <wp:extent cx="3224530" cy="167640"/>
                <wp:wrapTopAndBottom/>
                <wp:docPr id="23" name="Shape 23"/>
                <a:graphic xmlns:a="http://schemas.openxmlformats.org/drawingml/2006/main">
                  <a:graphicData uri="http://schemas.microsoft.com/office/word/2010/wordprocessingShape">
                    <wps:wsp>
                      <wps:cNvSpPr txBox="1"/>
                      <wps:spPr>
                        <a:xfrm>
                          <a:ext cx="3224530" cy="167640"/>
                        </a:xfrm>
                        <a:prstGeom prst="rect"/>
                        <a:noFill/>
                      </wps:spPr>
                      <wps:txbx>
                        <w:txbxContent>
                          <w:p>
                            <w:pPr>
                              <w:pStyle w:val="Style33"/>
                              <w:keepNext w:val="0"/>
                              <w:keepLines w:val="0"/>
                              <w:widowControl w:val="0"/>
                              <w:pBdr>
                                <w:top w:val="single" w:sz="4" w:space="0" w:color="D3D3D3"/>
                                <w:left w:val="single" w:sz="4" w:space="0" w:color="D3D3D3"/>
                                <w:bottom w:val="single" w:sz="4" w:space="0" w:color="D3D3D3"/>
                                <w:right w:val="single" w:sz="4" w:space="0" w:color="D3D3D3"/>
                              </w:pBdr>
                              <w:shd w:val="clear" w:color="auto" w:fill="D3D3D3"/>
                              <w:bidi w:val="0"/>
                              <w:spacing w:before="0" w:after="0" w:line="240" w:lineRule="auto"/>
                              <w:ind w:left="0" w:right="0" w:firstLine="0"/>
                              <w:jc w:val="left"/>
                            </w:pPr>
                            <w:r>
                              <w:rPr>
                                <w:color w:val="000000"/>
                                <w:spacing w:val="0"/>
                                <w:w w:val="100"/>
                                <w:position w:val="0"/>
                              </w:rPr>
                              <w:t>前五名客户销售额中关联方销售额占年度销售总额比例</w:t>
                            </w:r>
                          </w:p>
                        </w:txbxContent>
                      </wps:txbx>
                      <wps:bodyPr wrap="none" lIns="0" tIns="0" rIns="0" bIns="0">
                        <a:noAutoFit/>
                      </wps:bodyPr>
                    </wps:wsp>
                  </a:graphicData>
                </a:graphic>
              </wp:anchor>
            </w:drawing>
          </mc:Choice>
          <mc:Fallback>
            <w:pict>
              <v:shape id="_x0000_s1049" type="#_x0000_t202" style="position:absolute;margin-left:57.pt;margin-top:0;width:253.90000000000001pt;height:13.200000000000001pt;z-index:-125829363;mso-wrap-distance-left:0;mso-wrap-distance-right:0;mso-wrap-distance-bottom:1.pt;mso-position-horizontal-relative:page" filled="f" stroked="f">
                <v:textbox inset="0,0,0,0">
                  <w:txbxContent>
                    <w:p>
                      <w:pPr>
                        <w:pStyle w:val="Style33"/>
                        <w:keepNext w:val="0"/>
                        <w:keepLines w:val="0"/>
                        <w:widowControl w:val="0"/>
                        <w:pBdr>
                          <w:top w:val="single" w:sz="4" w:space="0" w:color="D3D3D3"/>
                          <w:left w:val="single" w:sz="4" w:space="0" w:color="D3D3D3"/>
                          <w:bottom w:val="single" w:sz="4" w:space="0" w:color="D3D3D3"/>
                          <w:right w:val="single" w:sz="4" w:space="0" w:color="D3D3D3"/>
                        </w:pBdr>
                        <w:shd w:val="clear" w:color="auto" w:fill="D3D3D3"/>
                        <w:bidi w:val="0"/>
                        <w:spacing w:before="0" w:after="0" w:line="240" w:lineRule="auto"/>
                        <w:ind w:left="0" w:right="0" w:firstLine="0"/>
                        <w:jc w:val="left"/>
                      </w:pPr>
                      <w:r>
                        <w:rPr>
                          <w:color w:val="000000"/>
                          <w:spacing w:val="0"/>
                          <w:w w:val="100"/>
                          <w:position w:val="0"/>
                        </w:rPr>
                        <w:t>前五名客户销售额中关联方销售额占年度销售总额比例</w:t>
                      </w:r>
                    </w:p>
                  </w:txbxContent>
                </v:textbox>
                <w10:wrap type="topAndBottom" anchorx="page"/>
              </v:shape>
            </w:pict>
          </mc:Fallback>
        </mc:AlternateContent>
      </w:r>
      <w:r>
        <mc:AlternateContent>
          <mc:Choice Requires="wps">
            <w:drawing>
              <wp:anchor distT="8890" distB="12700" distL="0" distR="0" simplePos="0" relativeHeight="125829392" behindDoc="0" locked="0" layoutInCell="1" allowOverlap="1">
                <wp:simplePos x="0" y="0"/>
                <wp:positionH relativeFrom="page">
                  <wp:posOffset>6420485</wp:posOffset>
                </wp:positionH>
                <wp:positionV relativeFrom="paragraph">
                  <wp:posOffset>8890</wp:posOffset>
                </wp:positionV>
                <wp:extent cx="374650" cy="158750"/>
                <wp:wrapTopAndBottom/>
                <wp:docPr id="25" name="Shape 25"/>
                <a:graphic xmlns:a="http://schemas.openxmlformats.org/drawingml/2006/main">
                  <a:graphicData uri="http://schemas.microsoft.com/office/word/2010/wordprocessingShape">
                    <wps:wsp>
                      <wps:cNvSpPr txBox="1"/>
                      <wps:spPr>
                        <a:xfrm>
                          <a:ext cx="374650" cy="158750"/>
                        </a:xfrm>
                        <a:prstGeom prst="rect"/>
                        <a:noFill/>
                      </wps:spPr>
                      <wps:txbx>
                        <w:txbxContent>
                          <w:p>
                            <w:pPr>
                              <w:pStyle w:val="Style41"/>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right"/>
                            </w:pPr>
                            <w:r>
                              <w:rPr>
                                <w:color w:val="000000"/>
                                <w:spacing w:val="0"/>
                                <w:w w:val="100"/>
                                <w:position w:val="0"/>
                              </w:rPr>
                              <w:t>0.00%</w:t>
                            </w:r>
                          </w:p>
                        </w:txbxContent>
                      </wps:txbx>
                      <wps:bodyPr wrap="none" lIns="0" tIns="0" rIns="0" bIns="0">
                        <a:noAutoFit/>
                      </wps:bodyPr>
                    </wps:wsp>
                  </a:graphicData>
                </a:graphic>
              </wp:anchor>
            </w:drawing>
          </mc:Choice>
          <mc:Fallback>
            <w:pict>
              <v:shape id="_x0000_s1051" type="#_x0000_t202" style="position:absolute;margin-left:505.55000000000001pt;margin-top:0.70000000000000007pt;width:29.5pt;height:12.5pt;z-index:-125829361;mso-wrap-distance-left:0;mso-wrap-distance-top:0.70000000000000007pt;mso-wrap-distance-right:0;mso-wrap-distance-bottom:1.pt;mso-position-horizontal-relative:page" filled="f" stroked="f">
                <v:textbox inset="0,0,0,0">
                  <w:txbxContent>
                    <w:p>
                      <w:pPr>
                        <w:pStyle w:val="Style41"/>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right"/>
                      </w:pPr>
                      <w:r>
                        <w:rPr>
                          <w:color w:val="000000"/>
                          <w:spacing w:val="0"/>
                          <w:w w:val="100"/>
                          <w:position w:val="0"/>
                        </w:rPr>
                        <w:t>0.00%</w:t>
                      </w:r>
                    </w:p>
                  </w:txbxContent>
                </v:textbox>
                <w10:wrap type="topAndBottom" anchorx="page"/>
              </v:shape>
            </w:pict>
          </mc:Fallback>
        </mc:AlternateContent>
      </w:r>
    </w:p>
    <w:p>
      <w:pPr>
        <w:pStyle w:val="Style30"/>
        <w:keepNext/>
        <w:keepLines/>
        <w:widowControl w:val="0"/>
        <w:shd w:val="clear" w:color="auto" w:fill="auto"/>
        <w:bidi w:val="0"/>
        <w:spacing w:before="0" w:after="340" w:line="240" w:lineRule="auto"/>
        <w:ind w:left="0" w:right="0" w:firstLine="0"/>
        <w:jc w:val="left"/>
      </w:pPr>
      <w:bookmarkStart w:id="191" w:name="bookmark191"/>
      <w:bookmarkStart w:id="192" w:name="bookmark192"/>
      <w:bookmarkStart w:id="193" w:name="bookmark193"/>
      <w:bookmarkStart w:id="194" w:name="bookmark194"/>
      <w:r>
        <w:rPr>
          <w:rFonts w:ascii="Times New Roman" w:eastAsia="Times New Roman" w:hAnsi="Times New Roman" w:cs="Times New Roman"/>
          <w:color w:val="000000"/>
          <w:spacing w:val="0"/>
          <w:w w:val="100"/>
          <w:position w:val="0"/>
        </w:rPr>
        <w:t>3</w:t>
      </w:r>
      <w:bookmarkEnd w:id="193"/>
      <w:r>
        <w:rPr>
          <w:color w:val="000000"/>
          <w:spacing w:val="0"/>
          <w:w w:val="100"/>
          <w:position w:val="0"/>
        </w:rPr>
        <w:t>、费用</w:t>
      </w:r>
      <w:bookmarkEnd w:id="191"/>
      <w:bookmarkEnd w:id="192"/>
      <w:bookmarkEnd w:id="19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046"/>
        <w:gridCol w:w="3341"/>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27,475,614.25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25,361,276.40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361,398,447.76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60,792,140.43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494.48%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报告期内，国盛证券纳入合并范围。</w:t>
            </w:r>
          </w:p>
        </w:tc>
      </w:tr>
      <w:tr>
        <w:trPr>
          <w:trHeight w:val="1349"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-15,326,148.61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21,285,621.15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报告期内，非公开发行股票及发行公 司债券募集资金到位，募集资金存款 利息收入增加。本项目不涉及证券业 利息收入与支出。</w:t>
            </w:r>
          </w:p>
        </w:tc>
      </w:tr>
    </w:tbl>
    <w:p>
      <w:pPr>
        <w:spacing w:lineRule="exact" w:line="1"/>
        <w:rPr>
          <w:sz w:val="2"/>
          <w:szCs w:val="2"/>
        </w:rPr>
      </w:pPr>
      <w:r>
        <w:br w:type="page"/>
      </w:r>
    </w:p>
    <w:p>
      <w:pPr>
        <w:pStyle w:val="Style33"/>
        <w:keepNext w:val="0"/>
        <w:keepLines w:val="0"/>
        <w:widowControl w:val="0"/>
        <w:shd w:val="clear" w:color="auto" w:fill="auto"/>
        <w:tabs>
          <w:tab w:pos="7982" w:val="left"/>
        </w:tabs>
        <w:bidi w:val="0"/>
        <w:spacing w:before="0" w:after="280" w:line="240" w:lineRule="auto"/>
        <w:ind w:left="0" w:right="0" w:firstLine="0"/>
        <w:jc w:val="both"/>
      </w:pPr>
      <w:bookmarkStart w:id="195" w:name="bookmark195"/>
      <w:r>
        <w:rPr>
          <w:rFonts w:ascii="Times New Roman" w:eastAsia="Times New Roman" w:hAnsi="Times New Roman" w:cs="Times New Roman"/>
          <w:b/>
          <w:bCs/>
          <w:color w:val="000000"/>
          <w:spacing w:val="0"/>
          <w:w w:val="100"/>
          <w:position w:val="0"/>
        </w:rPr>
        <w:t>4</w:t>
      </w:r>
      <w:r>
        <w:rPr>
          <w:b/>
          <w:bCs/>
          <w:color w:val="000000"/>
          <w:spacing w:val="0"/>
          <w:w w:val="100"/>
          <w:position w:val="0"/>
        </w:rPr>
        <w:t>、研发投入</w:t>
        <w:tab/>
      </w: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195"/>
    </w:p>
    <w:p>
      <w:pPr>
        <w:pStyle w:val="Style33"/>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报告期内，公司围绕产品升级，产品性能提升、成本降低等开展了一系列研发工作，有效提升线缆业 务产品竞争力。</w:t>
      </w:r>
    </w:p>
    <w:p>
      <w:pPr>
        <w:pStyle w:val="Style33"/>
        <w:keepNext w:val="0"/>
        <w:keepLines w:val="0"/>
        <w:widowControl w:val="0"/>
        <w:shd w:val="clear" w:color="auto" w:fill="auto"/>
        <w:bidi w:val="0"/>
        <w:spacing w:before="0" w:after="80" w:line="317" w:lineRule="exact"/>
        <w:ind w:left="0" w:right="0" w:firstLine="0"/>
        <w:jc w:val="both"/>
      </w:pPr>
      <w:r>
        <w:rPr>
          <w:color w:val="000000"/>
          <w:spacing w:val="0"/>
          <w:w w:val="100"/>
          <w:position w:val="0"/>
        </w:rPr>
        <w:t>公司研发投入情况</w:t>
      </w:r>
    </w:p>
    <w:tbl>
      <w:tblPr>
        <w:tblOverlap w:val="never"/>
        <w:jc w:val="center"/>
        <w:tblLayout w:type="fixed"/>
      </w:tblPr>
      <w:tblGrid>
        <w:gridCol w:w="3408"/>
        <w:gridCol w:w="2054"/>
        <w:gridCol w:w="2054"/>
        <w:gridCol w:w="2064"/>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-10.94%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5.53%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-12.15%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24,582,921.25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42,631,509.86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-42.34%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1.50%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研发投入资本化的金额（元）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资本化研发投入占研发投入的比例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26"/>
        <w:keepNext w:val="0"/>
        <w:keepLines w:val="0"/>
        <w:widowControl w:val="0"/>
        <w:shd w:val="clear" w:color="auto" w:fill="auto"/>
        <w:tabs>
          <w:tab w:pos="7973" w:val="left"/>
        </w:tabs>
        <w:bidi w:val="0"/>
        <w:spacing w:before="0" w:after="0" w:line="240" w:lineRule="auto"/>
        <w:ind w:left="0" w:right="0" w:firstLine="0"/>
        <w:jc w:val="center"/>
      </w:pPr>
      <w:r>
        <w:rPr>
          <w:color w:val="000000"/>
          <w:spacing w:val="0"/>
          <w:w w:val="100"/>
          <w:position w:val="0"/>
        </w:rPr>
        <w:t>研发投入总额占营业收入的比重较上年发生显著变化的原因</w:t>
        <w:tab/>
      </w:r>
      <w:r>
        <w:rPr>
          <w:i/>
          <w:iCs/>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widowControl w:val="0"/>
        <w:spacing w:after="79" w:line="1" w:lineRule="exact"/>
      </w:pPr>
    </w:p>
    <w:p>
      <w:pPr>
        <w:pStyle w:val="Style33"/>
        <w:keepNext w:val="0"/>
        <w:keepLines w:val="0"/>
        <w:widowControl w:val="0"/>
        <w:shd w:val="clear" w:color="auto" w:fill="auto"/>
        <w:bidi w:val="0"/>
        <w:spacing w:before="0" w:after="120" w:line="240" w:lineRule="auto"/>
        <w:ind w:left="0" w:right="0" w:firstLine="440"/>
        <w:jc w:val="both"/>
      </w:pPr>
      <w:r>
        <w:rPr>
          <w:color w:val="000000"/>
          <w:spacing w:val="0"/>
          <w:w w:val="100"/>
          <w:position w:val="0"/>
        </w:rPr>
        <w:t>报告期内，国盛证券纳入公司合并报表范围，公司营业总收入大幅增长。</w:t>
      </w:r>
    </w:p>
    <w:p>
      <w:pPr>
        <w:pStyle w:val="Style33"/>
        <w:keepNext w:val="0"/>
        <w:keepLines w:val="0"/>
        <w:widowControl w:val="0"/>
        <w:shd w:val="clear" w:color="auto" w:fill="auto"/>
        <w:tabs>
          <w:tab w:pos="7982" w:val="left"/>
        </w:tabs>
        <w:bidi w:val="0"/>
        <w:spacing w:before="0" w:after="360" w:line="240" w:lineRule="auto"/>
        <w:ind w:left="0" w:right="0" w:firstLine="0"/>
        <w:jc w:val="both"/>
      </w:pPr>
      <w:r>
        <w:rPr>
          <w:color w:val="000000"/>
          <w:spacing w:val="0"/>
          <w:w w:val="100"/>
          <w:position w:val="0"/>
        </w:rPr>
        <w:t>研发投入资本化率大幅变动的原因及其合理性说明</w:t>
        <w:tab/>
      </w: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0"/>
        <w:keepNext/>
        <w:keepLines/>
        <w:widowControl w:val="0"/>
        <w:shd w:val="clear" w:color="auto" w:fill="auto"/>
        <w:bidi w:val="0"/>
        <w:spacing w:before="0" w:after="360" w:line="240" w:lineRule="auto"/>
        <w:ind w:left="0" w:right="0" w:firstLine="0"/>
        <w:jc w:val="both"/>
      </w:pPr>
      <w:bookmarkStart w:id="196" w:name="bookmark196"/>
      <w:bookmarkStart w:id="197" w:name="bookmark197"/>
      <w:bookmarkStart w:id="198" w:name="bookmark198"/>
      <w:bookmarkStart w:id="199" w:name="bookmark199"/>
      <w:r>
        <w:rPr>
          <w:rFonts w:ascii="Times New Roman" w:eastAsia="Times New Roman" w:hAnsi="Times New Roman" w:cs="Times New Roman"/>
          <w:color w:val="000000"/>
          <w:spacing w:val="0"/>
          <w:w w:val="100"/>
          <w:position w:val="0"/>
        </w:rPr>
        <w:t>5</w:t>
      </w:r>
      <w:bookmarkEnd w:id="198"/>
      <w:r>
        <w:rPr>
          <w:color w:val="000000"/>
          <w:spacing w:val="0"/>
          <w:w w:val="100"/>
          <w:position w:val="0"/>
        </w:rPr>
        <w:t>、现金流</w:t>
      </w:r>
      <w:bookmarkEnd w:id="196"/>
      <w:bookmarkEnd w:id="197"/>
      <w:bookmarkEnd w:id="199"/>
    </w:p>
    <w:p>
      <w:pPr>
        <w:pStyle w:val="Style26"/>
        <w:keepNext w:val="0"/>
        <w:keepLines w:val="0"/>
        <w:widowControl w:val="0"/>
        <w:shd w:val="clear" w:color="auto" w:fill="auto"/>
        <w:bidi w:val="0"/>
        <w:spacing w:before="0" w:after="0" w:line="240" w:lineRule="auto"/>
        <w:ind w:left="8683" w:right="0" w:firstLine="0"/>
        <w:jc w:val="left"/>
      </w:pPr>
      <w:r>
        <w:rPr>
          <w:color w:val="000000"/>
          <w:spacing w:val="0"/>
          <w:w w:val="100"/>
          <w:position w:val="0"/>
        </w:rPr>
        <w:t>单位：元</w:t>
      </w:r>
    </w:p>
    <w:tbl>
      <w:tblPr>
        <w:tblOverlap w:val="never"/>
        <w:jc w:val="center"/>
        <w:tblLayout w:type="fixed"/>
      </w:tblPr>
      <w:tblGrid>
        <w:gridCol w:w="2981"/>
        <w:gridCol w:w="2198"/>
        <w:gridCol w:w="2198"/>
        <w:gridCol w:w="2203"/>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3,838,908,741.28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1,225,658,777.20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213.21%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10,072,655,245.63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958,930,325.73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950.41%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-6,233,746,504.35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266,728,451.47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-2437.11%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9,166,330,208.29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105,161.98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8716291.81%</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3,941,347,524.97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25,878,390.48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15130.27%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5,224,982,683.32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-25,773,228.50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-20372.91%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11,675,006,352.39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225,802,933.47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5070.44%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2,017,545,570.93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465,535,127.01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333.38%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9,657,460,781.46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-239,732,193.54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-4128.44%</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8,651,283,175.82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1,422,956.13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607879.61%</w:t>
            </w:r>
          </w:p>
        </w:tc>
      </w:tr>
    </w:tbl>
    <w:p>
      <w:pPr>
        <w:pStyle w:val="Style26"/>
        <w:keepNext w:val="0"/>
        <w:keepLines w:val="0"/>
        <w:widowControl w:val="0"/>
        <w:shd w:val="clear" w:color="auto" w:fill="auto"/>
        <w:tabs>
          <w:tab w:pos="7958" w:val="left"/>
        </w:tabs>
        <w:bidi w:val="0"/>
        <w:spacing w:before="0" w:after="0" w:line="240" w:lineRule="auto"/>
        <w:ind w:left="0" w:right="0" w:firstLine="0"/>
        <w:jc w:val="center"/>
      </w:pPr>
      <w:r>
        <w:rPr>
          <w:color w:val="000000"/>
          <w:spacing w:val="0"/>
          <w:w w:val="100"/>
          <w:position w:val="0"/>
        </w:rPr>
        <w:t>相关数据同比发生重大变动的主要影响因素说明</w:t>
        <w:tab/>
      </w: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val="0"/>
        <w:keepLines w:val="0"/>
        <w:widowControl w:val="0"/>
        <w:shd w:val="clear" w:color="auto" w:fill="auto"/>
        <w:tabs>
          <w:tab w:pos="790" w:val="left"/>
        </w:tabs>
        <w:bidi w:val="0"/>
        <w:spacing w:before="0" w:after="0" w:line="314" w:lineRule="exact"/>
        <w:ind w:left="0" w:right="0" w:firstLine="440"/>
        <w:jc w:val="left"/>
      </w:pPr>
      <w:bookmarkStart w:id="200" w:name="bookmark200"/>
      <w:r>
        <w:rPr>
          <w:rFonts w:ascii="Times New Roman" w:eastAsia="Times New Roman" w:hAnsi="Times New Roman" w:cs="Times New Roman"/>
          <w:color w:val="000000"/>
          <w:spacing w:val="0"/>
          <w:w w:val="100"/>
          <w:position w:val="0"/>
        </w:rPr>
        <w:t>1</w:t>
      </w:r>
      <w:bookmarkEnd w:id="200"/>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年度经营活动产生的现金流量净额为</w:t>
      </w:r>
      <w:r>
        <w:rPr>
          <w:rFonts w:ascii="Times New Roman" w:eastAsia="Times New Roman" w:hAnsi="Times New Roman" w:cs="Times New Roman"/>
          <w:color w:val="000000"/>
          <w:spacing w:val="0"/>
          <w:w w:val="100"/>
          <w:position w:val="0"/>
        </w:rPr>
        <w:t>-623,374.65</w:t>
      </w:r>
      <w:r>
        <w:rPr>
          <w:color w:val="000000"/>
          <w:spacing w:val="0"/>
          <w:w w:val="100"/>
          <w:position w:val="0"/>
        </w:rPr>
        <w:t>万元，较上年同期下降</w:t>
      </w:r>
      <w:r>
        <w:rPr>
          <w:rFonts w:ascii="Times New Roman" w:eastAsia="Times New Roman" w:hAnsi="Times New Roman" w:cs="Times New Roman"/>
          <w:color w:val="000000"/>
          <w:spacing w:val="0"/>
          <w:w w:val="100"/>
          <w:position w:val="0"/>
        </w:rPr>
        <w:t>2437.11%</w:t>
      </w:r>
      <w:r>
        <w:rPr>
          <w:color w:val="000000"/>
          <w:spacing w:val="0"/>
          <w:w w:val="100"/>
          <w:position w:val="0"/>
        </w:rPr>
        <w:t>，主要是报 告期内国盛证券纳入合并范围，因证券市场波动导致代理买卖证券款减少以及报告期国盛证券股票质押回 购、自营等业务快速增长所致。</w:t>
      </w:r>
    </w:p>
    <w:p>
      <w:pPr>
        <w:pStyle w:val="Style33"/>
        <w:keepNext w:val="0"/>
        <w:keepLines w:val="0"/>
        <w:widowControl w:val="0"/>
        <w:shd w:val="clear" w:color="auto" w:fill="auto"/>
        <w:tabs>
          <w:tab w:pos="757" w:val="left"/>
        </w:tabs>
        <w:bidi w:val="0"/>
        <w:spacing w:before="0" w:after="0" w:line="314" w:lineRule="exact"/>
        <w:ind w:left="0" w:right="0" w:firstLine="440"/>
        <w:jc w:val="left"/>
      </w:pPr>
      <w:bookmarkStart w:id="201" w:name="bookmark201"/>
      <w:r>
        <w:rPr>
          <w:rFonts w:ascii="Times New Roman" w:eastAsia="Times New Roman" w:hAnsi="Times New Roman" w:cs="Times New Roman"/>
          <w:color w:val="000000"/>
          <w:spacing w:val="0"/>
          <w:w w:val="100"/>
          <w:position w:val="0"/>
        </w:rPr>
        <w:t>2</w:t>
      </w:r>
      <w:bookmarkEnd w:id="201"/>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年度投资活动产生的现金流量净额大幅增加的主要原因是公司收购国盛证券</w:t>
      </w:r>
      <w:r>
        <w:rPr>
          <w:color w:val="000000"/>
          <w:spacing w:val="0"/>
          <w:w w:val="100"/>
          <w:position w:val="0"/>
        </w:rPr>
        <w:t>100%</w:t>
      </w:r>
      <w:r>
        <w:rPr>
          <w:color w:val="000000"/>
          <w:spacing w:val="0"/>
          <w:w w:val="100"/>
          <w:position w:val="0"/>
        </w:rPr>
        <w:t>股权，合并 日国盛证券现金余额</w:t>
      </w:r>
      <w:r>
        <w:rPr>
          <w:rFonts w:ascii="Times New Roman" w:eastAsia="Times New Roman" w:hAnsi="Times New Roman" w:cs="Times New Roman"/>
          <w:color w:val="000000"/>
          <w:spacing w:val="0"/>
          <w:w w:val="100"/>
          <w:position w:val="0"/>
        </w:rPr>
        <w:t>91.33</w:t>
      </w:r>
      <w:r>
        <w:rPr>
          <w:color w:val="000000"/>
          <w:spacing w:val="0"/>
          <w:w w:val="100"/>
          <w:position w:val="0"/>
        </w:rPr>
        <w:t>亿元。</w:t>
      </w:r>
    </w:p>
    <w:p>
      <w:pPr>
        <w:pStyle w:val="Style33"/>
        <w:keepNext w:val="0"/>
        <w:keepLines w:val="0"/>
        <w:widowControl w:val="0"/>
        <w:shd w:val="clear" w:color="auto" w:fill="auto"/>
        <w:tabs>
          <w:tab w:pos="790" w:val="left"/>
        </w:tabs>
        <w:bidi w:val="0"/>
        <w:spacing w:before="0" w:after="100" w:line="314" w:lineRule="exact"/>
        <w:ind w:left="0" w:right="0" w:firstLine="440"/>
        <w:jc w:val="left"/>
      </w:pPr>
      <w:bookmarkStart w:id="202" w:name="bookmark202"/>
      <w:r>
        <w:rPr>
          <w:rFonts w:ascii="Times New Roman" w:eastAsia="Times New Roman" w:hAnsi="Times New Roman" w:cs="Times New Roman"/>
          <w:color w:val="000000"/>
          <w:spacing w:val="0"/>
          <w:w w:val="100"/>
          <w:position w:val="0"/>
        </w:rPr>
        <w:t>3</w:t>
      </w:r>
      <w:bookmarkEnd w:id="202"/>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年度筹资活动产生的现金流量净额大幅增加的主要原因是公司非公开发行股份募集配套资金 </w:t>
      </w:r>
      <w:r>
        <w:rPr>
          <w:rFonts w:ascii="Times New Roman" w:eastAsia="Times New Roman" w:hAnsi="Times New Roman" w:cs="Times New Roman"/>
          <w:color w:val="000000"/>
          <w:spacing w:val="0"/>
          <w:w w:val="100"/>
          <w:position w:val="0"/>
        </w:rPr>
        <w:t>69.30</w:t>
      </w:r>
      <w:r>
        <w:rPr>
          <w:color w:val="000000"/>
          <w:spacing w:val="0"/>
          <w:w w:val="100"/>
          <w:position w:val="0"/>
        </w:rPr>
        <w:t>亿元、发行公司债券</w:t>
      </w:r>
      <w:r>
        <w:rPr>
          <w:rFonts w:ascii="Times New Roman" w:eastAsia="Times New Roman" w:hAnsi="Times New Roman" w:cs="Times New Roman"/>
          <w:color w:val="000000"/>
          <w:spacing w:val="0"/>
          <w:w w:val="100"/>
          <w:position w:val="0"/>
        </w:rPr>
        <w:t>30</w:t>
      </w:r>
      <w:r>
        <w:rPr>
          <w:color w:val="000000"/>
          <w:spacing w:val="0"/>
          <w:w w:val="100"/>
          <w:position w:val="0"/>
        </w:rPr>
        <w:t>亿元，国盛证券发行公司债券</w:t>
      </w:r>
      <w:r>
        <w:rPr>
          <w:rFonts w:ascii="Times New Roman" w:eastAsia="Times New Roman" w:hAnsi="Times New Roman" w:cs="Times New Roman"/>
          <w:color w:val="000000"/>
          <w:spacing w:val="0"/>
          <w:w w:val="100"/>
          <w:position w:val="0"/>
        </w:rPr>
        <w:t>10</w:t>
      </w:r>
      <w:r>
        <w:rPr>
          <w:color w:val="000000"/>
          <w:spacing w:val="0"/>
          <w:w w:val="100"/>
          <w:position w:val="0"/>
        </w:rPr>
        <w:t>亿元。</w:t>
      </w:r>
    </w:p>
    <w:p>
      <w:pPr>
        <w:pStyle w:val="Style33"/>
        <w:keepNext w:val="0"/>
        <w:keepLines w:val="0"/>
        <w:widowControl w:val="0"/>
        <w:shd w:val="clear" w:color="auto" w:fill="auto"/>
        <w:tabs>
          <w:tab w:pos="7966" w:val="left"/>
        </w:tabs>
        <w:bidi w:val="0"/>
        <w:spacing w:before="0" w:after="100" w:line="240" w:lineRule="auto"/>
        <w:ind w:left="0" w:right="0" w:firstLine="0"/>
        <w:jc w:val="left"/>
      </w:pPr>
      <w:r>
        <w:rPr>
          <w:color w:val="000000"/>
          <w:spacing w:val="0"/>
          <w:w w:val="100"/>
          <w:position w:val="0"/>
        </w:rPr>
        <w:t>报告期内公司经营活动产生的现金净流量与本年度净利润存在重大差异的原因说明</w:t>
        <w:tab/>
      </w: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报告期内公司经营活动产生的现金径流量与本年度净利润存在重大差异主要是受证券业务特征所致。</w:t>
      </w:r>
    </w:p>
    <w:p>
      <w:pPr>
        <w:pStyle w:val="Style33"/>
        <w:keepNext w:val="0"/>
        <w:keepLines w:val="0"/>
        <w:widowControl w:val="0"/>
        <w:shd w:val="clear" w:color="auto" w:fill="auto"/>
        <w:tabs>
          <w:tab w:pos="517" w:val="left"/>
          <w:tab w:pos="7966" w:val="left"/>
        </w:tabs>
        <w:bidi w:val="0"/>
        <w:spacing w:before="0" w:after="360" w:line="240" w:lineRule="auto"/>
        <w:ind w:left="0" w:right="0" w:firstLine="0"/>
        <w:jc w:val="left"/>
      </w:pPr>
      <w:bookmarkStart w:id="203" w:name="bookmark203"/>
      <w:bookmarkStart w:id="204" w:name="bookmark204"/>
      <w:r>
        <w:rPr>
          <w:b/>
          <w:bCs/>
          <w:color w:val="000000"/>
          <w:spacing w:val="0"/>
          <w:w w:val="100"/>
          <w:position w:val="0"/>
          <w:sz w:val="22"/>
          <w:szCs w:val="22"/>
        </w:rPr>
        <w:t>三</w:t>
      </w:r>
      <w:bookmarkEnd w:id="203"/>
      <w:r>
        <w:rPr>
          <w:b/>
          <w:bCs/>
          <w:color w:val="000000"/>
          <w:spacing w:val="0"/>
          <w:w w:val="100"/>
          <w:position w:val="0"/>
          <w:sz w:val="22"/>
          <w:szCs w:val="22"/>
        </w:rPr>
        <w:t>、</w:t>
        <w:tab/>
        <w:t>非主营业务分析</w:t>
        <w:tab/>
      </w:r>
      <w:r>
        <w:rPr>
          <w:color w:val="000000"/>
          <w:spacing w:val="0"/>
          <w:w w:val="100"/>
          <w:position w:val="0"/>
        </w:rPr>
        <w:t>口</w:t>
      </w:r>
      <w:r>
        <w:rPr>
          <w:color w:val="000000"/>
          <w:spacing w:val="0"/>
          <w:w w:val="100"/>
          <w:position w:val="0"/>
        </w:rPr>
        <w:t>适用</w:t>
      </w:r>
      <w:r>
        <w:rPr>
          <w:i/>
          <w:iCs/>
          <w:color w:val="000000"/>
          <w:spacing w:val="0"/>
          <w:w w:val="100"/>
          <w:position w:val="0"/>
        </w:rPr>
        <w:t>q</w:t>
      </w:r>
      <w:r>
        <w:rPr>
          <w:color w:val="000000"/>
          <w:spacing w:val="0"/>
          <w:w w:val="100"/>
          <w:position w:val="0"/>
        </w:rPr>
        <w:t>不适用</w:t>
      </w:r>
      <w:bookmarkEnd w:id="204"/>
    </w:p>
    <w:p>
      <w:pPr>
        <w:pStyle w:val="Style23"/>
        <w:keepNext/>
        <w:keepLines/>
        <w:widowControl w:val="0"/>
        <w:shd w:val="clear" w:color="auto" w:fill="auto"/>
        <w:tabs>
          <w:tab w:pos="517" w:val="left"/>
        </w:tabs>
        <w:bidi w:val="0"/>
        <w:spacing w:before="0" w:after="360" w:line="240" w:lineRule="auto"/>
        <w:ind w:left="0" w:right="0" w:firstLine="0"/>
        <w:jc w:val="left"/>
        <w:rPr>
          <w:sz w:val="22"/>
          <w:szCs w:val="22"/>
        </w:rPr>
      </w:pPr>
      <w:bookmarkStart w:id="205" w:name="bookmark205"/>
      <w:bookmarkStart w:id="206" w:name="bookmark206"/>
      <w:bookmarkStart w:id="207" w:name="bookmark207"/>
      <w:bookmarkStart w:id="208" w:name="bookmark208"/>
      <w:bookmarkStart w:id="209" w:name="bookmark209"/>
      <w:r>
        <w:rPr>
          <w:b/>
          <w:bCs/>
          <w:color w:val="000000"/>
          <w:spacing w:val="0"/>
          <w:w w:val="100"/>
          <w:position w:val="0"/>
          <w:sz w:val="22"/>
          <w:szCs w:val="22"/>
        </w:rPr>
        <w:t>四</w:t>
      </w:r>
      <w:bookmarkEnd w:id="207"/>
      <w:r>
        <w:rPr>
          <w:b/>
          <w:bCs/>
          <w:color w:val="000000"/>
          <w:spacing w:val="0"/>
          <w:w w:val="100"/>
          <w:position w:val="0"/>
          <w:sz w:val="22"/>
          <w:szCs w:val="22"/>
        </w:rPr>
        <w:t>、</w:t>
        <w:tab/>
        <w:t>资产及负债状况分析</w:t>
      </w:r>
      <w:bookmarkEnd w:id="205"/>
      <w:bookmarkEnd w:id="206"/>
      <w:bookmarkEnd w:id="208"/>
      <w:bookmarkEnd w:id="209"/>
    </w:p>
    <w:p>
      <w:pPr>
        <w:pStyle w:val="Style30"/>
        <w:keepNext/>
        <w:keepLines/>
        <w:widowControl w:val="0"/>
        <w:shd w:val="clear" w:color="auto" w:fill="auto"/>
        <w:bidi w:val="0"/>
        <w:spacing w:before="0" w:after="360" w:line="240" w:lineRule="auto"/>
        <w:ind w:left="0" w:right="0" w:firstLine="0"/>
        <w:jc w:val="left"/>
      </w:pPr>
      <w:bookmarkStart w:id="210" w:name="bookmark210"/>
      <w:bookmarkStart w:id="211" w:name="bookmark211"/>
      <w:bookmarkStart w:id="212" w:name="bookmark212"/>
      <w:bookmarkStart w:id="213" w:name="bookmark213"/>
      <w:bookmarkStart w:id="214" w:name="bookmark214"/>
      <w:r>
        <w:rPr>
          <w:rFonts w:ascii="Times New Roman" w:eastAsia="Times New Roman" w:hAnsi="Times New Roman" w:cs="Times New Roman"/>
          <w:color w:val="000000"/>
          <w:spacing w:val="0"/>
          <w:w w:val="100"/>
          <w:position w:val="0"/>
        </w:rPr>
        <w:t>1</w:t>
      </w:r>
      <w:bookmarkEnd w:id="212"/>
      <w:r>
        <w:rPr>
          <w:color w:val="000000"/>
          <w:spacing w:val="0"/>
          <w:w w:val="100"/>
          <w:position w:val="0"/>
        </w:rPr>
        <w:t>、资产构成重大变动情况</w:t>
      </w:r>
      <w:bookmarkEnd w:id="210"/>
      <w:bookmarkEnd w:id="211"/>
      <w:bookmarkEnd w:id="213"/>
      <w:bookmarkEnd w:id="214"/>
    </w:p>
    <w:p>
      <w:pPr>
        <w:pStyle w:val="Style26"/>
        <w:keepNext w:val="0"/>
        <w:keepLines w:val="0"/>
        <w:widowControl w:val="0"/>
        <w:shd w:val="clear" w:color="auto" w:fill="auto"/>
        <w:bidi w:val="0"/>
        <w:spacing w:before="0" w:after="0" w:line="240" w:lineRule="auto"/>
        <w:ind w:left="8702" w:right="0" w:firstLine="0"/>
        <w:jc w:val="left"/>
      </w:pPr>
      <w:r>
        <w:rPr>
          <w:color w:val="000000"/>
          <w:spacing w:val="0"/>
          <w:w w:val="100"/>
          <w:position w:val="0"/>
        </w:rPr>
        <w:t>单位：元</w:t>
      </w:r>
    </w:p>
    <w:tbl>
      <w:tblPr>
        <w:tblOverlap w:val="never"/>
        <w:jc w:val="center"/>
        <w:tblLayout w:type="fixed"/>
      </w:tblPr>
      <w:tblGrid>
        <w:gridCol w:w="1848"/>
        <w:gridCol w:w="1843"/>
        <w:gridCol w:w="989"/>
        <w:gridCol w:w="1704"/>
        <w:gridCol w:w="994"/>
        <w:gridCol w:w="1133"/>
        <w:gridCol w:w="1070"/>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14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重大变动 说明</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 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 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7,759,033,183.29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29.92%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64,125,510.44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482,870,617.36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298,181,657.77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-26.68%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232,085,149.63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0.90%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122,513,629.38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11.73%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-10.83%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66,331,578.31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0.26%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335,084,140.29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301,566,266.83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-27.57%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5,787,113.55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0.02%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9,327,951.85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-0.87%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51,775,584.20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0.20%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30,000,000.00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-2.67%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426" w:right="1032" w:bottom="1455" w:left="974" w:header="0" w:footer="3" w:gutter="0"/>
          <w:cols w:space="720"/>
          <w:noEndnote/>
          <w:rtlGutter w:val="0"/>
          <w:docGrid w:linePitch="360"/>
        </w:sectPr>
      </w:pPr>
    </w:p>
    <w:p>
      <w:pPr>
        <w:pStyle w:val="Style33"/>
        <w:keepNext w:val="0"/>
        <w:keepLines w:val="0"/>
        <w:widowControl w:val="0"/>
        <w:shd w:val="clear" w:color="auto" w:fill="auto"/>
        <w:bidi w:val="0"/>
        <w:spacing w:before="0" w:after="340" w:line="240" w:lineRule="auto"/>
        <w:ind w:left="0" w:right="0" w:firstLine="0"/>
        <w:jc w:val="left"/>
      </w:pPr>
      <w:r>
        <mc:AlternateContent>
          <mc:Choice Requires="wps">
            <w:drawing>
              <wp:anchor distT="0" distB="0" distL="114300" distR="114300" simplePos="0" relativeHeight="125829394" behindDoc="0" locked="0" layoutInCell="1" allowOverlap="1">
                <wp:simplePos x="0" y="0"/>
                <wp:positionH relativeFrom="page">
                  <wp:posOffset>5986780</wp:posOffset>
                </wp:positionH>
                <wp:positionV relativeFrom="paragraph">
                  <wp:posOffset>12700</wp:posOffset>
                </wp:positionV>
                <wp:extent cx="1045210" cy="189230"/>
                <wp:wrapSquare wrapText="left"/>
                <wp:docPr id="27" name="Shape 27"/>
                <a:graphic xmlns:a="http://schemas.openxmlformats.org/drawingml/2006/main">
                  <a:graphicData uri="http://schemas.microsoft.com/office/word/2010/wordprocessingShape">
                    <wps:wsp>
                      <wps:cNvSpPr txBox="1"/>
                      <wps:spPr>
                        <a:xfrm>
                          <a:ext cx="1045210" cy="18923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txbxContent>
                      </wps:txbx>
                      <wps:bodyPr wrap="none" lIns="0" tIns="0" rIns="0" bIns="0">
                        <a:noAutoFit/>
                      </wps:bodyPr>
                    </wps:wsp>
                  </a:graphicData>
                </a:graphic>
              </wp:anchor>
            </w:drawing>
          </mc:Choice>
          <mc:Fallback>
            <w:pict>
              <v:shape id="_x0000_s1053" type="#_x0000_t202" style="position:absolute;margin-left:471.40000000000003pt;margin-top:1.pt;width:82.299999999999997pt;height:14.9pt;z-index:-125829359;mso-wrap-distance-left:9.pt;mso-wrap-distance-right:9.pt;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txbxContent>
                </v:textbox>
                <w10:wrap type="square" side="left" anchorx="page"/>
              </v:shape>
            </w:pict>
          </mc:Fallback>
        </mc:AlternateContent>
      </w:r>
      <w:bookmarkStart w:id="215" w:name="bookmark215"/>
      <w:bookmarkStart w:id="216" w:name="bookmark216"/>
      <w:r>
        <w:rPr>
          <w:rFonts w:ascii="Times New Roman" w:eastAsia="Times New Roman" w:hAnsi="Times New Roman" w:cs="Times New Roman"/>
          <w:b/>
          <w:bCs/>
          <w:color w:val="000000"/>
          <w:spacing w:val="0"/>
          <w:w w:val="100"/>
          <w:position w:val="0"/>
        </w:rPr>
        <w:t>2</w:t>
      </w:r>
      <w:bookmarkEnd w:id="215"/>
      <w:r>
        <w:rPr>
          <w:b/>
          <w:bCs/>
          <w:color w:val="000000"/>
          <w:spacing w:val="0"/>
          <w:w w:val="100"/>
          <w:position w:val="0"/>
        </w:rPr>
        <w:t>、以公允价值计量的资产和负债</w:t>
      </w:r>
      <w:bookmarkEnd w:id="216"/>
    </w:p>
    <w:p>
      <w:pPr>
        <w:pStyle w:val="Style26"/>
        <w:keepNext w:val="0"/>
        <w:keepLines w:val="0"/>
        <w:widowControl w:val="0"/>
        <w:shd w:val="clear" w:color="auto" w:fill="auto"/>
        <w:bidi w:val="0"/>
        <w:spacing w:before="0" w:after="0" w:line="240" w:lineRule="auto"/>
        <w:ind w:left="13022" w:right="0" w:firstLine="0"/>
        <w:jc w:val="left"/>
      </w:pPr>
      <w:r>
        <w:rPr>
          <w:color w:val="000000"/>
          <w:spacing w:val="0"/>
          <w:w w:val="100"/>
          <w:position w:val="0"/>
        </w:rPr>
        <w:t>单位：元</w:t>
      </w:r>
    </w:p>
    <w:tbl>
      <w:tblPr>
        <w:tblOverlap w:val="never"/>
        <w:jc w:val="center"/>
        <w:tblLayout w:type="fixed"/>
      </w:tblPr>
      <w:tblGrid>
        <w:gridCol w:w="3696"/>
        <w:gridCol w:w="706"/>
        <w:gridCol w:w="1560"/>
        <w:gridCol w:w="1560"/>
        <w:gridCol w:w="1416"/>
        <w:gridCol w:w="1704"/>
        <w:gridCol w:w="1699"/>
        <w:gridCol w:w="1709"/>
      </w:tblGrid>
      <w:tr>
        <w:trPr>
          <w:trHeight w:val="456"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本期公允价值变</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计入权益的累计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本期计提的减</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本期购买金额</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本期出售金额</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26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动损益</w:t>
            </w:r>
          </w:p>
        </w:tc>
        <w:tc>
          <w:tcPr>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公允价值变动</w:t>
            </w:r>
          </w:p>
        </w:tc>
        <w:tc>
          <w:tcPr>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gridSpan w:val="7"/>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以公允价值计量且其变动计入当期 损益的金融资产（不含衍生金融资产）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140"/>
              <w:jc w:val="left"/>
            </w:pPr>
            <w:r>
              <w:rPr>
                <w:rFonts w:ascii="Times New Roman" w:eastAsia="Times New Roman" w:hAnsi="Times New Roman" w:cs="Times New Roman"/>
                <w:color w:val="000000"/>
                <w:spacing w:val="0"/>
                <w:w w:val="100"/>
                <w:position w:val="0"/>
              </w:rPr>
              <w:t>140,390,574.39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rFonts w:ascii="Times New Roman" w:eastAsia="Times New Roman" w:hAnsi="Times New Roman" w:cs="Times New Roman"/>
                <w:color w:val="000000"/>
                <w:spacing w:val="0"/>
                <w:w w:val="100"/>
                <w:position w:val="0"/>
              </w:rPr>
              <w:t>4,598,158,353.60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rFonts w:ascii="Times New Roman" w:eastAsia="Times New Roman" w:hAnsi="Times New Roman" w:cs="Times New Roman"/>
                <w:color w:val="000000"/>
                <w:spacing w:val="0"/>
                <w:w w:val="100"/>
                <w:position w:val="0"/>
              </w:rPr>
              <w:t>2,189,578,089.12</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rFonts w:ascii="Times New Roman" w:eastAsia="Times New Roman" w:hAnsi="Times New Roman" w:cs="Times New Roman"/>
                <w:color w:val="000000"/>
                <w:spacing w:val="0"/>
                <w:w w:val="100"/>
                <w:position w:val="0"/>
              </w:rPr>
              <w:t>2,291,380,264.48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-36,379,297.30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4,618,570.68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3,728,199,996.29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212,317,311.71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3,652,082,684.57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140,390,574.39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-36,379,297.30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4,618,570.68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8,326,358,349.89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2,401,895,400.83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5,943,462,949.05</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tabs>
          <w:tab w:pos="12917" w:val="left"/>
        </w:tabs>
        <w:bidi w:val="0"/>
        <w:spacing w:before="0" w:after="0" w:line="240" w:lineRule="auto"/>
        <w:ind w:left="0" w:right="0" w:firstLine="0"/>
        <w:jc w:val="left"/>
      </w:pPr>
      <w:r>
        <w:rPr>
          <w:color w:val="000000"/>
          <w:spacing w:val="0"/>
          <w:w w:val="100"/>
          <w:position w:val="0"/>
        </w:rPr>
        <w:t>报告期内公司主要资产计量属性是否发生重大变化</w:t>
        <w:tab/>
      </w: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q</w:t>
      </w:r>
      <w:r>
        <w:rPr>
          <w:color w:val="000000"/>
          <w:spacing w:val="0"/>
          <w:w w:val="100"/>
          <w:position w:val="0"/>
        </w:rPr>
        <w:t>否</w:t>
      </w:r>
    </w:p>
    <w:p>
      <w:pPr>
        <w:widowControl w:val="0"/>
        <w:spacing w:after="259" w:line="1" w:lineRule="exact"/>
      </w:pPr>
    </w:p>
    <w:p>
      <w:pPr>
        <w:pStyle w:val="Style30"/>
        <w:keepNext/>
        <w:keepLines/>
        <w:widowControl w:val="0"/>
        <w:shd w:val="clear" w:color="auto" w:fill="auto"/>
        <w:bidi w:val="0"/>
        <w:spacing w:before="0" w:after="260" w:line="319" w:lineRule="exact"/>
        <w:ind w:left="0" w:right="0" w:firstLine="0"/>
        <w:jc w:val="left"/>
      </w:pPr>
      <w:bookmarkStart w:id="217" w:name="bookmark217"/>
      <w:bookmarkStart w:id="218" w:name="bookmark218"/>
      <w:bookmarkStart w:id="219" w:name="bookmark219"/>
      <w:r>
        <w:rPr>
          <w:rFonts w:ascii="Times New Roman" w:eastAsia="Times New Roman" w:hAnsi="Times New Roman" w:cs="Times New Roman"/>
          <w:color w:val="000000"/>
          <w:spacing w:val="0"/>
          <w:w w:val="100"/>
          <w:position w:val="0"/>
        </w:rPr>
        <w:t>3</w:t>
      </w:r>
      <w:r>
        <w:rPr>
          <w:color w:val="000000"/>
          <w:spacing w:val="0"/>
          <w:w w:val="100"/>
          <w:position w:val="0"/>
        </w:rPr>
        <w:t>、截至报告期末的资产权利受限情况</w:t>
      </w:r>
      <w:bookmarkEnd w:id="217"/>
      <w:bookmarkEnd w:id="218"/>
      <w:bookmarkEnd w:id="219"/>
    </w:p>
    <w:p>
      <w:pPr>
        <w:pStyle w:val="Style33"/>
        <w:keepNext w:val="0"/>
        <w:keepLines w:val="0"/>
        <w:widowControl w:val="0"/>
        <w:shd w:val="clear" w:color="auto" w:fill="auto"/>
        <w:bidi w:val="0"/>
        <w:spacing w:before="0" w:after="340" w:line="319" w:lineRule="exact"/>
        <w:ind w:left="0" w:right="0" w:firstLine="440"/>
        <w:jc w:val="left"/>
      </w:pPr>
      <w:r>
        <w:rPr>
          <w:color w:val="000000"/>
          <w:spacing w:val="0"/>
          <w:w w:val="100"/>
          <w:position w:val="0"/>
        </w:rPr>
        <w:t>截至报告期末，公司存在银行承兑汇票保证金、信用证保证金、锁汇保证金合计</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,406.99</w:t>
      </w:r>
      <w:r>
        <w:rPr>
          <w:color w:val="000000"/>
          <w:spacing w:val="0"/>
          <w:w w:val="100"/>
          <w:position w:val="0"/>
        </w:rPr>
        <w:t>万元，子公司国盛证券存在质押债券</w:t>
      </w:r>
      <w:r>
        <w:rPr>
          <w:rFonts w:ascii="Times New Roman" w:eastAsia="Times New Roman" w:hAnsi="Times New Roman" w:cs="Times New Roman"/>
          <w:color w:val="000000"/>
          <w:spacing w:val="0"/>
          <w:w w:val="100"/>
          <w:position w:val="0"/>
        </w:rPr>
        <w:t>58,589.54</w:t>
      </w:r>
      <w:r>
        <w:rPr>
          <w:color w:val="000000"/>
          <w:spacing w:val="0"/>
          <w:w w:val="100"/>
          <w:position w:val="0"/>
        </w:rPr>
        <w:t>万元、质押可 供出售金融资产</w:t>
      </w:r>
      <w:r>
        <w:rPr>
          <w:rFonts w:ascii="Times New Roman" w:eastAsia="Times New Roman" w:hAnsi="Times New Roman" w:cs="Times New Roman"/>
          <w:color w:val="000000"/>
          <w:spacing w:val="0"/>
          <w:w w:val="100"/>
          <w:position w:val="0"/>
        </w:rPr>
        <w:t>48,438.38</w:t>
      </w:r>
      <w:r>
        <w:rPr>
          <w:color w:val="000000"/>
          <w:spacing w:val="0"/>
          <w:w w:val="100"/>
          <w:position w:val="0"/>
        </w:rPr>
        <w:t>万元、质押融出资金</w:t>
      </w:r>
      <w:r>
        <w:rPr>
          <w:rFonts w:ascii="Times New Roman" w:eastAsia="Times New Roman" w:hAnsi="Times New Roman" w:cs="Times New Roman"/>
          <w:color w:val="000000"/>
          <w:spacing w:val="0"/>
          <w:w w:val="100"/>
          <w:position w:val="0"/>
        </w:rPr>
        <w:t>23,572.65</w:t>
      </w:r>
      <w:r>
        <w:rPr>
          <w:color w:val="000000"/>
          <w:spacing w:val="0"/>
          <w:w w:val="100"/>
          <w:position w:val="0"/>
        </w:rPr>
        <w:t>万元，除此以外，公司及子公司不存在主要资产被查封、扣押、冻结或者被抵押、质押，必须具 备一定条件才能变现、无法变现、无法用于抵偿债务的情况。</w:t>
      </w:r>
    </w:p>
    <w:p>
      <w:pPr>
        <w:pStyle w:val="Style23"/>
        <w:keepNext/>
        <w:keepLines/>
        <w:widowControl w:val="0"/>
        <w:shd w:val="clear" w:color="auto" w:fill="auto"/>
        <w:bidi w:val="0"/>
        <w:spacing w:before="0" w:after="340" w:line="240" w:lineRule="auto"/>
        <w:ind w:left="0" w:right="0" w:firstLine="0"/>
        <w:jc w:val="left"/>
        <w:rPr>
          <w:sz w:val="22"/>
          <w:szCs w:val="22"/>
        </w:rPr>
      </w:pPr>
      <w:bookmarkStart w:id="220" w:name="bookmark220"/>
      <w:bookmarkStart w:id="221" w:name="bookmark221"/>
      <w:bookmarkStart w:id="222" w:name="bookmark222"/>
      <w:bookmarkStart w:id="223" w:name="bookmark223"/>
      <w:r>
        <w:rPr>
          <w:b/>
          <w:bCs/>
          <w:color w:val="000000"/>
          <w:spacing w:val="0"/>
          <w:w w:val="100"/>
          <w:position w:val="0"/>
          <w:sz w:val="22"/>
          <w:szCs w:val="22"/>
        </w:rPr>
        <w:t>五</w:t>
      </w:r>
      <w:bookmarkEnd w:id="222"/>
      <w:r>
        <w:rPr>
          <w:b/>
          <w:bCs/>
          <w:color w:val="000000"/>
          <w:spacing w:val="0"/>
          <w:w w:val="100"/>
          <w:position w:val="0"/>
          <w:sz w:val="22"/>
          <w:szCs w:val="22"/>
        </w:rPr>
        <w:t>、投资状况分析</w:t>
      </w:r>
      <w:bookmarkEnd w:id="220"/>
      <w:bookmarkEnd w:id="221"/>
      <w:bookmarkEnd w:id="223"/>
    </w:p>
    <w:p>
      <w:pPr>
        <w:pStyle w:val="Style26"/>
        <w:keepNext w:val="0"/>
        <w:keepLines w:val="0"/>
        <w:widowControl w:val="0"/>
        <w:shd w:val="clear" w:color="auto" w:fill="auto"/>
        <w:tabs>
          <w:tab w:pos="12211" w:val="left"/>
        </w:tabs>
        <w:bidi w:val="0"/>
        <w:spacing w:before="0" w:after="0" w:line="240" w:lineRule="auto"/>
        <w:ind w:left="0" w:right="0" w:firstLine="0"/>
        <w:jc w:val="left"/>
      </w:pPr>
      <w:bookmarkStart w:id="224" w:name="bookmark224"/>
      <w:r>
        <w:rPr>
          <w:rFonts w:ascii="Times New Roman" w:eastAsia="Times New Roman" w:hAnsi="Times New Roman" w:cs="Times New Roman"/>
          <w:b/>
          <w:bCs/>
          <w:color w:val="000000"/>
          <w:spacing w:val="0"/>
          <w:w w:val="100"/>
          <w:position w:val="0"/>
        </w:rPr>
        <w:t>1</w:t>
      </w:r>
      <w:r>
        <w:rPr>
          <w:b/>
          <w:bCs/>
          <w:color w:val="000000"/>
          <w:spacing w:val="0"/>
          <w:w w:val="100"/>
          <w:position w:val="0"/>
        </w:rPr>
        <w:t>、总体情况</w:t>
        <w:tab/>
      </w: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224"/>
    </w:p>
    <w:tbl>
      <w:tblPr>
        <w:tblOverlap w:val="never"/>
        <w:jc w:val="center"/>
        <w:tblLayout w:type="fixed"/>
      </w:tblPr>
      <w:tblGrid>
        <w:gridCol w:w="4685"/>
        <w:gridCol w:w="4680"/>
        <w:gridCol w:w="468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080" w:right="0" w:firstLine="0"/>
              <w:jc w:val="left"/>
            </w:pPr>
            <w:r>
              <w:rPr>
                <w:rFonts w:ascii="Times New Roman" w:eastAsia="Times New Roman" w:hAnsi="Times New Roman" w:cs="Times New Roman"/>
                <w:color w:val="000000"/>
                <w:spacing w:val="0"/>
                <w:w w:val="100"/>
                <w:position w:val="0"/>
              </w:rPr>
              <w:t>10,640,539,675.62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12,100,000.00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87,838.34%</w:t>
            </w:r>
          </w:p>
        </w:tc>
      </w:tr>
    </w:tbl>
    <w:p>
      <w:pPr>
        <w:sectPr>
          <w:headerReference w:type="default" r:id="rId9"/>
          <w:footerReference w:type="default" r:id="rId10"/>
          <w:footnotePr>
            <w:pos w:val="pageBottom"/>
            <w:numFmt w:val="decimal"/>
            <w:numRestart w:val="continuous"/>
          </w:footnotePr>
          <w:pgSz w:w="16840" w:h="11900" w:orient="landscape"/>
          <w:pgMar w:top="1138" w:right="1359" w:bottom="1156" w:left="1417" w:header="0" w:footer="3" w:gutter="0"/>
          <w:cols w:space="720"/>
          <w:noEndnote/>
          <w:rtlGutter w:val="0"/>
          <w:docGrid w:linePitch="360"/>
        </w:sectPr>
      </w:pPr>
    </w:p>
    <w:p>
      <w:pPr>
        <w:pStyle w:val="Style33"/>
        <w:keepNext w:val="0"/>
        <w:keepLines w:val="0"/>
        <w:framePr w:w="3648" w:h="245" w:wrap="none" w:hAnchor="page" w:x="1418" w:y="40"/>
        <w:widowControl w:val="0"/>
        <w:shd w:val="clear" w:color="auto" w:fill="auto"/>
        <w:bidi w:val="0"/>
        <w:spacing w:before="0" w:after="0" w:line="240" w:lineRule="auto"/>
        <w:ind w:left="0" w:right="0" w:firstLine="0"/>
        <w:jc w:val="left"/>
      </w:pPr>
      <w:bookmarkStart w:id="225" w:name="bookmark225"/>
      <w:r>
        <w:rPr>
          <w:rFonts w:ascii="Times New Roman" w:eastAsia="Times New Roman" w:hAnsi="Times New Roman" w:cs="Times New Roman"/>
          <w:b/>
          <w:bCs/>
          <w:color w:val="000000"/>
          <w:spacing w:val="0"/>
          <w:w w:val="100"/>
          <w:position w:val="0"/>
        </w:rPr>
        <w:t>2</w:t>
      </w:r>
      <w:r>
        <w:rPr>
          <w:b/>
          <w:bCs/>
          <w:color w:val="000000"/>
          <w:spacing w:val="0"/>
          <w:w w:val="100"/>
          <w:position w:val="0"/>
        </w:rPr>
        <w:t>、报告期内获取的重大的股权投资情况</w:t>
      </w:r>
      <w:bookmarkEnd w:id="225"/>
    </w:p>
    <w:p>
      <w:pPr>
        <w:pStyle w:val="Style60"/>
        <w:keepNext w:val="0"/>
        <w:keepLines w:val="0"/>
        <w:framePr w:w="1718" w:h="715" w:wrap="none" w:hAnchor="page" w:x="13706" w:y="-425"/>
        <w:widowControl w:val="0"/>
        <w:shd w:val="clear" w:color="auto" w:fill="auto"/>
        <w:bidi w:val="0"/>
        <w:spacing w:before="0" w:after="0"/>
        <w:ind w:left="0" w:right="0" w:firstLine="0"/>
        <w:jc w:val="center"/>
        <w:rPr>
          <w:sz w:val="20"/>
          <w:szCs w:val="20"/>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年年度报告全文</w:t>
        <w:br/>
      </w:r>
      <w:r>
        <w:rPr>
          <w:rFonts w:ascii="Times New Roman" w:eastAsia="Times New Roman" w:hAnsi="Times New Roman" w:cs="Times New Roman"/>
          <w:color w:val="000000"/>
          <w:spacing w:val="0"/>
          <w:w w:val="100"/>
          <w:position w:val="0"/>
          <w:sz w:val="20"/>
          <w:szCs w:val="20"/>
          <w:u w:val="none"/>
        </w:rPr>
        <w:t>q</w:t>
      </w:r>
      <w:r>
        <w:rPr>
          <w:color w:val="000000"/>
          <w:spacing w:val="0"/>
          <w:w w:val="100"/>
          <w:position w:val="0"/>
          <w:sz w:val="20"/>
          <w:szCs w:val="20"/>
          <w:u w:val="none"/>
        </w:rPr>
        <w:t>适用</w:t>
      </w:r>
      <w:r>
        <w:rPr>
          <w:color w:val="000000"/>
          <w:spacing w:val="0"/>
          <w:w w:val="100"/>
          <w:position w:val="0"/>
          <w:sz w:val="20"/>
          <w:szCs w:val="20"/>
          <w:u w:val="none"/>
        </w:rPr>
        <w:t>口</w:t>
      </w:r>
      <w:r>
        <w:rPr>
          <w:color w:val="000000"/>
          <w:spacing w:val="0"/>
          <w:w w:val="100"/>
          <w:position w:val="0"/>
          <w:sz w:val="20"/>
          <w:szCs w:val="20"/>
          <w:u w:val="none"/>
        </w:rPr>
        <w:t>不适用</w:t>
      </w:r>
    </w:p>
    <w:p>
      <w:pPr>
        <w:pStyle w:val="Style33"/>
        <w:keepNext w:val="0"/>
        <w:keepLines w:val="0"/>
        <w:framePr w:w="874" w:h="259" w:wrap="none" w:hAnchor="page" w:x="14546" w:y="626"/>
        <w:widowControl w:val="0"/>
        <w:shd w:val="clear" w:color="auto" w:fill="auto"/>
        <w:bidi w:val="0"/>
        <w:spacing w:before="0" w:after="0" w:line="240" w:lineRule="auto"/>
        <w:ind w:left="0" w:right="0" w:firstLine="0"/>
        <w:jc w:val="left"/>
      </w:pPr>
      <w:r>
        <w:rPr>
          <w:color w:val="000000"/>
          <w:spacing w:val="0"/>
          <w:w w:val="100"/>
          <w:position w:val="0"/>
        </w:rPr>
        <w:t>单位：元</w:t>
      </w:r>
    </w:p>
    <w:tbl>
      <w:tblPr>
        <w:tblOverlap w:val="never"/>
        <w:jc w:val="left"/>
        <w:tblLayout w:type="fixed"/>
      </w:tblPr>
      <w:tblGrid>
        <w:gridCol w:w="1282"/>
        <w:gridCol w:w="571"/>
        <w:gridCol w:w="566"/>
        <w:gridCol w:w="1560"/>
        <w:gridCol w:w="989"/>
        <w:gridCol w:w="994"/>
        <w:gridCol w:w="710"/>
        <w:gridCol w:w="566"/>
        <w:gridCol w:w="566"/>
        <w:gridCol w:w="1133"/>
        <w:gridCol w:w="566"/>
        <w:gridCol w:w="1987"/>
        <w:gridCol w:w="2558"/>
      </w:tblGrid>
      <w:tr>
        <w:trPr>
          <w:trHeight w:val="1032" w:hRule="exact"/>
        </w:trPr>
        <w:tc>
          <w:tcPr>
            <w:tcBorders>
              <w:top w:val="single" w:sz="4"/>
              <w:left w:val="single" w:sz="4"/>
            </w:tcBorders>
            <w:shd w:val="clear" w:color="auto" w:fill="D3D3D3"/>
            <w:vAlign w:val="center"/>
          </w:tcPr>
          <w:p>
            <w:pPr>
              <w:pStyle w:val="Style20"/>
              <w:keepNext w:val="0"/>
              <w:keepLines w:val="0"/>
              <w:framePr w:w="14050" w:h="2155" w:wrap="none" w:hAnchor="page" w:x="1432" w:y="947"/>
              <w:widowControl w:val="0"/>
              <w:shd w:val="clear" w:color="auto" w:fill="auto"/>
              <w:bidi w:val="0"/>
              <w:spacing w:before="0" w:after="0" w:line="307" w:lineRule="exact"/>
              <w:ind w:left="0" w:right="0" w:firstLine="0"/>
              <w:jc w:val="center"/>
            </w:pPr>
            <w:r>
              <w:rPr>
                <w:color w:val="000000"/>
                <w:spacing w:val="0"/>
                <w:w w:val="100"/>
                <w:position w:val="0"/>
              </w:rPr>
              <w:t>被投资公司 名称</w:t>
            </w:r>
          </w:p>
        </w:tc>
        <w:tc>
          <w:tcPr>
            <w:tcBorders>
              <w:top w:val="single" w:sz="4"/>
              <w:left w:val="single" w:sz="4"/>
            </w:tcBorders>
            <w:shd w:val="clear" w:color="auto" w:fill="D3D3D3"/>
            <w:vAlign w:val="center"/>
          </w:tcPr>
          <w:p>
            <w:pPr>
              <w:pStyle w:val="Style20"/>
              <w:keepNext w:val="0"/>
              <w:keepLines w:val="0"/>
              <w:framePr w:w="14050" w:h="2155" w:wrap="none" w:hAnchor="page" w:x="1432" w:y="947"/>
              <w:widowControl w:val="0"/>
              <w:shd w:val="clear" w:color="auto" w:fill="auto"/>
              <w:bidi w:val="0"/>
              <w:spacing w:before="0" w:after="0" w:line="317" w:lineRule="exact"/>
              <w:ind w:left="0" w:right="0" w:firstLine="0"/>
              <w:jc w:val="center"/>
            </w:pPr>
            <w:r>
              <w:rPr>
                <w:color w:val="000000"/>
                <w:spacing w:val="0"/>
                <w:w w:val="100"/>
                <w:position w:val="0"/>
              </w:rPr>
              <w:t>主要 业务</w:t>
            </w:r>
          </w:p>
        </w:tc>
        <w:tc>
          <w:tcPr>
            <w:tcBorders>
              <w:top w:val="single" w:sz="4"/>
              <w:left w:val="single" w:sz="4"/>
            </w:tcBorders>
            <w:shd w:val="clear" w:color="auto" w:fill="D3D3D3"/>
            <w:vAlign w:val="center"/>
          </w:tcPr>
          <w:p>
            <w:pPr>
              <w:pStyle w:val="Style20"/>
              <w:keepNext w:val="0"/>
              <w:keepLines w:val="0"/>
              <w:framePr w:w="14050" w:h="2155" w:wrap="none" w:hAnchor="page" w:x="1432" w:y="947"/>
              <w:widowControl w:val="0"/>
              <w:shd w:val="clear" w:color="auto" w:fill="auto"/>
              <w:bidi w:val="0"/>
              <w:spacing w:before="0" w:after="0" w:line="312" w:lineRule="exact"/>
              <w:ind w:left="0" w:right="0" w:firstLine="0"/>
              <w:jc w:val="left"/>
            </w:pPr>
            <w:r>
              <w:rPr>
                <w:color w:val="000000"/>
                <w:spacing w:val="0"/>
                <w:w w:val="100"/>
                <w:position w:val="0"/>
              </w:rPr>
              <w:t>投资 方式</w:t>
            </w:r>
          </w:p>
        </w:tc>
        <w:tc>
          <w:tcPr>
            <w:tcBorders>
              <w:top w:val="single" w:sz="4"/>
              <w:left w:val="single" w:sz="4"/>
            </w:tcBorders>
            <w:shd w:val="clear" w:color="auto" w:fill="D3D3D3"/>
            <w:vAlign w:val="center"/>
          </w:tcPr>
          <w:p>
            <w:pPr>
              <w:pStyle w:val="Style20"/>
              <w:keepNext w:val="0"/>
              <w:keepLines w:val="0"/>
              <w:framePr w:w="14050" w:h="2155" w:wrap="none" w:hAnchor="page" w:x="1432" w:y="947"/>
              <w:widowControl w:val="0"/>
              <w:shd w:val="clear" w:color="auto" w:fill="auto"/>
              <w:bidi w:val="0"/>
              <w:spacing w:before="0" w:after="0" w:line="240" w:lineRule="auto"/>
              <w:ind w:left="0" w:right="0" w:firstLine="0"/>
              <w:jc w:val="center"/>
            </w:pPr>
            <w:r>
              <w:rPr>
                <w:color w:val="000000"/>
                <w:spacing w:val="0"/>
                <w:w w:val="100"/>
                <w:position w:val="0"/>
              </w:rPr>
              <w:t>投资金额</w:t>
            </w:r>
          </w:p>
        </w:tc>
        <w:tc>
          <w:tcPr>
            <w:tcBorders>
              <w:top w:val="single" w:sz="4"/>
              <w:left w:val="single" w:sz="4"/>
            </w:tcBorders>
            <w:shd w:val="clear" w:color="auto" w:fill="D3D3D3"/>
            <w:vAlign w:val="center"/>
          </w:tcPr>
          <w:p>
            <w:pPr>
              <w:pStyle w:val="Style20"/>
              <w:keepNext w:val="0"/>
              <w:keepLines w:val="0"/>
              <w:framePr w:w="14050" w:h="2155" w:wrap="none" w:hAnchor="page" w:x="1432" w:y="947"/>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tcBorders>
              <w:top w:val="single" w:sz="4"/>
              <w:left w:val="single" w:sz="4"/>
            </w:tcBorders>
            <w:shd w:val="clear" w:color="auto" w:fill="D3D3D3"/>
            <w:vAlign w:val="center"/>
          </w:tcPr>
          <w:p>
            <w:pPr>
              <w:pStyle w:val="Style20"/>
              <w:keepNext w:val="0"/>
              <w:keepLines w:val="0"/>
              <w:framePr w:w="14050" w:h="2155" w:wrap="none" w:hAnchor="page" w:x="1432" w:y="947"/>
              <w:widowControl w:val="0"/>
              <w:shd w:val="clear" w:color="auto" w:fill="auto"/>
              <w:bidi w:val="0"/>
              <w:spacing w:before="0" w:after="0" w:line="240" w:lineRule="auto"/>
              <w:ind w:left="0" w:right="0" w:firstLine="0"/>
              <w:jc w:val="center"/>
            </w:pPr>
            <w:r>
              <w:rPr>
                <w:color w:val="000000"/>
                <w:spacing w:val="0"/>
                <w:w w:val="100"/>
                <w:position w:val="0"/>
              </w:rPr>
              <w:t>资金来源</w:t>
            </w:r>
          </w:p>
        </w:tc>
        <w:tc>
          <w:tcPr>
            <w:tcBorders>
              <w:top w:val="single" w:sz="4"/>
              <w:left w:val="single" w:sz="4"/>
            </w:tcBorders>
            <w:shd w:val="clear" w:color="auto" w:fill="D3D3D3"/>
            <w:vAlign w:val="center"/>
          </w:tcPr>
          <w:p>
            <w:pPr>
              <w:pStyle w:val="Style20"/>
              <w:keepNext w:val="0"/>
              <w:keepLines w:val="0"/>
              <w:framePr w:w="14050" w:h="2155" w:wrap="none" w:hAnchor="page" w:x="1432" w:y="947"/>
              <w:widowControl w:val="0"/>
              <w:shd w:val="clear" w:color="auto" w:fill="auto"/>
              <w:bidi w:val="0"/>
              <w:spacing w:before="0" w:after="0" w:line="240" w:lineRule="auto"/>
              <w:ind w:left="0" w:right="0" w:firstLine="0"/>
              <w:jc w:val="left"/>
            </w:pPr>
            <w:r>
              <w:rPr>
                <w:color w:val="000000"/>
                <w:spacing w:val="0"/>
                <w:w w:val="100"/>
                <w:position w:val="0"/>
              </w:rPr>
              <w:t>合作方</w:t>
            </w:r>
          </w:p>
        </w:tc>
        <w:tc>
          <w:tcPr>
            <w:tcBorders>
              <w:top w:val="single" w:sz="4"/>
              <w:left w:val="single" w:sz="4"/>
            </w:tcBorders>
            <w:shd w:val="clear" w:color="auto" w:fill="D3D3D3"/>
            <w:vAlign w:val="center"/>
          </w:tcPr>
          <w:p>
            <w:pPr>
              <w:pStyle w:val="Style20"/>
              <w:keepNext w:val="0"/>
              <w:keepLines w:val="0"/>
              <w:framePr w:w="14050" w:h="2155" w:wrap="none" w:hAnchor="page" w:x="1432" w:y="947"/>
              <w:widowControl w:val="0"/>
              <w:shd w:val="clear" w:color="auto" w:fill="auto"/>
              <w:bidi w:val="0"/>
              <w:spacing w:before="0" w:after="0" w:line="307" w:lineRule="exact"/>
              <w:ind w:left="0" w:right="0" w:firstLine="0"/>
              <w:jc w:val="center"/>
            </w:pPr>
            <w:r>
              <w:rPr>
                <w:color w:val="000000"/>
                <w:spacing w:val="0"/>
                <w:w w:val="100"/>
                <w:position w:val="0"/>
              </w:rPr>
              <w:t>投资 期限</w:t>
            </w:r>
          </w:p>
        </w:tc>
        <w:tc>
          <w:tcPr>
            <w:tcBorders>
              <w:top w:val="single" w:sz="4"/>
              <w:left w:val="single" w:sz="4"/>
            </w:tcBorders>
            <w:shd w:val="clear" w:color="auto" w:fill="D3D3D3"/>
            <w:vAlign w:val="center"/>
          </w:tcPr>
          <w:p>
            <w:pPr>
              <w:pStyle w:val="Style20"/>
              <w:keepNext w:val="0"/>
              <w:keepLines w:val="0"/>
              <w:framePr w:w="14050" w:h="2155" w:wrap="none" w:hAnchor="page" w:x="1432" w:y="947"/>
              <w:widowControl w:val="0"/>
              <w:shd w:val="clear" w:color="auto" w:fill="auto"/>
              <w:bidi w:val="0"/>
              <w:spacing w:before="0" w:after="0" w:line="317" w:lineRule="exact"/>
              <w:ind w:left="0" w:right="0" w:firstLine="0"/>
              <w:jc w:val="center"/>
            </w:pPr>
            <w:r>
              <w:rPr>
                <w:color w:val="000000"/>
                <w:spacing w:val="0"/>
                <w:w w:val="100"/>
                <w:position w:val="0"/>
              </w:rPr>
              <w:t>产品 类型</w:t>
            </w:r>
          </w:p>
        </w:tc>
        <w:tc>
          <w:tcPr>
            <w:tcBorders>
              <w:top w:val="single" w:sz="4"/>
              <w:left w:val="single" w:sz="4"/>
            </w:tcBorders>
            <w:shd w:val="clear" w:color="auto" w:fill="D3D3D3"/>
            <w:vAlign w:val="center"/>
          </w:tcPr>
          <w:p>
            <w:pPr>
              <w:pStyle w:val="Style20"/>
              <w:keepNext w:val="0"/>
              <w:keepLines w:val="0"/>
              <w:framePr w:w="14050" w:h="2155" w:wrap="none" w:hAnchor="page" w:x="1432" w:y="947"/>
              <w:widowControl w:val="0"/>
              <w:shd w:val="clear" w:color="auto" w:fill="auto"/>
              <w:bidi w:val="0"/>
              <w:spacing w:before="0" w:after="0" w:line="312" w:lineRule="exact"/>
              <w:ind w:left="0" w:right="0" w:firstLine="0"/>
              <w:jc w:val="center"/>
            </w:pPr>
            <w:r>
              <w:rPr>
                <w:color w:val="000000"/>
                <w:spacing w:val="0"/>
                <w:w w:val="100"/>
                <w:position w:val="0"/>
              </w:rPr>
              <w:t>截至资产负 债表日的进 展情况</w:t>
            </w:r>
          </w:p>
        </w:tc>
        <w:tc>
          <w:tcPr>
            <w:tcBorders>
              <w:top w:val="single" w:sz="4"/>
              <w:left w:val="single" w:sz="4"/>
            </w:tcBorders>
            <w:shd w:val="clear" w:color="auto" w:fill="D3D3D3"/>
            <w:vAlign w:val="center"/>
          </w:tcPr>
          <w:p>
            <w:pPr>
              <w:pStyle w:val="Style20"/>
              <w:keepNext w:val="0"/>
              <w:keepLines w:val="0"/>
              <w:framePr w:w="14050" w:h="2155" w:wrap="none" w:hAnchor="page" w:x="1432" w:y="947"/>
              <w:widowControl w:val="0"/>
              <w:shd w:val="clear" w:color="auto" w:fill="auto"/>
              <w:bidi w:val="0"/>
              <w:spacing w:before="0" w:after="0" w:line="312" w:lineRule="exact"/>
              <w:ind w:left="0" w:right="0" w:firstLine="0"/>
              <w:jc w:val="center"/>
            </w:pPr>
            <w:r>
              <w:rPr>
                <w:color w:val="000000"/>
                <w:spacing w:val="0"/>
                <w:w w:val="100"/>
                <w:position w:val="0"/>
              </w:rPr>
              <w:t>是否 涉诉</w:t>
            </w:r>
          </w:p>
        </w:tc>
        <w:tc>
          <w:tcPr>
            <w:tcBorders>
              <w:top w:val="single" w:sz="4"/>
              <w:left w:val="single" w:sz="4"/>
            </w:tcBorders>
            <w:shd w:val="clear" w:color="auto" w:fill="D3D3D3"/>
            <w:vAlign w:val="center"/>
          </w:tcPr>
          <w:p>
            <w:pPr>
              <w:pStyle w:val="Style20"/>
              <w:keepNext w:val="0"/>
              <w:keepLines w:val="0"/>
              <w:framePr w:w="14050" w:h="2155" w:wrap="none" w:hAnchor="page" w:x="1432" w:y="947"/>
              <w:widowControl w:val="0"/>
              <w:shd w:val="clear" w:color="auto" w:fill="auto"/>
              <w:bidi w:val="0"/>
              <w:spacing w:before="0" w:after="0" w:line="240" w:lineRule="auto"/>
              <w:ind w:left="0" w:right="0" w:firstLine="0"/>
              <w:jc w:val="center"/>
            </w:pPr>
            <w:r>
              <w:rPr>
                <w:color w:val="000000"/>
                <w:spacing w:val="0"/>
                <w:w w:val="100"/>
                <w:position w:val="0"/>
              </w:rPr>
              <w:t>披露日期（如有）</w:t>
            </w:r>
          </w:p>
        </w:tc>
        <w:tc>
          <w:tcPr>
            <w:tcBorders>
              <w:top w:val="single" w:sz="4"/>
              <w:left w:val="single" w:sz="4"/>
              <w:right w:val="single" w:sz="4"/>
            </w:tcBorders>
            <w:shd w:val="clear" w:color="auto" w:fill="D3D3D3"/>
            <w:vAlign w:val="center"/>
          </w:tcPr>
          <w:p>
            <w:pPr>
              <w:pStyle w:val="Style20"/>
              <w:keepNext w:val="0"/>
              <w:keepLines w:val="0"/>
              <w:framePr w:w="14050" w:h="2155" w:wrap="none" w:hAnchor="page" w:x="1432" w:y="947"/>
              <w:widowControl w:val="0"/>
              <w:shd w:val="clear" w:color="auto" w:fill="auto"/>
              <w:bidi w:val="0"/>
              <w:spacing w:before="0" w:after="0" w:line="240" w:lineRule="auto"/>
              <w:ind w:left="0" w:right="0" w:firstLine="420"/>
              <w:jc w:val="left"/>
            </w:pPr>
            <w:r>
              <w:rPr>
                <w:color w:val="000000"/>
                <w:spacing w:val="0"/>
                <w:w w:val="100"/>
                <w:position w:val="0"/>
              </w:rPr>
              <w:t>披露索引（如有）</w:t>
            </w:r>
          </w:p>
        </w:tc>
      </w:tr>
      <w:tr>
        <w:trPr>
          <w:trHeight w:val="710" w:hRule="exact"/>
        </w:trPr>
        <w:tc>
          <w:tcPr>
            <w:tcBorders>
              <w:top w:val="single" w:sz="4"/>
              <w:left w:val="single" w:sz="4"/>
            </w:tcBorders>
            <w:shd w:val="clear" w:color="auto" w:fill="FFFFFF"/>
            <w:vAlign w:val="center"/>
          </w:tcPr>
          <w:p>
            <w:pPr>
              <w:pStyle w:val="Style20"/>
              <w:keepNext w:val="0"/>
              <w:keepLines w:val="0"/>
              <w:framePr w:w="14050" w:h="2155" w:wrap="none" w:hAnchor="page" w:x="1432" w:y="947"/>
              <w:widowControl w:val="0"/>
              <w:shd w:val="clear" w:color="auto" w:fill="auto"/>
              <w:bidi w:val="0"/>
              <w:spacing w:before="0" w:after="0" w:line="317" w:lineRule="exact"/>
              <w:ind w:left="0" w:right="0" w:firstLine="0"/>
              <w:jc w:val="left"/>
            </w:pPr>
            <w:r>
              <w:rPr>
                <w:color w:val="000000"/>
                <w:spacing w:val="0"/>
                <w:w w:val="100"/>
                <w:position w:val="0"/>
              </w:rPr>
              <w:t>国盛证券有 限责任公司</w:t>
            </w:r>
          </w:p>
        </w:tc>
        <w:tc>
          <w:tcPr>
            <w:tcBorders>
              <w:top w:val="single" w:sz="4"/>
              <w:left w:val="single" w:sz="4"/>
            </w:tcBorders>
            <w:shd w:val="clear" w:color="auto" w:fill="FFFFFF"/>
            <w:vAlign w:val="center"/>
          </w:tcPr>
          <w:p>
            <w:pPr>
              <w:pStyle w:val="Style20"/>
              <w:keepNext w:val="0"/>
              <w:keepLines w:val="0"/>
              <w:framePr w:w="14050" w:h="2155" w:wrap="none" w:hAnchor="page" w:x="1432" w:y="947"/>
              <w:widowControl w:val="0"/>
              <w:shd w:val="clear" w:color="auto" w:fill="auto"/>
              <w:bidi w:val="0"/>
              <w:spacing w:before="0" w:after="0" w:line="312" w:lineRule="exact"/>
              <w:ind w:left="0" w:right="0" w:firstLine="0"/>
              <w:jc w:val="left"/>
            </w:pPr>
            <w:r>
              <w:rPr>
                <w:color w:val="000000"/>
                <w:spacing w:val="0"/>
                <w:w w:val="100"/>
                <w:position w:val="0"/>
              </w:rPr>
              <w:t>证券 业务</w:t>
            </w:r>
          </w:p>
        </w:tc>
        <w:tc>
          <w:tcPr>
            <w:tcBorders>
              <w:top w:val="single" w:sz="4"/>
              <w:left w:val="single" w:sz="4"/>
            </w:tcBorders>
            <w:shd w:val="clear" w:color="auto" w:fill="FFFFFF"/>
            <w:vAlign w:val="center"/>
          </w:tcPr>
          <w:p>
            <w:pPr>
              <w:pStyle w:val="Style20"/>
              <w:keepNext w:val="0"/>
              <w:keepLines w:val="0"/>
              <w:framePr w:w="14050" w:h="2155" w:wrap="none" w:hAnchor="page" w:x="1432" w:y="947"/>
              <w:widowControl w:val="0"/>
              <w:shd w:val="clear" w:color="auto" w:fill="auto"/>
              <w:bidi w:val="0"/>
              <w:spacing w:before="0" w:after="0" w:line="240" w:lineRule="auto"/>
              <w:ind w:left="0" w:right="0" w:firstLine="0"/>
              <w:jc w:val="center"/>
            </w:pPr>
            <w:r>
              <w:rPr>
                <w:color w:val="000000"/>
                <w:spacing w:val="0"/>
                <w:w w:val="100"/>
                <w:position w:val="0"/>
              </w:rPr>
              <w:t>收购</w:t>
            </w:r>
          </w:p>
        </w:tc>
        <w:tc>
          <w:tcPr>
            <w:tcBorders>
              <w:top w:val="single" w:sz="4"/>
              <w:left w:val="single" w:sz="4"/>
            </w:tcBorders>
            <w:shd w:val="clear" w:color="auto" w:fill="FFFFFF"/>
            <w:vAlign w:val="center"/>
          </w:tcPr>
          <w:p>
            <w:pPr>
              <w:pStyle w:val="Style20"/>
              <w:keepNext w:val="0"/>
              <w:keepLines w:val="0"/>
              <w:framePr w:w="14050" w:h="2155" w:wrap="none" w:hAnchor="page" w:x="1432" w:y="947"/>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6,930,000,000.00</w:t>
            </w:r>
          </w:p>
        </w:tc>
        <w:tc>
          <w:tcPr>
            <w:tcBorders>
              <w:top w:val="single" w:sz="4"/>
              <w:left w:val="single" w:sz="4"/>
            </w:tcBorders>
            <w:shd w:val="clear" w:color="auto" w:fill="FFFFFF"/>
            <w:vAlign w:val="center"/>
          </w:tcPr>
          <w:p>
            <w:pPr>
              <w:pStyle w:val="Style20"/>
              <w:keepNext w:val="0"/>
              <w:keepLines w:val="0"/>
              <w:framePr w:w="14050" w:h="2155" w:wrap="none" w:hAnchor="page" w:x="1432" w:y="947"/>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framePr w:w="14050" w:h="2155" w:wrap="none" w:hAnchor="page" w:x="1432" w:y="947"/>
              <w:widowControl w:val="0"/>
              <w:shd w:val="clear" w:color="auto" w:fill="auto"/>
              <w:bidi w:val="0"/>
              <w:spacing w:before="0" w:after="0" w:line="312" w:lineRule="exact"/>
              <w:ind w:left="0" w:right="0" w:firstLine="0"/>
              <w:jc w:val="center"/>
            </w:pPr>
            <w:r>
              <w:rPr>
                <w:color w:val="000000"/>
                <w:spacing w:val="0"/>
                <w:w w:val="100"/>
                <w:position w:val="0"/>
              </w:rPr>
              <w:t>发行股份 募集资金</w:t>
            </w:r>
          </w:p>
        </w:tc>
        <w:tc>
          <w:tcPr>
            <w:tcBorders>
              <w:top w:val="single" w:sz="4"/>
              <w:left w:val="single" w:sz="4"/>
            </w:tcBorders>
            <w:shd w:val="clear" w:color="auto" w:fill="FFFFFF"/>
            <w:vAlign w:val="center"/>
          </w:tcPr>
          <w:p>
            <w:pPr>
              <w:pStyle w:val="Style20"/>
              <w:keepNext w:val="0"/>
              <w:keepLines w:val="0"/>
              <w:framePr w:w="14050" w:h="2155" w:wrap="none" w:hAnchor="page" w:x="1432" w:y="947"/>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0"/>
              <w:keepNext w:val="0"/>
              <w:keepLines w:val="0"/>
              <w:framePr w:w="14050" w:h="2155" w:wrap="none" w:hAnchor="page" w:x="1432" w:y="947"/>
              <w:widowControl w:val="0"/>
              <w:shd w:val="clear" w:color="auto" w:fill="auto"/>
              <w:bidi w:val="0"/>
              <w:spacing w:before="0" w:after="0" w:line="240" w:lineRule="auto"/>
              <w:ind w:left="0" w:right="0" w:firstLine="0"/>
              <w:jc w:val="center"/>
            </w:pPr>
            <w:r>
              <w:rPr>
                <w:color w:val="000000"/>
                <w:spacing w:val="0"/>
                <w:w w:val="100"/>
                <w:position w:val="0"/>
              </w:rPr>
              <w:t>长期</w:t>
            </w:r>
          </w:p>
        </w:tc>
        <w:tc>
          <w:tcPr>
            <w:tcBorders>
              <w:top w:val="single" w:sz="4"/>
              <w:left w:val="single" w:sz="4"/>
            </w:tcBorders>
            <w:shd w:val="clear" w:color="auto" w:fill="FFFFFF"/>
            <w:vAlign w:val="center"/>
          </w:tcPr>
          <w:p>
            <w:pPr>
              <w:pStyle w:val="Style20"/>
              <w:keepNext w:val="0"/>
              <w:keepLines w:val="0"/>
              <w:framePr w:w="14050" w:h="2155" w:wrap="none" w:hAnchor="page" w:x="1432" w:y="947"/>
              <w:widowControl w:val="0"/>
              <w:shd w:val="clear" w:color="auto" w:fill="auto"/>
              <w:bidi w:val="0"/>
              <w:spacing w:before="0" w:after="0" w:line="240" w:lineRule="auto"/>
              <w:ind w:left="0" w:right="0" w:firstLine="0"/>
              <w:jc w:val="center"/>
            </w:pPr>
            <w:r>
              <w:rPr>
                <w:color w:val="000000"/>
                <w:spacing w:val="0"/>
                <w:w w:val="100"/>
                <w:position w:val="0"/>
              </w:rPr>
              <w:t>股权</w:t>
            </w:r>
          </w:p>
        </w:tc>
        <w:tc>
          <w:tcPr>
            <w:tcBorders>
              <w:top w:val="single" w:sz="4"/>
              <w:left w:val="single" w:sz="4"/>
            </w:tcBorders>
            <w:shd w:val="clear" w:color="auto" w:fill="FFFFFF"/>
            <w:vAlign w:val="center"/>
          </w:tcPr>
          <w:p>
            <w:pPr>
              <w:pStyle w:val="Style20"/>
              <w:keepNext w:val="0"/>
              <w:keepLines w:val="0"/>
              <w:framePr w:w="14050" w:h="2155" w:wrap="none" w:hAnchor="page" w:x="1432" w:y="947"/>
              <w:widowControl w:val="0"/>
              <w:shd w:val="clear" w:color="auto" w:fill="auto"/>
              <w:bidi w:val="0"/>
              <w:spacing w:before="0" w:after="0" w:line="240" w:lineRule="auto"/>
              <w:ind w:left="0" w:right="0" w:firstLine="0"/>
              <w:jc w:val="both"/>
            </w:pPr>
            <w:r>
              <w:rPr>
                <w:color w:val="000000"/>
                <w:spacing w:val="0"/>
                <w:w w:val="100"/>
                <w:position w:val="0"/>
              </w:rPr>
              <w:t>已完成</w:t>
            </w:r>
          </w:p>
        </w:tc>
        <w:tc>
          <w:tcPr>
            <w:tcBorders>
              <w:top w:val="single" w:sz="4"/>
              <w:left w:val="single" w:sz="4"/>
            </w:tcBorders>
            <w:shd w:val="clear" w:color="auto" w:fill="FFFFFF"/>
            <w:vAlign w:val="center"/>
          </w:tcPr>
          <w:p>
            <w:pPr>
              <w:pStyle w:val="Style20"/>
              <w:keepNext w:val="0"/>
              <w:keepLines w:val="0"/>
              <w:framePr w:w="14050" w:h="2155" w:wrap="none" w:hAnchor="page" w:x="1432" w:y="947"/>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framePr w:w="14050" w:h="2155" w:wrap="none" w:hAnchor="page" w:x="1432" w:y="947"/>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framePr w:w="14050" w:h="2155" w:wrap="none" w:hAnchor="page" w:x="1432" w:y="947"/>
              <w:widowControl w:val="0"/>
              <w:shd w:val="clear" w:color="auto" w:fill="auto"/>
              <w:bidi w:val="0"/>
              <w:spacing w:before="0" w:after="60" w:line="240" w:lineRule="auto"/>
              <w:ind w:left="0" w:right="0" w:firstLine="0"/>
              <w:jc w:val="left"/>
            </w:pPr>
            <w:r>
              <w:rPr>
                <w:color w:val="000000"/>
                <w:spacing w:val="0"/>
                <w:w w:val="100"/>
                <w:position w:val="0"/>
              </w:rPr>
              <w:t>巨潮资讯网</w:t>
            </w:r>
          </w:p>
          <w:p>
            <w:pPr>
              <w:pStyle w:val="Style20"/>
              <w:keepNext w:val="0"/>
              <w:keepLines w:val="0"/>
              <w:framePr w:w="14050" w:h="2155" w:wrap="none" w:hAnchor="page" w:x="1432" w:y="947"/>
              <w:widowControl w:val="0"/>
              <w:shd w:val="clear" w:color="auto" w:fill="auto"/>
              <w:bidi w:val="0"/>
              <w:spacing w:before="0" w:after="0" w:line="240" w:lineRule="auto"/>
              <w:ind w:left="0" w:right="0" w:firstLine="0"/>
              <w:jc w:val="left"/>
            </w:pPr>
            <w:r>
              <w:rPr>
                <w:color w:val="000000"/>
                <w:spacing w:val="0"/>
                <w:w w:val="100"/>
                <w:position w:val="0"/>
              </w:rPr>
              <w:t>(</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 .cn</w:t>
            </w: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framePr w:w="14050" w:h="2155" w:wrap="none" w:hAnchor="page" w:x="1432" w:y="947"/>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framePr w:w="14050" w:h="2155" w:wrap="none" w:hAnchor="page" w:x="1432" w:y="947"/>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framePr w:w="14050" w:h="2155" w:wrap="none" w:hAnchor="page" w:x="1432" w:y="947"/>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framePr w:w="14050" w:h="2155" w:wrap="none" w:hAnchor="page" w:x="1432" w:y="947"/>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6,930,000,000.00</w:t>
            </w:r>
          </w:p>
        </w:tc>
        <w:tc>
          <w:tcPr>
            <w:tcBorders>
              <w:top w:val="single" w:sz="4"/>
              <w:left w:val="single" w:sz="4"/>
              <w:bottom w:val="single" w:sz="4"/>
            </w:tcBorders>
            <w:shd w:val="clear" w:color="auto" w:fill="D3D3D3"/>
            <w:vAlign w:val="center"/>
          </w:tcPr>
          <w:p>
            <w:pPr>
              <w:pStyle w:val="Style20"/>
              <w:keepNext w:val="0"/>
              <w:keepLines w:val="0"/>
              <w:framePr w:w="14050" w:h="2155" w:wrap="none" w:hAnchor="page" w:x="1432" w:y="947"/>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framePr w:w="14050" w:h="2155" w:wrap="none" w:hAnchor="page" w:x="1432" w:y="947"/>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framePr w:w="14050" w:h="2155" w:wrap="none" w:hAnchor="page" w:x="1432" w:y="947"/>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framePr w:w="14050" w:h="2155" w:wrap="none" w:hAnchor="page" w:x="1432" w:y="947"/>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framePr w:w="14050" w:h="2155" w:wrap="none" w:hAnchor="page" w:x="1432" w:y="947"/>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framePr w:w="14050" w:h="2155" w:wrap="none" w:hAnchor="page" w:x="1432" w:y="947"/>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framePr w:w="14050" w:h="2155" w:wrap="none" w:hAnchor="page" w:x="1432" w:y="947"/>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framePr w:w="14050" w:h="2155" w:wrap="none" w:hAnchor="page" w:x="1432" w:y="947"/>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0"/>
              <w:keepNext w:val="0"/>
              <w:keepLines w:val="0"/>
              <w:framePr w:w="14050" w:h="2155" w:wrap="none" w:hAnchor="page" w:x="1432" w:y="947"/>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framePr w:w="14050" w:h="2155" w:wrap="none" w:hAnchor="page" w:x="1432" w:y="947"/>
        <w:widowControl w:val="0"/>
        <w:spacing w:line="1" w:lineRule="exact"/>
      </w:pPr>
    </w:p>
    <w:p>
      <w:pPr>
        <w:pStyle w:val="Style33"/>
        <w:keepNext w:val="0"/>
        <w:keepLines w:val="0"/>
        <w:framePr w:w="4277" w:h="888" w:wrap="none" w:hAnchor="page" w:x="1418" w:y="3429"/>
        <w:widowControl w:val="0"/>
        <w:shd w:val="clear" w:color="auto" w:fill="auto"/>
        <w:tabs>
          <w:tab w:pos="230" w:val="left"/>
        </w:tabs>
        <w:bidi w:val="0"/>
        <w:spacing w:before="0" w:after="360" w:line="240" w:lineRule="auto"/>
        <w:ind w:left="0" w:right="0" w:firstLine="0"/>
        <w:jc w:val="left"/>
      </w:pPr>
      <w:bookmarkStart w:id="226" w:name="bookmark226"/>
      <w:bookmarkStart w:id="227" w:name="bookmark227"/>
      <w:r>
        <w:rPr>
          <w:rFonts w:ascii="Times New Roman" w:eastAsia="Times New Roman" w:hAnsi="Times New Roman" w:cs="Times New Roman"/>
          <w:b/>
          <w:bCs/>
          <w:color w:val="000000"/>
          <w:spacing w:val="0"/>
          <w:w w:val="100"/>
          <w:position w:val="0"/>
        </w:rPr>
        <w:t>3</w:t>
      </w:r>
      <w:bookmarkEnd w:id="226"/>
      <w:r>
        <w:rPr>
          <w:b/>
          <w:bCs/>
          <w:color w:val="000000"/>
          <w:spacing w:val="0"/>
          <w:w w:val="100"/>
          <w:position w:val="0"/>
        </w:rPr>
        <w:t>、</w:t>
        <w:tab/>
        <w:t>报告期内正在进行的重大的非股权投资情况</w:t>
      </w:r>
      <w:bookmarkEnd w:id="227"/>
    </w:p>
    <w:p>
      <w:pPr>
        <w:pStyle w:val="Style33"/>
        <w:keepNext w:val="0"/>
        <w:keepLines w:val="0"/>
        <w:framePr w:w="4277" w:h="888" w:wrap="none" w:hAnchor="page" w:x="1418" w:y="3429"/>
        <w:widowControl w:val="0"/>
        <w:shd w:val="clear" w:color="auto" w:fill="auto"/>
        <w:tabs>
          <w:tab w:pos="254" w:val="left"/>
        </w:tabs>
        <w:bidi w:val="0"/>
        <w:spacing w:before="0" w:after="0" w:line="240" w:lineRule="auto"/>
        <w:ind w:left="0" w:right="0" w:firstLine="0"/>
        <w:jc w:val="left"/>
      </w:pPr>
      <w:bookmarkStart w:id="228" w:name="bookmark228"/>
      <w:bookmarkStart w:id="229" w:name="bookmark229"/>
      <w:bookmarkStart w:id="230" w:name="bookmark230"/>
      <w:r>
        <w:rPr>
          <w:rFonts w:ascii="Times New Roman" w:eastAsia="Times New Roman" w:hAnsi="Times New Roman" w:cs="Times New Roman"/>
          <w:b/>
          <w:bCs/>
          <w:color w:val="000000"/>
          <w:spacing w:val="0"/>
          <w:w w:val="100"/>
          <w:position w:val="0"/>
        </w:rPr>
        <w:t>4</w:t>
      </w:r>
      <w:bookmarkEnd w:id="228"/>
      <w:r>
        <w:rPr>
          <w:b/>
          <w:bCs/>
          <w:color w:val="000000"/>
          <w:spacing w:val="0"/>
          <w:w w:val="100"/>
          <w:position w:val="0"/>
        </w:rPr>
        <w:t>、</w:t>
        <w:tab/>
        <w:t>以公允价值计量的金融资产</w:t>
      </w:r>
      <w:bookmarkEnd w:id="229"/>
      <w:bookmarkEnd w:id="230"/>
    </w:p>
    <w:p>
      <w:pPr>
        <w:pStyle w:val="Style33"/>
        <w:keepNext w:val="0"/>
        <w:keepLines w:val="0"/>
        <w:framePr w:w="1651" w:h="898" w:wrap="none" w:hAnchor="page" w:x="13768" w:y="3415"/>
        <w:widowControl w:val="0"/>
        <w:shd w:val="clear" w:color="auto" w:fill="auto"/>
        <w:bidi w:val="0"/>
        <w:spacing w:before="0" w:after="36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33"/>
        <w:keepNext w:val="0"/>
        <w:keepLines w:val="0"/>
        <w:framePr w:w="1651" w:h="898" w:wrap="none" w:hAnchor="page" w:x="13768" w:y="3415"/>
        <w:widowControl w:val="0"/>
        <w:shd w:val="clear" w:color="auto" w:fill="auto"/>
        <w:bidi w:val="0"/>
        <w:spacing w:before="0" w:after="0" w:line="240" w:lineRule="auto"/>
        <w:ind w:left="0" w:right="0" w:firstLine="0"/>
        <w:jc w:val="center"/>
      </w:pPr>
      <w:r>
        <w:rPr>
          <w:i/>
          <w:iCs/>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val="0"/>
        <w:keepLines w:val="0"/>
        <w:framePr w:w="874" w:h="250" w:wrap="none" w:hAnchor="page" w:x="14546" w:y="4658"/>
        <w:widowControl w:val="0"/>
        <w:shd w:val="clear" w:color="auto" w:fill="auto"/>
        <w:bidi w:val="0"/>
        <w:spacing w:before="0" w:after="0" w:line="240" w:lineRule="auto"/>
        <w:ind w:left="0" w:right="0" w:firstLine="0"/>
        <w:jc w:val="left"/>
      </w:pPr>
      <w:r>
        <w:rPr>
          <w:color w:val="000000"/>
          <w:spacing w:val="0"/>
          <w:w w:val="100"/>
          <w:position w:val="0"/>
        </w:rPr>
        <w:t>单位：元</w:t>
      </w:r>
    </w:p>
    <w:tbl>
      <w:tblPr>
        <w:tblOverlap w:val="never"/>
        <w:jc w:val="left"/>
        <w:tblLayout w:type="fixed"/>
      </w:tblPr>
      <w:tblGrid>
        <w:gridCol w:w="1392"/>
        <w:gridCol w:w="1579"/>
        <w:gridCol w:w="1584"/>
        <w:gridCol w:w="1579"/>
        <w:gridCol w:w="1579"/>
        <w:gridCol w:w="1584"/>
        <w:gridCol w:w="1579"/>
        <w:gridCol w:w="1584"/>
        <w:gridCol w:w="1589"/>
      </w:tblGrid>
      <w:tr>
        <w:trPr>
          <w:trHeight w:val="715" w:hRule="exact"/>
        </w:trPr>
        <w:tc>
          <w:tcPr>
            <w:tcBorders>
              <w:top w:val="single" w:sz="4"/>
              <w:left w:val="single" w:sz="4"/>
            </w:tcBorders>
            <w:shd w:val="clear" w:color="auto" w:fill="FFFFFF"/>
            <w:vAlign w:val="top"/>
          </w:tcPr>
          <w:p>
            <w:pPr>
              <w:pStyle w:val="Style20"/>
              <w:keepNext w:val="0"/>
              <w:keepLines w:val="0"/>
              <w:framePr w:w="14050" w:h="2736" w:wrap="none" w:hAnchor="page" w:x="1327" w:y="4979"/>
              <w:widowControl w:val="0"/>
              <w:shd w:val="clear" w:color="auto" w:fill="auto"/>
              <w:bidi w:val="0"/>
              <w:spacing w:before="120" w:after="0" w:line="240" w:lineRule="auto"/>
              <w:ind w:left="0" w:right="0" w:firstLine="0"/>
              <w:jc w:val="center"/>
              <w:rPr>
                <w:sz w:val="17"/>
                <w:szCs w:val="17"/>
              </w:rPr>
            </w:pPr>
            <w:r>
              <w:rPr>
                <w:color w:val="000000"/>
                <w:spacing w:val="0"/>
                <w:w w:val="100"/>
                <w:position w:val="0"/>
                <w:sz w:val="17"/>
                <w:szCs w:val="17"/>
              </w:rPr>
              <w:t>资产类别</w:t>
            </w:r>
          </w:p>
        </w:tc>
        <w:tc>
          <w:tcPr>
            <w:tcBorders>
              <w:top w:val="single" w:sz="4"/>
              <w:left w:val="single" w:sz="4"/>
            </w:tcBorders>
            <w:shd w:val="clear" w:color="auto" w:fill="FFFFFF"/>
            <w:vAlign w:val="top"/>
          </w:tcPr>
          <w:p>
            <w:pPr>
              <w:pStyle w:val="Style20"/>
              <w:keepNext w:val="0"/>
              <w:keepLines w:val="0"/>
              <w:framePr w:w="14050" w:h="2736" w:wrap="none" w:hAnchor="page" w:x="1327" w:y="4979"/>
              <w:widowControl w:val="0"/>
              <w:shd w:val="clear" w:color="auto" w:fill="auto"/>
              <w:bidi w:val="0"/>
              <w:spacing w:before="120" w:after="0" w:line="240" w:lineRule="auto"/>
              <w:ind w:left="0" w:right="0" w:firstLine="200"/>
              <w:jc w:val="left"/>
              <w:rPr>
                <w:sz w:val="17"/>
                <w:szCs w:val="17"/>
              </w:rPr>
            </w:pPr>
            <w:r>
              <w:rPr>
                <w:color w:val="000000"/>
                <w:spacing w:val="0"/>
                <w:w w:val="100"/>
                <w:position w:val="0"/>
                <w:sz w:val="17"/>
                <w:szCs w:val="17"/>
              </w:rPr>
              <w:t>初始投资成本</w:t>
            </w:r>
          </w:p>
        </w:tc>
        <w:tc>
          <w:tcPr>
            <w:tcBorders>
              <w:top w:val="single" w:sz="4"/>
              <w:left w:val="single" w:sz="4"/>
            </w:tcBorders>
            <w:shd w:val="clear" w:color="auto" w:fill="FFFFFF"/>
            <w:vAlign w:val="center"/>
          </w:tcPr>
          <w:p>
            <w:pPr>
              <w:pStyle w:val="Style20"/>
              <w:keepNext w:val="0"/>
              <w:keepLines w:val="0"/>
              <w:framePr w:w="14050" w:h="2736" w:wrap="none" w:hAnchor="page" w:x="1327" w:y="4979"/>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本期公允价值变 动损益</w:t>
            </w:r>
          </w:p>
        </w:tc>
        <w:tc>
          <w:tcPr>
            <w:tcBorders>
              <w:top w:val="single" w:sz="4"/>
              <w:left w:val="single" w:sz="4"/>
            </w:tcBorders>
            <w:shd w:val="clear" w:color="auto" w:fill="FFFFFF"/>
            <w:vAlign w:val="center"/>
          </w:tcPr>
          <w:p>
            <w:pPr>
              <w:pStyle w:val="Style20"/>
              <w:keepNext w:val="0"/>
              <w:keepLines w:val="0"/>
              <w:framePr w:w="14050" w:h="2736" w:wrap="none" w:hAnchor="page" w:x="1327" w:y="4979"/>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计入权益的累计 公允价值变动</w:t>
            </w:r>
          </w:p>
        </w:tc>
        <w:tc>
          <w:tcPr>
            <w:tcBorders>
              <w:top w:val="single" w:sz="4"/>
              <w:left w:val="single" w:sz="4"/>
            </w:tcBorders>
            <w:shd w:val="clear" w:color="auto" w:fill="FFFFFF"/>
            <w:vAlign w:val="center"/>
          </w:tcPr>
          <w:p>
            <w:pPr>
              <w:pStyle w:val="Style20"/>
              <w:keepNext w:val="0"/>
              <w:keepLines w:val="0"/>
              <w:framePr w:w="14050" w:h="2736" w:wrap="none" w:hAnchor="page" w:x="1327" w:y="4979"/>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报告期内购入金 额</w:t>
            </w:r>
          </w:p>
        </w:tc>
        <w:tc>
          <w:tcPr>
            <w:tcBorders>
              <w:top w:val="single" w:sz="4"/>
              <w:left w:val="single" w:sz="4"/>
            </w:tcBorders>
            <w:shd w:val="clear" w:color="auto" w:fill="FFFFFF"/>
            <w:vAlign w:val="center"/>
          </w:tcPr>
          <w:p>
            <w:pPr>
              <w:pStyle w:val="Style20"/>
              <w:keepNext w:val="0"/>
              <w:keepLines w:val="0"/>
              <w:framePr w:w="14050" w:h="2736" w:wrap="none" w:hAnchor="page" w:x="1327" w:y="4979"/>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报告期内售出金 额</w:t>
            </w:r>
          </w:p>
        </w:tc>
        <w:tc>
          <w:tcPr>
            <w:tcBorders>
              <w:top w:val="single" w:sz="4"/>
              <w:left w:val="single" w:sz="4"/>
            </w:tcBorders>
            <w:shd w:val="clear" w:color="auto" w:fill="FFFFFF"/>
            <w:vAlign w:val="top"/>
          </w:tcPr>
          <w:p>
            <w:pPr>
              <w:pStyle w:val="Style20"/>
              <w:keepNext w:val="0"/>
              <w:keepLines w:val="0"/>
              <w:framePr w:w="14050" w:h="2736" w:wrap="none" w:hAnchor="page" w:x="1327" w:y="4979"/>
              <w:widowControl w:val="0"/>
              <w:shd w:val="clear" w:color="auto" w:fill="auto"/>
              <w:bidi w:val="0"/>
              <w:spacing w:before="120" w:after="0" w:line="240" w:lineRule="auto"/>
              <w:ind w:left="0" w:right="0" w:firstLine="240"/>
              <w:jc w:val="left"/>
              <w:rPr>
                <w:sz w:val="17"/>
                <w:szCs w:val="17"/>
              </w:rPr>
            </w:pPr>
            <w:r>
              <w:rPr>
                <w:color w:val="000000"/>
                <w:spacing w:val="0"/>
                <w:w w:val="100"/>
                <w:position w:val="0"/>
                <w:sz w:val="17"/>
                <w:szCs w:val="17"/>
              </w:rPr>
              <w:t>累计投资收益</w:t>
            </w:r>
          </w:p>
        </w:tc>
        <w:tc>
          <w:tcPr>
            <w:tcBorders>
              <w:top w:val="single" w:sz="4"/>
              <w:left w:val="single" w:sz="4"/>
            </w:tcBorders>
            <w:shd w:val="clear" w:color="auto" w:fill="FFFFFF"/>
            <w:vAlign w:val="top"/>
          </w:tcPr>
          <w:p>
            <w:pPr>
              <w:pStyle w:val="Style20"/>
              <w:keepNext w:val="0"/>
              <w:keepLines w:val="0"/>
              <w:framePr w:w="14050" w:h="2736" w:wrap="none" w:hAnchor="page" w:x="1327" w:y="4979"/>
              <w:widowControl w:val="0"/>
              <w:shd w:val="clear" w:color="auto" w:fill="auto"/>
              <w:bidi w:val="0"/>
              <w:spacing w:before="120" w:after="0" w:line="240" w:lineRule="auto"/>
              <w:ind w:left="0" w:right="0" w:firstLine="420"/>
              <w:jc w:val="left"/>
              <w:rPr>
                <w:sz w:val="17"/>
                <w:szCs w:val="17"/>
              </w:rPr>
            </w:pPr>
            <w:r>
              <w:rPr>
                <w:color w:val="000000"/>
                <w:spacing w:val="0"/>
                <w:w w:val="100"/>
                <w:position w:val="0"/>
                <w:sz w:val="17"/>
                <w:szCs w:val="17"/>
              </w:rPr>
              <w:t>期末金额</w:t>
            </w:r>
          </w:p>
        </w:tc>
        <w:tc>
          <w:tcPr>
            <w:tcBorders>
              <w:top w:val="single" w:sz="4"/>
              <w:left w:val="single" w:sz="4"/>
              <w:right w:val="single" w:sz="4"/>
            </w:tcBorders>
            <w:shd w:val="clear" w:color="auto" w:fill="FFFFFF"/>
            <w:vAlign w:val="top"/>
          </w:tcPr>
          <w:p>
            <w:pPr>
              <w:pStyle w:val="Style20"/>
              <w:keepNext w:val="0"/>
              <w:keepLines w:val="0"/>
              <w:framePr w:w="14050" w:h="2736" w:wrap="none" w:hAnchor="page" w:x="1327" w:y="4979"/>
              <w:widowControl w:val="0"/>
              <w:shd w:val="clear" w:color="auto" w:fill="auto"/>
              <w:bidi w:val="0"/>
              <w:spacing w:before="120" w:after="0" w:line="240" w:lineRule="auto"/>
              <w:ind w:left="0" w:right="0" w:firstLine="420"/>
              <w:jc w:val="left"/>
              <w:rPr>
                <w:sz w:val="17"/>
                <w:szCs w:val="17"/>
              </w:rPr>
            </w:pPr>
            <w:r>
              <w:rPr>
                <w:color w:val="000000"/>
                <w:spacing w:val="0"/>
                <w:w w:val="100"/>
                <w:position w:val="0"/>
                <w:sz w:val="17"/>
                <w:szCs w:val="17"/>
              </w:rPr>
              <w:t>资金来源</w:t>
            </w:r>
          </w:p>
        </w:tc>
      </w:tr>
      <w:tr>
        <w:trPr>
          <w:trHeight w:val="403" w:hRule="exact"/>
        </w:trPr>
        <w:tc>
          <w:tcPr>
            <w:tcBorders>
              <w:top w:val="single" w:sz="4"/>
              <w:left w:val="single" w:sz="4"/>
            </w:tcBorders>
            <w:shd w:val="clear" w:color="auto" w:fill="FFFFFF"/>
            <w:vAlign w:val="center"/>
          </w:tcPr>
          <w:p>
            <w:pPr>
              <w:pStyle w:val="Style20"/>
              <w:keepNext w:val="0"/>
              <w:keepLines w:val="0"/>
              <w:framePr w:w="14050" w:h="2736" w:wrap="none" w:hAnchor="page" w:x="1327" w:y="497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股票</w:t>
            </w:r>
          </w:p>
        </w:tc>
        <w:tc>
          <w:tcPr>
            <w:tcBorders>
              <w:top w:val="single" w:sz="4"/>
              <w:left w:val="single" w:sz="4"/>
            </w:tcBorders>
            <w:shd w:val="clear" w:color="auto" w:fill="FFFFFF"/>
            <w:vAlign w:val="center"/>
          </w:tcPr>
          <w:p>
            <w:pPr>
              <w:pStyle w:val="Style20"/>
              <w:keepNext w:val="0"/>
              <w:keepLines w:val="0"/>
              <w:framePr w:w="14050" w:h="2736" w:wrap="none" w:hAnchor="page" w:x="1327" w:y="4979"/>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372,526,105.90</w:t>
            </w:r>
          </w:p>
        </w:tc>
        <w:tc>
          <w:tcPr>
            <w:tcBorders>
              <w:top w:val="single" w:sz="4"/>
              <w:left w:val="single" w:sz="4"/>
            </w:tcBorders>
            <w:shd w:val="clear" w:color="auto" w:fill="FFFFFF"/>
            <w:vAlign w:val="center"/>
          </w:tcPr>
          <w:p>
            <w:pPr>
              <w:pStyle w:val="Style20"/>
              <w:keepNext w:val="0"/>
              <w:keepLines w:val="0"/>
              <w:framePr w:w="14050" w:h="2736" w:wrap="none" w:hAnchor="page" w:x="1327" w:y="4979"/>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159,184,033.84</w:t>
            </w:r>
          </w:p>
        </w:tc>
        <w:tc>
          <w:tcPr>
            <w:tcBorders>
              <w:top w:val="single" w:sz="4"/>
              <w:left w:val="single" w:sz="4"/>
            </w:tcBorders>
            <w:shd w:val="clear" w:color="auto" w:fill="FFFFFF"/>
            <w:vAlign w:val="center"/>
          </w:tcPr>
          <w:p>
            <w:pPr>
              <w:pStyle w:val="Style20"/>
              <w:keepNext w:val="0"/>
              <w:keepLines w:val="0"/>
              <w:framePr w:w="14050" w:h="2736" w:wrap="none" w:hAnchor="page" w:x="1327" w:y="4979"/>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804,039.06</w:t>
            </w:r>
          </w:p>
        </w:tc>
        <w:tc>
          <w:tcPr>
            <w:tcBorders>
              <w:top w:val="single" w:sz="4"/>
              <w:left w:val="single" w:sz="4"/>
            </w:tcBorders>
            <w:shd w:val="clear" w:color="auto" w:fill="FFFFFF"/>
            <w:vAlign w:val="center"/>
          </w:tcPr>
          <w:p>
            <w:pPr>
              <w:pStyle w:val="Style20"/>
              <w:keepNext w:val="0"/>
              <w:keepLines w:val="0"/>
              <w:framePr w:w="14050" w:h="2736" w:wrap="none" w:hAnchor="page" w:x="1327" w:y="4979"/>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2,072,223,983.24</w:t>
            </w:r>
          </w:p>
        </w:tc>
        <w:tc>
          <w:tcPr>
            <w:tcBorders>
              <w:top w:val="single" w:sz="4"/>
              <w:left w:val="single" w:sz="4"/>
            </w:tcBorders>
            <w:shd w:val="clear" w:color="auto" w:fill="FFFFFF"/>
            <w:vAlign w:val="center"/>
          </w:tcPr>
          <w:p>
            <w:pPr>
              <w:pStyle w:val="Style20"/>
              <w:keepNext w:val="0"/>
              <w:keepLines w:val="0"/>
              <w:framePr w:w="14050" w:h="2736" w:wrap="none" w:hAnchor="page" w:x="1327" w:y="4979"/>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1,295,134,710.39</w:t>
            </w:r>
          </w:p>
        </w:tc>
        <w:tc>
          <w:tcPr>
            <w:tcBorders>
              <w:top w:val="single" w:sz="4"/>
              <w:left w:val="single" w:sz="4"/>
            </w:tcBorders>
            <w:shd w:val="clear" w:color="auto" w:fill="FFFFFF"/>
            <w:vAlign w:val="center"/>
          </w:tcPr>
          <w:p>
            <w:pPr>
              <w:pStyle w:val="Style20"/>
              <w:keepNext w:val="0"/>
              <w:keepLines w:val="0"/>
              <w:framePr w:w="14050" w:h="2736" w:wrap="none" w:hAnchor="page" w:x="1327" w:y="4979"/>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26,739,578.99</w:t>
            </w:r>
          </w:p>
        </w:tc>
        <w:tc>
          <w:tcPr>
            <w:tcBorders>
              <w:top w:val="single" w:sz="4"/>
              <w:left w:val="single" w:sz="4"/>
            </w:tcBorders>
            <w:shd w:val="clear" w:color="auto" w:fill="FFFFFF"/>
            <w:vAlign w:val="center"/>
          </w:tcPr>
          <w:p>
            <w:pPr>
              <w:pStyle w:val="Style20"/>
              <w:keepNext w:val="0"/>
              <w:keepLines w:val="0"/>
              <w:framePr w:w="14050" w:h="2736" w:wrap="none" w:hAnchor="page" w:x="1327" w:y="4979"/>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1,149,615,378.74</w:t>
            </w:r>
          </w:p>
        </w:tc>
        <w:tc>
          <w:tcPr>
            <w:tcBorders>
              <w:top w:val="single" w:sz="4"/>
              <w:left w:val="single" w:sz="4"/>
              <w:right w:val="single" w:sz="4"/>
            </w:tcBorders>
            <w:shd w:val="clear" w:color="auto" w:fill="FFFFFF"/>
            <w:vAlign w:val="center"/>
          </w:tcPr>
          <w:p>
            <w:pPr>
              <w:pStyle w:val="Style20"/>
              <w:keepNext w:val="0"/>
              <w:keepLines w:val="0"/>
              <w:framePr w:w="14050" w:h="2736" w:wrap="none" w:hAnchor="page" w:x="1327" w:y="4979"/>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自有资金</w:t>
            </w:r>
          </w:p>
        </w:tc>
      </w:tr>
      <w:tr>
        <w:trPr>
          <w:trHeight w:val="403" w:hRule="exact"/>
        </w:trPr>
        <w:tc>
          <w:tcPr>
            <w:tcBorders>
              <w:top w:val="single" w:sz="4"/>
              <w:left w:val="single" w:sz="4"/>
            </w:tcBorders>
            <w:shd w:val="clear" w:color="auto" w:fill="FFFFFF"/>
            <w:vAlign w:val="center"/>
          </w:tcPr>
          <w:p>
            <w:pPr>
              <w:pStyle w:val="Style20"/>
              <w:keepNext w:val="0"/>
              <w:keepLines w:val="0"/>
              <w:framePr w:w="14050" w:h="2736" w:wrap="none" w:hAnchor="page" w:x="1327" w:y="497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基金</w:t>
            </w:r>
          </w:p>
        </w:tc>
        <w:tc>
          <w:tcPr>
            <w:tcBorders>
              <w:top w:val="single" w:sz="4"/>
              <w:left w:val="single" w:sz="4"/>
            </w:tcBorders>
            <w:shd w:val="clear" w:color="auto" w:fill="FFFFFF"/>
            <w:vAlign w:val="center"/>
          </w:tcPr>
          <w:p>
            <w:pPr>
              <w:pStyle w:val="Style20"/>
              <w:keepNext w:val="0"/>
              <w:keepLines w:val="0"/>
              <w:framePr w:w="14050" w:h="2736" w:wrap="none" w:hAnchor="page" w:x="1327" w:y="4979"/>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310,898,817.08</w:t>
            </w:r>
          </w:p>
        </w:tc>
        <w:tc>
          <w:tcPr>
            <w:tcBorders>
              <w:top w:val="single" w:sz="4"/>
              <w:left w:val="single" w:sz="4"/>
            </w:tcBorders>
            <w:shd w:val="clear" w:color="auto" w:fill="FFFFFF"/>
            <w:vAlign w:val="center"/>
          </w:tcPr>
          <w:p>
            <w:pPr>
              <w:pStyle w:val="Style20"/>
              <w:keepNext w:val="0"/>
              <w:keepLines w:val="0"/>
              <w:framePr w:w="14050" w:h="2736" w:wrap="none" w:hAnchor="page" w:x="1327" w:y="4979"/>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-482,613.61</w:t>
            </w:r>
          </w:p>
        </w:tc>
        <w:tc>
          <w:tcPr>
            <w:tcBorders>
              <w:top w:val="single" w:sz="4"/>
              <w:left w:val="single" w:sz="4"/>
            </w:tcBorders>
            <w:shd w:val="clear" w:color="auto" w:fill="FFFFFF"/>
            <w:vAlign w:val="center"/>
          </w:tcPr>
          <w:p>
            <w:pPr>
              <w:pStyle w:val="Style20"/>
              <w:keepNext w:val="0"/>
              <w:keepLines w:val="0"/>
              <w:framePr w:w="14050" w:h="2736" w:wrap="none" w:hAnchor="page" w:x="1327" w:y="4979"/>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-5,904,942.82</w:t>
            </w:r>
          </w:p>
        </w:tc>
        <w:tc>
          <w:tcPr>
            <w:tcBorders>
              <w:top w:val="single" w:sz="4"/>
              <w:left w:val="single" w:sz="4"/>
            </w:tcBorders>
            <w:shd w:val="clear" w:color="auto" w:fill="FFFFFF"/>
            <w:vAlign w:val="center"/>
          </w:tcPr>
          <w:p>
            <w:pPr>
              <w:pStyle w:val="Style20"/>
              <w:keepNext w:val="0"/>
              <w:keepLines w:val="0"/>
              <w:framePr w:w="14050" w:h="2736" w:wrap="none" w:hAnchor="page" w:x="1327" w:y="4979"/>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766,860,184.04</w:t>
            </w:r>
          </w:p>
        </w:tc>
        <w:tc>
          <w:tcPr>
            <w:tcBorders>
              <w:top w:val="single" w:sz="4"/>
              <w:left w:val="single" w:sz="4"/>
            </w:tcBorders>
            <w:shd w:val="clear" w:color="auto" w:fill="FFFFFF"/>
            <w:vAlign w:val="center"/>
          </w:tcPr>
          <w:p>
            <w:pPr>
              <w:pStyle w:val="Style20"/>
              <w:keepNext w:val="0"/>
              <w:keepLines w:val="0"/>
              <w:framePr w:w="14050" w:h="2736" w:wrap="none" w:hAnchor="page" w:x="1327" w:y="4979"/>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856,462,614.88</w:t>
            </w:r>
          </w:p>
        </w:tc>
        <w:tc>
          <w:tcPr>
            <w:tcBorders>
              <w:top w:val="single" w:sz="4"/>
              <w:left w:val="single" w:sz="4"/>
            </w:tcBorders>
            <w:shd w:val="clear" w:color="auto" w:fill="FFFFFF"/>
            <w:vAlign w:val="center"/>
          </w:tcPr>
          <w:p>
            <w:pPr>
              <w:pStyle w:val="Style20"/>
              <w:keepNext w:val="0"/>
              <w:keepLines w:val="0"/>
              <w:framePr w:w="14050" w:h="2736" w:wrap="none" w:hAnchor="page" w:x="1327" w:y="4979"/>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14,531,577.33</w:t>
            </w:r>
          </w:p>
        </w:tc>
        <w:tc>
          <w:tcPr>
            <w:tcBorders>
              <w:top w:val="single" w:sz="4"/>
              <w:left w:val="single" w:sz="4"/>
            </w:tcBorders>
            <w:shd w:val="clear" w:color="auto" w:fill="FFFFFF"/>
            <w:vAlign w:val="center"/>
          </w:tcPr>
          <w:p>
            <w:pPr>
              <w:pStyle w:val="Style20"/>
              <w:keepNext w:val="0"/>
              <w:keepLines w:val="0"/>
              <w:framePr w:w="14050" w:h="2736" w:wrap="none" w:hAnchor="page" w:x="1327" w:y="4979"/>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201,296,386.24</w:t>
            </w:r>
          </w:p>
        </w:tc>
        <w:tc>
          <w:tcPr>
            <w:tcBorders>
              <w:top w:val="single" w:sz="4"/>
              <w:left w:val="single" w:sz="4"/>
              <w:right w:val="single" w:sz="4"/>
            </w:tcBorders>
            <w:shd w:val="clear" w:color="auto" w:fill="FFFFFF"/>
            <w:vAlign w:val="center"/>
          </w:tcPr>
          <w:p>
            <w:pPr>
              <w:pStyle w:val="Style20"/>
              <w:keepNext w:val="0"/>
              <w:keepLines w:val="0"/>
              <w:framePr w:w="14050" w:h="2736" w:wrap="none" w:hAnchor="page" w:x="1327" w:y="4979"/>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自有资金</w:t>
            </w:r>
          </w:p>
        </w:tc>
      </w:tr>
      <w:tr>
        <w:trPr>
          <w:trHeight w:val="403" w:hRule="exact"/>
        </w:trPr>
        <w:tc>
          <w:tcPr>
            <w:tcBorders>
              <w:top w:val="single" w:sz="4"/>
              <w:left w:val="single" w:sz="4"/>
            </w:tcBorders>
            <w:shd w:val="clear" w:color="auto" w:fill="FFFFFF"/>
            <w:vAlign w:val="center"/>
          </w:tcPr>
          <w:p>
            <w:pPr>
              <w:pStyle w:val="Style20"/>
              <w:keepNext w:val="0"/>
              <w:keepLines w:val="0"/>
              <w:framePr w:w="14050" w:h="2736" w:wrap="none" w:hAnchor="page" w:x="1327" w:y="497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债券</w:t>
            </w:r>
          </w:p>
        </w:tc>
        <w:tc>
          <w:tcPr>
            <w:tcBorders>
              <w:top w:val="single" w:sz="4"/>
              <w:left w:val="single" w:sz="4"/>
            </w:tcBorders>
            <w:shd w:val="clear" w:color="auto" w:fill="FFFFFF"/>
            <w:vAlign w:val="center"/>
          </w:tcPr>
          <w:p>
            <w:pPr>
              <w:pStyle w:val="Style20"/>
              <w:keepNext w:val="0"/>
              <w:keepLines w:val="0"/>
              <w:framePr w:w="14050" w:h="2736" w:wrap="none" w:hAnchor="page" w:x="1327" w:y="4979"/>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776,606,433.79</w:t>
            </w:r>
          </w:p>
        </w:tc>
        <w:tc>
          <w:tcPr>
            <w:tcBorders>
              <w:top w:val="single" w:sz="4"/>
              <w:left w:val="single" w:sz="4"/>
            </w:tcBorders>
            <w:shd w:val="clear" w:color="auto" w:fill="FFFFFF"/>
            <w:vAlign w:val="center"/>
          </w:tcPr>
          <w:p>
            <w:pPr>
              <w:pStyle w:val="Style20"/>
              <w:keepNext w:val="0"/>
              <w:keepLines w:val="0"/>
              <w:framePr w:w="14050" w:h="2736" w:wrap="none" w:hAnchor="page" w:x="1327" w:y="4979"/>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-18,310,845.84</w:t>
            </w:r>
          </w:p>
        </w:tc>
        <w:tc>
          <w:tcPr>
            <w:tcBorders>
              <w:top w:val="single" w:sz="4"/>
              <w:left w:val="single" w:sz="4"/>
            </w:tcBorders>
            <w:shd w:val="clear" w:color="auto" w:fill="FFFFFF"/>
            <w:vAlign w:val="center"/>
          </w:tcPr>
          <w:p>
            <w:pPr>
              <w:pStyle w:val="Style20"/>
              <w:keepNext w:val="0"/>
              <w:keepLines w:val="0"/>
              <w:framePr w:w="14050" w:h="2736" w:wrap="none" w:hAnchor="page" w:x="1327" w:y="4979"/>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-16,933,393.14</w:t>
            </w:r>
          </w:p>
        </w:tc>
        <w:tc>
          <w:tcPr>
            <w:tcBorders>
              <w:top w:val="single" w:sz="4"/>
              <w:left w:val="single" w:sz="4"/>
            </w:tcBorders>
            <w:shd w:val="clear" w:color="auto" w:fill="FFFFFF"/>
            <w:vAlign w:val="center"/>
          </w:tcPr>
          <w:p>
            <w:pPr>
              <w:pStyle w:val="Style20"/>
              <w:keepNext w:val="0"/>
              <w:keepLines w:val="0"/>
              <w:framePr w:w="14050" w:h="2736" w:wrap="none" w:hAnchor="page" w:x="1327" w:y="4979"/>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1,220,042,825.84</w:t>
            </w:r>
          </w:p>
        </w:tc>
        <w:tc>
          <w:tcPr>
            <w:tcBorders>
              <w:top w:val="single" w:sz="4"/>
              <w:left w:val="single" w:sz="4"/>
            </w:tcBorders>
            <w:shd w:val="clear" w:color="auto" w:fill="FFFFFF"/>
            <w:vAlign w:val="center"/>
          </w:tcPr>
          <w:p>
            <w:pPr>
              <w:pStyle w:val="Style20"/>
              <w:keepNext w:val="0"/>
              <w:keepLines w:val="0"/>
              <w:framePr w:w="14050" w:h="2736" w:wrap="none" w:hAnchor="page" w:x="1327" w:y="4979"/>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250,298,075.56</w:t>
            </w:r>
          </w:p>
        </w:tc>
        <w:tc>
          <w:tcPr>
            <w:tcBorders>
              <w:top w:val="single" w:sz="4"/>
              <w:left w:val="single" w:sz="4"/>
            </w:tcBorders>
            <w:shd w:val="clear" w:color="auto" w:fill="FFFFFF"/>
            <w:vAlign w:val="center"/>
          </w:tcPr>
          <w:p>
            <w:pPr>
              <w:pStyle w:val="Style20"/>
              <w:keepNext w:val="0"/>
              <w:keepLines w:val="0"/>
              <w:framePr w:w="14050" w:h="2736" w:wrap="none" w:hAnchor="page" w:x="1327" w:y="4979"/>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77,303,657.45</w:t>
            </w:r>
          </w:p>
        </w:tc>
        <w:tc>
          <w:tcPr>
            <w:tcBorders>
              <w:top w:val="single" w:sz="4"/>
              <w:left w:val="single" w:sz="4"/>
            </w:tcBorders>
            <w:shd w:val="clear" w:color="auto" w:fill="FFFFFF"/>
            <w:vAlign w:val="center"/>
          </w:tcPr>
          <w:p>
            <w:pPr>
              <w:pStyle w:val="Style20"/>
              <w:keepNext w:val="0"/>
              <w:keepLines w:val="0"/>
              <w:framePr w:w="14050" w:h="2736" w:wrap="none" w:hAnchor="page" w:x="1327" w:y="4979"/>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1,746,351,184.07</w:t>
            </w:r>
          </w:p>
        </w:tc>
        <w:tc>
          <w:tcPr>
            <w:tcBorders>
              <w:top w:val="single" w:sz="4"/>
              <w:left w:val="single" w:sz="4"/>
              <w:right w:val="single" w:sz="4"/>
            </w:tcBorders>
            <w:shd w:val="clear" w:color="auto" w:fill="FFFFFF"/>
            <w:vAlign w:val="center"/>
          </w:tcPr>
          <w:p>
            <w:pPr>
              <w:pStyle w:val="Style20"/>
              <w:keepNext w:val="0"/>
              <w:keepLines w:val="0"/>
              <w:framePr w:w="14050" w:h="2736" w:wrap="none" w:hAnchor="page" w:x="1327" w:y="4979"/>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自有资金</w:t>
            </w:r>
          </w:p>
        </w:tc>
      </w:tr>
      <w:tr>
        <w:trPr>
          <w:trHeight w:val="403" w:hRule="exact"/>
        </w:trPr>
        <w:tc>
          <w:tcPr>
            <w:tcBorders>
              <w:top w:val="single" w:sz="4"/>
              <w:left w:val="single" w:sz="4"/>
            </w:tcBorders>
            <w:shd w:val="clear" w:color="auto" w:fill="FFFFFF"/>
            <w:vAlign w:val="center"/>
          </w:tcPr>
          <w:p>
            <w:pPr>
              <w:pStyle w:val="Style20"/>
              <w:keepNext w:val="0"/>
              <w:keepLines w:val="0"/>
              <w:framePr w:w="14050" w:h="2736" w:wrap="none" w:hAnchor="page" w:x="1327" w:y="497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其他产品</w:t>
            </w:r>
          </w:p>
        </w:tc>
        <w:tc>
          <w:tcPr>
            <w:tcBorders>
              <w:top w:val="single" w:sz="4"/>
              <w:left w:val="single" w:sz="4"/>
            </w:tcBorders>
            <w:shd w:val="clear" w:color="auto" w:fill="FFFFFF"/>
            <w:vAlign w:val="center"/>
          </w:tcPr>
          <w:p>
            <w:pPr>
              <w:pStyle w:val="Style20"/>
              <w:keepNext w:val="0"/>
              <w:keepLines w:val="0"/>
              <w:framePr w:w="14050" w:h="2736" w:wrap="none" w:hAnchor="page" w:x="1327" w:y="4979"/>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577,200,000.00</w:t>
            </w:r>
          </w:p>
        </w:tc>
        <w:tc>
          <w:tcPr>
            <w:tcBorders>
              <w:top w:val="single" w:sz="4"/>
              <w:left w:val="single" w:sz="4"/>
            </w:tcBorders>
            <w:shd w:val="clear" w:color="auto" w:fill="FFFFFF"/>
            <w:vAlign w:val="center"/>
          </w:tcPr>
          <w:p>
            <w:pPr>
              <w:pStyle w:val="Style20"/>
              <w:keepNext w:val="0"/>
              <w:keepLines w:val="0"/>
              <w:framePr w:w="14050" w:h="2736" w:wrap="none" w:hAnchor="page" w:x="1327" w:y="4979"/>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framePr w:w="14050" w:h="2736" w:wrap="none" w:hAnchor="page" w:x="1327" w:y="4979"/>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-14,345,000.40</w:t>
            </w:r>
          </w:p>
        </w:tc>
        <w:tc>
          <w:tcPr>
            <w:tcBorders>
              <w:top w:val="single" w:sz="4"/>
              <w:left w:val="single" w:sz="4"/>
            </w:tcBorders>
            <w:shd w:val="clear" w:color="auto" w:fill="FFFFFF"/>
            <w:vAlign w:val="center"/>
          </w:tcPr>
          <w:p>
            <w:pPr>
              <w:pStyle w:val="Style20"/>
              <w:keepNext w:val="0"/>
              <w:keepLines w:val="0"/>
              <w:framePr w:w="14050" w:h="2736" w:wrap="none" w:hAnchor="page" w:x="1327" w:y="4979"/>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2,320,000,000.00</w:t>
            </w:r>
          </w:p>
        </w:tc>
        <w:tc>
          <w:tcPr>
            <w:tcBorders>
              <w:top w:val="single" w:sz="4"/>
              <w:left w:val="single" w:sz="4"/>
            </w:tcBorders>
            <w:shd w:val="clear" w:color="auto" w:fill="FFFFFF"/>
            <w:vAlign w:val="center"/>
          </w:tcPr>
          <w:p>
            <w:pPr>
              <w:pStyle w:val="Style20"/>
              <w:keepNext w:val="0"/>
              <w:keepLines w:val="0"/>
              <w:framePr w:w="14050" w:h="2736" w:wrap="none" w:hAnchor="page" w:x="1327" w:y="4979"/>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framePr w:w="14050" w:h="2736" w:wrap="none" w:hAnchor="page" w:x="1327" w:y="4979"/>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49,840,257.01</w:t>
            </w:r>
          </w:p>
        </w:tc>
        <w:tc>
          <w:tcPr>
            <w:tcBorders>
              <w:top w:val="single" w:sz="4"/>
              <w:left w:val="single" w:sz="4"/>
            </w:tcBorders>
            <w:shd w:val="clear" w:color="auto" w:fill="FFFFFF"/>
            <w:vAlign w:val="center"/>
          </w:tcPr>
          <w:p>
            <w:pPr>
              <w:pStyle w:val="Style20"/>
              <w:keepNext w:val="0"/>
              <w:keepLines w:val="0"/>
              <w:framePr w:w="14050" w:h="2736" w:wrap="none" w:hAnchor="page" w:x="1327" w:y="4979"/>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2,846,200,000.00</w:t>
            </w:r>
          </w:p>
        </w:tc>
        <w:tc>
          <w:tcPr>
            <w:tcBorders>
              <w:top w:val="single" w:sz="4"/>
              <w:left w:val="single" w:sz="4"/>
              <w:right w:val="single" w:sz="4"/>
            </w:tcBorders>
            <w:shd w:val="clear" w:color="auto" w:fill="FFFFFF"/>
            <w:vAlign w:val="center"/>
          </w:tcPr>
          <w:p>
            <w:pPr>
              <w:pStyle w:val="Style20"/>
              <w:keepNext w:val="0"/>
              <w:keepLines w:val="0"/>
              <w:framePr w:w="14050" w:h="2736" w:wrap="none" w:hAnchor="page" w:x="1327" w:y="4979"/>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自有资金</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framePr w:w="14050" w:h="2736" w:wrap="none" w:hAnchor="page" w:x="1327" w:y="497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framePr w:w="14050" w:h="2736" w:wrap="none" w:hAnchor="page" w:x="1327" w:y="4979"/>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2,037,231,356.77</w:t>
            </w:r>
          </w:p>
        </w:tc>
        <w:tc>
          <w:tcPr>
            <w:tcBorders>
              <w:top w:val="single" w:sz="4"/>
              <w:left w:val="single" w:sz="4"/>
              <w:bottom w:val="single" w:sz="4"/>
            </w:tcBorders>
            <w:shd w:val="clear" w:color="auto" w:fill="FFFFFF"/>
            <w:vAlign w:val="center"/>
          </w:tcPr>
          <w:p>
            <w:pPr>
              <w:pStyle w:val="Style20"/>
              <w:keepNext w:val="0"/>
              <w:keepLines w:val="0"/>
              <w:framePr w:w="14050" w:h="2736" w:wrap="none" w:hAnchor="page" w:x="1327" w:y="4979"/>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140,390,574.39</w:t>
            </w:r>
          </w:p>
        </w:tc>
        <w:tc>
          <w:tcPr>
            <w:tcBorders>
              <w:top w:val="single" w:sz="4"/>
              <w:left w:val="single" w:sz="4"/>
              <w:bottom w:val="single" w:sz="4"/>
            </w:tcBorders>
            <w:shd w:val="clear" w:color="auto" w:fill="FFFFFF"/>
            <w:vAlign w:val="center"/>
          </w:tcPr>
          <w:p>
            <w:pPr>
              <w:pStyle w:val="Style20"/>
              <w:keepNext w:val="0"/>
              <w:keepLines w:val="0"/>
              <w:framePr w:w="14050" w:h="2736" w:wrap="none" w:hAnchor="page" w:x="1327" w:y="4979"/>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-36,379,297.30</w:t>
            </w:r>
          </w:p>
        </w:tc>
        <w:tc>
          <w:tcPr>
            <w:tcBorders>
              <w:top w:val="single" w:sz="4"/>
              <w:left w:val="single" w:sz="4"/>
              <w:bottom w:val="single" w:sz="4"/>
            </w:tcBorders>
            <w:shd w:val="clear" w:color="auto" w:fill="FFFFFF"/>
            <w:vAlign w:val="center"/>
          </w:tcPr>
          <w:p>
            <w:pPr>
              <w:pStyle w:val="Style20"/>
              <w:keepNext w:val="0"/>
              <w:keepLines w:val="0"/>
              <w:framePr w:w="14050" w:h="2736" w:wrap="none" w:hAnchor="page" w:x="1327" w:y="4979"/>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6,379,126,993.12</w:t>
            </w:r>
          </w:p>
        </w:tc>
        <w:tc>
          <w:tcPr>
            <w:tcBorders>
              <w:top w:val="single" w:sz="4"/>
              <w:left w:val="single" w:sz="4"/>
              <w:bottom w:val="single" w:sz="4"/>
            </w:tcBorders>
            <w:shd w:val="clear" w:color="auto" w:fill="FFFFFF"/>
            <w:vAlign w:val="center"/>
          </w:tcPr>
          <w:p>
            <w:pPr>
              <w:pStyle w:val="Style20"/>
              <w:keepNext w:val="0"/>
              <w:keepLines w:val="0"/>
              <w:framePr w:w="14050" w:h="2736" w:wrap="none" w:hAnchor="page" w:x="1327" w:y="4979"/>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2,401,895,400.83</w:t>
            </w:r>
          </w:p>
        </w:tc>
        <w:tc>
          <w:tcPr>
            <w:tcBorders>
              <w:top w:val="single" w:sz="4"/>
              <w:left w:val="single" w:sz="4"/>
              <w:bottom w:val="single" w:sz="4"/>
            </w:tcBorders>
            <w:shd w:val="clear" w:color="auto" w:fill="FFFFFF"/>
            <w:vAlign w:val="center"/>
          </w:tcPr>
          <w:p>
            <w:pPr>
              <w:pStyle w:val="Style20"/>
              <w:keepNext w:val="0"/>
              <w:keepLines w:val="0"/>
              <w:framePr w:w="14050" w:h="2736" w:wrap="none" w:hAnchor="page" w:x="1327" w:y="4979"/>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168,415,070.78</w:t>
            </w:r>
          </w:p>
        </w:tc>
        <w:tc>
          <w:tcPr>
            <w:tcBorders>
              <w:top w:val="single" w:sz="4"/>
              <w:left w:val="single" w:sz="4"/>
              <w:bottom w:val="single" w:sz="4"/>
            </w:tcBorders>
            <w:shd w:val="clear" w:color="auto" w:fill="FFFFFF"/>
            <w:vAlign w:val="center"/>
          </w:tcPr>
          <w:p>
            <w:pPr>
              <w:pStyle w:val="Style20"/>
              <w:keepNext w:val="0"/>
              <w:keepLines w:val="0"/>
              <w:framePr w:w="14050" w:h="2736" w:wrap="none" w:hAnchor="page" w:x="1327" w:y="4979"/>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5,943,462,949.05</w:t>
            </w:r>
          </w:p>
        </w:tc>
        <w:tc>
          <w:tcPr>
            <w:tcBorders>
              <w:top w:val="single" w:sz="4"/>
              <w:left w:val="single" w:sz="4"/>
              <w:bottom w:val="single" w:sz="4"/>
              <w:right w:val="single" w:sz="4"/>
            </w:tcBorders>
            <w:shd w:val="clear" w:color="auto" w:fill="FFFFFF"/>
            <w:vAlign w:val="top"/>
          </w:tcPr>
          <w:p>
            <w:pPr>
              <w:framePr w:w="14050" w:h="2736" w:wrap="none" w:hAnchor="page" w:x="1327" w:y="4979"/>
              <w:widowControl w:val="0"/>
              <w:rPr>
                <w:sz w:val="10"/>
                <w:szCs w:val="10"/>
              </w:rPr>
            </w:pPr>
          </w:p>
        </w:tc>
      </w:tr>
    </w:tbl>
    <w:p>
      <w:pPr>
        <w:framePr w:w="14050" w:h="2736" w:wrap="none" w:hAnchor="page" w:x="1327" w:y="4979"/>
        <w:widowControl w:val="0"/>
        <w:spacing w:line="1" w:lineRule="exact"/>
      </w:pPr>
    </w:p>
    <w:p>
      <w:pPr>
        <w:pStyle w:val="Style33"/>
        <w:keepNext w:val="0"/>
        <w:keepLines w:val="0"/>
        <w:framePr w:w="1963" w:h="274" w:wrap="none" w:hAnchor="page" w:x="1418" w:y="8042"/>
        <w:widowControl w:val="0"/>
        <w:shd w:val="clear" w:color="auto" w:fill="auto"/>
        <w:bidi w:val="0"/>
        <w:spacing w:before="0" w:after="0" w:line="240" w:lineRule="auto"/>
        <w:ind w:left="0" w:right="0" w:firstLine="0"/>
        <w:jc w:val="left"/>
      </w:pPr>
      <w:bookmarkStart w:id="231" w:name="bookmark231"/>
      <w:r>
        <w:rPr>
          <w:rFonts w:ascii="Times New Roman" w:eastAsia="Times New Roman" w:hAnsi="Times New Roman" w:cs="Times New Roman"/>
          <w:b/>
          <w:bCs/>
          <w:color w:val="000000"/>
          <w:spacing w:val="0"/>
          <w:w w:val="100"/>
          <w:position w:val="0"/>
        </w:rPr>
        <w:t>5</w:t>
      </w:r>
      <w:r>
        <w:rPr>
          <w:b/>
          <w:bCs/>
          <w:color w:val="000000"/>
          <w:spacing w:val="0"/>
          <w:w w:val="100"/>
          <w:position w:val="0"/>
        </w:rPr>
        <w:t>、募集资金使用情况</w:t>
      </w:r>
      <w:bookmarkEnd w:id="231"/>
    </w:p>
    <w:p>
      <w:pPr>
        <w:pStyle w:val="Style33"/>
        <w:keepNext w:val="0"/>
        <w:keepLines w:val="0"/>
        <w:framePr w:w="1651" w:h="283" w:wrap="none" w:hAnchor="page" w:x="13768" w:y="8027"/>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q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pStyle w:val="Style33"/>
        <w:keepNext w:val="0"/>
        <w:keepLines w:val="0"/>
        <w:framePr w:w="2563" w:h="283" w:wrap="none" w:hAnchor="page" w:x="1533" w:y="8656"/>
        <w:widowControl w:val="0"/>
        <w:shd w:val="clear" w:color="auto" w:fill="auto"/>
        <w:bidi w:val="0"/>
        <w:spacing w:before="0" w:after="0" w:line="240" w:lineRule="auto"/>
        <w:ind w:left="0" w:right="0" w:firstLine="0"/>
        <w:jc w:val="left"/>
      </w:pPr>
      <w:bookmarkStart w:id="232" w:name="bookmark232"/>
      <w:r>
        <w:rPr>
          <w:rFonts w:ascii="Times New Roman" w:eastAsia="Times New Roman" w:hAnsi="Times New Roman" w:cs="Times New Roman"/>
          <w:b/>
          <w:bCs/>
          <w:color w:val="000000"/>
          <w:spacing w:val="0"/>
          <w:w w:val="100"/>
          <w:position w:val="0"/>
        </w:rPr>
        <w:t>（1</w:t>
      </w:r>
      <w:r>
        <w:rPr>
          <w:b/>
          <w:bCs/>
          <w:color w:val="000000"/>
          <w:spacing w:val="0"/>
          <w:w w:val="100"/>
          <w:position w:val="0"/>
        </w:rPr>
        <w:t>）募集资金总体使用情况</w:t>
      </w:r>
      <w:bookmarkEnd w:id="232"/>
    </w:p>
    <w:p>
      <w:pPr>
        <w:pStyle w:val="Style33"/>
        <w:keepNext w:val="0"/>
        <w:keepLines w:val="0"/>
        <w:framePr w:w="1651" w:h="283" w:wrap="none" w:hAnchor="page" w:x="13749" w:y="8642"/>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q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pStyle w:val="Style33"/>
        <w:keepNext w:val="0"/>
        <w:keepLines w:val="0"/>
        <w:framePr w:w="1085" w:h="221" w:wrap="none" w:hAnchor="page" w:x="14335" w:y="9271"/>
        <w:widowControl w:val="0"/>
        <w:shd w:val="clear" w:color="auto" w:fill="auto"/>
        <w:bidi w:val="0"/>
        <w:spacing w:before="0" w:after="0" w:line="240" w:lineRule="auto"/>
        <w:ind w:left="0" w:right="0" w:firstLine="0"/>
        <w:jc w:val="left"/>
      </w:pPr>
      <w:r>
        <w:rPr>
          <w:color w:val="000000"/>
          <w:spacing w:val="0"/>
          <w:w w:val="100"/>
          <w:position w:val="0"/>
        </w:rPr>
        <w:t>单位：万元</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89" w:line="1" w:lineRule="exact"/>
      </w:pPr>
    </w:p>
    <w:p>
      <w:pPr>
        <w:widowControl w:val="0"/>
        <w:spacing w:line="1" w:lineRule="exact"/>
        <w:sectPr>
          <w:headerReference w:type="default" r:id="rId11"/>
          <w:footerReference w:type="default" r:id="rId12"/>
          <w:footnotePr>
            <w:pos w:val="pageBottom"/>
            <w:numFmt w:val="decimal"/>
            <w:numRestart w:val="continuous"/>
          </w:footnotePr>
          <w:pgSz w:w="16840" w:h="11900" w:orient="landscape"/>
          <w:pgMar w:top="1148" w:right="1360" w:bottom="1157" w:left="1326" w:header="0" w:footer="3" w:gutter="0"/>
          <w:cols w:space="720"/>
          <w:noEndnote/>
          <w:rtlGutter w:val="0"/>
          <w:docGrid w:linePitch="360"/>
        </w:sectPr>
      </w:pPr>
    </w:p>
    <w:tbl>
      <w:tblPr>
        <w:tblOverlap w:val="never"/>
        <w:jc w:val="center"/>
        <w:tblLayout w:type="fixed"/>
      </w:tblPr>
      <w:tblGrid>
        <w:gridCol w:w="874"/>
        <w:gridCol w:w="1546"/>
        <w:gridCol w:w="1277"/>
        <w:gridCol w:w="1416"/>
        <w:gridCol w:w="1277"/>
        <w:gridCol w:w="1272"/>
        <w:gridCol w:w="1277"/>
        <w:gridCol w:w="1138"/>
        <w:gridCol w:w="989"/>
        <w:gridCol w:w="1843"/>
        <w:gridCol w:w="1142"/>
      </w:tblGrid>
      <w:tr>
        <w:trPr>
          <w:trHeight w:val="10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募集</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募集方式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募集资金总 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本期已使用募 集资金总额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已累计使用 募集资金总 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报告期内变 更用途的募 集资金总额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center"/>
            </w:pPr>
            <w:r>
              <w:rPr>
                <w:color w:val="000000"/>
                <w:spacing w:val="0"/>
                <w:w w:val="100"/>
                <w:position w:val="0"/>
              </w:rPr>
              <w:t>累计变更用 途的募集资 金总额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累计变更用 途的募集资 金总额比例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尚未使用 募集资金 总额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尚未使用募集资金 用途及去向</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right"/>
            </w:pPr>
            <w:r>
              <w:rPr>
                <w:color w:val="000000"/>
                <w:spacing w:val="0"/>
                <w:w w:val="100"/>
                <w:position w:val="0"/>
              </w:rPr>
              <w:t>闲置两年以 上募集资金</w:t>
            </w:r>
          </w:p>
          <w:p>
            <w:pPr>
              <w:pStyle w:val="Style20"/>
              <w:keepNext w:val="0"/>
              <w:keepLines w:val="0"/>
              <w:widowControl w:val="0"/>
              <w:shd w:val="clear" w:color="auto" w:fill="auto"/>
              <w:bidi w:val="0"/>
              <w:spacing w:before="0" w:after="0" w:line="317" w:lineRule="exact"/>
              <w:ind w:left="0" w:right="360" w:firstLine="0"/>
              <w:jc w:val="right"/>
            </w:pPr>
            <w:r>
              <w:rPr>
                <w:color w:val="000000"/>
                <w:spacing w:val="0"/>
                <w:w w:val="100"/>
                <w:position w:val="0"/>
              </w:rPr>
              <w:t>金额</w:t>
            </w:r>
          </w:p>
        </w:tc>
      </w:tr>
      <w:tr>
        <w:trPr>
          <w:trHeight w:val="13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国盛金控非公开 发行股份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687,016.99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686,979.36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686,979.36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9" w:lineRule="exact"/>
              <w:ind w:left="0" w:right="0" w:firstLine="0"/>
              <w:jc w:val="left"/>
            </w:pPr>
            <w:r>
              <w:rPr>
                <w:color w:val="000000"/>
                <w:spacing w:val="0"/>
                <w:w w:val="100"/>
                <w:position w:val="0"/>
              </w:rPr>
              <w:t>报告期内，公司使用 节余募集资金补充 流动资金，涉及金额 合计</w:t>
            </w:r>
            <w:r>
              <w:rPr>
                <w:rFonts w:ascii="Times New Roman" w:eastAsia="Times New Roman" w:hAnsi="Times New Roman" w:cs="Times New Roman"/>
                <w:color w:val="000000"/>
                <w:spacing w:val="0"/>
                <w:w w:val="100"/>
                <w:position w:val="0"/>
              </w:rPr>
              <w:t>3,287.30</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国盛证券公开发 行公司债券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99,400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99,400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99,400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尚未使用的募集资 金存放于募集资金 专户。</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国盛金控公开发 行公司债券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98,000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29,483.08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29,483.08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68,529.93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尚未使用的募集资 金存放于募集资金 专户。</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rPr>
              <w:t>国盛金控非公开 发行公司债券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193,000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192,999.92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192,999.92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尚未使用的募集资 金存放于募集资金 专户。</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1,077,416.99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1,008,862.36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1,008,862.36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68,728.66</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11"/>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3259" w:hRule="exact"/>
        </w:trPr>
        <w:tc>
          <w:tcPr>
            <w:gridSpan w:val="11"/>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tabs>
                <w:tab w:pos="734" w:val="left"/>
              </w:tabs>
              <w:bidi w:val="0"/>
              <w:spacing w:before="0" w:after="0" w:line="313" w:lineRule="exact"/>
              <w:ind w:left="0" w:right="0" w:firstLine="44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经中国证券监督管理委员会核发的《关于核准广东华声电器股份有限公司向中江国际信托股份有限公司等发行股份购买资产并募集配套资金的批 复》（证监许可</w:t>
            </w:r>
            <w:r>
              <w:rPr>
                <w:rFonts w:ascii="Times New Roman" w:eastAsia="Times New Roman" w:hAnsi="Times New Roman" w:cs="Times New Roman"/>
                <w:color w:val="000000"/>
                <w:spacing w:val="0"/>
                <w:w w:val="100"/>
                <w:position w:val="0"/>
              </w:rPr>
              <w:t>[2016]657</w:t>
            </w:r>
            <w:r>
              <w:rPr>
                <w:color w:val="000000"/>
                <w:spacing w:val="0"/>
                <w:w w:val="100"/>
                <w:position w:val="0"/>
              </w:rPr>
              <w:t>号）批准，公司向中江信托等国盛证券全体股东以发行股份及支付现金的方式购买国盛证券</w:t>
            </w:r>
            <w:r>
              <w:rPr>
                <w:rFonts w:ascii="Times New Roman" w:eastAsia="Times New Roman" w:hAnsi="Times New Roman" w:cs="Times New Roman"/>
                <w:color w:val="000000"/>
                <w:spacing w:val="0"/>
                <w:w w:val="100"/>
                <w:position w:val="0"/>
              </w:rPr>
              <w:t>100%</w:t>
            </w:r>
            <w:r>
              <w:rPr>
                <w:color w:val="000000"/>
                <w:spacing w:val="0"/>
                <w:w w:val="100"/>
                <w:position w:val="0"/>
              </w:rPr>
              <w:t>股权并向前海发展等</w:t>
            </w:r>
            <w:r>
              <w:rPr>
                <w:rFonts w:ascii="Times New Roman" w:eastAsia="Times New Roman" w:hAnsi="Times New Roman" w:cs="Times New Roman"/>
                <w:color w:val="000000"/>
                <w:spacing w:val="0"/>
                <w:w w:val="100"/>
                <w:position w:val="0"/>
              </w:rPr>
              <w:t>5</w:t>
            </w:r>
            <w:r>
              <w:rPr>
                <w:color w:val="000000"/>
                <w:spacing w:val="0"/>
                <w:w w:val="100"/>
                <w:position w:val="0"/>
              </w:rPr>
              <w:t>名出资 人发行股份</w:t>
            </w:r>
            <w:r>
              <w:rPr>
                <w:rFonts w:ascii="Times New Roman" w:eastAsia="Times New Roman" w:hAnsi="Times New Roman" w:cs="Times New Roman"/>
                <w:color w:val="000000"/>
                <w:spacing w:val="0"/>
                <w:w w:val="100"/>
                <w:position w:val="0"/>
              </w:rPr>
              <w:t>477,931,033</w:t>
            </w:r>
            <w:r>
              <w:rPr>
                <w:color w:val="000000"/>
                <w:spacing w:val="0"/>
                <w:w w:val="100"/>
                <w:position w:val="0"/>
              </w:rPr>
              <w:t>股募集配套资金</w:t>
            </w:r>
            <w:r>
              <w:rPr>
                <w:rFonts w:ascii="Times New Roman" w:eastAsia="Times New Roman" w:hAnsi="Times New Roman" w:cs="Times New Roman"/>
                <w:color w:val="000000"/>
                <w:spacing w:val="0"/>
                <w:w w:val="100"/>
                <w:position w:val="0"/>
              </w:rPr>
              <w:t>693,000.00</w:t>
            </w:r>
            <w:r>
              <w:rPr>
                <w:color w:val="000000"/>
                <w:spacing w:val="0"/>
                <w:w w:val="100"/>
                <w:position w:val="0"/>
              </w:rPr>
              <w:t>万元，扣除承销费等发行费用后募集配套资金净额为</w:t>
            </w:r>
            <w:r>
              <w:rPr>
                <w:rFonts w:ascii="Times New Roman" w:eastAsia="Times New Roman" w:hAnsi="Times New Roman" w:cs="Times New Roman"/>
                <w:color w:val="000000"/>
                <w:spacing w:val="0"/>
                <w:w w:val="100"/>
                <w:position w:val="0"/>
              </w:rPr>
              <w:t>687,016.99</w:t>
            </w:r>
            <w:r>
              <w:rPr>
                <w:color w:val="000000"/>
                <w:spacing w:val="0"/>
                <w:w w:val="100"/>
                <w:position w:val="0"/>
              </w:rPr>
              <w:t>万元。截止期末，募集资金专户累计 收到银行存款利息收入</w:t>
            </w:r>
            <w:r>
              <w:rPr>
                <w:rFonts w:ascii="Times New Roman" w:eastAsia="Times New Roman" w:hAnsi="Times New Roman" w:cs="Times New Roman"/>
                <w:color w:val="000000"/>
                <w:spacing w:val="0"/>
                <w:w w:val="100"/>
                <w:position w:val="0"/>
              </w:rPr>
              <w:t>3,249.89</w:t>
            </w:r>
            <w:r>
              <w:rPr>
                <w:color w:val="000000"/>
                <w:spacing w:val="0"/>
                <w:w w:val="100"/>
                <w:position w:val="0"/>
              </w:rPr>
              <w:t>万元，发生手续费支出</w:t>
            </w:r>
            <w:r>
              <w:rPr>
                <w:rFonts w:ascii="Times New Roman" w:eastAsia="Times New Roman" w:hAnsi="Times New Roman" w:cs="Times New Roman"/>
                <w:color w:val="000000"/>
                <w:spacing w:val="0"/>
                <w:w w:val="100"/>
                <w:position w:val="0"/>
              </w:rPr>
              <w:t>0.22</w:t>
            </w:r>
            <w:r>
              <w:rPr>
                <w:color w:val="000000"/>
                <w:spacing w:val="0"/>
                <w:w w:val="100"/>
                <w:position w:val="0"/>
              </w:rPr>
              <w:t>万元。报告期内，公司累计投入募集资金</w:t>
            </w:r>
            <w:r>
              <w:rPr>
                <w:rFonts w:ascii="Times New Roman" w:eastAsia="Times New Roman" w:hAnsi="Times New Roman" w:cs="Times New Roman"/>
                <w:color w:val="000000"/>
                <w:spacing w:val="0"/>
                <w:w w:val="100"/>
                <w:position w:val="0"/>
              </w:rPr>
              <w:t>686,979.36</w:t>
            </w:r>
            <w:r>
              <w:rPr>
                <w:color w:val="000000"/>
                <w:spacing w:val="0"/>
                <w:w w:val="100"/>
                <w:position w:val="0"/>
              </w:rPr>
              <w:t>万元，募投项目全部实施完毕。公司对 募集资金专户进行结息、销户，并转出节余募集资金本息金额合计</w:t>
            </w:r>
            <w:r>
              <w:rPr>
                <w:rFonts w:ascii="Times New Roman" w:eastAsia="Times New Roman" w:hAnsi="Times New Roman" w:cs="Times New Roman"/>
                <w:color w:val="000000"/>
                <w:spacing w:val="0"/>
                <w:w w:val="100"/>
                <w:position w:val="0"/>
              </w:rPr>
              <w:t>3,287.30</w:t>
            </w:r>
            <w:r>
              <w:rPr>
                <w:color w:val="000000"/>
                <w:spacing w:val="0"/>
                <w:w w:val="100"/>
                <w:position w:val="0"/>
              </w:rPr>
              <w:t>万元用于补充流动资金。</w:t>
            </w:r>
          </w:p>
          <w:p>
            <w:pPr>
              <w:pStyle w:val="Style20"/>
              <w:keepNext w:val="0"/>
              <w:keepLines w:val="0"/>
              <w:widowControl w:val="0"/>
              <w:shd w:val="clear" w:color="auto" w:fill="auto"/>
              <w:bidi w:val="0"/>
              <w:spacing w:before="0" w:after="0" w:line="314" w:lineRule="exact"/>
              <w:ind w:left="0" w:right="0" w:firstLine="440"/>
              <w:jc w:val="both"/>
            </w:pPr>
            <w:r>
              <w:rPr>
                <w:rFonts w:ascii="Times New Roman" w:eastAsia="Times New Roman" w:hAnsi="Times New Roman" w:cs="Times New Roman"/>
                <w:color w:val="000000"/>
                <w:spacing w:val="0"/>
                <w:w w:val="100"/>
                <w:position w:val="0"/>
              </w:rPr>
              <w:t>2</w:t>
            </w:r>
            <w:r>
              <w:rPr>
                <w:color w:val="000000"/>
                <w:spacing w:val="0"/>
                <w:w w:val="100"/>
                <w:position w:val="0"/>
              </w:rPr>
              <w:t>、 经中国证券监督管理委员会《关于核准国盛证券有限责任公司向合格投资者公开发行公司债券的批复》（证监许可</w:t>
            </w:r>
            <w:r>
              <w:rPr>
                <w:rFonts w:ascii="Times New Roman" w:eastAsia="Times New Roman" w:hAnsi="Times New Roman" w:cs="Times New Roman"/>
                <w:color w:val="000000"/>
                <w:spacing w:val="0"/>
                <w:w w:val="100"/>
                <w:position w:val="0"/>
              </w:rPr>
              <w:t>[2016]586</w:t>
            </w:r>
            <w:r>
              <w:rPr>
                <w:color w:val="000000"/>
                <w:spacing w:val="0"/>
                <w:w w:val="100"/>
                <w:position w:val="0"/>
              </w:rPr>
              <w:t>号）核准，国盛证券 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月向合格投资者公开发行面值总额</w:t>
            </w:r>
            <w:r>
              <w:rPr>
                <w:rFonts w:ascii="Times New Roman" w:eastAsia="Times New Roman" w:hAnsi="Times New Roman" w:cs="Times New Roman"/>
                <w:color w:val="000000"/>
                <w:spacing w:val="0"/>
                <w:w w:val="100"/>
                <w:position w:val="0"/>
              </w:rPr>
              <w:t>10</w:t>
            </w:r>
            <w:r>
              <w:rPr>
                <w:color w:val="000000"/>
                <w:spacing w:val="0"/>
                <w:w w:val="100"/>
                <w:position w:val="0"/>
              </w:rPr>
              <w:t>亿元的公司债券，本次债券募集资金扣除承销费后的净额为</w:t>
            </w:r>
            <w:r>
              <w:rPr>
                <w:rFonts w:ascii="Times New Roman" w:eastAsia="Times New Roman" w:hAnsi="Times New Roman" w:cs="Times New Roman"/>
                <w:color w:val="000000"/>
                <w:spacing w:val="0"/>
                <w:w w:val="100"/>
                <w:position w:val="0"/>
              </w:rPr>
              <w:t>99,400.00</w:t>
            </w:r>
            <w:r>
              <w:rPr>
                <w:color w:val="000000"/>
                <w:spacing w:val="0"/>
                <w:w w:val="100"/>
                <w:position w:val="0"/>
              </w:rPr>
              <w:t>元。截止期末，募集资金专户累 计收到银行存款利息收入</w:t>
            </w:r>
            <w:r>
              <w:rPr>
                <w:rFonts w:ascii="Times New Roman" w:eastAsia="Times New Roman" w:hAnsi="Times New Roman" w:cs="Times New Roman"/>
                <w:color w:val="000000"/>
                <w:spacing w:val="0"/>
                <w:w w:val="100"/>
                <w:position w:val="0"/>
              </w:rPr>
              <w:t>95.05</w:t>
            </w:r>
            <w:r>
              <w:rPr>
                <w:color w:val="000000"/>
                <w:spacing w:val="0"/>
                <w:w w:val="100"/>
                <w:position w:val="0"/>
              </w:rPr>
              <w:t>万元、发生手续费支出</w:t>
            </w:r>
            <w:r>
              <w:rPr>
                <w:rFonts w:ascii="Times New Roman" w:eastAsia="Times New Roman" w:hAnsi="Times New Roman" w:cs="Times New Roman"/>
                <w:color w:val="000000"/>
                <w:spacing w:val="0"/>
                <w:w w:val="100"/>
                <w:position w:val="0"/>
              </w:rPr>
              <w:t>0.04</w:t>
            </w:r>
            <w:r>
              <w:rPr>
                <w:color w:val="000000"/>
                <w:spacing w:val="0"/>
                <w:w w:val="100"/>
                <w:position w:val="0"/>
              </w:rPr>
              <w:t>万元。报告期内，国盛证券累计投入募集资金</w:t>
            </w:r>
            <w:r>
              <w:rPr>
                <w:rFonts w:ascii="Times New Roman" w:eastAsia="Times New Roman" w:hAnsi="Times New Roman" w:cs="Times New Roman"/>
                <w:color w:val="000000"/>
                <w:spacing w:val="0"/>
                <w:w w:val="100"/>
                <w:position w:val="0"/>
              </w:rPr>
              <w:t>99,400.00</w:t>
            </w:r>
            <w:r>
              <w:rPr>
                <w:color w:val="000000"/>
                <w:spacing w:val="0"/>
                <w:w w:val="100"/>
                <w:position w:val="0"/>
              </w:rPr>
              <w:t xml:space="preserve">万元，截止期末募集资金专户余额为 </w:t>
            </w:r>
            <w:r>
              <w:rPr>
                <w:rFonts w:ascii="Times New Roman" w:eastAsia="Times New Roman" w:hAnsi="Times New Roman" w:cs="Times New Roman"/>
                <w:color w:val="000000"/>
                <w:spacing w:val="0"/>
                <w:w w:val="100"/>
                <w:position w:val="0"/>
              </w:rPr>
              <w:t>95.01</w:t>
            </w:r>
            <w:r>
              <w:rPr>
                <w:color w:val="000000"/>
                <w:spacing w:val="0"/>
                <w:w w:val="100"/>
                <w:position w:val="0"/>
              </w:rPr>
              <w:t>万元。</w:t>
            </w:r>
          </w:p>
          <w:p>
            <w:pPr>
              <w:pStyle w:val="Style20"/>
              <w:keepNext w:val="0"/>
              <w:keepLines w:val="0"/>
              <w:widowControl w:val="0"/>
              <w:shd w:val="clear" w:color="auto" w:fill="auto"/>
              <w:bidi w:val="0"/>
              <w:spacing w:before="0" w:after="0" w:line="313" w:lineRule="exact"/>
              <w:ind w:left="0" w:right="0" w:firstLine="440"/>
              <w:jc w:val="both"/>
            </w:pPr>
            <w:r>
              <w:rPr>
                <w:rFonts w:ascii="Times New Roman" w:eastAsia="Times New Roman" w:hAnsi="Times New Roman" w:cs="Times New Roman"/>
                <w:color w:val="000000"/>
                <w:spacing w:val="0"/>
                <w:w w:val="100"/>
                <w:position w:val="0"/>
              </w:rPr>
              <w:t>3</w:t>
            </w:r>
            <w:r>
              <w:rPr>
                <w:color w:val="000000"/>
                <w:spacing w:val="0"/>
                <w:w w:val="100"/>
                <w:position w:val="0"/>
              </w:rPr>
              <w:t>、 经中国证券监督管理委员会《关于核准广东国盛金控集团股份有限公司向合格投资者公开发行公司债券的批复》（证监许可</w:t>
            </w:r>
            <w:r>
              <w:rPr>
                <w:rFonts w:ascii="Times New Roman" w:eastAsia="Times New Roman" w:hAnsi="Times New Roman" w:cs="Times New Roman"/>
                <w:color w:val="000000"/>
                <w:spacing w:val="0"/>
                <w:w w:val="100"/>
                <w:position w:val="0"/>
              </w:rPr>
              <w:t>[2016]2744</w:t>
            </w:r>
            <w:r>
              <w:rPr>
                <w:color w:val="000000"/>
                <w:spacing w:val="0"/>
                <w:w w:val="100"/>
                <w:position w:val="0"/>
              </w:rPr>
              <w:t>号）核准，</w:t>
            </w:r>
          </w:p>
        </w:tc>
      </w:tr>
    </w:tbl>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 w:line="314"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月向合格投资者公开发行面值总额</w:t>
      </w:r>
      <w:r>
        <w:rPr>
          <w:rFonts w:ascii="Times New Roman" w:eastAsia="Times New Roman" w:hAnsi="Times New Roman" w:cs="Times New Roman"/>
          <w:color w:val="000000"/>
          <w:spacing w:val="0"/>
          <w:w w:val="100"/>
          <w:position w:val="0"/>
        </w:rPr>
        <w:t>10</w:t>
      </w:r>
      <w:r>
        <w:rPr>
          <w:color w:val="000000"/>
          <w:spacing w:val="0"/>
          <w:w w:val="100"/>
          <w:position w:val="0"/>
        </w:rPr>
        <w:t>亿元的公司债券，本次债券募集资金扣除承销费后的净额为</w:t>
      </w:r>
      <w:r>
        <w:rPr>
          <w:rFonts w:ascii="Times New Roman" w:eastAsia="Times New Roman" w:hAnsi="Times New Roman" w:cs="Times New Roman"/>
          <w:color w:val="000000"/>
          <w:spacing w:val="0"/>
          <w:w w:val="100"/>
          <w:position w:val="0"/>
        </w:rPr>
        <w:t>98,000.00</w:t>
      </w:r>
      <w:r>
        <w:rPr>
          <w:color w:val="000000"/>
          <w:spacing w:val="0"/>
          <w:w w:val="100"/>
          <w:position w:val="0"/>
        </w:rPr>
        <w:t>万元。截止期末，募集资金 专户累计收到银行存款利息收入</w:t>
      </w:r>
      <w:r>
        <w:rPr>
          <w:rFonts w:ascii="Times New Roman" w:eastAsia="Times New Roman" w:hAnsi="Times New Roman" w:cs="Times New Roman"/>
          <w:color w:val="000000"/>
          <w:spacing w:val="0"/>
          <w:w w:val="100"/>
          <w:position w:val="0"/>
        </w:rPr>
        <w:t>13.07</w:t>
      </w:r>
      <w:r>
        <w:rPr>
          <w:color w:val="000000"/>
          <w:spacing w:val="0"/>
          <w:w w:val="100"/>
          <w:position w:val="0"/>
        </w:rPr>
        <w:t>万元，发生手续费支出</w:t>
      </w:r>
      <w:r>
        <w:rPr>
          <w:rFonts w:ascii="Times New Roman" w:eastAsia="Times New Roman" w:hAnsi="Times New Roman" w:cs="Times New Roman"/>
          <w:color w:val="000000"/>
          <w:spacing w:val="0"/>
          <w:w w:val="100"/>
          <w:position w:val="0"/>
        </w:rPr>
        <w:t>0.06</w:t>
      </w:r>
      <w:r>
        <w:rPr>
          <w:color w:val="000000"/>
          <w:spacing w:val="0"/>
          <w:w w:val="100"/>
          <w:position w:val="0"/>
        </w:rPr>
        <w:t>万元。报告期内，公司累计投入募集资金</w:t>
      </w:r>
      <w:r>
        <w:rPr>
          <w:rFonts w:ascii="Times New Roman" w:eastAsia="Times New Roman" w:hAnsi="Times New Roman" w:cs="Times New Roman"/>
          <w:color w:val="000000"/>
          <w:spacing w:val="0"/>
          <w:w w:val="100"/>
          <w:position w:val="0"/>
        </w:rPr>
        <w:t>29,483.08</w:t>
      </w:r>
      <w:r>
        <w:rPr>
          <w:color w:val="000000"/>
          <w:spacing w:val="0"/>
          <w:w w:val="100"/>
          <w:position w:val="0"/>
        </w:rPr>
        <w:t xml:space="preserve">万元，截止期末募集资金专户余额 为 </w:t>
      </w:r>
      <w:r>
        <w:rPr>
          <w:rFonts w:ascii="Times New Roman" w:eastAsia="Times New Roman" w:hAnsi="Times New Roman" w:cs="Times New Roman"/>
          <w:color w:val="000000"/>
          <w:spacing w:val="0"/>
          <w:w w:val="100"/>
          <w:position w:val="0"/>
        </w:rPr>
        <w:t xml:space="preserve">68,529.93 </w:t>
      </w:r>
      <w:r>
        <w:rPr>
          <w:color w:val="000000"/>
          <w:spacing w:val="0"/>
          <w:w w:val="100"/>
          <w:position w:val="0"/>
        </w:rPr>
        <w:t>万元。</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20" w:line="310" w:lineRule="exact"/>
        <w:ind w:left="0" w:right="0" w:firstLine="440"/>
        <w:jc w:val="both"/>
      </w:pPr>
      <w:bookmarkStart w:id="233" w:name="bookmark233"/>
      <w:r>
        <w:rPr>
          <w:rFonts w:ascii="Times New Roman" w:eastAsia="Times New Roman" w:hAnsi="Times New Roman" w:cs="Times New Roman"/>
          <w:color w:val="000000"/>
          <w:spacing w:val="0"/>
          <w:w w:val="100"/>
          <w:position w:val="0"/>
        </w:rPr>
        <w:t>4</w:t>
      </w:r>
      <w:bookmarkEnd w:id="233"/>
      <w:r>
        <w:rPr>
          <w:color w:val="000000"/>
          <w:spacing w:val="0"/>
          <w:w w:val="100"/>
          <w:position w:val="0"/>
        </w:rPr>
        <w:t>、根据公司</w:t>
      </w:r>
      <w:r>
        <w:rPr>
          <w:rFonts w:ascii="Times New Roman" w:eastAsia="Times New Roman" w:hAnsi="Times New Roman" w:cs="Times New Roman"/>
          <w:color w:val="000000"/>
          <w:spacing w:val="0"/>
          <w:w w:val="100"/>
          <w:position w:val="0"/>
        </w:rPr>
        <w:t>2016</w:t>
      </w:r>
      <w:r>
        <w:rPr>
          <w:color w:val="000000"/>
          <w:spacing w:val="0"/>
          <w:w w:val="100"/>
          <w:position w:val="0"/>
        </w:rPr>
        <w:t>年第二次临时股东大会决议、深圳证券交易所《关于广东国盛金控集团股份有限公司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年非公开发行公司债券符合深交所转让 条件的无异议函》(深证函</w:t>
      </w:r>
      <w:r>
        <w:rPr>
          <w:rFonts w:ascii="Times New Roman" w:eastAsia="Times New Roman" w:hAnsi="Times New Roman" w:cs="Times New Roman"/>
          <w:color w:val="000000"/>
          <w:spacing w:val="0"/>
          <w:w w:val="100"/>
          <w:position w:val="0"/>
        </w:rPr>
        <w:t>[2016]738</w:t>
      </w:r>
      <w:r>
        <w:rPr>
          <w:color w:val="000000"/>
          <w:spacing w:val="0"/>
          <w:w w:val="100"/>
          <w:position w:val="0"/>
        </w:rPr>
        <w:t>号)以及《公司法》、《证券法》、《公司债券发行与交易管理办法》等有关规定，公司于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月向合格投资者非 公开发行面值总额</w:t>
      </w:r>
      <w:r>
        <w:rPr>
          <w:rFonts w:ascii="Times New Roman" w:eastAsia="Times New Roman" w:hAnsi="Times New Roman" w:cs="Times New Roman"/>
          <w:color w:val="000000"/>
          <w:spacing w:val="0"/>
          <w:w w:val="100"/>
          <w:position w:val="0"/>
        </w:rPr>
        <w:t>20</w:t>
      </w:r>
      <w:r>
        <w:rPr>
          <w:color w:val="000000"/>
          <w:spacing w:val="0"/>
          <w:w w:val="100"/>
          <w:position w:val="0"/>
        </w:rPr>
        <w:t>亿元的公司债券，本次债券募集资金扣除承销费后的净额为</w:t>
      </w:r>
      <w:r>
        <w:rPr>
          <w:rFonts w:ascii="Times New Roman" w:eastAsia="Times New Roman" w:hAnsi="Times New Roman" w:cs="Times New Roman"/>
          <w:color w:val="000000"/>
          <w:spacing w:val="0"/>
          <w:w w:val="100"/>
          <w:position w:val="0"/>
        </w:rPr>
        <w:t>193,000.00</w:t>
      </w:r>
      <w:r>
        <w:rPr>
          <w:color w:val="000000"/>
          <w:spacing w:val="0"/>
          <w:w w:val="100"/>
          <w:position w:val="0"/>
        </w:rPr>
        <w:t xml:space="preserve">万元。截止期末，募集资金专户累计收到银行存款利息收入 </w:t>
      </w:r>
      <w:r>
        <w:rPr>
          <w:rFonts w:ascii="Times New Roman" w:eastAsia="Times New Roman" w:hAnsi="Times New Roman" w:cs="Times New Roman"/>
          <w:color w:val="000000"/>
          <w:spacing w:val="0"/>
          <w:w w:val="100"/>
          <w:position w:val="0"/>
        </w:rPr>
        <w:t>103.72</w:t>
      </w:r>
      <w:r>
        <w:rPr>
          <w:color w:val="000000"/>
          <w:spacing w:val="0"/>
          <w:w w:val="100"/>
          <w:position w:val="0"/>
        </w:rPr>
        <w:t>万元、发生手续费支出</w:t>
      </w:r>
      <w:r>
        <w:rPr>
          <w:rFonts w:ascii="Times New Roman" w:eastAsia="Times New Roman" w:hAnsi="Times New Roman" w:cs="Times New Roman"/>
          <w:color w:val="000000"/>
          <w:spacing w:val="0"/>
          <w:w w:val="100"/>
          <w:position w:val="0"/>
        </w:rPr>
        <w:t>0.08</w:t>
      </w:r>
      <w:r>
        <w:rPr>
          <w:color w:val="000000"/>
          <w:spacing w:val="0"/>
          <w:w w:val="100"/>
          <w:position w:val="0"/>
        </w:rPr>
        <w:t>万元。报告期内，公司累计投入募集资金</w:t>
      </w:r>
      <w:r>
        <w:rPr>
          <w:rFonts w:ascii="Times New Roman" w:eastAsia="Times New Roman" w:hAnsi="Times New Roman" w:cs="Times New Roman"/>
          <w:color w:val="000000"/>
          <w:spacing w:val="0"/>
          <w:w w:val="100"/>
          <w:position w:val="0"/>
        </w:rPr>
        <w:t>192,999.92</w:t>
      </w:r>
      <w:r>
        <w:rPr>
          <w:color w:val="000000"/>
          <w:spacing w:val="0"/>
          <w:w w:val="100"/>
          <w:position w:val="0"/>
        </w:rPr>
        <w:t>万元，截止期末募集资金专户余额为</w:t>
      </w:r>
      <w:r>
        <w:rPr>
          <w:rFonts w:ascii="Times New Roman" w:eastAsia="Times New Roman" w:hAnsi="Times New Roman" w:cs="Times New Roman"/>
          <w:color w:val="000000"/>
          <w:spacing w:val="0"/>
          <w:w w:val="100"/>
          <w:position w:val="0"/>
        </w:rPr>
        <w:t>103.72</w:t>
      </w:r>
      <w:r>
        <w:rPr>
          <w:color w:val="000000"/>
          <w:spacing w:val="0"/>
          <w:w w:val="100"/>
          <w:position w:val="0"/>
        </w:rPr>
        <w:t>万元。</w:t>
      </w:r>
    </w:p>
    <w:p>
      <w:pPr>
        <w:pStyle w:val="Style33"/>
        <w:keepNext w:val="0"/>
        <w:keepLines w:val="0"/>
        <w:widowControl w:val="0"/>
        <w:shd w:val="clear" w:color="auto" w:fill="auto"/>
        <w:tabs>
          <w:tab w:pos="12230" w:val="left"/>
        </w:tabs>
        <w:bidi w:val="0"/>
        <w:spacing w:before="0" w:after="360" w:line="240" w:lineRule="auto"/>
        <w:ind w:left="0" w:right="0" w:firstLine="0"/>
        <w:jc w:val="both"/>
      </w:pPr>
      <w:bookmarkStart w:id="234" w:name="bookmark234"/>
      <w:r>
        <w:rPr>
          <w:color w:val="000000"/>
          <w:spacing w:val="0"/>
          <w:w w:val="100"/>
          <w:position w:val="0"/>
        </w:rPr>
        <w:t>(</w:t>
      </w:r>
      <w:r>
        <w:rPr>
          <w:rFonts w:ascii="Times New Roman" w:eastAsia="Times New Roman" w:hAnsi="Times New Roman" w:cs="Times New Roman"/>
          <w:color w:val="000000"/>
          <w:spacing w:val="0"/>
          <w:w w:val="100"/>
          <w:position w:val="0"/>
        </w:rPr>
        <w:t>2</w:t>
      </w:r>
      <w:r>
        <w:rPr>
          <w:b/>
          <w:bCs/>
          <w:color w:val="000000"/>
          <w:spacing w:val="0"/>
          <w:w w:val="100"/>
          <w:position w:val="0"/>
        </w:rPr>
        <w:t>)募集资金承诺项目情况</w:t>
        <w:tab/>
      </w:r>
      <w:r>
        <w:rPr>
          <w:rFonts w:ascii="Times New Roman" w:eastAsia="Times New Roman" w:hAnsi="Times New Roman" w:cs="Times New Roman"/>
          <w:color w:val="000000"/>
          <w:spacing w:val="0"/>
          <w:w w:val="100"/>
          <w:position w:val="0"/>
        </w:rPr>
        <w:t>4</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234"/>
    </w:p>
    <w:p>
      <w:pPr>
        <w:pStyle w:val="Style26"/>
        <w:keepNext w:val="0"/>
        <w:keepLines w:val="0"/>
        <w:widowControl w:val="0"/>
        <w:shd w:val="clear" w:color="auto" w:fill="auto"/>
        <w:bidi w:val="0"/>
        <w:spacing w:before="0" w:after="0" w:line="240" w:lineRule="auto"/>
        <w:ind w:left="12902" w:right="0" w:firstLine="0"/>
        <w:jc w:val="left"/>
      </w:pPr>
      <w:r>
        <w:rPr>
          <w:color w:val="000000"/>
          <w:spacing w:val="0"/>
          <w:w w:val="100"/>
          <w:position w:val="0"/>
        </w:rPr>
        <w:t>单位：万元</w:t>
      </w:r>
    </w:p>
    <w:tbl>
      <w:tblPr>
        <w:tblOverlap w:val="never"/>
        <w:jc w:val="center"/>
        <w:tblLayout w:type="fixed"/>
      </w:tblPr>
      <w:tblGrid>
        <w:gridCol w:w="3552"/>
        <w:gridCol w:w="994"/>
        <w:gridCol w:w="1133"/>
        <w:gridCol w:w="1133"/>
        <w:gridCol w:w="144"/>
        <w:gridCol w:w="1133"/>
        <w:gridCol w:w="1133"/>
        <w:gridCol w:w="1133"/>
        <w:gridCol w:w="1138"/>
        <w:gridCol w:w="706"/>
        <w:gridCol w:w="710"/>
        <w:gridCol w:w="1142"/>
      </w:tblGrid>
      <w:tr>
        <w:trPr>
          <w:trHeight w:val="103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承诺投资项目和超募资金投向</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是否已变 更项目</w:t>
            </w:r>
            <w:r>
              <w:rPr>
                <w:rFonts w:ascii="Times New Roman" w:eastAsia="Times New Roman" w:hAnsi="Times New Roman" w:cs="Times New Roman"/>
                <w:color w:val="000000"/>
                <w:spacing w:val="0"/>
                <w:w w:val="100"/>
                <w:position w:val="0"/>
              </w:rPr>
              <w:t>(</w:t>
            </w:r>
            <w:r>
              <w:rPr>
                <w:color w:val="000000"/>
                <w:spacing w:val="0"/>
                <w:w w:val="100"/>
                <w:position w:val="0"/>
              </w:rPr>
              <w:t>含 部分变更</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right"/>
            </w:pPr>
            <w:r>
              <w:rPr>
                <w:color w:val="000000"/>
                <w:spacing w:val="0"/>
                <w:w w:val="100"/>
                <w:position w:val="0"/>
              </w:rPr>
              <w:t>募集资金承 诺投资总额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调整后投资</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总额</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本报告期投 入金额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312" w:lineRule="exact"/>
              <w:ind w:left="0" w:right="0" w:firstLine="0"/>
              <w:jc w:val="right"/>
            </w:pPr>
            <w:r>
              <w:rPr>
                <w:color w:val="000000"/>
                <w:spacing w:val="0"/>
                <w:w w:val="100"/>
                <w:position w:val="0"/>
              </w:rPr>
              <w:t>截至期末累 计投入金额</w:t>
            </w:r>
          </w:p>
          <w:p>
            <w:pPr>
              <w:pStyle w:val="Style20"/>
              <w:keepNext w:val="0"/>
              <w:keepLines w:val="0"/>
              <w:widowControl w:val="0"/>
              <w:shd w:val="clear" w:color="auto" w:fill="auto"/>
              <w:bidi w:val="0"/>
              <w:spacing w:before="0" w:after="0" w:line="326" w:lineRule="auto"/>
              <w:ind w:left="0" w:right="0" w:firstLine="42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80" w:line="302" w:lineRule="exact"/>
              <w:ind w:left="0" w:right="0" w:firstLine="0"/>
              <w:jc w:val="center"/>
            </w:pPr>
            <w:r>
              <w:rPr>
                <w:color w:val="000000"/>
                <w:spacing w:val="0"/>
                <w:w w:val="100"/>
                <w:position w:val="0"/>
              </w:rPr>
              <w:t>截至期末投 资进度</w:t>
            </w:r>
            <w:r>
              <w:rPr>
                <w:rFonts w:ascii="Times New Roman" w:eastAsia="Times New Roman" w:hAnsi="Times New Roman" w:cs="Times New Roman"/>
                <w:color w:val="000000"/>
                <w:spacing w:val="0"/>
                <w:w w:val="100"/>
                <w:position w:val="0"/>
              </w:rPr>
              <w:t>(3)</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 </w:t>
            </w: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项目达到预 定可使用状 态日期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本报告 期实现 的效益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是否达 到预计 效益</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项目可行性 是否发生重 大变化</w:t>
            </w:r>
          </w:p>
        </w:tc>
      </w:tr>
      <w:tr>
        <w:trPr>
          <w:trHeight w:val="403" w:hRule="exact"/>
        </w:trPr>
        <w:tc>
          <w:tcPr>
            <w:gridSpan w:val="1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国盛金控</w:t>
            </w:r>
            <w:r>
              <w:rPr>
                <w:rFonts w:ascii="Times New Roman" w:eastAsia="Times New Roman" w:hAnsi="Times New Roman" w:cs="Times New Roman"/>
                <w:color w:val="000000"/>
                <w:spacing w:val="0"/>
                <w:w w:val="100"/>
                <w:position w:val="0"/>
              </w:rPr>
              <w:t>2016</w:t>
            </w:r>
            <w:r>
              <w:rPr>
                <w:color w:val="000000"/>
                <w:spacing w:val="0"/>
                <w:w w:val="100"/>
                <w:position w:val="0"/>
              </w:rPr>
              <w:t>年度非公开发行股票募 集资金</w:t>
            </w:r>
            <w:r>
              <w:rPr>
                <w:rFonts w:ascii="Times New Roman" w:eastAsia="Times New Roman" w:hAnsi="Times New Roman" w:cs="Times New Roman"/>
                <w:color w:val="000000"/>
                <w:spacing w:val="0"/>
                <w:w w:val="100"/>
                <w:position w:val="0"/>
              </w:rPr>
              <w:t>-</w:t>
            </w:r>
            <w:r>
              <w:rPr>
                <w:color w:val="000000"/>
                <w:spacing w:val="0"/>
                <w:w w:val="100"/>
                <w:position w:val="0"/>
              </w:rPr>
              <w:t>支付本次交易现金对价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346,500.01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346,500.01</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346,500.01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346,500.01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05</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color w:val="000000"/>
                <w:spacing w:val="0"/>
                <w:w w:val="100"/>
                <w:position w:val="0"/>
              </w:rPr>
              <w:t>国盛金控</w:t>
            </w:r>
            <w:r>
              <w:rPr>
                <w:rFonts w:ascii="Times New Roman" w:eastAsia="Times New Roman" w:hAnsi="Times New Roman" w:cs="Times New Roman"/>
                <w:color w:val="000000"/>
                <w:spacing w:val="0"/>
                <w:w w:val="100"/>
                <w:position w:val="0"/>
              </w:rPr>
              <w:t>2016</w:t>
            </w:r>
            <w:r>
              <w:rPr>
                <w:color w:val="000000"/>
                <w:spacing w:val="0"/>
                <w:w w:val="100"/>
                <w:position w:val="0"/>
              </w:rPr>
              <w:t>年度非公开发行股票募 集资金</w:t>
            </w:r>
            <w:r>
              <w:rPr>
                <w:rFonts w:ascii="Times New Roman" w:eastAsia="Times New Roman" w:hAnsi="Times New Roman" w:cs="Times New Roman"/>
                <w:color w:val="000000"/>
                <w:spacing w:val="0"/>
                <w:w w:val="100"/>
                <w:position w:val="0"/>
              </w:rPr>
              <w:t>-</w:t>
            </w:r>
            <w:r>
              <w:rPr>
                <w:color w:val="000000"/>
                <w:spacing w:val="0"/>
                <w:w w:val="100"/>
                <w:position w:val="0"/>
              </w:rPr>
              <w:t>支付本次交易相关税费及中介 机构费用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916.99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916.99</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879.36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879.36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06</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国盛金控</w:t>
            </w:r>
            <w:r>
              <w:rPr>
                <w:rFonts w:ascii="Times New Roman" w:eastAsia="Times New Roman" w:hAnsi="Times New Roman" w:cs="Times New Roman"/>
                <w:color w:val="000000"/>
                <w:spacing w:val="0"/>
                <w:w w:val="100"/>
                <w:position w:val="0"/>
              </w:rPr>
              <w:t>2016</w:t>
            </w:r>
            <w:r>
              <w:rPr>
                <w:color w:val="000000"/>
                <w:spacing w:val="0"/>
                <w:w w:val="100"/>
                <w:position w:val="0"/>
              </w:rPr>
              <w:t>年度非公开发行股票募 集资金</w:t>
            </w:r>
            <w:r>
              <w:rPr>
                <w:rFonts w:ascii="Times New Roman" w:eastAsia="Times New Roman" w:hAnsi="Times New Roman" w:cs="Times New Roman"/>
                <w:color w:val="000000"/>
                <w:spacing w:val="0"/>
                <w:w w:val="100"/>
                <w:position w:val="0"/>
              </w:rPr>
              <w:t>-</w:t>
            </w:r>
            <w:r>
              <w:rPr>
                <w:color w:val="000000"/>
                <w:spacing w:val="0"/>
                <w:w w:val="100"/>
                <w:position w:val="0"/>
              </w:rPr>
              <w:t>增加国盛证券资本金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339,600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339,600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339,600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339,600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09</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国盛证券</w:t>
            </w:r>
            <w:r>
              <w:rPr>
                <w:rFonts w:ascii="Times New Roman" w:eastAsia="Times New Roman" w:hAnsi="Times New Roman" w:cs="Times New Roman"/>
                <w:color w:val="000000"/>
                <w:spacing w:val="0"/>
                <w:w w:val="100"/>
                <w:position w:val="0"/>
              </w:rPr>
              <w:t>2016</w:t>
            </w:r>
            <w:r>
              <w:rPr>
                <w:color w:val="000000"/>
                <w:spacing w:val="0"/>
                <w:w w:val="100"/>
                <w:position w:val="0"/>
              </w:rPr>
              <w:t>年度公开发行公司债券 募集资金</w:t>
            </w:r>
            <w:r>
              <w:rPr>
                <w:rFonts w:ascii="Times New Roman" w:eastAsia="Times New Roman" w:hAnsi="Times New Roman" w:cs="Times New Roman"/>
                <w:color w:val="000000"/>
                <w:spacing w:val="0"/>
                <w:w w:val="100"/>
                <w:position w:val="0"/>
              </w:rPr>
              <w:t>-</w:t>
            </w:r>
            <w:r>
              <w:rPr>
                <w:color w:val="000000"/>
                <w:spacing w:val="0"/>
                <w:w w:val="100"/>
                <w:position w:val="0"/>
              </w:rPr>
              <w:t>补充国盛证券营运资金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99,400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99,400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99,400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99,400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3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国盛金控</w:t>
            </w:r>
            <w:r>
              <w:rPr>
                <w:rFonts w:ascii="Times New Roman" w:eastAsia="Times New Roman" w:hAnsi="Times New Roman" w:cs="Times New Roman"/>
                <w:color w:val="000000"/>
                <w:spacing w:val="0"/>
                <w:w w:val="100"/>
                <w:position w:val="0"/>
              </w:rPr>
              <w:t>2016</w:t>
            </w:r>
            <w:r>
              <w:rPr>
                <w:color w:val="000000"/>
                <w:spacing w:val="0"/>
                <w:w w:val="100"/>
                <w:position w:val="0"/>
              </w:rPr>
              <w:t>年度公开发行公司债券 募集资金</w:t>
            </w:r>
            <w:r>
              <w:rPr>
                <w:rFonts w:ascii="Times New Roman" w:eastAsia="Times New Roman" w:hAnsi="Times New Roman" w:cs="Times New Roman"/>
                <w:color w:val="000000"/>
                <w:spacing w:val="0"/>
                <w:w w:val="100"/>
                <w:position w:val="0"/>
              </w:rPr>
              <w:t>-</w:t>
            </w:r>
            <w:r>
              <w:rPr>
                <w:color w:val="000000"/>
                <w:spacing w:val="0"/>
                <w:w w:val="100"/>
                <w:position w:val="0"/>
              </w:rPr>
              <w:t>补充子公司国盛证券有限责 任公司营运资金</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11,000.08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3552"/>
        <w:gridCol w:w="994"/>
        <w:gridCol w:w="1133"/>
        <w:gridCol w:w="1133"/>
        <w:gridCol w:w="1277"/>
        <w:gridCol w:w="1133"/>
        <w:gridCol w:w="1133"/>
        <w:gridCol w:w="1138"/>
        <w:gridCol w:w="706"/>
        <w:gridCol w:w="710"/>
        <w:gridCol w:w="1142"/>
      </w:tblGrid>
      <w:tr>
        <w:trPr>
          <w:trHeight w:val="106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国盛金控</w:t>
            </w:r>
            <w:r>
              <w:rPr>
                <w:rFonts w:ascii="Times New Roman" w:eastAsia="Times New Roman" w:hAnsi="Times New Roman" w:cs="Times New Roman"/>
                <w:color w:val="000000"/>
                <w:spacing w:val="0"/>
                <w:w w:val="100"/>
                <w:position w:val="0"/>
              </w:rPr>
              <w:t>2016</w:t>
            </w:r>
            <w:r>
              <w:rPr>
                <w:color w:val="000000"/>
                <w:spacing w:val="0"/>
                <w:w w:val="100"/>
                <w:position w:val="0"/>
              </w:rPr>
              <w:t>年度公开发行公司债券 募集资金</w:t>
            </w:r>
            <w:r>
              <w:rPr>
                <w:rFonts w:ascii="Times New Roman" w:eastAsia="Times New Roman" w:hAnsi="Times New Roman" w:cs="Times New Roman"/>
                <w:color w:val="000000"/>
                <w:spacing w:val="0"/>
                <w:w w:val="100"/>
                <w:position w:val="0"/>
              </w:rPr>
              <w:t>-</w:t>
            </w:r>
            <w:r>
              <w:rPr>
                <w:color w:val="000000"/>
                <w:spacing w:val="0"/>
                <w:w w:val="100"/>
                <w:position w:val="0"/>
              </w:rPr>
              <w:t>补充子公司广东华声电器实 业有限公司营运资金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国盛金控</w:t>
            </w:r>
            <w:r>
              <w:rPr>
                <w:rFonts w:ascii="Times New Roman" w:eastAsia="Times New Roman" w:hAnsi="Times New Roman" w:cs="Times New Roman"/>
                <w:color w:val="000000"/>
                <w:spacing w:val="0"/>
                <w:w w:val="100"/>
                <w:position w:val="0"/>
              </w:rPr>
              <w:t>2016</w:t>
            </w:r>
            <w:r>
              <w:rPr>
                <w:color w:val="000000"/>
                <w:spacing w:val="0"/>
                <w:w w:val="100"/>
                <w:position w:val="0"/>
              </w:rPr>
              <w:t>年度非公开发行公司债 券募集资金</w:t>
            </w:r>
            <w:r>
              <w:rPr>
                <w:rFonts w:ascii="Times New Roman" w:eastAsia="Times New Roman" w:hAnsi="Times New Roman" w:cs="Times New Roman"/>
                <w:color w:val="000000"/>
                <w:spacing w:val="0"/>
                <w:w w:val="100"/>
                <w:position w:val="0"/>
              </w:rPr>
              <w:t>-</w:t>
            </w:r>
            <w:r>
              <w:rPr>
                <w:color w:val="000000"/>
                <w:spacing w:val="0"/>
                <w:w w:val="100"/>
                <w:position w:val="0"/>
              </w:rPr>
              <w:t>补充本公司营运资金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国盛金控</w:t>
            </w:r>
            <w:r>
              <w:rPr>
                <w:rFonts w:ascii="Times New Roman" w:eastAsia="Times New Roman" w:hAnsi="Times New Roman" w:cs="Times New Roman"/>
                <w:color w:val="000000"/>
                <w:spacing w:val="0"/>
                <w:w w:val="100"/>
                <w:position w:val="0"/>
              </w:rPr>
              <w:t>2016</w:t>
            </w:r>
            <w:r>
              <w:rPr>
                <w:color w:val="000000"/>
                <w:spacing w:val="0"/>
                <w:w w:val="100"/>
                <w:position w:val="0"/>
              </w:rPr>
              <w:t>年度非公开发行公司债 券募集资金</w:t>
            </w:r>
            <w:r>
              <w:rPr>
                <w:rFonts w:ascii="Times New Roman" w:eastAsia="Times New Roman" w:hAnsi="Times New Roman" w:cs="Times New Roman"/>
                <w:color w:val="000000"/>
                <w:spacing w:val="0"/>
                <w:w w:val="100"/>
                <w:position w:val="0"/>
              </w:rPr>
              <w:t>-</w:t>
            </w:r>
            <w:r>
              <w:rPr>
                <w:color w:val="000000"/>
                <w:spacing w:val="0"/>
                <w:w w:val="100"/>
                <w:position w:val="0"/>
              </w:rPr>
              <w:t>补充子公司国盛证券有限 责任公司营运资金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188,999.92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国盛金控</w:t>
            </w:r>
            <w:r>
              <w:rPr>
                <w:rFonts w:ascii="Times New Roman" w:eastAsia="Times New Roman" w:hAnsi="Times New Roman" w:cs="Times New Roman"/>
                <w:color w:val="000000"/>
                <w:spacing w:val="0"/>
                <w:w w:val="100"/>
                <w:position w:val="0"/>
              </w:rPr>
              <w:t>2016</w:t>
            </w:r>
            <w:r>
              <w:rPr>
                <w:color w:val="000000"/>
                <w:spacing w:val="0"/>
                <w:w w:val="100"/>
                <w:position w:val="0"/>
              </w:rPr>
              <w:t>年度非公开发行公司债 券募集资金</w:t>
            </w:r>
            <w:r>
              <w:rPr>
                <w:rFonts w:ascii="Times New Roman" w:eastAsia="Times New Roman" w:hAnsi="Times New Roman" w:cs="Times New Roman"/>
                <w:color w:val="000000"/>
                <w:spacing w:val="0"/>
                <w:w w:val="100"/>
                <w:position w:val="0"/>
              </w:rPr>
              <w:t>-</w:t>
            </w:r>
            <w:r>
              <w:rPr>
                <w:color w:val="000000"/>
                <w:spacing w:val="0"/>
                <w:w w:val="100"/>
                <w:position w:val="0"/>
              </w:rPr>
              <w:t>补充子公司广东华声电器 实业有限公司营运资金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786,417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786,417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1,008,862.37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786,379.37</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w:t>
            </w:r>
          </w:p>
        </w:tc>
      </w:tr>
      <w:tr>
        <w:trPr>
          <w:trHeight w:val="398" w:hRule="exact"/>
        </w:trPr>
        <w:tc>
          <w:tcPr>
            <w:gridSpan w:val="11"/>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786,417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786,417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1,008,862.37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786,379.37</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未达到计划进度或预计收益的情况和 原因（分具体项目）</w:t>
            </w:r>
          </w:p>
        </w:tc>
        <w:tc>
          <w:tcPr>
            <w:gridSpan w:val="10"/>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项目可行性发生重大变化的情况说明</w:t>
            </w:r>
          </w:p>
        </w:tc>
        <w:tc>
          <w:tcPr>
            <w:gridSpan w:val="10"/>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超募资金的金额、用途及使用进展情况</w:t>
            </w:r>
          </w:p>
        </w:tc>
        <w:tc>
          <w:tcPr>
            <w:gridSpan w:val="10"/>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募集资金投资项目实施地点变更情况</w:t>
            </w:r>
          </w:p>
        </w:tc>
        <w:tc>
          <w:tcPr>
            <w:gridSpan w:val="10"/>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募集资金投资项目实施方式调整情况</w:t>
            </w:r>
          </w:p>
        </w:tc>
        <w:tc>
          <w:tcPr>
            <w:gridSpan w:val="10"/>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募集资金投资项目先期投入及置换情 况</w:t>
            </w:r>
          </w:p>
        </w:tc>
        <w:tc>
          <w:tcPr>
            <w:gridSpan w:val="10"/>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用闲置募集资金暂时补充流动资金情 况</w:t>
            </w:r>
          </w:p>
        </w:tc>
        <w:tc>
          <w:tcPr>
            <w:gridSpan w:val="10"/>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项目实施出现募集资金结余的金额及</w:t>
            </w:r>
          </w:p>
        </w:tc>
        <w:tc>
          <w:tcPr>
            <w:gridSpan w:val="10"/>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报告期内，公司使用非公开发行股票节余募集资金补充流动资金，涉及金额合计</w:t>
            </w:r>
            <w:r>
              <w:rPr>
                <w:rFonts w:ascii="Times New Roman" w:eastAsia="Times New Roman" w:hAnsi="Times New Roman" w:cs="Times New Roman"/>
                <w:color w:val="000000"/>
                <w:spacing w:val="0"/>
                <w:w w:val="100"/>
                <w:position w:val="0"/>
              </w:rPr>
              <w:t>3,287.30</w:t>
            </w:r>
            <w:r>
              <w:rPr>
                <w:color w:val="000000"/>
                <w:spacing w:val="0"/>
                <w:w w:val="100"/>
                <w:position w:val="0"/>
              </w:rPr>
              <w:t>万元。</w:t>
            </w:r>
          </w:p>
        </w:tc>
      </w:tr>
    </w:tbl>
    <w:p>
      <w:pPr>
        <w:widowControl w:val="0"/>
        <w:spacing w:line="1" w:lineRule="exact"/>
      </w:pPr>
      <w:r>
        <w:br w:type="page"/>
      </w:r>
    </w:p>
    <w:tbl>
      <w:tblPr>
        <w:tblOverlap w:val="never"/>
        <w:jc w:val="left"/>
        <w:tblLayout w:type="fixed"/>
      </w:tblPr>
      <w:tblGrid>
        <w:gridCol w:w="3552"/>
        <w:gridCol w:w="10498"/>
      </w:tblGrid>
      <w:tr>
        <w:trPr>
          <w:trHeight w:val="394" w:hRule="exact"/>
        </w:trPr>
        <w:tc>
          <w:tcPr>
            <w:gridSpan w:val="2"/>
            <w:tcBorders>
              <w:top w:val="single" w:sz="4"/>
              <w:left w:val="single" w:sz="4"/>
              <w:right w:val="single" w:sz="4"/>
            </w:tcBorders>
            <w:shd w:val="clear" w:color="auto" w:fill="FFFFFF"/>
            <w:vAlign w:val="center"/>
          </w:tcPr>
          <w:p>
            <w:pPr>
              <w:pStyle w:val="Style20"/>
              <w:keepNext w:val="0"/>
              <w:keepLines w:val="0"/>
              <w:framePr w:w="14050" w:h="1522" w:vSpace="605" w:wrap="notBeside" w:vAnchor="text" w:hAnchor="text" w:x="8" w:y="1"/>
              <w:widowControl w:val="0"/>
              <w:shd w:val="clear" w:color="auto" w:fill="auto"/>
              <w:bidi w:val="0"/>
              <w:spacing w:before="0" w:after="0" w:line="240" w:lineRule="auto"/>
              <w:ind w:left="0" w:right="0" w:firstLine="0"/>
              <w:jc w:val="left"/>
            </w:pPr>
            <w:r>
              <w:rPr>
                <w:color w:val="000000"/>
                <w:spacing w:val="0"/>
                <w:w w:val="100"/>
                <w:position w:val="0"/>
              </w:rPr>
              <w:t>原因</w:t>
            </w:r>
          </w:p>
        </w:tc>
      </w:tr>
      <w:tr>
        <w:trPr>
          <w:trHeight w:val="403" w:hRule="exact"/>
        </w:trPr>
        <w:tc>
          <w:tcPr>
            <w:tcBorders>
              <w:top w:val="single" w:sz="4"/>
              <w:left w:val="single" w:sz="4"/>
            </w:tcBorders>
            <w:shd w:val="clear" w:color="auto" w:fill="D3D3D3"/>
            <w:vAlign w:val="center"/>
          </w:tcPr>
          <w:p>
            <w:pPr>
              <w:pStyle w:val="Style20"/>
              <w:keepNext w:val="0"/>
              <w:keepLines w:val="0"/>
              <w:framePr w:w="14050" w:h="1522" w:vSpace="605" w:wrap="notBeside" w:vAnchor="text" w:hAnchor="text" w:x="8" w:y="1"/>
              <w:widowControl w:val="0"/>
              <w:shd w:val="clear" w:color="auto" w:fill="auto"/>
              <w:bidi w:val="0"/>
              <w:spacing w:before="0" w:after="0" w:line="240" w:lineRule="auto"/>
              <w:ind w:left="0" w:right="0" w:firstLine="0"/>
              <w:jc w:val="left"/>
            </w:pPr>
            <w:r>
              <w:rPr>
                <w:color w:val="000000"/>
                <w:spacing w:val="0"/>
                <w:w w:val="100"/>
                <w:position w:val="0"/>
              </w:rPr>
              <w:t>尚未使用的募集资金用途及去向</w:t>
            </w:r>
          </w:p>
        </w:tc>
        <w:tc>
          <w:tcPr>
            <w:tcBorders>
              <w:top w:val="single" w:sz="4"/>
              <w:left w:val="single" w:sz="4"/>
              <w:right w:val="single" w:sz="4"/>
            </w:tcBorders>
            <w:shd w:val="clear" w:color="auto" w:fill="FFFFFF"/>
            <w:vAlign w:val="center"/>
          </w:tcPr>
          <w:p>
            <w:pPr>
              <w:pStyle w:val="Style20"/>
              <w:keepNext w:val="0"/>
              <w:keepLines w:val="0"/>
              <w:framePr w:w="14050" w:h="1522" w:vSpace="605" w:wrap="notBeside" w:vAnchor="text" w:hAnchor="text" w:x="8" w:y="1"/>
              <w:widowControl w:val="0"/>
              <w:shd w:val="clear" w:color="auto" w:fill="auto"/>
              <w:bidi w:val="0"/>
              <w:spacing w:before="0" w:after="0" w:line="240" w:lineRule="auto"/>
              <w:ind w:left="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日，公司及国盛证券尚未使用的募集资金均存放于募集资金专户。</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framePr w:w="14050" w:h="1522" w:vSpace="605" w:wrap="notBeside" w:vAnchor="text" w:hAnchor="text" w:x="8" w:y="1"/>
              <w:widowControl w:val="0"/>
              <w:shd w:val="clear" w:color="auto" w:fill="auto"/>
              <w:bidi w:val="0"/>
              <w:spacing w:before="0" w:after="0" w:line="312" w:lineRule="exact"/>
              <w:ind w:left="0" w:right="0" w:firstLine="0"/>
              <w:jc w:val="left"/>
            </w:pPr>
            <w:r>
              <w:rPr>
                <w:color w:val="000000"/>
                <w:spacing w:val="0"/>
                <w:w w:val="100"/>
                <w:position w:val="0"/>
              </w:rPr>
              <w:t>募集资金使用及披露中存在的问题或 其他情况</w:t>
            </w:r>
          </w:p>
        </w:tc>
        <w:tc>
          <w:tcPr>
            <w:tcBorders>
              <w:top w:val="single" w:sz="4"/>
              <w:left w:val="single" w:sz="4"/>
              <w:bottom w:val="single" w:sz="4"/>
              <w:right w:val="single" w:sz="4"/>
            </w:tcBorders>
            <w:shd w:val="clear" w:color="auto" w:fill="FFFFFF"/>
            <w:vAlign w:val="center"/>
          </w:tcPr>
          <w:p>
            <w:pPr>
              <w:pStyle w:val="Style20"/>
              <w:keepNext w:val="0"/>
              <w:keepLines w:val="0"/>
              <w:framePr w:w="14050" w:h="1522" w:vSpace="605" w:wrap="notBeside" w:vAnchor="text" w:hAnchor="text" w:x="8" w:y="1"/>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6"/>
        <w:keepNext w:val="0"/>
        <w:keepLines w:val="0"/>
        <w:framePr w:w="2563" w:h="274" w:hSpace="7" w:wrap="notBeside" w:vAnchor="text" w:hAnchor="text" w:x="109" w:y="1844"/>
        <w:widowControl w:val="0"/>
        <w:shd w:val="clear" w:color="auto" w:fill="auto"/>
        <w:bidi w:val="0"/>
        <w:spacing w:before="0" w:after="0" w:line="240" w:lineRule="auto"/>
        <w:ind w:left="0" w:right="0" w:firstLine="0"/>
        <w:jc w:val="left"/>
      </w:pPr>
      <w:bookmarkStart w:id="235" w:name="bookmark235"/>
      <w:r>
        <w:rPr>
          <w:rFonts w:ascii="Times New Roman" w:eastAsia="Times New Roman" w:hAnsi="Times New Roman" w:cs="Times New Roman"/>
          <w:b/>
          <w:bCs/>
          <w:color w:val="000000"/>
          <w:spacing w:val="0"/>
          <w:w w:val="100"/>
          <w:position w:val="0"/>
        </w:rPr>
        <w:t>(3</w:t>
      </w:r>
      <w:r>
        <w:rPr>
          <w:b/>
          <w:bCs/>
          <w:color w:val="000000"/>
          <w:spacing w:val="0"/>
          <w:w w:val="100"/>
          <w:position w:val="0"/>
        </w:rPr>
        <w:t>)募集资金变更项目情况</w:t>
      </w:r>
      <w:bookmarkEnd w:id="235"/>
    </w:p>
    <w:p>
      <w:pPr>
        <w:pStyle w:val="Style26"/>
        <w:keepNext w:val="0"/>
        <w:keepLines w:val="0"/>
        <w:framePr w:w="1642" w:h="298" w:hSpace="7" w:wrap="notBeside" w:vAnchor="text" w:hAnchor="text" w:x="12334" w:y="183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widowControl w:val="0"/>
        <w:spacing w:line="1" w:lineRule="exact"/>
      </w:pPr>
    </w:p>
    <w:p>
      <w:pPr>
        <w:pStyle w:val="Style33"/>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公司报告期不存在募集资金变更项目情况。</w:t>
      </w:r>
    </w:p>
    <w:p>
      <w:pPr>
        <w:pStyle w:val="Style23"/>
        <w:keepNext/>
        <w:keepLines/>
        <w:widowControl w:val="0"/>
        <w:shd w:val="clear" w:color="auto" w:fill="auto"/>
        <w:bidi w:val="0"/>
        <w:spacing w:before="0" w:after="360" w:line="240" w:lineRule="auto"/>
        <w:ind w:left="0" w:right="0" w:firstLine="0"/>
        <w:jc w:val="left"/>
        <w:rPr>
          <w:sz w:val="22"/>
          <w:szCs w:val="22"/>
        </w:rPr>
      </w:pPr>
      <w:r>
        <mc:AlternateContent>
          <mc:Choice Requires="wps">
            <w:drawing>
              <wp:anchor distT="0" distB="389890" distL="114300" distR="126365" simplePos="0" relativeHeight="125829396" behindDoc="0" locked="0" layoutInCell="1" allowOverlap="1">
                <wp:simplePos x="0" y="0"/>
                <wp:positionH relativeFrom="page">
                  <wp:posOffset>8739505</wp:posOffset>
                </wp:positionH>
                <wp:positionV relativeFrom="paragraph">
                  <wp:posOffset>381000</wp:posOffset>
                </wp:positionV>
                <wp:extent cx="1042670" cy="579120"/>
                <wp:wrapSquare wrapText="left"/>
                <wp:docPr id="38" name="Shape 38"/>
                <a:graphic xmlns:a="http://schemas.openxmlformats.org/drawingml/2006/main">
                  <a:graphicData uri="http://schemas.microsoft.com/office/word/2010/wordprocessingShape">
                    <wps:wsp>
                      <wps:cNvSpPr txBox="1"/>
                      <wps:spPr>
                        <a:xfrm>
                          <a:ext cx="1042670" cy="579120"/>
                        </a:xfrm>
                        <a:prstGeom prst="rect"/>
                        <a:noFill/>
                      </wps:spPr>
                      <wps:txbx>
                        <w:txbxContent>
                          <w:p>
                            <w:pPr>
                              <w:pStyle w:val="Style33"/>
                              <w:keepNext w:val="0"/>
                              <w:keepLines w:val="0"/>
                              <w:widowControl w:val="0"/>
                              <w:shd w:val="clear" w:color="auto" w:fill="auto"/>
                              <w:bidi w:val="0"/>
                              <w:spacing w:before="0" w:after="36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txbxContent>
                      </wps:txbx>
                      <wps:bodyPr lIns="0" tIns="0" rIns="0" bIns="0">
                        <a:noAutoFit/>
                      </wps:bodyPr>
                    </wps:wsp>
                  </a:graphicData>
                </a:graphic>
              </wp:anchor>
            </w:drawing>
          </mc:Choice>
          <mc:Fallback>
            <w:pict>
              <v:shape id="_x0000_s1064" type="#_x0000_t202" style="position:absolute;margin-left:688.14999999999998pt;margin-top:30.pt;width:82.100000000000009pt;height:45.600000000000001pt;z-index:-125829357;mso-wrap-distance-left:9.pt;mso-wrap-distance-right:9.9500000000000011pt;mso-wrap-distance-bottom:30.699999999999999pt;mso-position-horizontal-relative:page" filled="f" stroked="f">
                <v:textbox inset="0,0,0,0">
                  <w:txbxContent>
                    <w:p>
                      <w:pPr>
                        <w:pStyle w:val="Style33"/>
                        <w:keepNext w:val="0"/>
                        <w:keepLines w:val="0"/>
                        <w:widowControl w:val="0"/>
                        <w:shd w:val="clear" w:color="auto" w:fill="auto"/>
                        <w:bidi w:val="0"/>
                        <w:spacing w:before="0" w:after="36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txbxContent>
                </v:textbox>
                <w10:wrap type="square" side="left" anchorx="page"/>
              </v:shape>
            </w:pict>
          </mc:Fallback>
        </mc:AlternateContent>
      </w:r>
      <w:r>
        <mc:AlternateContent>
          <mc:Choice Requires="wps">
            <w:drawing>
              <wp:anchor distT="786130" distB="0" distL="120650" distR="114300" simplePos="0" relativeHeight="125829398" behindDoc="0" locked="0" layoutInCell="1" allowOverlap="1">
                <wp:simplePos x="0" y="0"/>
                <wp:positionH relativeFrom="page">
                  <wp:posOffset>8745855</wp:posOffset>
                </wp:positionH>
                <wp:positionV relativeFrom="paragraph">
                  <wp:posOffset>1167130</wp:posOffset>
                </wp:positionV>
                <wp:extent cx="1048385" cy="182880"/>
                <wp:wrapSquare wrapText="left"/>
                <wp:docPr id="40" name="Shape 40"/>
                <a:graphic xmlns:a="http://schemas.openxmlformats.org/drawingml/2006/main">
                  <a:graphicData uri="http://schemas.microsoft.com/office/word/2010/wordprocessingShape">
                    <wps:wsp>
                      <wps:cNvSpPr txBox="1"/>
                      <wps:spPr>
                        <a:xfrm>
                          <a:ext cx="1048385" cy="18288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q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txbxContent>
                      </wps:txbx>
                      <wps:bodyPr wrap="none" lIns="0" tIns="0" rIns="0" bIns="0">
                        <a:noAutoFit/>
                      </wps:bodyPr>
                    </wps:wsp>
                  </a:graphicData>
                </a:graphic>
              </wp:anchor>
            </w:drawing>
          </mc:Choice>
          <mc:Fallback>
            <w:pict>
              <v:shape id="_x0000_s1066" type="#_x0000_t202" style="position:absolute;margin-left:688.64999999999998pt;margin-top:91.900000000000006pt;width:82.549999999999997pt;height:14.4pt;z-index:-125829355;mso-wrap-distance-left:9.5pt;mso-wrap-distance-top:61.899999999999999pt;mso-wrap-distance-right:9.pt;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q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txbxContent>
                </v:textbox>
                <w10:wrap type="square" side="left" anchorx="page"/>
              </v:shape>
            </w:pict>
          </mc:Fallback>
        </mc:AlternateContent>
      </w:r>
      <w:bookmarkStart w:id="236" w:name="bookmark236"/>
      <w:bookmarkStart w:id="237" w:name="bookmark237"/>
      <w:bookmarkStart w:id="238" w:name="bookmark238"/>
      <w:bookmarkStart w:id="239" w:name="bookmark239"/>
      <w:r>
        <w:rPr>
          <w:b/>
          <w:bCs/>
          <w:color w:val="000000"/>
          <w:spacing w:val="0"/>
          <w:w w:val="100"/>
          <w:position w:val="0"/>
          <w:sz w:val="22"/>
          <w:szCs w:val="22"/>
        </w:rPr>
        <w:t>六</w:t>
      </w:r>
      <w:bookmarkEnd w:id="238"/>
      <w:r>
        <w:rPr>
          <w:b/>
          <w:bCs/>
          <w:color w:val="000000"/>
          <w:spacing w:val="0"/>
          <w:w w:val="100"/>
          <w:position w:val="0"/>
          <w:sz w:val="22"/>
          <w:szCs w:val="22"/>
        </w:rPr>
        <w:t>、重大资产和股权出售</w:t>
      </w:r>
      <w:bookmarkEnd w:id="236"/>
      <w:bookmarkEnd w:id="237"/>
      <w:bookmarkEnd w:id="239"/>
    </w:p>
    <w:p>
      <w:pPr>
        <w:pStyle w:val="Style33"/>
        <w:keepNext w:val="0"/>
        <w:keepLines w:val="0"/>
        <w:widowControl w:val="0"/>
        <w:shd w:val="clear" w:color="auto" w:fill="auto"/>
        <w:tabs>
          <w:tab w:pos="368" w:val="left"/>
        </w:tabs>
        <w:bidi w:val="0"/>
        <w:spacing w:before="0" w:after="360" w:line="240" w:lineRule="auto"/>
        <w:ind w:left="0" w:right="0" w:firstLine="0"/>
        <w:jc w:val="left"/>
      </w:pPr>
      <w:bookmarkStart w:id="240" w:name="bookmark240"/>
      <w:bookmarkStart w:id="241" w:name="bookmark241"/>
      <w:r>
        <w:rPr>
          <w:rFonts w:ascii="Times New Roman" w:eastAsia="Times New Roman" w:hAnsi="Times New Roman" w:cs="Times New Roman"/>
          <w:b/>
          <w:bCs/>
          <w:color w:val="000000"/>
          <w:spacing w:val="0"/>
          <w:w w:val="100"/>
          <w:position w:val="0"/>
        </w:rPr>
        <w:t>1</w:t>
      </w:r>
      <w:bookmarkEnd w:id="240"/>
      <w:r>
        <w:rPr>
          <w:b/>
          <w:bCs/>
          <w:color w:val="000000"/>
          <w:spacing w:val="0"/>
          <w:w w:val="100"/>
          <w:position w:val="0"/>
        </w:rPr>
        <w:t>、</w:t>
        <w:tab/>
        <w:t>出售重大资产情况</w:t>
      </w:r>
      <w:bookmarkEnd w:id="241"/>
    </w:p>
    <w:p>
      <w:pPr>
        <w:pStyle w:val="Style33"/>
        <w:keepNext w:val="0"/>
        <w:keepLines w:val="0"/>
        <w:widowControl w:val="0"/>
        <w:shd w:val="clear" w:color="auto" w:fill="auto"/>
        <w:tabs>
          <w:tab w:pos="378" w:val="left"/>
        </w:tabs>
        <w:bidi w:val="0"/>
        <w:spacing w:before="0" w:after="360" w:line="240" w:lineRule="auto"/>
        <w:ind w:left="0" w:right="0" w:firstLine="0"/>
        <w:jc w:val="left"/>
      </w:pPr>
      <w:bookmarkStart w:id="242" w:name="bookmark242"/>
      <w:bookmarkStart w:id="243" w:name="bookmark243"/>
      <w:bookmarkStart w:id="244" w:name="bookmark244"/>
      <w:r>
        <w:rPr>
          <w:rFonts w:ascii="Times New Roman" w:eastAsia="Times New Roman" w:hAnsi="Times New Roman" w:cs="Times New Roman"/>
          <w:b/>
          <w:bCs/>
          <w:color w:val="000000"/>
          <w:spacing w:val="0"/>
          <w:w w:val="100"/>
          <w:position w:val="0"/>
        </w:rPr>
        <w:t>2</w:t>
      </w:r>
      <w:bookmarkEnd w:id="242"/>
      <w:r>
        <w:rPr>
          <w:b/>
          <w:bCs/>
          <w:color w:val="000000"/>
          <w:spacing w:val="0"/>
          <w:w w:val="100"/>
          <w:position w:val="0"/>
        </w:rPr>
        <w:t>、</w:t>
        <w:tab/>
        <w:t>出售重大股权情况</w:t>
      </w:r>
      <w:bookmarkEnd w:id="243"/>
      <w:bookmarkEnd w:id="244"/>
    </w:p>
    <w:p>
      <w:pPr>
        <w:pStyle w:val="Style33"/>
        <w:keepNext w:val="0"/>
        <w:keepLines w:val="0"/>
        <w:widowControl w:val="0"/>
        <w:shd w:val="clear" w:color="auto" w:fill="auto"/>
        <w:bidi w:val="0"/>
        <w:spacing w:before="0" w:after="360" w:line="240" w:lineRule="auto"/>
        <w:ind w:left="0" w:right="0" w:firstLine="0"/>
        <w:jc w:val="left"/>
        <w:rPr>
          <w:sz w:val="22"/>
          <w:szCs w:val="22"/>
        </w:rPr>
      </w:pPr>
      <w:bookmarkStart w:id="245" w:name="bookmark245"/>
      <w:bookmarkStart w:id="246" w:name="bookmark246"/>
      <w:r>
        <w:rPr>
          <w:b/>
          <w:bCs/>
          <w:color w:val="000000"/>
          <w:spacing w:val="0"/>
          <w:w w:val="100"/>
          <w:position w:val="0"/>
          <w:sz w:val="22"/>
          <w:szCs w:val="22"/>
        </w:rPr>
        <w:t>七</w:t>
      </w:r>
      <w:bookmarkEnd w:id="245"/>
      <w:r>
        <w:rPr>
          <w:b/>
          <w:bCs/>
          <w:color w:val="000000"/>
          <w:spacing w:val="0"/>
          <w:w w:val="100"/>
          <w:position w:val="0"/>
          <w:sz w:val="22"/>
          <w:szCs w:val="22"/>
        </w:rPr>
        <w:t>、主要控股参股公司分析</w:t>
      </w:r>
      <w:bookmarkEnd w:id="246"/>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rPr>
        <w:t>10%</w:t>
      </w:r>
      <w:r>
        <w:rPr>
          <w:color w:val="000000"/>
          <w:spacing w:val="0"/>
          <w:w w:val="100"/>
          <w:position w:val="0"/>
        </w:rPr>
        <w:t>以上的参股公司情况</w:t>
      </w:r>
    </w:p>
    <w:p>
      <w:pPr>
        <w:pStyle w:val="Style26"/>
        <w:keepNext w:val="0"/>
        <w:keepLines w:val="0"/>
        <w:widowControl w:val="0"/>
        <w:shd w:val="clear" w:color="auto" w:fill="auto"/>
        <w:bidi w:val="0"/>
        <w:spacing w:before="0" w:after="0" w:line="240" w:lineRule="auto"/>
        <w:ind w:left="13114" w:right="0" w:firstLine="0"/>
        <w:jc w:val="left"/>
      </w:pPr>
      <w:r>
        <w:rPr>
          <w:color w:val="000000"/>
          <w:spacing w:val="0"/>
          <w:w w:val="100"/>
          <w:position w:val="0"/>
        </w:rPr>
        <w:t>单位：元</w:t>
      </w:r>
    </w:p>
    <w:tbl>
      <w:tblPr>
        <w:tblOverlap w:val="never"/>
        <w:jc w:val="center"/>
        <w:tblLayout w:type="fixed"/>
      </w:tblPr>
      <w:tblGrid>
        <w:gridCol w:w="1282"/>
        <w:gridCol w:w="994"/>
        <w:gridCol w:w="994"/>
        <w:gridCol w:w="1699"/>
        <w:gridCol w:w="1843"/>
        <w:gridCol w:w="1704"/>
        <w:gridCol w:w="1699"/>
        <w:gridCol w:w="1843"/>
        <w:gridCol w:w="199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主要业务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国盛证券有 限责任公司</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left"/>
            </w:pPr>
            <w:r>
              <w:rPr>
                <w:color w:val="000000"/>
                <w:spacing w:val="0"/>
                <w:w w:val="100"/>
                <w:position w:val="0"/>
              </w:rPr>
              <w:t>证券业 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3,803,327,468.61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20,175,648,824.34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7,654,696,153.87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854,655,058.30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673,935,231.26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514,845,747.80</w:t>
            </w:r>
          </w:p>
        </w:tc>
      </w:tr>
    </w:tbl>
    <w:p>
      <w:pPr>
        <w:sectPr>
          <w:headerReference w:type="default" r:id="rId13"/>
          <w:footerReference w:type="default" r:id="rId14"/>
          <w:footnotePr>
            <w:pos w:val="pageBottom"/>
            <w:numFmt w:val="decimal"/>
            <w:numRestart w:val="continuous"/>
          </w:footnotePr>
          <w:pgSz w:w="16840" w:h="11900" w:orient="landscape"/>
          <w:pgMar w:top="1095" w:right="1354" w:bottom="1205" w:left="1422" w:header="0" w:footer="3" w:gutter="0"/>
          <w:cols w:space="720"/>
          <w:noEndnote/>
          <w:rtlGutter w:val="0"/>
          <w:docGrid w:linePitch="360"/>
        </w:sectPr>
      </w:pPr>
    </w:p>
    <w:p>
      <w:pPr>
        <w:pStyle w:val="Style26"/>
        <w:keepNext w:val="0"/>
        <w:keepLines w:val="0"/>
        <w:widowControl w:val="0"/>
        <w:shd w:val="clear" w:color="auto" w:fill="auto"/>
        <w:tabs>
          <w:tab w:pos="7973" w:val="left"/>
        </w:tabs>
        <w:bidi w:val="0"/>
        <w:spacing w:before="0" w:after="0" w:line="240" w:lineRule="auto"/>
        <w:ind w:left="0" w:right="0" w:firstLine="0"/>
        <w:jc w:val="center"/>
      </w:pPr>
      <w:r>
        <w:rPr>
          <w:color w:val="000000"/>
          <w:spacing w:val="0"/>
          <w:w w:val="100"/>
          <w:position w:val="0"/>
        </w:rPr>
        <w:t>报告期内取得和处置子公司的情况</w:t>
        <w:tab/>
      </w: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对整体生产经营和业绩的影响</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国盛证券有限责任公司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对净利润影响额为</w:t>
            </w:r>
            <w:r>
              <w:rPr>
                <w:rFonts w:ascii="Times New Roman" w:eastAsia="Times New Roman" w:hAnsi="Times New Roman" w:cs="Times New Roman"/>
                <w:color w:val="000000"/>
                <w:spacing w:val="0"/>
                <w:w w:val="100"/>
                <w:position w:val="0"/>
              </w:rPr>
              <w:t>43,433.40</w:t>
            </w:r>
            <w:r>
              <w:rPr>
                <w:color w:val="000000"/>
                <w:spacing w:val="0"/>
                <w:w w:val="100"/>
                <w:position w:val="0"/>
              </w:rPr>
              <w:t>万元</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江信国盛期货有限责任公司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对净利润影响额为</w:t>
            </w:r>
            <w:r>
              <w:rPr>
                <w:rFonts w:ascii="Times New Roman" w:eastAsia="Times New Roman" w:hAnsi="Times New Roman" w:cs="Times New Roman"/>
                <w:color w:val="000000"/>
                <w:spacing w:val="0"/>
                <w:w w:val="100"/>
                <w:position w:val="0"/>
              </w:rPr>
              <w:t>514.23</w:t>
            </w:r>
            <w:r>
              <w:rPr>
                <w:color w:val="000000"/>
                <w:spacing w:val="0"/>
                <w:w w:val="100"/>
                <w:position w:val="0"/>
              </w:rPr>
              <w:t>万元</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国盛证券资产管理有限公司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对净利润影响额为</w:t>
            </w:r>
            <w:r>
              <w:rPr>
                <w:rFonts w:ascii="Times New Roman" w:eastAsia="Times New Roman" w:hAnsi="Times New Roman" w:cs="Times New Roman"/>
                <w:color w:val="000000"/>
                <w:spacing w:val="0"/>
                <w:w w:val="100"/>
                <w:position w:val="0"/>
              </w:rPr>
              <w:t>1,800.40</w:t>
            </w:r>
            <w:r>
              <w:rPr>
                <w:color w:val="000000"/>
                <w:spacing w:val="0"/>
                <w:w w:val="100"/>
                <w:position w:val="0"/>
              </w:rPr>
              <w:t>万元</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上海全钰股权投资有限公司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对净利润影响额为</w:t>
            </w:r>
            <w:r>
              <w:rPr>
                <w:rFonts w:ascii="Times New Roman" w:eastAsia="Times New Roman" w:hAnsi="Times New Roman" w:cs="Times New Roman"/>
                <w:color w:val="000000"/>
                <w:spacing w:val="0"/>
                <w:w w:val="100"/>
                <w:position w:val="0"/>
              </w:rPr>
              <w:t>106.13</w:t>
            </w:r>
            <w:r>
              <w:rPr>
                <w:color w:val="000000"/>
                <w:spacing w:val="0"/>
                <w:w w:val="100"/>
                <w:position w:val="0"/>
              </w:rPr>
              <w:t>万元</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深圳前海国盛科技有限公司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对净利润影响额为</w:t>
            </w:r>
            <w:r>
              <w:rPr>
                <w:rFonts w:ascii="Times New Roman" w:eastAsia="Times New Roman" w:hAnsi="Times New Roman" w:cs="Times New Roman"/>
                <w:color w:val="000000"/>
                <w:spacing w:val="0"/>
                <w:w w:val="100"/>
                <w:position w:val="0"/>
              </w:rPr>
              <w:t>-2.41</w:t>
            </w:r>
            <w:r>
              <w:rPr>
                <w:color w:val="000000"/>
                <w:spacing w:val="0"/>
                <w:w w:val="100"/>
                <w:position w:val="0"/>
              </w:rPr>
              <w:t>万元</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pStyle w:val="Style33"/>
        <w:keepNext w:val="0"/>
        <w:keepLines w:val="0"/>
        <w:widowControl w:val="0"/>
        <w:shd w:val="clear" w:color="auto" w:fill="auto"/>
        <w:tabs>
          <w:tab w:pos="753" w:val="left"/>
        </w:tabs>
        <w:bidi w:val="0"/>
        <w:spacing w:before="0" w:after="0" w:line="307" w:lineRule="exact"/>
        <w:ind w:left="0" w:right="0" w:firstLine="440"/>
        <w:jc w:val="both"/>
      </w:pPr>
      <w:bookmarkStart w:id="247" w:name="bookmark247"/>
      <w:r>
        <w:rPr>
          <w:rFonts w:ascii="Times New Roman" w:eastAsia="Times New Roman" w:hAnsi="Times New Roman" w:cs="Times New Roman"/>
          <w:color w:val="000000"/>
          <w:spacing w:val="0"/>
          <w:w w:val="100"/>
          <w:position w:val="0"/>
        </w:rPr>
        <w:t>1</w:t>
      </w:r>
      <w:bookmarkEnd w:id="247"/>
      <w:r>
        <w:rPr>
          <w:color w:val="000000"/>
          <w:spacing w:val="0"/>
          <w:w w:val="100"/>
          <w:position w:val="0"/>
        </w:rPr>
        <w:t>、</w:t>
        <w:tab/>
        <w:t>报告期内，公司实施发行股份及支付现金购买资产并募集配套资金方案，取得国盛证券</w:t>
      </w:r>
      <w:r>
        <w:rPr>
          <w:rFonts w:ascii="Times New Roman" w:eastAsia="Times New Roman" w:hAnsi="Times New Roman" w:cs="Times New Roman"/>
          <w:color w:val="000000"/>
          <w:spacing w:val="0"/>
          <w:w w:val="100"/>
          <w:position w:val="0"/>
        </w:rPr>
        <w:t>100%</w:t>
      </w:r>
      <w:r>
        <w:rPr>
          <w:color w:val="000000"/>
          <w:spacing w:val="0"/>
          <w:w w:val="100"/>
          <w:position w:val="0"/>
        </w:rPr>
        <w:t>股权, 国盛证券及其下属国盛期货、国盛资管、全钰投资自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日起纳入合并范围。</w:t>
      </w:r>
    </w:p>
    <w:p>
      <w:pPr>
        <w:pStyle w:val="Style33"/>
        <w:keepNext w:val="0"/>
        <w:keepLines w:val="0"/>
        <w:widowControl w:val="0"/>
        <w:shd w:val="clear" w:color="auto" w:fill="auto"/>
        <w:tabs>
          <w:tab w:pos="794" w:val="left"/>
        </w:tabs>
        <w:bidi w:val="0"/>
        <w:spacing w:before="0" w:after="360" w:line="307" w:lineRule="exact"/>
        <w:ind w:left="0" w:right="0" w:firstLine="440"/>
        <w:jc w:val="left"/>
      </w:pPr>
      <w:bookmarkStart w:id="248" w:name="bookmark248"/>
      <w:r>
        <w:rPr>
          <w:rFonts w:ascii="Times New Roman" w:eastAsia="Times New Roman" w:hAnsi="Times New Roman" w:cs="Times New Roman"/>
          <w:color w:val="000000"/>
          <w:spacing w:val="0"/>
          <w:w w:val="100"/>
          <w:position w:val="0"/>
        </w:rPr>
        <w:t>2</w:t>
      </w:r>
      <w:bookmarkEnd w:id="248"/>
      <w:r>
        <w:rPr>
          <w:color w:val="000000"/>
          <w:spacing w:val="0"/>
          <w:w w:val="100"/>
          <w:position w:val="0"/>
        </w:rPr>
        <w:t>、</w:t>
        <w:tab/>
        <w:t>报告期内，公司投资设立全资子公司前海科技，前海科技自成立日其纳入合并范围。</w:t>
      </w:r>
    </w:p>
    <w:p>
      <w:pPr>
        <w:pStyle w:val="Style33"/>
        <w:keepNext w:val="0"/>
        <w:keepLines w:val="0"/>
        <w:widowControl w:val="0"/>
        <w:shd w:val="clear" w:color="auto" w:fill="auto"/>
        <w:tabs>
          <w:tab w:pos="498" w:val="left"/>
          <w:tab w:pos="8006" w:val="left"/>
        </w:tabs>
        <w:bidi w:val="0"/>
        <w:spacing w:before="0" w:after="360" w:line="240" w:lineRule="auto"/>
        <w:ind w:left="0" w:right="0" w:firstLine="0"/>
        <w:jc w:val="left"/>
      </w:pPr>
      <w:bookmarkStart w:id="249" w:name="bookmark249"/>
      <w:bookmarkStart w:id="250" w:name="bookmark250"/>
      <w:r>
        <w:rPr>
          <w:b/>
          <w:bCs/>
          <w:color w:val="000000"/>
          <w:spacing w:val="0"/>
          <w:w w:val="100"/>
          <w:position w:val="0"/>
          <w:sz w:val="22"/>
          <w:szCs w:val="22"/>
        </w:rPr>
        <w:t>八</w:t>
      </w:r>
      <w:bookmarkEnd w:id="249"/>
      <w:r>
        <w:rPr>
          <w:b/>
          <w:bCs/>
          <w:color w:val="000000"/>
          <w:spacing w:val="0"/>
          <w:w w:val="100"/>
          <w:position w:val="0"/>
          <w:sz w:val="22"/>
          <w:szCs w:val="22"/>
        </w:rPr>
        <w:t>、</w:t>
        <w:tab/>
        <w:t>公司控制的结构化主体情况</w:t>
        <w:tab/>
      </w:r>
      <w:r>
        <w:rPr>
          <w:color w:val="000000"/>
          <w:spacing w:val="0"/>
          <w:w w:val="100"/>
          <w:position w:val="0"/>
        </w:rPr>
        <w:t>口</w:t>
      </w:r>
      <w:r>
        <w:rPr>
          <w:color w:val="000000"/>
          <w:spacing w:val="0"/>
          <w:w w:val="100"/>
          <w:position w:val="0"/>
        </w:rPr>
        <w:t>适用</w:t>
      </w:r>
      <w:r>
        <w:rPr>
          <w:i/>
          <w:iCs/>
          <w:color w:val="000000"/>
          <w:spacing w:val="0"/>
          <w:w w:val="100"/>
          <w:position w:val="0"/>
        </w:rPr>
        <w:t>q</w:t>
      </w:r>
      <w:r>
        <w:rPr>
          <w:color w:val="000000"/>
          <w:spacing w:val="0"/>
          <w:w w:val="100"/>
          <w:position w:val="0"/>
        </w:rPr>
        <w:t>不适用</w:t>
      </w:r>
      <w:bookmarkEnd w:id="250"/>
    </w:p>
    <w:p>
      <w:pPr>
        <w:pStyle w:val="Style23"/>
        <w:keepNext/>
        <w:keepLines/>
        <w:widowControl w:val="0"/>
        <w:shd w:val="clear" w:color="auto" w:fill="auto"/>
        <w:tabs>
          <w:tab w:pos="498" w:val="left"/>
        </w:tabs>
        <w:bidi w:val="0"/>
        <w:spacing w:before="0" w:after="300" w:line="240" w:lineRule="auto"/>
        <w:ind w:left="0" w:right="0" w:firstLine="0"/>
        <w:jc w:val="left"/>
        <w:rPr>
          <w:sz w:val="22"/>
          <w:szCs w:val="22"/>
        </w:rPr>
      </w:pPr>
      <w:bookmarkStart w:id="251" w:name="bookmark251"/>
      <w:bookmarkStart w:id="252" w:name="bookmark252"/>
      <w:bookmarkStart w:id="253" w:name="bookmark253"/>
      <w:bookmarkStart w:id="254" w:name="bookmark254"/>
      <w:bookmarkStart w:id="255" w:name="bookmark255"/>
      <w:r>
        <w:rPr>
          <w:b/>
          <w:bCs/>
          <w:color w:val="000000"/>
          <w:spacing w:val="0"/>
          <w:w w:val="100"/>
          <w:position w:val="0"/>
          <w:sz w:val="22"/>
          <w:szCs w:val="22"/>
        </w:rPr>
        <w:t>九</w:t>
      </w:r>
      <w:bookmarkEnd w:id="253"/>
      <w:r>
        <w:rPr>
          <w:b/>
          <w:bCs/>
          <w:color w:val="000000"/>
          <w:spacing w:val="0"/>
          <w:w w:val="100"/>
          <w:position w:val="0"/>
          <w:sz w:val="22"/>
          <w:szCs w:val="22"/>
        </w:rPr>
        <w:t>、</w:t>
        <w:tab/>
        <w:t>公司未来发展的展望</w:t>
      </w:r>
      <w:bookmarkEnd w:id="251"/>
      <w:bookmarkEnd w:id="252"/>
      <w:bookmarkEnd w:id="254"/>
      <w:bookmarkEnd w:id="255"/>
    </w:p>
    <w:p>
      <w:pPr>
        <w:pStyle w:val="Style23"/>
        <w:keepNext/>
        <w:keepLines/>
        <w:widowControl w:val="0"/>
        <w:shd w:val="clear" w:color="auto" w:fill="auto"/>
        <w:tabs>
          <w:tab w:pos="1020" w:val="left"/>
        </w:tabs>
        <w:bidi w:val="0"/>
        <w:spacing w:before="0" w:after="0" w:line="274" w:lineRule="exact"/>
        <w:ind w:left="0" w:right="0"/>
        <w:jc w:val="both"/>
      </w:pPr>
      <w:bookmarkStart w:id="256" w:name="bookmark256"/>
      <w:bookmarkStart w:id="257" w:name="bookmark257"/>
      <w:bookmarkStart w:id="258" w:name="bookmark258"/>
      <w:bookmarkStart w:id="259" w:name="bookmark259"/>
      <w:bookmarkStart w:id="260" w:name="bookmark260"/>
      <w:r>
        <w:rPr>
          <w:b/>
          <w:bCs/>
          <w:color w:val="000000"/>
          <w:spacing w:val="0"/>
          <w:w w:val="100"/>
          <w:position w:val="0"/>
        </w:rPr>
        <w:t>（</w:t>
      </w:r>
      <w:bookmarkEnd w:id="258"/>
      <w:r>
        <w:rPr>
          <w:b/>
          <w:bCs/>
          <w:color w:val="000000"/>
          <w:spacing w:val="0"/>
          <w:w w:val="100"/>
          <w:position w:val="0"/>
        </w:rPr>
        <w:t>一）</w:t>
        <w:tab/>
        <w:t>未来发展战略</w:t>
      </w:r>
      <w:bookmarkEnd w:id="256"/>
      <w:bookmarkEnd w:id="257"/>
      <w:bookmarkEnd w:id="259"/>
      <w:bookmarkEnd w:id="260"/>
    </w:p>
    <w:p>
      <w:pPr>
        <w:pStyle w:val="Style23"/>
        <w:keepNext/>
        <w:keepLines/>
        <w:widowControl w:val="0"/>
        <w:shd w:val="clear" w:color="auto" w:fill="auto"/>
        <w:bidi w:val="0"/>
        <w:spacing w:before="0" w:after="140" w:line="274" w:lineRule="exact"/>
        <w:ind w:left="0" w:right="0"/>
        <w:jc w:val="both"/>
      </w:pPr>
      <w:bookmarkStart w:id="261" w:name="bookmark261"/>
      <w:bookmarkStart w:id="262" w:name="bookmark262"/>
      <w:bookmarkStart w:id="263" w:name="bookmark263"/>
      <w:bookmarkStart w:id="264" w:name="bookmark264"/>
      <w:r>
        <w:rPr>
          <w:color w:val="000000"/>
          <w:spacing w:val="0"/>
          <w:w w:val="100"/>
          <w:position w:val="0"/>
        </w:rPr>
        <w:t>公司长期发展战略为：通过内生式和外延式的发展，充分利用互联网创新手段，基于互联网生态圈， 逐步建立涵盖证券、保险、投资、信托等业务的金融服务体系，最终将公司打造为一个专业、创新、开放 的互联网金控平台。</w:t>
      </w:r>
      <w:bookmarkEnd w:id="261"/>
      <w:bookmarkEnd w:id="262"/>
      <w:bookmarkEnd w:id="263"/>
      <w:bookmarkEnd w:id="264"/>
    </w:p>
    <w:p>
      <w:pPr>
        <w:pStyle w:val="Style33"/>
        <w:keepNext w:val="0"/>
        <w:keepLines w:val="0"/>
        <w:widowControl w:val="0"/>
        <w:shd w:val="clear" w:color="auto" w:fill="auto"/>
        <w:tabs>
          <w:tab w:pos="1020" w:val="left"/>
        </w:tabs>
        <w:bidi w:val="0"/>
        <w:spacing w:before="0" w:after="140" w:line="272" w:lineRule="exact"/>
        <w:ind w:left="0" w:right="0" w:firstLine="440"/>
        <w:jc w:val="both"/>
      </w:pPr>
      <w:bookmarkStart w:id="265" w:name="bookmark265"/>
      <w:r>
        <w:rPr>
          <w:b/>
          <w:bCs/>
          <w:color w:val="000000"/>
          <w:spacing w:val="0"/>
          <w:w w:val="100"/>
          <w:position w:val="0"/>
        </w:rPr>
        <w:t>（</w:t>
      </w:r>
      <w:bookmarkEnd w:id="265"/>
      <w:r>
        <w:rPr>
          <w:b/>
          <w:bCs/>
          <w:color w:val="000000"/>
          <w:spacing w:val="0"/>
          <w:w w:val="100"/>
          <w:position w:val="0"/>
        </w:rPr>
        <w:t>二）</w:t>
        <w:tab/>
      </w:r>
      <w:r>
        <w:rPr>
          <w:rFonts w:ascii="Times New Roman" w:eastAsia="Times New Roman" w:hAnsi="Times New Roman" w:cs="Times New Roman"/>
          <w:b/>
          <w:bCs/>
          <w:color w:val="000000"/>
          <w:spacing w:val="0"/>
          <w:w w:val="100"/>
          <w:position w:val="0"/>
        </w:rPr>
        <w:t>2017</w:t>
      </w:r>
      <w:r>
        <w:rPr>
          <w:b/>
          <w:bCs/>
          <w:color w:val="000000"/>
          <w:spacing w:val="0"/>
          <w:w w:val="100"/>
          <w:position w:val="0"/>
        </w:rPr>
        <w:t>年度工作规划</w:t>
      </w:r>
    </w:p>
    <w:p>
      <w:pPr>
        <w:pStyle w:val="Style33"/>
        <w:keepNext w:val="0"/>
        <w:keepLines w:val="0"/>
        <w:widowControl w:val="0"/>
        <w:shd w:val="clear" w:color="auto" w:fill="auto"/>
        <w:bidi w:val="0"/>
        <w:spacing w:before="0" w:after="240" w:line="272" w:lineRule="exact"/>
        <w:ind w:left="0" w:right="0" w:firstLine="440"/>
        <w:jc w:val="both"/>
      </w:pPr>
      <w:r>
        <w:rPr>
          <w:rFonts w:ascii="Times New Roman" w:eastAsia="Times New Roman" w:hAnsi="Times New Roman" w:cs="Times New Roman"/>
          <w:color w:val="000000"/>
          <w:spacing w:val="0"/>
          <w:w w:val="100"/>
          <w:position w:val="0"/>
        </w:rPr>
        <w:t>2017</w:t>
      </w:r>
      <w:r>
        <w:rPr>
          <w:color w:val="000000"/>
          <w:spacing w:val="0"/>
          <w:w w:val="100"/>
          <w:position w:val="0"/>
        </w:rPr>
        <w:t>年，我们判断国际政治局势依然多变，国际金融市场与中国金融市场相互影响进一步深化，货币 市场价格走势受复杂因素影响而难以预计。资本市场承接</w:t>
      </w:r>
      <w:r>
        <w:rPr>
          <w:rFonts w:ascii="Times New Roman" w:eastAsia="Times New Roman" w:hAnsi="Times New Roman" w:cs="Times New Roman"/>
          <w:color w:val="000000"/>
          <w:spacing w:val="0"/>
          <w:w w:val="100"/>
          <w:position w:val="0"/>
        </w:rPr>
        <w:t>2016</w:t>
      </w:r>
      <w:r>
        <w:rPr>
          <w:color w:val="000000"/>
          <w:spacing w:val="0"/>
          <w:w w:val="100"/>
          <w:position w:val="0"/>
        </w:rPr>
        <w:t>年从严监管、稳定发展、脱虚向实治理理 念，市场走势将稳中求进，关键性制度建设可能会有所突破和发展，市场主体创新行为规范性增强，市场 活跃度随着市场各项政策到位、预期明确而有所提升。证券行业的竞争格局进一步加剧，各类券商通过差 异化发展来建立核心竞争力的过程还相当漫长，同质化的激烈竞争不可避免，但是整个行业市场化、国际 化、法制化的发展方向不可动摇。我们期待中国的结构性改革能够在</w:t>
      </w:r>
      <w:r>
        <w:rPr>
          <w:rFonts w:ascii="Times New Roman" w:eastAsia="Times New Roman" w:hAnsi="Times New Roman" w:cs="Times New Roman"/>
          <w:color w:val="000000"/>
          <w:spacing w:val="0"/>
          <w:w w:val="100"/>
          <w:position w:val="0"/>
        </w:rPr>
        <w:t>2017</w:t>
      </w:r>
      <w:r>
        <w:rPr>
          <w:color w:val="000000"/>
          <w:spacing w:val="0"/>
          <w:w w:val="100"/>
          <w:position w:val="0"/>
        </w:rPr>
        <w:t>年渐见成效，经济景气度较上 年有所改观，为公司</w:t>
      </w:r>
      <w:r>
        <w:rPr>
          <w:rFonts w:ascii="Times New Roman" w:eastAsia="Times New Roman" w:hAnsi="Times New Roman" w:cs="Times New Roman"/>
          <w:color w:val="000000"/>
          <w:spacing w:val="0"/>
          <w:w w:val="100"/>
          <w:position w:val="0"/>
        </w:rPr>
        <w:t>2017</w:t>
      </w:r>
      <w:r>
        <w:rPr>
          <w:color w:val="000000"/>
          <w:spacing w:val="0"/>
          <w:w w:val="100"/>
          <w:position w:val="0"/>
        </w:rPr>
        <w:t>年的发展提供良好的外部环境。</w:t>
      </w:r>
    </w:p>
    <w:p>
      <w:pPr>
        <w:pStyle w:val="Style33"/>
        <w:keepNext w:val="0"/>
        <w:keepLines w:val="0"/>
        <w:widowControl w:val="0"/>
        <w:shd w:val="clear" w:color="auto" w:fill="auto"/>
        <w:bidi w:val="0"/>
        <w:spacing w:before="0" w:after="0" w:line="272" w:lineRule="exact"/>
        <w:ind w:left="0" w:right="0" w:firstLine="440"/>
        <w:jc w:val="left"/>
      </w:pPr>
      <w:r>
        <w:rPr>
          <w:color w:val="000000"/>
          <w:spacing w:val="0"/>
          <w:w w:val="100"/>
          <w:position w:val="0"/>
        </w:rPr>
        <w:t>围绕公司长期战略目标，结合市场环境，公司对</w:t>
      </w:r>
      <w:r>
        <w:rPr>
          <w:rFonts w:ascii="Times New Roman" w:eastAsia="Times New Roman" w:hAnsi="Times New Roman" w:cs="Times New Roman"/>
          <w:color w:val="000000"/>
          <w:spacing w:val="0"/>
          <w:w w:val="100"/>
          <w:position w:val="0"/>
        </w:rPr>
        <w:t>2017</w:t>
      </w:r>
      <w:r>
        <w:rPr>
          <w:color w:val="000000"/>
          <w:spacing w:val="0"/>
          <w:w w:val="100"/>
          <w:position w:val="0"/>
        </w:rPr>
        <w:t>年工作提出以下思路：</w:t>
      </w:r>
    </w:p>
    <w:p>
      <w:pPr>
        <w:pStyle w:val="Style33"/>
        <w:keepNext w:val="0"/>
        <w:keepLines w:val="0"/>
        <w:widowControl w:val="0"/>
        <w:shd w:val="clear" w:color="auto" w:fill="auto"/>
        <w:tabs>
          <w:tab w:pos="775" w:val="left"/>
        </w:tabs>
        <w:bidi w:val="0"/>
        <w:spacing w:before="0" w:after="0" w:line="272" w:lineRule="exact"/>
        <w:ind w:left="0" w:right="0" w:firstLine="440"/>
        <w:jc w:val="both"/>
      </w:pPr>
      <w:bookmarkStart w:id="266" w:name="bookmark266"/>
      <w:r>
        <w:rPr>
          <w:rFonts w:ascii="Times New Roman" w:eastAsia="Times New Roman" w:hAnsi="Times New Roman" w:cs="Times New Roman"/>
          <w:color w:val="000000"/>
          <w:spacing w:val="0"/>
          <w:w w:val="100"/>
          <w:position w:val="0"/>
        </w:rPr>
        <w:t>1</w:t>
      </w:r>
      <w:bookmarkEnd w:id="266"/>
      <w:r>
        <w:rPr>
          <w:color w:val="000000"/>
          <w:spacing w:val="0"/>
          <w:w w:val="100"/>
          <w:position w:val="0"/>
        </w:rPr>
        <w:t>、</w:t>
        <w:tab/>
        <w:t>聚焦主业，不忘初心，笃力前行</w:t>
      </w:r>
    </w:p>
    <w:p>
      <w:pPr>
        <w:pStyle w:val="Style33"/>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公司的发展战略已经确定，</w:t>
      </w:r>
      <w:r>
        <w:rPr>
          <w:rFonts w:ascii="Times New Roman" w:eastAsia="Times New Roman" w:hAnsi="Times New Roman" w:cs="Times New Roman"/>
          <w:color w:val="000000"/>
          <w:spacing w:val="0"/>
          <w:w w:val="100"/>
          <w:position w:val="0"/>
        </w:rPr>
        <w:t>2016</w:t>
      </w:r>
      <w:r>
        <w:rPr>
          <w:color w:val="000000"/>
          <w:spacing w:val="0"/>
          <w:w w:val="100"/>
          <w:position w:val="0"/>
        </w:rPr>
        <w:t>年公司迈出了战略实施的关键一步。面对不断变化的宏观经济形势和 行业发展趋势，我们的全部工作必须紧紧围绕公司的既定发展战略和目标，聚焦资源、聚焦人才、聚焦业 务，通过持续努力的工作，逐步夯实公司专业多元化的主业基础，从而更好地为实体经济服务，为我们的 客户、员工、股东创造最大价值。</w:t>
      </w:r>
    </w:p>
    <w:p>
      <w:pPr>
        <w:pStyle w:val="Style33"/>
        <w:keepNext w:val="0"/>
        <w:keepLines w:val="0"/>
        <w:widowControl w:val="0"/>
        <w:shd w:val="clear" w:color="auto" w:fill="auto"/>
        <w:tabs>
          <w:tab w:pos="794" w:val="left"/>
        </w:tabs>
        <w:bidi w:val="0"/>
        <w:spacing w:before="0" w:after="0" w:line="272" w:lineRule="exact"/>
        <w:ind w:left="0" w:right="0" w:firstLine="440"/>
        <w:jc w:val="both"/>
      </w:pPr>
      <w:bookmarkStart w:id="267" w:name="bookmark267"/>
      <w:r>
        <w:rPr>
          <w:rFonts w:ascii="Times New Roman" w:eastAsia="Times New Roman" w:hAnsi="Times New Roman" w:cs="Times New Roman"/>
          <w:color w:val="000000"/>
          <w:spacing w:val="0"/>
          <w:w w:val="100"/>
          <w:position w:val="0"/>
        </w:rPr>
        <w:t>2</w:t>
      </w:r>
      <w:bookmarkEnd w:id="267"/>
      <w:r>
        <w:rPr>
          <w:color w:val="000000"/>
          <w:spacing w:val="0"/>
          <w:w w:val="100"/>
          <w:position w:val="0"/>
        </w:rPr>
        <w:t>、</w:t>
        <w:tab/>
        <w:t>严控经营风险、合法依规经营</w:t>
      </w:r>
    </w:p>
    <w:p>
      <w:pPr>
        <w:pStyle w:val="Style33"/>
        <w:keepNext w:val="0"/>
        <w:keepLines w:val="0"/>
        <w:widowControl w:val="0"/>
        <w:shd w:val="clear" w:color="auto" w:fill="auto"/>
        <w:bidi w:val="0"/>
        <w:spacing w:before="0" w:after="0" w:line="272" w:lineRule="exact"/>
        <w:ind w:left="0" w:right="0" w:firstLine="440"/>
        <w:jc w:val="both"/>
      </w:pPr>
      <w:r>
        <w:rPr>
          <w:color w:val="000000"/>
          <w:spacing w:val="0"/>
          <w:w w:val="100"/>
          <w:position w:val="0"/>
        </w:rPr>
        <w:t>金融工作关系着千家万户，公司全体员工必须树立强烈的风险意识、责任意识和法制意识，加强集团 公司整体内控体系的建设，强化合规风控部门的职能建设、充实专业人才，充分利用大数据和云计算等科 技创新手段增强风控体系的有效性和及时性，对于发现的问题绝不姑息、严肃处理。</w:t>
      </w:r>
    </w:p>
    <w:p>
      <w:pPr>
        <w:pStyle w:val="Style33"/>
        <w:keepNext w:val="0"/>
        <w:keepLines w:val="0"/>
        <w:widowControl w:val="0"/>
        <w:shd w:val="clear" w:color="auto" w:fill="auto"/>
        <w:tabs>
          <w:tab w:pos="794" w:val="left"/>
        </w:tabs>
        <w:bidi w:val="0"/>
        <w:spacing w:before="0" w:after="0" w:line="272" w:lineRule="exact"/>
        <w:ind w:left="0" w:right="0" w:firstLine="440"/>
        <w:jc w:val="both"/>
      </w:pPr>
      <w:bookmarkStart w:id="268" w:name="bookmark268"/>
      <w:r>
        <w:rPr>
          <w:rFonts w:ascii="Times New Roman" w:eastAsia="Times New Roman" w:hAnsi="Times New Roman" w:cs="Times New Roman"/>
          <w:color w:val="000000"/>
          <w:spacing w:val="0"/>
          <w:w w:val="100"/>
          <w:position w:val="0"/>
        </w:rPr>
        <w:t>3</w:t>
      </w:r>
      <w:bookmarkEnd w:id="268"/>
      <w:r>
        <w:rPr>
          <w:color w:val="000000"/>
          <w:spacing w:val="0"/>
          <w:w w:val="100"/>
          <w:position w:val="0"/>
        </w:rPr>
        <w:t>、</w:t>
        <w:tab/>
        <w:t>坚定信心，坚决推进公司各项改革</w:t>
      </w:r>
    </w:p>
    <w:p>
      <w:pPr>
        <w:pStyle w:val="Style33"/>
        <w:keepNext w:val="0"/>
        <w:keepLines w:val="0"/>
        <w:widowControl w:val="0"/>
        <w:shd w:val="clear" w:color="auto" w:fill="auto"/>
        <w:bidi w:val="0"/>
        <w:spacing w:before="0" w:after="140" w:line="272" w:lineRule="exact"/>
        <w:ind w:left="0" w:right="0" w:firstLine="440"/>
        <w:jc w:val="both"/>
      </w:pPr>
      <w:r>
        <w:rPr>
          <w:color w:val="000000"/>
          <w:spacing w:val="0"/>
          <w:w w:val="100"/>
          <w:position w:val="0"/>
        </w:rPr>
        <w:t>未来的不确定性始终存在，但是我们更愿意看到有利于公司发展的积极因素。国内的金融服务能力还 无法完全满足老百姓、企业以及政府对于金融产品和服务的需求，数字化金融、资本中介业务、资产管理、 消费金融、金融科技以及股权投资等方面都蕴藏着巨大的市场机遇。我们将稳步推进各项业务的落地与发 展，通过推进改革与技术创新来实现公司的发展目标。</w:t>
      </w:r>
    </w:p>
    <w:p>
      <w:pPr>
        <w:pStyle w:val="Style33"/>
        <w:keepNext w:val="0"/>
        <w:keepLines w:val="0"/>
        <w:widowControl w:val="0"/>
        <w:shd w:val="clear" w:color="auto" w:fill="auto"/>
        <w:bidi w:val="0"/>
        <w:spacing w:before="0" w:after="0" w:line="275" w:lineRule="exact"/>
        <w:ind w:left="0" w:right="0" w:firstLine="440"/>
        <w:jc w:val="both"/>
      </w:pPr>
      <w:r>
        <w:rPr>
          <w:color w:val="000000"/>
          <w:spacing w:val="0"/>
          <w:w w:val="100"/>
          <w:position w:val="0"/>
        </w:rPr>
        <w:t xml:space="preserve">根据以上思路，公司制定了 </w:t>
      </w:r>
      <w:r>
        <w:rPr>
          <w:rFonts w:ascii="Times New Roman" w:eastAsia="Times New Roman" w:hAnsi="Times New Roman" w:cs="Times New Roman"/>
          <w:color w:val="000000"/>
          <w:spacing w:val="0"/>
          <w:w w:val="100"/>
          <w:position w:val="0"/>
        </w:rPr>
        <w:t>2017</w:t>
      </w:r>
      <w:r>
        <w:rPr>
          <w:color w:val="000000"/>
          <w:spacing w:val="0"/>
          <w:w w:val="100"/>
          <w:position w:val="0"/>
        </w:rPr>
        <w:t>年整体工作计划如下：</w:t>
      </w:r>
    </w:p>
    <w:p>
      <w:pPr>
        <w:pStyle w:val="Style33"/>
        <w:keepNext w:val="0"/>
        <w:keepLines w:val="0"/>
        <w:widowControl w:val="0"/>
        <w:shd w:val="clear" w:color="auto" w:fill="auto"/>
        <w:tabs>
          <w:tab w:pos="859" w:val="left"/>
        </w:tabs>
        <w:bidi w:val="0"/>
        <w:spacing w:before="0" w:after="0" w:line="275" w:lineRule="exact"/>
        <w:ind w:left="0" w:right="0" w:firstLine="440"/>
        <w:jc w:val="both"/>
      </w:pPr>
      <w:bookmarkStart w:id="269" w:name="bookmark269"/>
      <w:r>
        <w:rPr>
          <w:rFonts w:ascii="Times New Roman" w:eastAsia="Times New Roman" w:hAnsi="Times New Roman" w:cs="Times New Roman"/>
          <w:color w:val="000000"/>
          <w:spacing w:val="0"/>
          <w:w w:val="100"/>
          <w:position w:val="0"/>
        </w:rPr>
        <w:t>1</w:t>
      </w:r>
      <w:bookmarkEnd w:id="269"/>
      <w:r>
        <w:rPr>
          <w:color w:val="000000"/>
          <w:spacing w:val="0"/>
          <w:w w:val="100"/>
          <w:position w:val="0"/>
        </w:rPr>
        <w:t>、</w:t>
        <w:tab/>
        <w:t>提升集团治理水平，加强公司科学决策体系和风控体系的建设</w:t>
      </w:r>
    </w:p>
    <w:p>
      <w:pPr>
        <w:pStyle w:val="Style33"/>
        <w:keepNext w:val="0"/>
        <w:keepLines w:val="0"/>
        <w:widowControl w:val="0"/>
        <w:shd w:val="clear" w:color="auto" w:fill="auto"/>
        <w:bidi w:val="0"/>
        <w:spacing w:before="0" w:after="0" w:line="275" w:lineRule="exact"/>
        <w:ind w:left="0" w:right="0" w:firstLine="440"/>
        <w:jc w:val="both"/>
      </w:pPr>
      <w:r>
        <w:rPr>
          <w:color w:val="000000"/>
          <w:spacing w:val="0"/>
          <w:w w:val="100"/>
          <w:position w:val="0"/>
        </w:rPr>
        <w:t>公司将完成董事会、监事会换届工作，做好集团及各个子公司各项议事规则与制度以及子公司章程、 制度的修订、完善工作；强化公司各个专门委员会的工作职能、加强公司内部研究能力，充分利用外部资 源，增强公司经营决策的科学性和有效性；建立自上而下、协调一致的风险管控体系，事前、事中、事后 管控到位，建立与之相适应的预警机制和责任追究机制。</w:t>
      </w:r>
    </w:p>
    <w:p>
      <w:pPr>
        <w:pStyle w:val="Style33"/>
        <w:keepNext w:val="0"/>
        <w:keepLines w:val="0"/>
        <w:widowControl w:val="0"/>
        <w:shd w:val="clear" w:color="auto" w:fill="auto"/>
        <w:bidi w:val="0"/>
        <w:spacing w:before="0" w:after="0" w:line="275" w:lineRule="exact"/>
        <w:ind w:left="0" w:right="0" w:firstLine="440"/>
        <w:jc w:val="both"/>
      </w:pPr>
      <w:bookmarkStart w:id="270" w:name="bookmark270"/>
      <w:r>
        <w:rPr>
          <w:rFonts w:ascii="Times New Roman" w:eastAsia="Times New Roman" w:hAnsi="Times New Roman" w:cs="Times New Roman"/>
          <w:color w:val="000000"/>
          <w:spacing w:val="0"/>
          <w:w w:val="100"/>
          <w:position w:val="0"/>
        </w:rPr>
        <w:t>2</w:t>
      </w:r>
      <w:bookmarkEnd w:id="270"/>
      <w:r>
        <w:rPr>
          <w:color w:val="000000"/>
          <w:spacing w:val="0"/>
          <w:w w:val="100"/>
          <w:position w:val="0"/>
        </w:rPr>
        <w:t>、 公司将根据业务发展布局的情况，取得与之相匹配的资本实力。公司将积极利用资金和资本市场 各类融资工具，股债结合、长短结合，通过压力测试、头寸管理等技术手段，在整体经营风险可控的情况 下为公司外延式或内生式发展寻求资金支持。</w:t>
      </w:r>
    </w:p>
    <w:p>
      <w:pPr>
        <w:pStyle w:val="Style33"/>
        <w:keepNext w:val="0"/>
        <w:keepLines w:val="0"/>
        <w:widowControl w:val="0"/>
        <w:shd w:val="clear" w:color="auto" w:fill="auto"/>
        <w:tabs>
          <w:tab w:pos="859" w:val="left"/>
        </w:tabs>
        <w:bidi w:val="0"/>
        <w:spacing w:before="0" w:after="0" w:line="275" w:lineRule="exact"/>
        <w:ind w:left="0" w:right="0" w:firstLine="440"/>
        <w:jc w:val="both"/>
      </w:pPr>
      <w:bookmarkStart w:id="271" w:name="bookmark271"/>
      <w:r>
        <w:rPr>
          <w:rFonts w:ascii="Times New Roman" w:eastAsia="Times New Roman" w:hAnsi="Times New Roman" w:cs="Times New Roman"/>
          <w:color w:val="000000"/>
          <w:spacing w:val="0"/>
          <w:w w:val="100"/>
          <w:position w:val="0"/>
        </w:rPr>
        <w:t>3</w:t>
      </w:r>
      <w:bookmarkEnd w:id="271"/>
      <w:r>
        <w:rPr>
          <w:color w:val="000000"/>
          <w:spacing w:val="0"/>
          <w:w w:val="100"/>
          <w:position w:val="0"/>
        </w:rPr>
        <w:t>、</w:t>
        <w:tab/>
        <w:t>以专业化、市场化、规范化为指引，调整证券业务布局，推动证券业务稳中求进、协调发展。</w:t>
      </w:r>
    </w:p>
    <w:p>
      <w:pPr>
        <w:pStyle w:val="Style33"/>
        <w:keepNext w:val="0"/>
        <w:keepLines w:val="0"/>
        <w:widowControl w:val="0"/>
        <w:shd w:val="clear" w:color="auto" w:fill="auto"/>
        <w:tabs>
          <w:tab w:pos="903" w:val="left"/>
        </w:tabs>
        <w:bidi w:val="0"/>
        <w:spacing w:before="0" w:after="0" w:line="275" w:lineRule="exact"/>
        <w:ind w:left="0" w:right="0" w:firstLine="440"/>
        <w:jc w:val="both"/>
      </w:pPr>
      <w:bookmarkStart w:id="272" w:name="bookmark272"/>
      <w:r>
        <w:rPr>
          <w:color w:val="000000"/>
          <w:spacing w:val="0"/>
          <w:w w:val="100"/>
          <w:position w:val="0"/>
        </w:rPr>
        <w:t>（</w:t>
      </w:r>
      <w:bookmarkEnd w:id="272"/>
      <w:r>
        <w:rPr>
          <w:rFonts w:ascii="Times New Roman" w:eastAsia="Times New Roman" w:hAnsi="Times New Roman" w:cs="Times New Roman"/>
          <w:color w:val="000000"/>
          <w:spacing w:val="0"/>
          <w:w w:val="100"/>
          <w:position w:val="0"/>
        </w:rPr>
        <w:t>1</w:t>
      </w:r>
      <w:r>
        <w:rPr>
          <w:color w:val="000000"/>
          <w:spacing w:val="0"/>
          <w:w w:val="100"/>
          <w:position w:val="0"/>
        </w:rPr>
        <w:t>）</w:t>
        <w:tab/>
        <w:t>调整并优化证券业务布局，加强资产管理业务、固收、融资融券业务以及投行业务资源投入。</w:t>
      </w:r>
    </w:p>
    <w:p>
      <w:pPr>
        <w:pStyle w:val="Style33"/>
        <w:keepNext w:val="0"/>
        <w:keepLines w:val="0"/>
        <w:widowControl w:val="0"/>
        <w:shd w:val="clear" w:color="auto" w:fill="auto"/>
        <w:bidi w:val="0"/>
        <w:spacing w:before="0" w:after="0" w:line="275" w:lineRule="exact"/>
        <w:ind w:left="0" w:right="0" w:firstLine="440"/>
        <w:jc w:val="both"/>
      </w:pPr>
      <w:r>
        <w:rPr>
          <w:color w:val="000000"/>
          <w:spacing w:val="0"/>
          <w:w w:val="100"/>
          <w:position w:val="0"/>
        </w:rPr>
        <w:t>在金融行业“大资管”时代，利用国盛证券自身业务和公司其他业务的协同作用，重点发展资产管理 业务；</w:t>
      </w:r>
    </w:p>
    <w:p>
      <w:pPr>
        <w:pStyle w:val="Style33"/>
        <w:keepNext w:val="0"/>
        <w:keepLines w:val="0"/>
        <w:widowControl w:val="0"/>
        <w:shd w:val="clear" w:color="auto" w:fill="auto"/>
        <w:bidi w:val="0"/>
        <w:spacing w:before="0" w:after="0" w:line="275" w:lineRule="exact"/>
        <w:ind w:left="0" w:right="0" w:firstLine="440"/>
        <w:jc w:val="both"/>
      </w:pPr>
      <w:r>
        <w:rPr>
          <w:color w:val="000000"/>
          <w:spacing w:val="0"/>
          <w:w w:val="100"/>
          <w:position w:val="0"/>
        </w:rPr>
        <w:t>资产证券化的发展趋势迅猛，以债券和</w:t>
      </w:r>
      <w:r>
        <w:rPr>
          <w:rFonts w:ascii="Times New Roman" w:eastAsia="Times New Roman" w:hAnsi="Times New Roman" w:cs="Times New Roman"/>
          <w:color w:val="000000"/>
          <w:spacing w:val="0"/>
          <w:w w:val="100"/>
          <w:position w:val="0"/>
        </w:rPr>
        <w:t>ABS</w:t>
      </w:r>
      <w:r>
        <w:rPr>
          <w:color w:val="000000"/>
          <w:spacing w:val="0"/>
          <w:w w:val="100"/>
          <w:position w:val="0"/>
        </w:rPr>
        <w:t>产品为主的固收业务是公司近期业务发展的突破方向；</w:t>
      </w:r>
    </w:p>
    <w:p>
      <w:pPr>
        <w:pStyle w:val="Style33"/>
        <w:keepNext w:val="0"/>
        <w:keepLines w:val="0"/>
        <w:widowControl w:val="0"/>
        <w:shd w:val="clear" w:color="auto" w:fill="auto"/>
        <w:bidi w:val="0"/>
        <w:spacing w:before="0" w:after="0" w:line="275" w:lineRule="exact"/>
        <w:ind w:left="0" w:right="0" w:firstLine="440"/>
        <w:jc w:val="both"/>
      </w:pPr>
      <w:r>
        <w:rPr>
          <w:color w:val="000000"/>
          <w:spacing w:val="0"/>
          <w:w w:val="100"/>
          <w:position w:val="0"/>
        </w:rPr>
        <w:t>在两融业务回归理性背景下，发挥净资本规模提升和营运资金规模增加优势，充分结合公司近</w:t>
      </w:r>
      <w:r>
        <w:rPr>
          <w:rFonts w:ascii="Times New Roman" w:eastAsia="Times New Roman" w:hAnsi="Times New Roman" w:cs="Times New Roman"/>
          <w:color w:val="000000"/>
          <w:spacing w:val="0"/>
          <w:w w:val="100"/>
          <w:position w:val="0"/>
        </w:rPr>
        <w:t>250</w:t>
      </w:r>
      <w:r>
        <w:rPr>
          <w:color w:val="000000"/>
          <w:spacing w:val="0"/>
          <w:w w:val="100"/>
          <w:position w:val="0"/>
        </w:rPr>
        <w:t>家 营业部的落地服务能力，提升融资融券业务和股权质押业务规模；</w:t>
      </w:r>
    </w:p>
    <w:p>
      <w:pPr>
        <w:pStyle w:val="Style33"/>
        <w:keepNext w:val="0"/>
        <w:keepLines w:val="0"/>
        <w:widowControl w:val="0"/>
        <w:shd w:val="clear" w:color="auto" w:fill="auto"/>
        <w:bidi w:val="0"/>
        <w:spacing w:before="0" w:after="0" w:line="275" w:lineRule="exact"/>
        <w:ind w:left="0" w:right="0" w:firstLine="440"/>
        <w:jc w:val="both"/>
      </w:pPr>
      <w:r>
        <w:rPr>
          <w:color w:val="000000"/>
          <w:spacing w:val="0"/>
          <w:w w:val="100"/>
          <w:position w:val="0"/>
        </w:rPr>
        <w:t>确立投行业务的项目源头地位，全面提升投行团队在保荐、财务顾问、投资等方面的服务能力，确定 投行业务发展的长远规划。</w:t>
      </w:r>
    </w:p>
    <w:p>
      <w:pPr>
        <w:pStyle w:val="Style33"/>
        <w:keepNext w:val="0"/>
        <w:keepLines w:val="0"/>
        <w:widowControl w:val="0"/>
        <w:shd w:val="clear" w:color="auto" w:fill="auto"/>
        <w:tabs>
          <w:tab w:pos="996" w:val="left"/>
        </w:tabs>
        <w:bidi w:val="0"/>
        <w:spacing w:before="0" w:after="0" w:line="275" w:lineRule="exact"/>
        <w:ind w:left="0" w:right="0" w:firstLine="440"/>
        <w:jc w:val="both"/>
      </w:pPr>
      <w:bookmarkStart w:id="273" w:name="bookmark273"/>
      <w:r>
        <w:rPr>
          <w:color w:val="000000"/>
          <w:spacing w:val="0"/>
          <w:w w:val="100"/>
          <w:position w:val="0"/>
        </w:rPr>
        <w:t>（</w:t>
      </w:r>
      <w:bookmarkEnd w:id="273"/>
      <w:r>
        <w:rPr>
          <w:rFonts w:ascii="Times New Roman" w:eastAsia="Times New Roman" w:hAnsi="Times New Roman" w:cs="Times New Roman"/>
          <w:color w:val="000000"/>
          <w:spacing w:val="0"/>
          <w:w w:val="100"/>
          <w:position w:val="0"/>
        </w:rPr>
        <w:t>2</w:t>
      </w:r>
      <w:r>
        <w:rPr>
          <w:color w:val="000000"/>
          <w:spacing w:val="0"/>
          <w:w w:val="100"/>
          <w:position w:val="0"/>
        </w:rPr>
        <w:t>）</w:t>
        <w:tab/>
        <w:t>调整并优化证券业务区域布局，实施“根据地”与“走出去”相结合的战略，在保证江西地区 业务继续深耕发展的基础上，着力提升北京、上海、深圳等主要城市的业务能力和区域辐射能力；待时机 成熟时，实施分公司制的试点，探索矩阵式管理模式与证券业务的结合。</w:t>
      </w:r>
    </w:p>
    <w:p>
      <w:pPr>
        <w:pStyle w:val="Style33"/>
        <w:keepNext w:val="0"/>
        <w:keepLines w:val="0"/>
        <w:widowControl w:val="0"/>
        <w:shd w:val="clear" w:color="auto" w:fill="auto"/>
        <w:bidi w:val="0"/>
        <w:spacing w:before="0" w:after="0" w:line="275" w:lineRule="exact"/>
        <w:ind w:left="0" w:right="0" w:firstLine="440"/>
        <w:jc w:val="both"/>
      </w:pPr>
      <w:bookmarkStart w:id="274" w:name="bookmark274"/>
      <w:r>
        <w:rPr>
          <w:color w:val="000000"/>
          <w:spacing w:val="0"/>
          <w:w w:val="100"/>
          <w:position w:val="0"/>
        </w:rPr>
        <w:t>（</w:t>
      </w:r>
      <w:bookmarkEnd w:id="274"/>
      <w:r>
        <w:rPr>
          <w:rFonts w:ascii="Times New Roman" w:eastAsia="Times New Roman" w:hAnsi="Times New Roman" w:cs="Times New Roman"/>
          <w:color w:val="000000"/>
          <w:spacing w:val="0"/>
          <w:w w:val="100"/>
          <w:position w:val="0"/>
        </w:rPr>
        <w:t>3</w:t>
      </w:r>
      <w:r>
        <w:rPr>
          <w:color w:val="000000"/>
          <w:spacing w:val="0"/>
          <w:w w:val="100"/>
          <w:position w:val="0"/>
        </w:rPr>
        <w:t>） 实施专业人才引进和培养计划，完善人才梯队建设，建立市场化、专业化的激励机制，协调好 团队之间竞争与合作的关系，为证券业务发展提供人力支持。</w:t>
      </w:r>
    </w:p>
    <w:p>
      <w:pPr>
        <w:pStyle w:val="Style33"/>
        <w:keepNext w:val="0"/>
        <w:keepLines w:val="0"/>
        <w:widowControl w:val="0"/>
        <w:shd w:val="clear" w:color="auto" w:fill="auto"/>
        <w:tabs>
          <w:tab w:pos="996" w:val="left"/>
        </w:tabs>
        <w:bidi w:val="0"/>
        <w:spacing w:before="0" w:after="0" w:line="275" w:lineRule="exact"/>
        <w:ind w:left="0" w:right="0" w:firstLine="440"/>
        <w:jc w:val="both"/>
      </w:pPr>
      <w:bookmarkStart w:id="275" w:name="bookmark275"/>
      <w:r>
        <w:rPr>
          <w:color w:val="000000"/>
          <w:spacing w:val="0"/>
          <w:w w:val="100"/>
          <w:position w:val="0"/>
        </w:rPr>
        <w:t>（</w:t>
      </w:r>
      <w:bookmarkEnd w:id="275"/>
      <w:r>
        <w:rPr>
          <w:rFonts w:ascii="Times New Roman" w:eastAsia="Times New Roman" w:hAnsi="Times New Roman" w:cs="Times New Roman"/>
          <w:color w:val="000000"/>
          <w:spacing w:val="0"/>
          <w:w w:val="100"/>
          <w:position w:val="0"/>
        </w:rPr>
        <w:t>4</w:t>
      </w:r>
      <w:r>
        <w:rPr>
          <w:color w:val="000000"/>
          <w:spacing w:val="0"/>
          <w:w w:val="100"/>
          <w:position w:val="0"/>
        </w:rPr>
        <w:t>）</w:t>
        <w:tab/>
        <w:t>强化合规风控部门的职能建设和人才储备，完善工作制度、细化工作流程，给予合规风控部门 更高、更全面的监督权、决定权；充分利用各项业务系统以及大数据、云计算等技术手段，来确保风控体 系运行的科学性和有效性。</w:t>
      </w:r>
    </w:p>
    <w:p>
      <w:pPr>
        <w:pStyle w:val="Style33"/>
        <w:keepNext w:val="0"/>
        <w:keepLines w:val="0"/>
        <w:widowControl w:val="0"/>
        <w:shd w:val="clear" w:color="auto" w:fill="auto"/>
        <w:tabs>
          <w:tab w:pos="991" w:val="left"/>
        </w:tabs>
        <w:bidi w:val="0"/>
        <w:spacing w:before="0" w:after="0" w:line="275" w:lineRule="exact"/>
        <w:ind w:left="0" w:right="0" w:firstLine="440"/>
        <w:jc w:val="both"/>
      </w:pPr>
      <w:bookmarkStart w:id="276" w:name="bookmark276"/>
      <w:r>
        <w:rPr>
          <w:color w:val="000000"/>
          <w:spacing w:val="0"/>
          <w:w w:val="100"/>
          <w:position w:val="0"/>
        </w:rPr>
        <w:t>（</w:t>
      </w:r>
      <w:bookmarkEnd w:id="276"/>
      <w:r>
        <w:rPr>
          <w:rFonts w:ascii="Times New Roman" w:eastAsia="Times New Roman" w:hAnsi="Times New Roman" w:cs="Times New Roman"/>
          <w:color w:val="000000"/>
          <w:spacing w:val="0"/>
          <w:w w:val="100"/>
          <w:position w:val="0"/>
        </w:rPr>
        <w:t>5</w:t>
      </w:r>
      <w:r>
        <w:rPr>
          <w:color w:val="000000"/>
          <w:spacing w:val="0"/>
          <w:w w:val="100"/>
          <w:position w:val="0"/>
        </w:rPr>
        <w:t>）</w:t>
        <w:tab/>
        <w:t>经纪业务依然是证券业务的重心，今年将着手改变目前整体大而不强的局面，增强新设营业部 的盈利能力，加强轻型营业部的业务指导；与研究业务相结合，大力拓展</w:t>
      </w:r>
      <w:r>
        <w:rPr>
          <w:rFonts w:ascii="Times New Roman" w:eastAsia="Times New Roman" w:hAnsi="Times New Roman" w:cs="Times New Roman"/>
          <w:color w:val="000000"/>
          <w:spacing w:val="0"/>
          <w:w w:val="100"/>
          <w:position w:val="0"/>
        </w:rPr>
        <w:t>PB</w:t>
      </w:r>
      <w:r>
        <w:rPr>
          <w:color w:val="000000"/>
          <w:spacing w:val="0"/>
          <w:w w:val="100"/>
          <w:position w:val="0"/>
        </w:rPr>
        <w:t>业务；经纪业务作为证券业 务的流量入口效应日趋明显，积极探索如何利用线上与线下结合的手段来增强客户服务能力。</w:t>
      </w:r>
    </w:p>
    <w:p>
      <w:pPr>
        <w:pStyle w:val="Style33"/>
        <w:keepNext w:val="0"/>
        <w:keepLines w:val="0"/>
        <w:widowControl w:val="0"/>
        <w:shd w:val="clear" w:color="auto" w:fill="auto"/>
        <w:tabs>
          <w:tab w:pos="996" w:val="left"/>
        </w:tabs>
        <w:bidi w:val="0"/>
        <w:spacing w:before="0" w:after="0" w:line="275" w:lineRule="exact"/>
        <w:ind w:left="0" w:right="0" w:firstLine="440"/>
        <w:jc w:val="both"/>
      </w:pPr>
      <w:bookmarkStart w:id="277" w:name="bookmark277"/>
      <w:r>
        <w:rPr>
          <w:color w:val="000000"/>
          <w:spacing w:val="0"/>
          <w:w w:val="100"/>
          <w:position w:val="0"/>
        </w:rPr>
        <w:t>（</w:t>
      </w:r>
      <w:bookmarkEnd w:id="277"/>
      <w:r>
        <w:rPr>
          <w:rFonts w:ascii="Times New Roman" w:eastAsia="Times New Roman" w:hAnsi="Times New Roman" w:cs="Times New Roman"/>
          <w:color w:val="000000"/>
          <w:spacing w:val="0"/>
          <w:w w:val="100"/>
          <w:position w:val="0"/>
        </w:rPr>
        <w:t>6</w:t>
      </w:r>
      <w:r>
        <w:rPr>
          <w:color w:val="000000"/>
          <w:spacing w:val="0"/>
          <w:w w:val="100"/>
          <w:position w:val="0"/>
        </w:rPr>
        <w:t>）</w:t>
        <w:tab/>
        <w:t>增加证券公司研究院的投入，以内部培养与引进外部团队相结合方式增加研究力量，提升国盛 研究在行业内的影响力和号召力，从而为证券公司的经纪等相关业务提供智力支持，增强国盛证券的品牌 形象。</w:t>
      </w:r>
    </w:p>
    <w:p>
      <w:pPr>
        <w:pStyle w:val="Style33"/>
        <w:keepNext w:val="0"/>
        <w:keepLines w:val="0"/>
        <w:widowControl w:val="0"/>
        <w:shd w:val="clear" w:color="auto" w:fill="auto"/>
        <w:tabs>
          <w:tab w:pos="996" w:val="left"/>
        </w:tabs>
        <w:bidi w:val="0"/>
        <w:spacing w:before="0" w:after="0" w:line="275" w:lineRule="exact"/>
        <w:ind w:left="0" w:right="0" w:firstLine="440"/>
        <w:jc w:val="both"/>
      </w:pPr>
      <w:bookmarkStart w:id="278" w:name="bookmark278"/>
      <w:r>
        <w:rPr>
          <w:color w:val="000000"/>
          <w:spacing w:val="0"/>
          <w:w w:val="100"/>
          <w:position w:val="0"/>
        </w:rPr>
        <w:t>（</w:t>
      </w:r>
      <w:bookmarkEnd w:id="278"/>
      <w:r>
        <w:rPr>
          <w:rFonts w:ascii="Times New Roman" w:eastAsia="Times New Roman" w:hAnsi="Times New Roman" w:cs="Times New Roman"/>
          <w:color w:val="000000"/>
          <w:spacing w:val="0"/>
          <w:w w:val="100"/>
          <w:position w:val="0"/>
        </w:rPr>
        <w:t>7</w:t>
      </w:r>
      <w:r>
        <w:rPr>
          <w:color w:val="000000"/>
          <w:spacing w:val="0"/>
          <w:w w:val="100"/>
          <w:position w:val="0"/>
        </w:rPr>
        <w:t>）</w:t>
        <w:tab/>
        <w:t>规划和布局证券公司的国际业务，引进相应的专业人才，为证券公司开展国际业务做好业务和 人才的准备工作。</w:t>
      </w:r>
    </w:p>
    <w:p>
      <w:pPr>
        <w:pStyle w:val="Style33"/>
        <w:keepNext w:val="0"/>
        <w:keepLines w:val="0"/>
        <w:widowControl w:val="0"/>
        <w:shd w:val="clear" w:color="auto" w:fill="auto"/>
        <w:tabs>
          <w:tab w:pos="859" w:val="left"/>
        </w:tabs>
        <w:bidi w:val="0"/>
        <w:spacing w:before="0" w:after="0" w:line="275" w:lineRule="exact"/>
        <w:ind w:left="0" w:right="0" w:firstLine="440"/>
        <w:jc w:val="both"/>
      </w:pPr>
      <w:bookmarkStart w:id="279" w:name="bookmark279"/>
      <w:r>
        <w:rPr>
          <w:rFonts w:ascii="Times New Roman" w:eastAsia="Times New Roman" w:hAnsi="Times New Roman" w:cs="Times New Roman"/>
          <w:color w:val="000000"/>
          <w:spacing w:val="0"/>
          <w:w w:val="100"/>
          <w:position w:val="0"/>
        </w:rPr>
        <w:t>4</w:t>
      </w:r>
      <w:bookmarkEnd w:id="279"/>
      <w:r>
        <w:rPr>
          <w:color w:val="000000"/>
          <w:spacing w:val="0"/>
          <w:w w:val="100"/>
          <w:position w:val="0"/>
        </w:rPr>
        <w:t>、</w:t>
        <w:tab/>
        <w:t>继续布局互联网金控平台建设</w:t>
      </w:r>
    </w:p>
    <w:p>
      <w:pPr>
        <w:pStyle w:val="Style33"/>
        <w:keepNext w:val="0"/>
        <w:keepLines w:val="0"/>
        <w:widowControl w:val="0"/>
        <w:shd w:val="clear" w:color="auto" w:fill="auto"/>
        <w:bidi w:val="0"/>
        <w:spacing w:before="0" w:after="0" w:line="275" w:lineRule="exact"/>
        <w:ind w:left="0" w:right="0" w:firstLine="440"/>
        <w:jc w:val="both"/>
      </w:pPr>
      <w:r>
        <w:rPr>
          <w:color w:val="000000"/>
          <w:spacing w:val="0"/>
          <w:w w:val="100"/>
          <w:position w:val="0"/>
        </w:rPr>
        <w:t>公司将继续推进现有保险公司、小额贷款公司等项目核准、筹建；着手推进消费金融公司的申请设立 工作；加强对其他金融业务板块的研究和调研工作，适时开展并推进各类金融业务的落地及整合工作；完 善投资管理业务运作机制，提高投研团队对市场需求的响应速度和投资机会发现能力，提高投资项目的执 行能力。</w:t>
      </w:r>
    </w:p>
    <w:p>
      <w:pPr>
        <w:pStyle w:val="Style33"/>
        <w:keepNext w:val="0"/>
        <w:keepLines w:val="0"/>
        <w:widowControl w:val="0"/>
        <w:shd w:val="clear" w:color="auto" w:fill="auto"/>
        <w:tabs>
          <w:tab w:pos="859" w:val="left"/>
        </w:tabs>
        <w:bidi w:val="0"/>
        <w:spacing w:before="0" w:after="0" w:line="275" w:lineRule="exact"/>
        <w:ind w:left="0" w:right="0" w:firstLine="440"/>
        <w:jc w:val="both"/>
      </w:pPr>
      <w:bookmarkStart w:id="280" w:name="bookmark280"/>
      <w:r>
        <w:rPr>
          <w:rFonts w:ascii="Times New Roman" w:eastAsia="Times New Roman" w:hAnsi="Times New Roman" w:cs="Times New Roman"/>
          <w:color w:val="000000"/>
          <w:spacing w:val="0"/>
          <w:w w:val="100"/>
          <w:position w:val="0"/>
        </w:rPr>
        <w:t>5</w:t>
      </w:r>
      <w:bookmarkEnd w:id="280"/>
      <w:r>
        <w:rPr>
          <w:color w:val="000000"/>
          <w:spacing w:val="0"/>
          <w:w w:val="100"/>
          <w:position w:val="0"/>
        </w:rPr>
        <w:t>、</w:t>
        <w:tab/>
        <w:t>增强投研能力、大力拓展投资业务</w:t>
      </w:r>
    </w:p>
    <w:p>
      <w:pPr>
        <w:pStyle w:val="Style33"/>
        <w:keepNext w:val="0"/>
        <w:keepLines w:val="0"/>
        <w:widowControl w:val="0"/>
        <w:shd w:val="clear" w:color="auto" w:fill="auto"/>
        <w:bidi w:val="0"/>
        <w:spacing w:before="0" w:after="0" w:line="275" w:lineRule="exact"/>
        <w:ind w:left="0" w:right="0" w:firstLine="440"/>
        <w:jc w:val="both"/>
      </w:pPr>
      <w:r>
        <w:rPr>
          <w:color w:val="000000"/>
          <w:spacing w:val="0"/>
          <w:w w:val="100"/>
          <w:position w:val="0"/>
        </w:rPr>
        <w:t>公司投资业务板块将重点围绕金融各个细分领域的股权投资项目开展。公司首先要做好陆金所和趣店 集团的投后管理工作，以</w:t>
      </w:r>
      <w:r>
        <w:rPr>
          <w:rFonts w:ascii="Times New Roman" w:eastAsia="Times New Roman" w:hAnsi="Times New Roman" w:cs="Times New Roman"/>
          <w:color w:val="000000"/>
          <w:spacing w:val="0"/>
          <w:w w:val="100"/>
          <w:position w:val="0"/>
        </w:rPr>
        <w:t>ABS</w:t>
      </w:r>
      <w:r>
        <w:rPr>
          <w:color w:val="000000"/>
          <w:spacing w:val="0"/>
          <w:w w:val="100"/>
          <w:position w:val="0"/>
        </w:rPr>
        <w:t>产品服务为切入点，增强所投公司与公司现有证券业务的协同效应；其次, 继续寻求新的股权投资机会，在确保公司投资收益的同时，以投资为纽带，增强公司业务协同；尝试利用 各种市场工具拓展股权投资的行业领域和投资形式，做大做强公司的投资业务板块。</w:t>
      </w:r>
    </w:p>
    <w:p>
      <w:pPr>
        <w:pStyle w:val="Style33"/>
        <w:keepNext w:val="0"/>
        <w:keepLines w:val="0"/>
        <w:widowControl w:val="0"/>
        <w:shd w:val="clear" w:color="auto" w:fill="auto"/>
        <w:tabs>
          <w:tab w:pos="859" w:val="left"/>
        </w:tabs>
        <w:bidi w:val="0"/>
        <w:spacing w:before="0" w:after="0" w:line="275" w:lineRule="exact"/>
        <w:ind w:left="0" w:right="0" w:firstLine="440"/>
        <w:jc w:val="both"/>
      </w:pPr>
      <w:bookmarkStart w:id="281" w:name="bookmark281"/>
      <w:r>
        <w:rPr>
          <w:rFonts w:ascii="Times New Roman" w:eastAsia="Times New Roman" w:hAnsi="Times New Roman" w:cs="Times New Roman"/>
          <w:color w:val="000000"/>
          <w:spacing w:val="0"/>
          <w:w w:val="100"/>
          <w:position w:val="0"/>
        </w:rPr>
        <w:t>6</w:t>
      </w:r>
      <w:bookmarkEnd w:id="281"/>
      <w:r>
        <w:rPr>
          <w:color w:val="000000"/>
          <w:spacing w:val="0"/>
          <w:w w:val="100"/>
          <w:position w:val="0"/>
        </w:rPr>
        <w:t>、</w:t>
        <w:tab/>
        <w:t>设立金融科技公司，打造金控平台的科技基础</w:t>
      </w:r>
    </w:p>
    <w:p>
      <w:pPr>
        <w:pStyle w:val="Style33"/>
        <w:keepNext w:val="0"/>
        <w:keepLines w:val="0"/>
        <w:widowControl w:val="0"/>
        <w:shd w:val="clear" w:color="auto" w:fill="auto"/>
        <w:bidi w:val="0"/>
        <w:spacing w:before="0" w:after="280" w:line="275"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月设立前海科技，并拟于珠海横琴设立金融科技公司（以下简称横琴科技）。前海科 技和横琴科技将成为公司打造互联网金控平台的科技基础。前海科技和横琴科技将陆续引进金融科技领域 专业人才，致力于利用大数据、云计算等技术手段提升和改进公司金融模块业务的服务能力，其产品和服 务主要满足于公司金融板块企业和业务的需求。</w:t>
      </w:r>
    </w:p>
    <w:p>
      <w:pPr>
        <w:pStyle w:val="Style33"/>
        <w:keepNext w:val="0"/>
        <w:keepLines w:val="0"/>
        <w:widowControl w:val="0"/>
        <w:shd w:val="clear" w:color="auto" w:fill="auto"/>
        <w:bidi w:val="0"/>
        <w:spacing w:before="0" w:after="0" w:line="240" w:lineRule="auto"/>
        <w:ind w:left="0" w:right="0" w:firstLine="560"/>
        <w:jc w:val="both"/>
      </w:pPr>
      <w:bookmarkStart w:id="282" w:name="bookmark282"/>
      <w:r>
        <w:rPr>
          <w:b/>
          <w:bCs/>
          <w:color w:val="000000"/>
          <w:spacing w:val="0"/>
          <w:w w:val="100"/>
          <w:position w:val="0"/>
        </w:rPr>
        <w:t>（</w:t>
      </w:r>
      <w:bookmarkEnd w:id="282"/>
      <w:r>
        <w:rPr>
          <w:b/>
          <w:bCs/>
          <w:color w:val="000000"/>
          <w:spacing w:val="0"/>
          <w:w w:val="100"/>
          <w:position w:val="0"/>
        </w:rPr>
        <w:t>三）未来重点资本支出计划</w:t>
      </w:r>
    </w:p>
    <w:p>
      <w:pPr>
        <w:pStyle w:val="Style33"/>
        <w:keepNext w:val="0"/>
        <w:keepLines w:val="0"/>
        <w:widowControl w:val="0"/>
        <w:shd w:val="clear" w:color="auto" w:fill="auto"/>
        <w:bidi w:val="0"/>
        <w:spacing w:before="0" w:after="300" w:line="302" w:lineRule="exact"/>
        <w:ind w:left="0" w:right="0" w:firstLine="440"/>
        <w:jc w:val="both"/>
      </w:pPr>
      <w:r>
        <w:rPr>
          <w:color w:val="000000"/>
          <w:spacing w:val="0"/>
          <w:w w:val="100"/>
          <w:position w:val="0"/>
        </w:rPr>
        <w:t>根据发展规划，公司将通过内生式和外延式的发展，逐步进入保险、信托、投资等领域，构建互联网 金控平台。</w:t>
      </w:r>
      <w:r>
        <w:rPr>
          <w:color w:val="000000"/>
          <w:spacing w:val="0"/>
          <w:w w:val="100"/>
          <w:position w:val="0"/>
        </w:rPr>
        <w:t>2017</w:t>
      </w:r>
      <w:r>
        <w:rPr>
          <w:color w:val="000000"/>
          <w:spacing w:val="0"/>
          <w:w w:val="100"/>
          <w:position w:val="0"/>
        </w:rPr>
        <w:t>年公司无重大基建扩能类项目投资计划。</w:t>
      </w:r>
    </w:p>
    <w:p>
      <w:pPr>
        <w:pStyle w:val="Style33"/>
        <w:keepNext w:val="0"/>
        <w:keepLines w:val="0"/>
        <w:widowControl w:val="0"/>
        <w:shd w:val="clear" w:color="auto" w:fill="auto"/>
        <w:bidi w:val="0"/>
        <w:spacing w:before="0" w:after="0" w:line="314" w:lineRule="exact"/>
        <w:ind w:left="0" w:right="0" w:firstLine="440"/>
        <w:jc w:val="both"/>
      </w:pPr>
      <w:bookmarkStart w:id="283" w:name="bookmark283"/>
      <w:r>
        <w:rPr>
          <w:b/>
          <w:bCs/>
          <w:color w:val="000000"/>
          <w:spacing w:val="0"/>
          <w:w w:val="100"/>
          <w:position w:val="0"/>
        </w:rPr>
        <w:t>（</w:t>
      </w:r>
      <w:bookmarkEnd w:id="283"/>
      <w:r>
        <w:rPr>
          <w:b/>
          <w:bCs/>
          <w:color w:val="000000"/>
          <w:spacing w:val="0"/>
          <w:w w:val="100"/>
          <w:position w:val="0"/>
        </w:rPr>
        <w:t>四）公司未来发展面临的主要风险</w:t>
      </w:r>
    </w:p>
    <w:p>
      <w:pPr>
        <w:pStyle w:val="Style33"/>
        <w:keepNext w:val="0"/>
        <w:keepLines w:val="0"/>
        <w:widowControl w:val="0"/>
        <w:shd w:val="clear" w:color="auto" w:fill="auto"/>
        <w:tabs>
          <w:tab w:pos="790" w:val="left"/>
        </w:tabs>
        <w:bidi w:val="0"/>
        <w:spacing w:before="0" w:after="0" w:line="314" w:lineRule="exact"/>
        <w:ind w:left="0" w:right="0" w:firstLine="440"/>
        <w:jc w:val="both"/>
      </w:pPr>
      <w:bookmarkStart w:id="284" w:name="bookmark284"/>
      <w:r>
        <w:rPr>
          <w:rFonts w:ascii="Times New Roman" w:eastAsia="Times New Roman" w:hAnsi="Times New Roman" w:cs="Times New Roman"/>
          <w:color w:val="000000"/>
          <w:spacing w:val="0"/>
          <w:w w:val="100"/>
          <w:position w:val="0"/>
        </w:rPr>
        <w:t>1</w:t>
      </w:r>
      <w:bookmarkEnd w:id="284"/>
      <w:r>
        <w:rPr>
          <w:color w:val="000000"/>
          <w:spacing w:val="0"/>
          <w:w w:val="100"/>
          <w:position w:val="0"/>
        </w:rPr>
        <w:t>、</w:t>
        <w:tab/>
        <w:t>公司拟将自身打造为互联网金控平台，管理金融、制造、投资三大模块业务，各模块业务在经营 模式、内部运营管理体系等方面存在较大差异，公司需在企业文化及资产、人员、财务等方面对其进行整 合，能否实现顺利整合及整合后能否达到预期效果，存在一定的不确定性。</w:t>
      </w:r>
    </w:p>
    <w:p>
      <w:pPr>
        <w:pStyle w:val="Style33"/>
        <w:keepNext w:val="0"/>
        <w:keepLines w:val="0"/>
        <w:widowControl w:val="0"/>
        <w:shd w:val="clear" w:color="auto" w:fill="auto"/>
        <w:tabs>
          <w:tab w:pos="790" w:val="left"/>
        </w:tabs>
        <w:bidi w:val="0"/>
        <w:spacing w:before="0" w:after="0" w:line="324" w:lineRule="exact"/>
        <w:ind w:left="0" w:right="0" w:firstLine="440"/>
        <w:jc w:val="both"/>
      </w:pPr>
      <w:bookmarkStart w:id="285" w:name="bookmark285"/>
      <w:r>
        <w:rPr>
          <w:rFonts w:ascii="Times New Roman" w:eastAsia="Times New Roman" w:hAnsi="Times New Roman" w:cs="Times New Roman"/>
          <w:color w:val="000000"/>
          <w:spacing w:val="0"/>
          <w:w w:val="100"/>
          <w:position w:val="0"/>
        </w:rPr>
        <w:t>2</w:t>
      </w:r>
      <w:bookmarkEnd w:id="285"/>
      <w:r>
        <w:rPr>
          <w:color w:val="000000"/>
          <w:spacing w:val="0"/>
          <w:w w:val="100"/>
          <w:position w:val="0"/>
        </w:rPr>
        <w:t>、</w:t>
        <w:tab/>
        <w:t>我国证券市场行业的周期性波动对证券公司的经营业绩有较大影响，证券市场的景气度将影响证 券公司经纪、自营、投资银行与资产管理等业务。</w:t>
      </w:r>
    </w:p>
    <w:p>
      <w:pPr>
        <w:pStyle w:val="Style33"/>
        <w:keepNext w:val="0"/>
        <w:keepLines w:val="0"/>
        <w:widowControl w:val="0"/>
        <w:shd w:val="clear" w:color="auto" w:fill="auto"/>
        <w:tabs>
          <w:tab w:pos="790" w:val="left"/>
        </w:tabs>
        <w:bidi w:val="0"/>
        <w:spacing w:before="0" w:after="0" w:line="324" w:lineRule="exact"/>
        <w:ind w:left="0" w:right="0" w:firstLine="440"/>
        <w:jc w:val="both"/>
      </w:pPr>
      <w:bookmarkStart w:id="286" w:name="bookmark286"/>
      <w:r>
        <w:rPr>
          <w:color w:val="000000"/>
          <w:spacing w:val="0"/>
          <w:w w:val="100"/>
          <w:position w:val="0"/>
        </w:rPr>
        <w:t>3</w:t>
      </w:r>
      <w:bookmarkEnd w:id="286"/>
      <w:r>
        <w:rPr>
          <w:color w:val="000000"/>
          <w:spacing w:val="0"/>
          <w:w w:val="100"/>
          <w:position w:val="0"/>
        </w:rPr>
        <w:t>、</w:t>
        <w:tab/>
        <w:t>公司投资业务受宏观经济形势、金融市场政策等因素影响以及公司对投资标的的风险判断及控制 能力影响，存在经营风险。</w:t>
      </w:r>
    </w:p>
    <w:p>
      <w:pPr>
        <w:pStyle w:val="Style33"/>
        <w:keepNext w:val="0"/>
        <w:keepLines w:val="0"/>
        <w:widowControl w:val="0"/>
        <w:shd w:val="clear" w:color="auto" w:fill="auto"/>
        <w:tabs>
          <w:tab w:pos="790" w:val="left"/>
        </w:tabs>
        <w:bidi w:val="0"/>
        <w:spacing w:before="0" w:after="360" w:line="326" w:lineRule="exact"/>
        <w:ind w:left="0" w:right="0" w:firstLine="440"/>
        <w:jc w:val="both"/>
      </w:pPr>
      <w:bookmarkStart w:id="287" w:name="bookmark287"/>
      <w:r>
        <w:rPr>
          <w:color w:val="000000"/>
          <w:spacing w:val="0"/>
          <w:w w:val="100"/>
          <w:position w:val="0"/>
        </w:rPr>
        <w:t>4</w:t>
      </w:r>
      <w:bookmarkEnd w:id="287"/>
      <w:r>
        <w:rPr>
          <w:color w:val="000000"/>
          <w:spacing w:val="0"/>
          <w:w w:val="100"/>
          <w:position w:val="0"/>
        </w:rPr>
        <w:t>、</w:t>
        <w:tab/>
        <w:t>公司应用于家电产品的线缆业务存在客户集中风险，相关业务明显的季节性加剧了劳动力成本上 升对经营的压力，另外，家电市场需求受经济形势和宏观调控的影响较大。</w:t>
      </w:r>
    </w:p>
    <w:p>
      <w:pPr>
        <w:pStyle w:val="Style23"/>
        <w:keepNext/>
        <w:keepLines/>
        <w:widowControl w:val="0"/>
        <w:shd w:val="clear" w:color="auto" w:fill="auto"/>
        <w:bidi w:val="0"/>
        <w:spacing w:before="0" w:after="300" w:line="240" w:lineRule="auto"/>
        <w:ind w:left="0" w:right="0" w:firstLine="0"/>
        <w:jc w:val="left"/>
        <w:rPr>
          <w:sz w:val="22"/>
          <w:szCs w:val="22"/>
        </w:rPr>
      </w:pPr>
      <w:bookmarkStart w:id="288" w:name="bookmark288"/>
      <w:bookmarkStart w:id="289" w:name="bookmark289"/>
      <w:bookmarkStart w:id="290" w:name="bookmark290"/>
      <w:r>
        <w:rPr>
          <w:b/>
          <w:bCs/>
          <w:color w:val="000000"/>
          <w:spacing w:val="0"/>
          <w:w w:val="100"/>
          <w:position w:val="0"/>
          <w:sz w:val="22"/>
          <w:szCs w:val="22"/>
        </w:rPr>
        <w:t>十、接待调研、沟通、采访等活动</w:t>
      </w:r>
      <w:bookmarkEnd w:id="288"/>
      <w:bookmarkEnd w:id="289"/>
      <w:bookmarkEnd w:id="290"/>
    </w:p>
    <w:p>
      <w:pPr>
        <w:pStyle w:val="Style26"/>
        <w:keepNext w:val="0"/>
        <w:keepLines w:val="0"/>
        <w:widowControl w:val="0"/>
        <w:shd w:val="clear" w:color="auto" w:fill="auto"/>
        <w:tabs>
          <w:tab w:pos="7982" w:val="left"/>
        </w:tabs>
        <w:bidi w:val="0"/>
        <w:spacing w:before="0" w:after="0" w:line="240" w:lineRule="auto"/>
        <w:ind w:left="0" w:right="0" w:firstLine="0"/>
        <w:jc w:val="center"/>
      </w:pPr>
      <w:bookmarkStart w:id="291" w:name="bookmark291"/>
      <w:r>
        <w:rPr>
          <w:rFonts w:ascii="Times New Roman" w:eastAsia="Times New Roman" w:hAnsi="Times New Roman" w:cs="Times New Roman"/>
          <w:b/>
          <w:bCs/>
          <w:color w:val="000000"/>
          <w:spacing w:val="0"/>
          <w:w w:val="100"/>
          <w:position w:val="0"/>
        </w:rPr>
        <w:t>1</w:t>
      </w:r>
      <w:r>
        <w:rPr>
          <w:b/>
          <w:bCs/>
          <w:color w:val="000000"/>
          <w:spacing w:val="0"/>
          <w:w w:val="100"/>
          <w:position w:val="0"/>
        </w:rPr>
        <w:t>、报告期内接待调研、沟通、采访等活动登记表</w:t>
        <w:tab/>
      </w: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291"/>
    </w:p>
    <w:tbl>
      <w:tblPr>
        <w:tblOverlap w:val="never"/>
        <w:jc w:val="center"/>
        <w:tblLayout w:type="fixed"/>
      </w:tblPr>
      <w:tblGrid>
        <w:gridCol w:w="2184"/>
        <w:gridCol w:w="1080"/>
        <w:gridCol w:w="1560"/>
        <w:gridCol w:w="475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接待对象类型</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调研的基本情况索引</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披露于巨潮资讯网（</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xml:space="preserve">. com. cn </w:t>
            </w:r>
            <w:r>
              <w:rPr>
                <w:color w:val="000000"/>
                <w:spacing w:val="0"/>
                <w:w w:val="100"/>
                <w:position w:val="0"/>
              </w:rPr>
              <w:t>）的《投资 者关系活动记录表》（编号：</w:t>
            </w:r>
            <w:r>
              <w:rPr>
                <w:rFonts w:ascii="Times New Roman" w:eastAsia="Times New Roman" w:hAnsi="Times New Roman" w:cs="Times New Roman"/>
                <w:color w:val="000000"/>
                <w:spacing w:val="0"/>
                <w:w w:val="100"/>
                <w:position w:val="0"/>
              </w:rPr>
              <w:t>2016-001</w:t>
            </w:r>
            <w:r>
              <w:rPr>
                <w:color w:val="000000"/>
                <w:spacing w:val="0"/>
                <w:w w:val="100"/>
                <w:position w:val="0"/>
              </w:rPr>
              <w:t>）</w:t>
            </w: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披露于巨潮资讯网（</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xml:space="preserve">. com. cn </w:t>
            </w:r>
            <w:r>
              <w:rPr>
                <w:color w:val="000000"/>
                <w:spacing w:val="0"/>
                <w:w w:val="100"/>
                <w:position w:val="0"/>
              </w:rPr>
              <w:t>）的《投资 者关系活动记录表》（编号：</w:t>
            </w:r>
            <w:r>
              <w:rPr>
                <w:rFonts w:ascii="Times New Roman" w:eastAsia="Times New Roman" w:hAnsi="Times New Roman" w:cs="Times New Roman"/>
                <w:color w:val="000000"/>
                <w:spacing w:val="0"/>
                <w:w w:val="100"/>
                <w:position w:val="0"/>
              </w:rPr>
              <w:t>2016-002</w:t>
            </w:r>
            <w:r>
              <w:rPr>
                <w:color w:val="000000"/>
                <w:spacing w:val="0"/>
                <w:w w:val="100"/>
                <w:position w:val="0"/>
              </w:rPr>
              <w:t>）</w:t>
            </w:r>
          </w:p>
        </w:tc>
      </w:tr>
    </w:tbl>
    <w:p>
      <w:pPr>
        <w:sectPr>
          <w:headerReference w:type="default" r:id="rId15"/>
          <w:footerReference w:type="default" r:id="rId16"/>
          <w:footnotePr>
            <w:pos w:val="pageBottom"/>
            <w:numFmt w:val="decimal"/>
            <w:numRestart w:val="continuous"/>
          </w:footnotePr>
          <w:pgSz w:w="11900" w:h="16840"/>
          <w:pgMar w:top="1412" w:right="1024" w:bottom="1527" w:left="1088" w:header="0" w:footer="3" w:gutter="0"/>
          <w:cols w:space="720"/>
          <w:noEndnote/>
          <w:rtlGutter w:val="0"/>
          <w:docGrid w:linePitch="360"/>
        </w:sectPr>
      </w:pPr>
    </w:p>
    <w:p>
      <w:pPr>
        <w:pStyle w:val="Style12"/>
        <w:keepNext/>
        <w:keepLines/>
        <w:widowControl w:val="0"/>
        <w:shd w:val="clear" w:color="auto" w:fill="auto"/>
        <w:bidi w:val="0"/>
        <w:spacing w:before="440" w:line="240" w:lineRule="auto"/>
        <w:ind w:left="0" w:right="0" w:firstLine="0"/>
        <w:jc w:val="center"/>
      </w:pPr>
      <w:bookmarkStart w:id="292" w:name="bookmark292"/>
      <w:bookmarkStart w:id="293" w:name="bookmark293"/>
      <w:bookmarkStart w:id="294" w:name="bookmark294"/>
      <w:r>
        <w:rPr>
          <w:color w:val="000000"/>
          <w:spacing w:val="0"/>
          <w:w w:val="100"/>
          <w:position w:val="0"/>
        </w:rPr>
        <w:t>第五节重要事项</w:t>
      </w:r>
      <w:bookmarkEnd w:id="292"/>
      <w:bookmarkEnd w:id="293"/>
      <w:bookmarkEnd w:id="294"/>
    </w:p>
    <w:p>
      <w:pPr>
        <w:pStyle w:val="Style23"/>
        <w:keepNext/>
        <w:keepLines/>
        <w:widowControl w:val="0"/>
        <w:shd w:val="clear" w:color="auto" w:fill="auto"/>
        <w:bidi w:val="0"/>
        <w:spacing w:before="0" w:after="340" w:line="240" w:lineRule="auto"/>
        <w:ind w:left="0" w:right="0" w:firstLine="0"/>
        <w:jc w:val="left"/>
        <w:rPr>
          <w:sz w:val="22"/>
          <w:szCs w:val="22"/>
        </w:rPr>
      </w:pPr>
      <w:bookmarkStart w:id="295" w:name="bookmark295"/>
      <w:bookmarkStart w:id="296" w:name="bookmark296"/>
      <w:bookmarkStart w:id="297" w:name="bookmark297"/>
      <w:bookmarkStart w:id="298" w:name="bookmark298"/>
      <w:r>
        <w:rPr>
          <w:b/>
          <w:bCs/>
          <w:color w:val="000000"/>
          <w:spacing w:val="0"/>
          <w:w w:val="100"/>
          <w:position w:val="0"/>
          <w:sz w:val="22"/>
          <w:szCs w:val="22"/>
        </w:rPr>
        <w:t>一</w:t>
      </w:r>
      <w:bookmarkEnd w:id="297"/>
      <w:r>
        <w:rPr>
          <w:b/>
          <w:bCs/>
          <w:color w:val="000000"/>
          <w:spacing w:val="0"/>
          <w:w w:val="100"/>
          <w:position w:val="0"/>
          <w:sz w:val="22"/>
          <w:szCs w:val="22"/>
        </w:rPr>
        <w:t>、公司普通股利润分配及资本公积金转增股本情况</w:t>
      </w:r>
      <w:bookmarkEnd w:id="295"/>
      <w:bookmarkEnd w:id="296"/>
      <w:bookmarkEnd w:id="298"/>
    </w:p>
    <w:p>
      <w:pPr>
        <w:pStyle w:val="Style26"/>
        <w:keepNext w:val="0"/>
        <w:keepLines w:val="0"/>
        <w:widowControl w:val="0"/>
        <w:shd w:val="clear" w:color="auto" w:fill="auto"/>
        <w:tabs>
          <w:tab w:pos="7872" w:val="left"/>
        </w:tabs>
        <w:bidi w:val="0"/>
        <w:spacing w:before="0" w:after="100" w:line="240" w:lineRule="auto"/>
        <w:ind w:left="0" w:right="0" w:firstLine="0"/>
        <w:jc w:val="center"/>
      </w:pPr>
      <w:r>
        <w:rPr>
          <w:color w:val="000000"/>
          <w:spacing w:val="0"/>
          <w:w w:val="100"/>
          <w:position w:val="0"/>
        </w:rPr>
        <w:t>报告期内普通股利润分配政策，特别是现金分红政策的制定、执行或调整情况</w:t>
        <w:tab/>
      </w: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报告期内，公司修改公司章程，对利润分配政策（含现金分红政策）相关条款进行了修订。</w:t>
      </w:r>
    </w:p>
    <w:tbl>
      <w:tblPr>
        <w:tblOverlap w:val="never"/>
        <w:jc w:val="center"/>
        <w:tblLayout w:type="fixed"/>
      </w:tblPr>
      <w:tblGrid>
        <w:gridCol w:w="7517"/>
        <w:gridCol w:w="2064"/>
      </w:tblGrid>
      <w:tr>
        <w:trPr>
          <w:trHeight w:val="403" w:hRule="exact"/>
        </w:trPr>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中小股东是否有充分表达意见和诉求的机会，其合法权益是否得到了充分保护：</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现金分红政策进行调整或变更的，条件及程序是否合规、透明：</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bl>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rPr>
        <w:t>3</w:t>
      </w:r>
      <w:r>
        <w:rPr>
          <w:color w:val="000000"/>
          <w:spacing w:val="0"/>
          <w:w w:val="100"/>
          <w:position w:val="0"/>
        </w:rPr>
        <w:t>年（包括本报告期）的普通股股利分配方案（预案）、资本公积金转增股本方案（预案）情况</w:t>
      </w:r>
    </w:p>
    <w:p>
      <w:pPr>
        <w:pStyle w:val="Style26"/>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年度利润分配预案</w:t>
      </w:r>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2016</w:t>
      </w:r>
      <w:r>
        <w:rPr>
          <w:color w:val="000000"/>
          <w:spacing w:val="0"/>
          <w:w w:val="100"/>
          <w:position w:val="0"/>
        </w:rPr>
        <w:t>年度利润分配预案为：以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rPr>
        <w:t>936,127,750</w:t>
      </w:r>
      <w:r>
        <w:rPr>
          <w:color w:val="000000"/>
          <w:spacing w:val="0"/>
          <w:w w:val="100"/>
          <w:position w:val="0"/>
        </w:rPr>
        <w:t>股为基数，向全体股东共计</w:t>
      </w:r>
    </w:p>
    <w:p>
      <w:pPr>
        <w:pStyle w:val="Style33"/>
        <w:keepNext w:val="0"/>
        <w:keepLines w:val="0"/>
        <w:widowControl w:val="0"/>
        <w:shd w:val="clear" w:color="auto" w:fill="auto"/>
        <w:bidi w:val="0"/>
        <w:spacing w:before="0" w:after="80" w:line="312" w:lineRule="exact"/>
        <w:ind w:left="0" w:right="0" w:firstLine="0"/>
        <w:jc w:val="left"/>
      </w:pPr>
      <w:r>
        <w:rPr>
          <w:color w:val="000000"/>
          <w:spacing w:val="0"/>
          <w:w w:val="100"/>
          <w:position w:val="0"/>
        </w:rPr>
        <w:t>分配利润人民币</w:t>
      </w:r>
      <w:r>
        <w:rPr>
          <w:rFonts w:ascii="Times New Roman" w:eastAsia="Times New Roman" w:hAnsi="Times New Roman" w:cs="Times New Roman"/>
          <w:color w:val="000000"/>
          <w:spacing w:val="0"/>
          <w:w w:val="100"/>
          <w:position w:val="0"/>
        </w:rPr>
        <w:t>18,722,555.00</w:t>
      </w:r>
      <w:r>
        <w:rPr>
          <w:color w:val="000000"/>
          <w:spacing w:val="0"/>
          <w:w w:val="100"/>
          <w:position w:val="0"/>
        </w:rPr>
        <w:t>元整，即每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.20</w:t>
      </w:r>
      <w:r>
        <w:rPr>
          <w:color w:val="000000"/>
          <w:spacing w:val="0"/>
          <w:w w:val="100"/>
          <w:position w:val="0"/>
        </w:rPr>
        <w:t xml:space="preserve">元（含税），以资本公积金向全体股东每 </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6</w:t>
      </w:r>
      <w:r>
        <w:rPr>
          <w:color w:val="000000"/>
          <w:spacing w:val="0"/>
          <w:w w:val="100"/>
          <w:position w:val="0"/>
        </w:rPr>
        <w:t>股。</w:t>
      </w:r>
    </w:p>
    <w:p>
      <w:pPr>
        <w:pStyle w:val="Style33"/>
        <w:keepNext w:val="0"/>
        <w:keepLines w:val="0"/>
        <w:widowControl w:val="0"/>
        <w:shd w:val="clear" w:color="auto" w:fill="auto"/>
        <w:bidi w:val="0"/>
        <w:spacing w:before="0" w:after="0" w:line="326" w:lineRule="auto"/>
        <w:ind w:left="0" w:right="0" w:firstLine="44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2014-2015</w:t>
      </w:r>
      <w:r>
        <w:rPr>
          <w:color w:val="000000"/>
          <w:spacing w:val="0"/>
          <w:w w:val="100"/>
          <w:position w:val="0"/>
        </w:rPr>
        <w:t>年度利润分配方案</w:t>
      </w:r>
    </w:p>
    <w:p>
      <w:pPr>
        <w:pStyle w:val="Style33"/>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2015</w:t>
      </w:r>
      <w:r>
        <w:rPr>
          <w:color w:val="000000"/>
          <w:spacing w:val="0"/>
          <w:w w:val="100"/>
          <w:position w:val="0"/>
        </w:rPr>
        <w:t>年度利润分配方案为：不派发现金红利、不送红股，不以公积金转增股本。</w:t>
      </w:r>
    </w:p>
    <w:p>
      <w:pPr>
        <w:pStyle w:val="Style33"/>
        <w:keepNext w:val="0"/>
        <w:keepLines w:val="0"/>
        <w:widowControl w:val="0"/>
        <w:shd w:val="clear" w:color="auto" w:fill="auto"/>
        <w:bidi w:val="0"/>
        <w:spacing w:before="0" w:after="340" w:line="312" w:lineRule="exact"/>
        <w:ind w:left="0" w:right="0" w:firstLine="44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2014</w:t>
      </w:r>
      <w:r>
        <w:rPr>
          <w:color w:val="000000"/>
          <w:spacing w:val="0"/>
          <w:w w:val="100"/>
          <w:position w:val="0"/>
        </w:rPr>
        <w:t>年度利润分配方案为：以</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rPr>
        <w:t>20,000</w:t>
      </w:r>
      <w:r>
        <w:rPr>
          <w:color w:val="000000"/>
          <w:spacing w:val="0"/>
          <w:w w:val="100"/>
          <w:position w:val="0"/>
        </w:rPr>
        <w:t>万股为基数，向全体股东共计分 配利润人民币</w:t>
      </w:r>
      <w:r>
        <w:rPr>
          <w:rFonts w:ascii="Times New Roman" w:eastAsia="Times New Roman" w:hAnsi="Times New Roman" w:cs="Times New Roman"/>
          <w:color w:val="000000"/>
          <w:spacing w:val="0"/>
          <w:w w:val="100"/>
          <w:position w:val="0"/>
        </w:rPr>
        <w:t>8,000</w:t>
      </w:r>
      <w:r>
        <w:rPr>
          <w:color w:val="000000"/>
          <w:spacing w:val="0"/>
          <w:w w:val="100"/>
          <w:position w:val="0"/>
        </w:rPr>
        <w:t>万元整，即每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4.00</w:t>
      </w:r>
      <w:r>
        <w:rPr>
          <w:color w:val="000000"/>
          <w:spacing w:val="0"/>
          <w:w w:val="100"/>
          <w:position w:val="0"/>
        </w:rPr>
        <w:t>元（含税）。此议案经</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 xml:space="preserve">日召开的公司 </w:t>
      </w:r>
      <w:r>
        <w:rPr>
          <w:rFonts w:ascii="Times New Roman" w:eastAsia="Times New Roman" w:hAnsi="Times New Roman" w:cs="Times New Roman"/>
          <w:color w:val="000000"/>
          <w:spacing w:val="0"/>
          <w:w w:val="100"/>
          <w:position w:val="0"/>
        </w:rPr>
        <w:t>2014</w:t>
      </w:r>
      <w:r>
        <w:rPr>
          <w:color w:val="000000"/>
          <w:spacing w:val="0"/>
          <w:w w:val="100"/>
          <w:position w:val="0"/>
        </w:rPr>
        <w:t>年度股东大会审议通过后实施，并于</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日实施完毕。</w:t>
      </w:r>
    </w:p>
    <w:p>
      <w:pPr>
        <w:pStyle w:val="Style33"/>
        <w:keepNext w:val="0"/>
        <w:keepLines w:val="0"/>
        <w:widowControl w:val="0"/>
        <w:shd w:val="clear" w:color="auto" w:fill="auto"/>
        <w:bidi w:val="0"/>
        <w:spacing w:before="0" w:after="80" w:line="312" w:lineRule="exact"/>
        <w:ind w:left="0" w:right="0" w:firstLine="0"/>
        <w:jc w:val="left"/>
      </w:pPr>
      <w:r>
        <w:rPr>
          <w:color w:val="000000"/>
          <w:spacing w:val="0"/>
          <w:w w:val="100"/>
          <w:position w:val="0"/>
        </w:rPr>
        <w:t>公司近三年（包括本报告期）普通股现金分红情况表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2059"/>
        <w:gridCol w:w="1982"/>
        <w:gridCol w:w="1133"/>
        <w:gridCol w:w="1214"/>
      </w:tblGrid>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现金分红金额 （含税）</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分红年度合并报表中 归属于上市公司普通 股股东的净利润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占合并报表中归属于 上市公司普通股股东 的净利润的比率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center"/>
            </w:pPr>
            <w:r>
              <w:rPr>
                <w:color w:val="000000"/>
                <w:spacing w:val="0"/>
                <w:w w:val="100"/>
                <w:position w:val="0"/>
              </w:rPr>
              <w:t>以其他方式 现金分红的 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center"/>
            </w:pPr>
            <w:r>
              <w:rPr>
                <w:color w:val="000000"/>
                <w:spacing w:val="0"/>
                <w:w w:val="100"/>
                <w:position w:val="0"/>
              </w:rPr>
              <w:t>以其他方式 现金分红的 比例</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18,722,555.00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498,145,590.82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26,163,454.80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80,000,000.00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93,359,166.05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85.69%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0.00%</w:t>
            </w:r>
          </w:p>
        </w:tc>
      </w:tr>
    </w:tbl>
    <w:p>
      <w:pPr>
        <w:pStyle w:val="Style26"/>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r>
        <w:br w:type="page"/>
      </w:r>
    </w:p>
    <w:p>
      <w:pPr>
        <w:pStyle w:val="Style33"/>
        <w:keepNext w:val="0"/>
        <w:keepLines w:val="0"/>
        <w:widowControl w:val="0"/>
        <w:shd w:val="clear" w:color="auto" w:fill="auto"/>
        <w:tabs>
          <w:tab w:pos="7934" w:val="left"/>
        </w:tabs>
        <w:bidi w:val="0"/>
        <w:spacing w:before="0" w:after="300" w:line="240" w:lineRule="auto"/>
        <w:ind w:left="0" w:right="0" w:firstLine="0"/>
        <w:jc w:val="both"/>
      </w:pPr>
      <w:bookmarkStart w:id="299" w:name="bookmark299"/>
      <w:bookmarkStart w:id="300" w:name="bookmark300"/>
      <w:r>
        <w:rPr>
          <w:b/>
          <w:bCs/>
          <w:color w:val="000000"/>
          <w:spacing w:val="0"/>
          <w:w w:val="100"/>
          <w:position w:val="0"/>
          <w:sz w:val="22"/>
          <w:szCs w:val="22"/>
        </w:rPr>
        <w:t>二</w:t>
      </w:r>
      <w:bookmarkEnd w:id="299"/>
      <w:r>
        <w:rPr>
          <w:b/>
          <w:bCs/>
          <w:color w:val="000000"/>
          <w:spacing w:val="0"/>
          <w:w w:val="100"/>
          <w:position w:val="0"/>
          <w:sz w:val="22"/>
          <w:szCs w:val="22"/>
        </w:rPr>
        <w:t>、本报告期利润分配及资本公积金转增股本预案</w:t>
        <w:tab/>
      </w: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300"/>
    </w:p>
    <w:tbl>
      <w:tblPr>
        <w:tblOverlap w:val="never"/>
        <w:jc w:val="center"/>
        <w:tblLayout w:type="fixed"/>
      </w:tblPr>
      <w:tblGrid>
        <w:gridCol w:w="3802"/>
        <w:gridCol w:w="5779"/>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936,127,750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18,722,555.00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118,027,172.39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398" w:hRule="exact"/>
        </w:trPr>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403" w:hRule="exact"/>
        </w:trPr>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725" w:hRule="exact"/>
        </w:trPr>
        <w:tc>
          <w:tcPr>
            <w:gridSpan w:val="2"/>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440"/>
              <w:jc w:val="left"/>
            </w:pPr>
            <w:r>
              <w:rPr>
                <w:color w:val="000000"/>
                <w:spacing w:val="0"/>
                <w:w w:val="100"/>
                <w:position w:val="0"/>
              </w:rPr>
              <w:t>以截至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rPr>
              <w:t>936,127,750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股派现金红利</w:t>
            </w:r>
            <w:r>
              <w:rPr>
                <w:rFonts w:ascii="Times New Roman" w:eastAsia="Times New Roman" w:hAnsi="Times New Roman" w:cs="Times New Roman"/>
                <w:color w:val="000000"/>
                <w:spacing w:val="0"/>
                <w:w w:val="100"/>
                <w:position w:val="0"/>
              </w:rPr>
              <w:t xml:space="preserve">0.20 </w:t>
            </w:r>
            <w:r>
              <w:rPr>
                <w:color w:val="000000"/>
                <w:spacing w:val="0"/>
                <w:w w:val="100"/>
                <w:position w:val="0"/>
              </w:rPr>
              <w:t>元（含税），共计分配利润</w:t>
            </w:r>
            <w:r>
              <w:rPr>
                <w:rFonts w:ascii="Times New Roman" w:eastAsia="Times New Roman" w:hAnsi="Times New Roman" w:cs="Times New Roman"/>
                <w:color w:val="000000"/>
                <w:spacing w:val="0"/>
                <w:w w:val="100"/>
                <w:position w:val="0"/>
              </w:rPr>
              <w:t>18,722,555.00</w:t>
            </w:r>
            <w:r>
              <w:rPr>
                <w:color w:val="000000"/>
                <w:spacing w:val="0"/>
                <w:w w:val="100"/>
                <w:position w:val="0"/>
              </w:rPr>
              <w:t>元（含税），以资本公积金向全体股东每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6</w:t>
            </w:r>
            <w:r>
              <w:rPr>
                <w:color w:val="000000"/>
                <w:spacing w:val="0"/>
                <w:w w:val="100"/>
                <w:position w:val="0"/>
              </w:rPr>
              <w:t>股。</w:t>
            </w:r>
          </w:p>
        </w:tc>
      </w:tr>
    </w:tbl>
    <w:p>
      <w:pPr>
        <w:sectPr>
          <w:footnotePr>
            <w:pos w:val="pageBottom"/>
            <w:numFmt w:val="decimal"/>
            <w:numRestart w:val="continuous"/>
          </w:footnotePr>
          <w:pgSz w:w="11900" w:h="16840"/>
          <w:pgMar w:top="1484" w:right="1112" w:bottom="2684" w:left="1107" w:header="0" w:footer="3" w:gutter="0"/>
          <w:cols w:space="720"/>
          <w:noEndnote/>
          <w:rtlGutter w:val="0"/>
          <w:docGrid w:linePitch="360"/>
        </w:sectPr>
      </w:pPr>
    </w:p>
    <w:p>
      <w:pPr>
        <w:pStyle w:val="Style23"/>
        <w:keepNext/>
        <w:keepLines/>
        <w:widowControl w:val="0"/>
        <w:shd w:val="clear" w:color="auto" w:fill="auto"/>
        <w:bidi w:val="0"/>
        <w:spacing w:before="0" w:after="320" w:line="240" w:lineRule="auto"/>
        <w:ind w:left="0" w:right="0" w:firstLine="0"/>
        <w:jc w:val="left"/>
        <w:rPr>
          <w:sz w:val="22"/>
          <w:szCs w:val="22"/>
        </w:rPr>
      </w:pPr>
      <w:bookmarkStart w:id="301" w:name="bookmark301"/>
      <w:bookmarkStart w:id="302" w:name="bookmark302"/>
      <w:bookmarkStart w:id="303" w:name="bookmark303"/>
      <w:bookmarkStart w:id="304" w:name="bookmark304"/>
      <w:r>
        <w:rPr>
          <w:b/>
          <w:bCs/>
          <w:color w:val="000000"/>
          <w:spacing w:val="0"/>
          <w:w w:val="100"/>
          <w:position w:val="0"/>
          <w:sz w:val="22"/>
          <w:szCs w:val="22"/>
        </w:rPr>
        <w:t>三</w:t>
      </w:r>
      <w:bookmarkEnd w:id="303"/>
      <w:r>
        <w:rPr>
          <w:b/>
          <w:bCs/>
          <w:color w:val="000000"/>
          <w:spacing w:val="0"/>
          <w:w w:val="100"/>
          <w:position w:val="0"/>
          <w:sz w:val="22"/>
          <w:szCs w:val="22"/>
        </w:rPr>
        <w:t>、承诺事项履行情况</w:t>
      </w:r>
      <w:bookmarkEnd w:id="301"/>
      <w:bookmarkEnd w:id="302"/>
      <w:bookmarkEnd w:id="304"/>
    </w:p>
    <w:p>
      <w:pPr>
        <w:pStyle w:val="Style26"/>
        <w:keepNext w:val="0"/>
        <w:keepLines w:val="0"/>
        <w:widowControl w:val="0"/>
        <w:shd w:val="clear" w:color="auto" w:fill="auto"/>
        <w:tabs>
          <w:tab w:pos="12307" w:val="left"/>
        </w:tabs>
        <w:bidi w:val="0"/>
        <w:spacing w:before="0" w:after="0" w:line="240" w:lineRule="auto"/>
        <w:ind w:left="0" w:right="0" w:firstLine="0"/>
        <w:jc w:val="center"/>
      </w:pPr>
      <w:bookmarkStart w:id="305" w:name="bookmark305"/>
      <w:r>
        <w:rPr>
          <w:rFonts w:ascii="Times New Roman" w:eastAsia="Times New Roman" w:hAnsi="Times New Roman" w:cs="Times New Roman"/>
          <w:b/>
          <w:bCs/>
          <w:color w:val="000000"/>
          <w:spacing w:val="0"/>
          <w:w w:val="100"/>
          <w:position w:val="0"/>
        </w:rPr>
        <w:t>1</w:t>
      </w:r>
      <w:r>
        <w:rPr>
          <w:b/>
          <w:bCs/>
          <w:color w:val="000000"/>
          <w:spacing w:val="0"/>
          <w:w w:val="100"/>
          <w:position w:val="0"/>
        </w:rPr>
        <w:t>、公司实际控制人、股东、关联方、收购人以及公司等承诺相关方在报告期内履行完毕及截至报告期末尚未履行完毕的承诺事项</w:t>
        <w:tab/>
      </w: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305"/>
    </w:p>
    <w:tbl>
      <w:tblPr>
        <w:tblOverlap w:val="never"/>
        <w:jc w:val="center"/>
        <w:tblLayout w:type="fixed"/>
      </w:tblPr>
      <w:tblGrid>
        <w:gridCol w:w="998"/>
        <w:gridCol w:w="994"/>
        <w:gridCol w:w="1133"/>
        <w:gridCol w:w="7939"/>
        <w:gridCol w:w="994"/>
        <w:gridCol w:w="994"/>
        <w:gridCol w:w="99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承诺事由</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承诺类型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承诺时间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履行情况</w:t>
            </w:r>
          </w:p>
        </w:tc>
      </w:tr>
      <w:tr>
        <w:trPr>
          <w:trHeight w:val="1339"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收购报告 书或权益 变动报告 书中所作 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凤凰财 智、杜力、 张巍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同业竞争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、本企业</w:t>
            </w:r>
            <w:r>
              <w:rPr>
                <w:rFonts w:ascii="Times New Roman" w:eastAsia="Times New Roman" w:hAnsi="Times New Roman" w:cs="Times New Roman"/>
                <w:color w:val="000000"/>
                <w:spacing w:val="0"/>
                <w:w w:val="100"/>
                <w:position w:val="0"/>
              </w:rPr>
              <w:t>/</w:t>
            </w:r>
            <w:r>
              <w:rPr>
                <w:color w:val="000000"/>
                <w:spacing w:val="0"/>
                <w:w w:val="100"/>
                <w:position w:val="0"/>
              </w:rPr>
              <w:t>本人未来不会直接或间接从事与华声股份的主营业务构成或可能构成竞争的 业务。</w:t>
            </w:r>
            <w:r>
              <w:rPr>
                <w:rFonts w:ascii="Times New Roman" w:eastAsia="Times New Roman" w:hAnsi="Times New Roman" w:cs="Times New Roman"/>
                <w:color w:val="000000"/>
                <w:spacing w:val="0"/>
                <w:w w:val="100"/>
                <w:position w:val="0"/>
              </w:rPr>
              <w:t>2</w:t>
            </w:r>
            <w:r>
              <w:rPr>
                <w:color w:val="000000"/>
                <w:spacing w:val="0"/>
                <w:w w:val="100"/>
                <w:position w:val="0"/>
              </w:rPr>
              <w:t>、本企业</w:t>
            </w:r>
            <w:r>
              <w:rPr>
                <w:rFonts w:ascii="Times New Roman" w:eastAsia="Times New Roman" w:hAnsi="Times New Roman" w:cs="Times New Roman"/>
                <w:color w:val="000000"/>
                <w:spacing w:val="0"/>
                <w:w w:val="100"/>
                <w:position w:val="0"/>
              </w:rPr>
              <w:t>/</w:t>
            </w:r>
            <w:r>
              <w:rPr>
                <w:color w:val="000000"/>
                <w:spacing w:val="0"/>
                <w:w w:val="100"/>
                <w:position w:val="0"/>
              </w:rPr>
              <w:t>本人不会利用对华声股份的控制权干涉华声股份的生产经营活动，对 于任何与华声股份主营业务构成实质竞争的业务或业务机会，本企业将采取一切措施促 使该业务或业务机会按合理和公平的条件由华声股份优先开展。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05</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正常履行 中</w:t>
            </w:r>
          </w:p>
        </w:tc>
      </w:tr>
      <w:tr>
        <w:trPr>
          <w:trHeight w:val="2587"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凤凰财 智、杜力、 张巍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、在华声股份今后的经营活动中，本企业</w:t>
            </w:r>
            <w:r>
              <w:rPr>
                <w:rFonts w:ascii="Times New Roman" w:eastAsia="Times New Roman" w:hAnsi="Times New Roman" w:cs="Times New Roman"/>
                <w:color w:val="000000"/>
                <w:spacing w:val="0"/>
                <w:w w:val="100"/>
                <w:position w:val="0"/>
              </w:rPr>
              <w:t>/</w:t>
            </w:r>
            <w:r>
              <w:rPr>
                <w:color w:val="000000"/>
                <w:spacing w:val="0"/>
                <w:w w:val="100"/>
                <w:position w:val="0"/>
              </w:rPr>
              <w:t>本人及控制的其他企业将尽最大的努力减少 或避免与华声股份之间的关联交易行为。</w:t>
            </w:r>
            <w:r>
              <w:rPr>
                <w:rFonts w:ascii="Times New Roman" w:eastAsia="Times New Roman" w:hAnsi="Times New Roman" w:cs="Times New Roman"/>
                <w:color w:val="000000"/>
                <w:spacing w:val="0"/>
                <w:w w:val="100"/>
                <w:position w:val="0"/>
              </w:rPr>
              <w:t>2</w:t>
            </w:r>
            <w:r>
              <w:rPr>
                <w:color w:val="000000"/>
                <w:spacing w:val="0"/>
                <w:w w:val="100"/>
                <w:position w:val="0"/>
              </w:rPr>
              <w:t>、若本企业</w:t>
            </w:r>
            <w:r>
              <w:rPr>
                <w:rFonts w:ascii="Times New Roman" w:eastAsia="Times New Roman" w:hAnsi="Times New Roman" w:cs="Times New Roman"/>
                <w:color w:val="000000"/>
                <w:spacing w:val="0"/>
                <w:w w:val="100"/>
                <w:position w:val="0"/>
              </w:rPr>
              <w:t>/</w:t>
            </w:r>
            <w:r>
              <w:rPr>
                <w:color w:val="000000"/>
                <w:spacing w:val="0"/>
                <w:w w:val="100"/>
                <w:position w:val="0"/>
              </w:rPr>
              <w:t>本人及控制的其他企业与华声股 份发生无法避免的关联交易，则此种关联交易须遵循正常商业行为准则，遵循公开、公 平、公正的市场定价原则，不要求或接受华声股份以低于市场价或华声股份给予其他任 何第三方的价格向本企业及控制的其他企业销售货物或提供劳务,不以高于市场价或本 企业</w:t>
            </w:r>
            <w:r>
              <w:rPr>
                <w:rFonts w:ascii="Times New Roman" w:eastAsia="Times New Roman" w:hAnsi="Times New Roman" w:cs="Times New Roman"/>
                <w:color w:val="000000"/>
                <w:spacing w:val="0"/>
                <w:w w:val="100"/>
                <w:position w:val="0"/>
              </w:rPr>
              <w:t>/</w:t>
            </w:r>
            <w:r>
              <w:rPr>
                <w:color w:val="000000"/>
                <w:spacing w:val="0"/>
                <w:w w:val="100"/>
                <w:position w:val="0"/>
              </w:rPr>
              <w:t>本人及控制的其他企业给予任何第三方的价格向华声股份销售货物或提供劳务。</w:t>
            </w:r>
          </w:p>
          <w:p>
            <w:pPr>
              <w:pStyle w:val="Style2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、除非凤凰财智不再为华声股份控股股东，本承诺始终为有效之承诺。本企业</w:t>
            </w:r>
            <w:r>
              <w:rPr>
                <w:rFonts w:ascii="Times New Roman" w:eastAsia="Times New Roman" w:hAnsi="Times New Roman" w:cs="Times New Roman"/>
                <w:color w:val="000000"/>
                <w:spacing w:val="0"/>
                <w:w w:val="100"/>
                <w:position w:val="0"/>
              </w:rPr>
              <w:t>/</w:t>
            </w:r>
            <w:r>
              <w:rPr>
                <w:color w:val="000000"/>
                <w:spacing w:val="0"/>
                <w:w w:val="100"/>
                <w:position w:val="0"/>
              </w:rPr>
              <w:t>本人同 意对因未履行上述承诺而给华声股份造成的一切损失承担赔偿责任。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05</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正常履行 中</w:t>
            </w:r>
          </w:p>
        </w:tc>
      </w:tr>
      <w:tr>
        <w:trPr>
          <w:trHeight w:val="3802"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凤凰财 智、杜力、 张巍</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left"/>
            </w:pPr>
            <w:r>
              <w:rPr>
                <w:color w:val="000000"/>
                <w:spacing w:val="0"/>
                <w:w w:val="100"/>
                <w:position w:val="0"/>
              </w:rPr>
              <w:t>保持上市公 司独立性</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、保证华声股份人员独立（</w:t>
            </w:r>
            <w:r>
              <w:rPr>
                <w:rFonts w:ascii="Times New Roman" w:eastAsia="Times New Roman" w:hAnsi="Times New Roman" w:cs="Times New Roman"/>
                <w:color w:val="000000"/>
                <w:spacing w:val="0"/>
                <w:w w:val="100"/>
                <w:position w:val="0"/>
              </w:rPr>
              <w:t>1</w:t>
            </w:r>
            <w:r>
              <w:rPr>
                <w:color w:val="000000"/>
                <w:spacing w:val="0"/>
                <w:w w:val="100"/>
                <w:position w:val="0"/>
              </w:rPr>
              <w:t>）保证华声股份的生产经营与行政管理（包括劳动、人事 及工资管理等）完全独立于凤凰财智。（</w:t>
            </w:r>
            <w:r>
              <w:rPr>
                <w:rFonts w:ascii="Times New Roman" w:eastAsia="Times New Roman" w:hAnsi="Times New Roman" w:cs="Times New Roman"/>
                <w:color w:val="000000"/>
                <w:spacing w:val="0"/>
                <w:w w:val="100"/>
                <w:position w:val="0"/>
              </w:rPr>
              <w:t>2</w:t>
            </w:r>
            <w:r>
              <w:rPr>
                <w:color w:val="000000"/>
                <w:spacing w:val="0"/>
                <w:w w:val="100"/>
                <w:position w:val="0"/>
              </w:rPr>
              <w:t>）保证华声股份的董事、监事及高级管理人员 严格按照《中华人民共和国公司法》、华声股份公司章程的有关规定选举产生；保证凤 凰财智推荐出任华声股份董事、监事和高级管理人员的人选都通过合法的程序产生，本 企业</w:t>
            </w:r>
            <w:r>
              <w:rPr>
                <w:rFonts w:ascii="Times New Roman" w:eastAsia="Times New Roman" w:hAnsi="Times New Roman" w:cs="Times New Roman"/>
                <w:color w:val="000000"/>
                <w:spacing w:val="0"/>
                <w:w w:val="100"/>
                <w:position w:val="0"/>
              </w:rPr>
              <w:t>/</w:t>
            </w:r>
            <w:r>
              <w:rPr>
                <w:color w:val="000000"/>
                <w:spacing w:val="0"/>
                <w:w w:val="100"/>
                <w:position w:val="0"/>
              </w:rPr>
              <w:t>本人不干预华声股份董事会、监事会和股东大会已经做出的人事任免决定。（</w:t>
            </w:r>
            <w:r>
              <w:rPr>
                <w:rFonts w:ascii="Times New Roman" w:eastAsia="Times New Roman" w:hAnsi="Times New Roman" w:cs="Times New Roman"/>
                <w:color w:val="000000"/>
                <w:spacing w:val="0"/>
                <w:w w:val="100"/>
                <w:position w:val="0"/>
              </w:rPr>
              <w:t>3</w:t>
            </w:r>
            <w:r>
              <w:rPr>
                <w:color w:val="000000"/>
                <w:spacing w:val="0"/>
                <w:w w:val="100"/>
                <w:position w:val="0"/>
              </w:rPr>
              <w:t>） 保证华声股份的总经理、副总经理、财务负责人、董事会秘书等高级管理人员在华声股 份专职工作，不在本企业</w:t>
            </w:r>
            <w:r>
              <w:rPr>
                <w:rFonts w:ascii="Times New Roman" w:eastAsia="Times New Roman" w:hAnsi="Times New Roman" w:cs="Times New Roman"/>
                <w:color w:val="000000"/>
                <w:spacing w:val="0"/>
                <w:w w:val="100"/>
                <w:position w:val="0"/>
              </w:rPr>
              <w:t>/</w:t>
            </w:r>
            <w:r>
              <w:rPr>
                <w:color w:val="000000"/>
                <w:spacing w:val="0"/>
                <w:w w:val="100"/>
                <w:position w:val="0"/>
              </w:rPr>
              <w:t>凤凰财智及本人控制的其他企业担任除董事、监事以外的职 务，不会在本企业</w:t>
            </w:r>
            <w:r>
              <w:rPr>
                <w:rFonts w:ascii="Times New Roman" w:eastAsia="Times New Roman" w:hAnsi="Times New Roman" w:cs="Times New Roman"/>
                <w:color w:val="000000"/>
                <w:spacing w:val="0"/>
                <w:w w:val="100"/>
                <w:position w:val="0"/>
              </w:rPr>
              <w:t>/</w:t>
            </w:r>
            <w:r>
              <w:rPr>
                <w:color w:val="000000"/>
                <w:spacing w:val="0"/>
                <w:w w:val="100"/>
                <w:position w:val="0"/>
              </w:rPr>
              <w:t>凤凰财智及本人控制的其他企业领薪。（</w:t>
            </w:r>
            <w:r>
              <w:rPr>
                <w:rFonts w:ascii="Times New Roman" w:eastAsia="Times New Roman" w:hAnsi="Times New Roman" w:cs="Times New Roman"/>
                <w:color w:val="000000"/>
                <w:spacing w:val="0"/>
                <w:w w:val="100"/>
                <w:position w:val="0"/>
              </w:rPr>
              <w:t>4</w:t>
            </w:r>
            <w:r>
              <w:rPr>
                <w:color w:val="000000"/>
                <w:spacing w:val="0"/>
                <w:w w:val="100"/>
                <w:position w:val="0"/>
              </w:rPr>
              <w:t>）保证华声股份的财务人 员独立，不在凤凰财智兼职和领取报酬。</w:t>
            </w:r>
            <w:r>
              <w:rPr>
                <w:rFonts w:ascii="Times New Roman" w:eastAsia="Times New Roman" w:hAnsi="Times New Roman" w:cs="Times New Roman"/>
                <w:color w:val="000000"/>
                <w:spacing w:val="0"/>
                <w:w w:val="100"/>
                <w:position w:val="0"/>
              </w:rPr>
              <w:t>2</w:t>
            </w:r>
            <w:r>
              <w:rPr>
                <w:color w:val="000000"/>
                <w:spacing w:val="0"/>
                <w:w w:val="100"/>
                <w:position w:val="0"/>
              </w:rPr>
              <w:t>、保证华声股份资产独立完整（</w:t>
            </w:r>
            <w:r>
              <w:rPr>
                <w:rFonts w:ascii="Times New Roman" w:eastAsia="Times New Roman" w:hAnsi="Times New Roman" w:cs="Times New Roman"/>
                <w:color w:val="000000"/>
                <w:spacing w:val="0"/>
                <w:w w:val="100"/>
                <w:position w:val="0"/>
              </w:rPr>
              <w:t>1</w:t>
            </w:r>
            <w:r>
              <w:rPr>
                <w:color w:val="000000"/>
                <w:spacing w:val="0"/>
                <w:w w:val="100"/>
                <w:position w:val="0"/>
              </w:rPr>
              <w:t>）保证华声 股份具有独立完整的资产，华声股份的资产全部处于华声股份的控制之下，并为华声股 份独立拥有和运营。（</w:t>
            </w:r>
            <w:r>
              <w:rPr>
                <w:rFonts w:ascii="Times New Roman" w:eastAsia="Times New Roman" w:hAnsi="Times New Roman" w:cs="Times New Roman"/>
                <w:color w:val="000000"/>
                <w:spacing w:val="0"/>
                <w:w w:val="100"/>
                <w:position w:val="0"/>
              </w:rPr>
              <w:t>2</w:t>
            </w:r>
            <w:r>
              <w:rPr>
                <w:color w:val="000000"/>
                <w:spacing w:val="0"/>
                <w:w w:val="100"/>
                <w:position w:val="0"/>
              </w:rPr>
              <w:t>）保证本企业</w:t>
            </w:r>
            <w:r>
              <w:rPr>
                <w:rFonts w:ascii="Times New Roman" w:eastAsia="Times New Roman" w:hAnsi="Times New Roman" w:cs="Times New Roman"/>
                <w:color w:val="000000"/>
                <w:spacing w:val="0"/>
                <w:w w:val="100"/>
                <w:position w:val="0"/>
              </w:rPr>
              <w:t>/</w:t>
            </w:r>
            <w:r>
              <w:rPr>
                <w:color w:val="000000"/>
                <w:spacing w:val="0"/>
                <w:w w:val="100"/>
                <w:position w:val="0"/>
              </w:rPr>
              <w:t>凤凰财智及本人控制的其他企业不以任何方式违 法违规占有华声股份的资金、资产。</w:t>
            </w:r>
            <w:r>
              <w:rPr>
                <w:rFonts w:ascii="Times New Roman" w:eastAsia="Times New Roman" w:hAnsi="Times New Roman" w:cs="Times New Roman"/>
                <w:color w:val="000000"/>
                <w:spacing w:val="0"/>
                <w:w w:val="100"/>
                <w:position w:val="0"/>
              </w:rPr>
              <w:t>3</w:t>
            </w:r>
            <w:r>
              <w:rPr>
                <w:color w:val="000000"/>
                <w:spacing w:val="0"/>
                <w:w w:val="100"/>
                <w:position w:val="0"/>
              </w:rPr>
              <w:t>、保证华声股份的财务独立（</w:t>
            </w:r>
            <w:r>
              <w:rPr>
                <w:rFonts w:ascii="Times New Roman" w:eastAsia="Times New Roman" w:hAnsi="Times New Roman" w:cs="Times New Roman"/>
                <w:color w:val="000000"/>
                <w:spacing w:val="0"/>
                <w:w w:val="100"/>
                <w:position w:val="0"/>
              </w:rPr>
              <w:t>1</w:t>
            </w:r>
            <w:r>
              <w:rPr>
                <w:color w:val="000000"/>
                <w:spacing w:val="0"/>
                <w:w w:val="100"/>
                <w:position w:val="0"/>
              </w:rPr>
              <w:t>）保证华声股份建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05</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正常履行 中</w:t>
            </w:r>
          </w:p>
        </w:tc>
      </w:tr>
    </w:tbl>
    <w:p>
      <w:pPr>
        <w:spacing w:lineRule="exact" w:line="1"/>
        <w:rPr>
          <w:sz w:val="2"/>
          <w:szCs w:val="2"/>
        </w:rPr>
      </w:pPr>
      <w:r>
        <w:br w:type="page"/>
      </w:r>
    </w:p>
    <w:tbl>
      <w:tblPr>
        <w:tblOverlap w:val="never"/>
        <w:jc w:val="center"/>
        <w:tblLayout w:type="fixed"/>
      </w:tblPr>
      <w:tblGrid>
        <w:gridCol w:w="998"/>
        <w:gridCol w:w="994"/>
        <w:gridCol w:w="1133"/>
        <w:gridCol w:w="7939"/>
        <w:gridCol w:w="994"/>
        <w:gridCol w:w="994"/>
        <w:gridCol w:w="998"/>
      </w:tblGrid>
      <w:tr>
        <w:trPr>
          <w:trHeight w:val="4762"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立独立的财务部门和独立的财务核算体系。（</w:t>
            </w:r>
            <w:r>
              <w:rPr>
                <w:rFonts w:ascii="Times New Roman" w:eastAsia="Times New Roman" w:hAnsi="Times New Roman" w:cs="Times New Roman"/>
                <w:color w:val="000000"/>
                <w:spacing w:val="0"/>
                <w:w w:val="100"/>
                <w:position w:val="0"/>
              </w:rPr>
              <w:t>2</w:t>
            </w:r>
            <w:r>
              <w:rPr>
                <w:color w:val="000000"/>
                <w:spacing w:val="0"/>
                <w:w w:val="100"/>
                <w:position w:val="0"/>
              </w:rPr>
              <w:t>）保证华声股份具有规范、独立的财务会 计制度和对分公司、子公司的财务管理制度。（</w:t>
            </w:r>
            <w:r>
              <w:rPr>
                <w:rFonts w:ascii="Times New Roman" w:eastAsia="Times New Roman" w:hAnsi="Times New Roman" w:cs="Times New Roman"/>
                <w:color w:val="000000"/>
                <w:spacing w:val="0"/>
                <w:w w:val="100"/>
                <w:position w:val="0"/>
              </w:rPr>
              <w:t>3</w:t>
            </w:r>
            <w:r>
              <w:rPr>
                <w:color w:val="000000"/>
                <w:spacing w:val="0"/>
                <w:w w:val="100"/>
                <w:position w:val="0"/>
              </w:rPr>
              <w:t>）保证华声股份保持自己独立的银行帐 户，不与本企业</w:t>
            </w:r>
            <w:r>
              <w:rPr>
                <w:rFonts w:ascii="Times New Roman" w:eastAsia="Times New Roman" w:hAnsi="Times New Roman" w:cs="Times New Roman"/>
                <w:color w:val="000000"/>
                <w:spacing w:val="0"/>
                <w:w w:val="100"/>
                <w:position w:val="0"/>
              </w:rPr>
              <w:t>/</w:t>
            </w:r>
            <w:r>
              <w:rPr>
                <w:color w:val="000000"/>
                <w:spacing w:val="0"/>
                <w:w w:val="100"/>
                <w:position w:val="0"/>
              </w:rPr>
              <w:t>凤凰财智及本人控制的其他企业共用银行账户。（</w:t>
            </w:r>
            <w:r>
              <w:rPr>
                <w:rFonts w:ascii="Times New Roman" w:eastAsia="Times New Roman" w:hAnsi="Times New Roman" w:cs="Times New Roman"/>
                <w:color w:val="000000"/>
                <w:spacing w:val="0"/>
                <w:w w:val="100"/>
                <w:position w:val="0"/>
              </w:rPr>
              <w:t>4</w:t>
            </w:r>
            <w:r>
              <w:rPr>
                <w:color w:val="000000"/>
                <w:spacing w:val="0"/>
                <w:w w:val="100"/>
                <w:position w:val="0"/>
              </w:rPr>
              <w:t>）保证华声股份依 法独立纳税。（</w:t>
            </w:r>
            <w:r>
              <w:rPr>
                <w:rFonts w:ascii="Times New Roman" w:eastAsia="Times New Roman" w:hAnsi="Times New Roman" w:cs="Times New Roman"/>
                <w:color w:val="000000"/>
                <w:spacing w:val="0"/>
                <w:w w:val="100"/>
                <w:position w:val="0"/>
              </w:rPr>
              <w:t>5</w:t>
            </w:r>
            <w:r>
              <w:rPr>
                <w:color w:val="000000"/>
                <w:spacing w:val="0"/>
                <w:w w:val="100"/>
                <w:position w:val="0"/>
              </w:rPr>
              <w:t>）保证华声股份能够独立作出财务决策，本企业</w:t>
            </w:r>
            <w:r>
              <w:rPr>
                <w:rFonts w:ascii="Times New Roman" w:eastAsia="Times New Roman" w:hAnsi="Times New Roman" w:cs="Times New Roman"/>
                <w:color w:val="000000"/>
                <w:spacing w:val="0"/>
                <w:w w:val="100"/>
                <w:position w:val="0"/>
              </w:rPr>
              <w:t>/</w:t>
            </w:r>
            <w:r>
              <w:rPr>
                <w:color w:val="000000"/>
                <w:spacing w:val="0"/>
                <w:w w:val="100"/>
                <w:position w:val="0"/>
              </w:rPr>
              <w:t>凤凰财智及本人控制 的其他企业不干预华声股份的资金使用调度。</w:t>
            </w:r>
            <w:r>
              <w:rPr>
                <w:rFonts w:ascii="Times New Roman" w:eastAsia="Times New Roman" w:hAnsi="Times New Roman" w:cs="Times New Roman"/>
                <w:color w:val="000000"/>
                <w:spacing w:val="0"/>
                <w:w w:val="100"/>
                <w:position w:val="0"/>
              </w:rPr>
              <w:t>4</w:t>
            </w:r>
            <w:r>
              <w:rPr>
                <w:color w:val="000000"/>
                <w:spacing w:val="0"/>
                <w:w w:val="100"/>
                <w:position w:val="0"/>
              </w:rPr>
              <w:t>、保证华声股份机构独立（</w:t>
            </w:r>
            <w:r>
              <w:rPr>
                <w:rFonts w:ascii="Times New Roman" w:eastAsia="Times New Roman" w:hAnsi="Times New Roman" w:cs="Times New Roman"/>
                <w:color w:val="000000"/>
                <w:spacing w:val="0"/>
                <w:w w:val="100"/>
                <w:position w:val="0"/>
              </w:rPr>
              <w:t>1</w:t>
            </w:r>
            <w:r>
              <w:rPr>
                <w:color w:val="000000"/>
                <w:spacing w:val="0"/>
                <w:w w:val="100"/>
                <w:position w:val="0"/>
              </w:rPr>
              <w:t>）保证华声 股份的机构设置独立于本企业</w:t>
            </w:r>
            <w:r>
              <w:rPr>
                <w:rFonts w:ascii="Times New Roman" w:eastAsia="Times New Roman" w:hAnsi="Times New Roman" w:cs="Times New Roman"/>
                <w:color w:val="000000"/>
                <w:spacing w:val="0"/>
                <w:w w:val="100"/>
                <w:position w:val="0"/>
              </w:rPr>
              <w:t>/</w:t>
            </w:r>
            <w:r>
              <w:rPr>
                <w:color w:val="000000"/>
                <w:spacing w:val="0"/>
                <w:w w:val="100"/>
                <w:position w:val="0"/>
              </w:rPr>
              <w:t>凤凰财智及本人控制的其他企业，并能独立自主地运作。</w:t>
            </w:r>
          </w:p>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）保证华声股份办公机构和生产经营场所与本企业</w:t>
            </w:r>
            <w:r>
              <w:rPr>
                <w:rFonts w:ascii="Times New Roman" w:eastAsia="Times New Roman" w:hAnsi="Times New Roman" w:cs="Times New Roman"/>
                <w:color w:val="000000"/>
                <w:spacing w:val="0"/>
                <w:w w:val="100"/>
                <w:position w:val="0"/>
              </w:rPr>
              <w:t>/</w:t>
            </w:r>
            <w:r>
              <w:rPr>
                <w:color w:val="000000"/>
                <w:spacing w:val="0"/>
                <w:w w:val="100"/>
                <w:position w:val="0"/>
              </w:rPr>
              <w:t>凤凰财智及本人控制的其他企业 分开；（</w:t>
            </w:r>
            <w:r>
              <w:rPr>
                <w:rFonts w:ascii="Times New Roman" w:eastAsia="Times New Roman" w:hAnsi="Times New Roman" w:cs="Times New Roman"/>
                <w:color w:val="000000"/>
                <w:spacing w:val="0"/>
                <w:w w:val="100"/>
                <w:position w:val="0"/>
              </w:rPr>
              <w:t>3</w:t>
            </w:r>
            <w:r>
              <w:rPr>
                <w:color w:val="000000"/>
                <w:spacing w:val="0"/>
                <w:w w:val="100"/>
                <w:position w:val="0"/>
              </w:rPr>
              <w:t>）保证华声股份董事会、监事会以及各职能部门独立运作，不存在与本企业</w:t>
            </w:r>
            <w:r>
              <w:rPr>
                <w:rFonts w:ascii="Times New Roman" w:eastAsia="Times New Roman" w:hAnsi="Times New Roman" w:cs="Times New Roman"/>
                <w:color w:val="000000"/>
                <w:spacing w:val="0"/>
                <w:w w:val="100"/>
                <w:position w:val="0"/>
              </w:rPr>
              <w:t xml:space="preserve">/ </w:t>
            </w:r>
            <w:r>
              <w:rPr>
                <w:color w:val="000000"/>
                <w:spacing w:val="0"/>
                <w:w w:val="100"/>
                <w:position w:val="0"/>
              </w:rPr>
              <w:t>凤凰财智及本人控制的其他企业职能部门之间的从属关系。</w:t>
            </w:r>
            <w:r>
              <w:rPr>
                <w:rFonts w:ascii="Times New Roman" w:eastAsia="Times New Roman" w:hAnsi="Times New Roman" w:cs="Times New Roman"/>
                <w:color w:val="000000"/>
                <w:spacing w:val="0"/>
                <w:w w:val="100"/>
                <w:position w:val="0"/>
              </w:rPr>
              <w:t>5</w:t>
            </w:r>
            <w:r>
              <w:rPr>
                <w:color w:val="000000"/>
                <w:spacing w:val="0"/>
                <w:w w:val="100"/>
                <w:position w:val="0"/>
              </w:rPr>
              <w:t>、保证华声股份业务独立。</w:t>
            </w:r>
          </w:p>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）保证华声股份拥有独立开展经营活动的资产、人员、资质和能力，华声股份具有 面向市场独立自主经营的能力。（</w:t>
            </w:r>
            <w:r>
              <w:rPr>
                <w:rFonts w:ascii="Times New Roman" w:eastAsia="Times New Roman" w:hAnsi="Times New Roman" w:cs="Times New Roman"/>
                <w:color w:val="000000"/>
                <w:spacing w:val="0"/>
                <w:w w:val="100"/>
                <w:position w:val="0"/>
              </w:rPr>
              <w:t>2</w:t>
            </w:r>
            <w:r>
              <w:rPr>
                <w:color w:val="000000"/>
                <w:spacing w:val="0"/>
                <w:w w:val="100"/>
                <w:position w:val="0"/>
              </w:rPr>
              <w:t>）保证凤凰财智除通过行使股东权利之外，不对华声 股份的业务活动进行干预。（</w:t>
            </w:r>
            <w:r>
              <w:rPr>
                <w:rFonts w:ascii="Times New Roman" w:eastAsia="Times New Roman" w:hAnsi="Times New Roman" w:cs="Times New Roman"/>
                <w:color w:val="000000"/>
                <w:spacing w:val="0"/>
                <w:w w:val="100"/>
                <w:position w:val="0"/>
              </w:rPr>
              <w:t>3</w:t>
            </w:r>
            <w:r>
              <w:rPr>
                <w:color w:val="000000"/>
                <w:spacing w:val="0"/>
                <w:w w:val="100"/>
                <w:position w:val="0"/>
              </w:rPr>
              <w:t>）保证本企业</w:t>
            </w:r>
            <w:r>
              <w:rPr>
                <w:rFonts w:ascii="Times New Roman" w:eastAsia="Times New Roman" w:hAnsi="Times New Roman" w:cs="Times New Roman"/>
                <w:color w:val="000000"/>
                <w:spacing w:val="0"/>
                <w:w w:val="100"/>
                <w:position w:val="0"/>
              </w:rPr>
              <w:t>/</w:t>
            </w:r>
            <w:r>
              <w:rPr>
                <w:color w:val="000000"/>
                <w:spacing w:val="0"/>
                <w:w w:val="100"/>
                <w:position w:val="0"/>
              </w:rPr>
              <w:t>凤凰财智及本人控制的其他企业不从事与 华声股份相竞争的业务。（</w:t>
            </w:r>
            <w:r>
              <w:rPr>
                <w:rFonts w:ascii="Times New Roman" w:eastAsia="Times New Roman" w:hAnsi="Times New Roman" w:cs="Times New Roman"/>
                <w:color w:val="000000"/>
                <w:spacing w:val="0"/>
                <w:w w:val="100"/>
                <w:position w:val="0"/>
              </w:rPr>
              <w:t>4</w:t>
            </w:r>
            <w:r>
              <w:rPr>
                <w:color w:val="000000"/>
                <w:spacing w:val="0"/>
                <w:w w:val="100"/>
                <w:position w:val="0"/>
              </w:rPr>
              <w:t>）保证尽可能避免或减少华声股份与本企业</w:t>
            </w:r>
            <w:r>
              <w:rPr>
                <w:rFonts w:ascii="Times New Roman" w:eastAsia="Times New Roman" w:hAnsi="Times New Roman" w:cs="Times New Roman"/>
                <w:color w:val="000000"/>
                <w:spacing w:val="0"/>
                <w:w w:val="100"/>
                <w:position w:val="0"/>
              </w:rPr>
              <w:t>/</w:t>
            </w:r>
            <w:r>
              <w:rPr>
                <w:color w:val="000000"/>
                <w:spacing w:val="0"/>
                <w:w w:val="100"/>
                <w:position w:val="0"/>
              </w:rPr>
              <w:t>凤凰财智及本 人控制的其他企业间的持续性关联交易。对于无法避免的关联交易将本着</w:t>
            </w:r>
            <w:r>
              <w:rPr>
                <w:rFonts w:ascii="Times New Roman" w:eastAsia="Times New Roman" w:hAnsi="Times New Roman" w:cs="Times New Roman"/>
                <w:color w:val="000000"/>
                <w:spacing w:val="0"/>
                <w:w w:val="100"/>
                <w:position w:val="0"/>
              </w:rPr>
              <w:t>"</w:t>
            </w:r>
            <w:r>
              <w:rPr>
                <w:color w:val="000000"/>
                <w:spacing w:val="0"/>
                <w:w w:val="100"/>
                <w:position w:val="0"/>
              </w:rPr>
              <w:t>公平、公正、 公开</w:t>
            </w:r>
            <w:r>
              <w:rPr>
                <w:rFonts w:ascii="Times New Roman" w:eastAsia="Times New Roman" w:hAnsi="Times New Roman" w:cs="Times New Roman"/>
                <w:color w:val="000000"/>
                <w:spacing w:val="0"/>
                <w:w w:val="100"/>
                <w:position w:val="0"/>
              </w:rPr>
              <w:t>"</w:t>
            </w:r>
            <w:r>
              <w:rPr>
                <w:color w:val="000000"/>
                <w:spacing w:val="0"/>
                <w:w w:val="100"/>
                <w:position w:val="0"/>
              </w:rPr>
              <w:t>的原则依法进行。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凤凰财智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股份限售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 xml:space="preserve">日起十二个月内不转让其协议受让香港华声、远茂化工所持公司股份 共计 </w:t>
            </w:r>
            <w:r>
              <w:rPr>
                <w:rFonts w:ascii="Times New Roman" w:eastAsia="Times New Roman" w:hAnsi="Times New Roman" w:cs="Times New Roman"/>
                <w:color w:val="000000"/>
                <w:spacing w:val="0"/>
                <w:w w:val="100"/>
                <w:position w:val="0"/>
              </w:rPr>
              <w:t xml:space="preserve">59,658,719 </w:t>
            </w:r>
            <w:r>
              <w:rPr>
                <w:color w:val="000000"/>
                <w:spacing w:val="0"/>
                <w:w w:val="100"/>
                <w:position w:val="0"/>
              </w:rPr>
              <w:t>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06</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严格履 行，报告 期内承诺 到期。</w:t>
            </w:r>
          </w:p>
        </w:tc>
      </w:tr>
      <w:tr>
        <w:trPr>
          <w:trHeight w:val="133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罗桥胜、 张盛根、 萧志刚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股份限售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pPr>
            <w:r>
              <w:rPr>
                <w:color w:val="000000"/>
                <w:spacing w:val="0"/>
                <w:w w:val="100"/>
                <w:position w:val="0"/>
              </w:rPr>
              <w:t>遵守证监会公告</w:t>
            </w:r>
            <w:r>
              <w:rPr>
                <w:rFonts w:ascii="Times New Roman" w:eastAsia="Times New Roman" w:hAnsi="Times New Roman" w:cs="Times New Roman"/>
                <w:color w:val="000000"/>
                <w:spacing w:val="0"/>
                <w:w w:val="100"/>
                <w:position w:val="0"/>
              </w:rPr>
              <w:t>[2015]18</w:t>
            </w:r>
            <w:r>
              <w:rPr>
                <w:color w:val="000000"/>
                <w:spacing w:val="0"/>
                <w:w w:val="100"/>
                <w:position w:val="0"/>
              </w:rPr>
              <w:t>号规定，自</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日起六个月内不通过二级市场转让 其协议受让江西达顺投资有限公司所持公司股份。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09</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日起</w:t>
            </w:r>
            <w:r>
              <w:rPr>
                <w:rFonts w:ascii="Times New Roman" w:eastAsia="Times New Roman" w:hAnsi="Times New Roman" w:cs="Times New Roman"/>
                <w:color w:val="000000"/>
                <w:spacing w:val="0"/>
                <w:w w:val="100"/>
                <w:position w:val="0"/>
              </w:rPr>
              <w:t xml:space="preserve">6 </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严格履 行，报告 期内承诺 到期。</w:t>
            </w:r>
          </w:p>
        </w:tc>
      </w:tr>
      <w:tr>
        <w:trPr>
          <w:trHeight w:val="133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谭少伦、 廖起雄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股份限售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pPr>
            <w:r>
              <w:rPr>
                <w:color w:val="000000"/>
                <w:spacing w:val="0"/>
                <w:w w:val="100"/>
                <w:position w:val="0"/>
              </w:rPr>
              <w:t>遵守证监会公告</w:t>
            </w:r>
            <w:r>
              <w:rPr>
                <w:rFonts w:ascii="Times New Roman" w:eastAsia="Times New Roman" w:hAnsi="Times New Roman" w:cs="Times New Roman"/>
                <w:color w:val="000000"/>
                <w:spacing w:val="0"/>
                <w:w w:val="100"/>
                <w:position w:val="0"/>
              </w:rPr>
              <w:t>[2015]18</w:t>
            </w:r>
            <w:r>
              <w:rPr>
                <w:color w:val="000000"/>
                <w:spacing w:val="0"/>
                <w:w w:val="100"/>
                <w:position w:val="0"/>
              </w:rPr>
              <w:t>号规定，自</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日起六个月内不通过二级市场转让 其协议受让佛山市顺德区远茂化工实业有限公司所持公司股份。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09</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日起</w:t>
            </w:r>
            <w:r>
              <w:rPr>
                <w:rFonts w:ascii="Times New Roman" w:eastAsia="Times New Roman" w:hAnsi="Times New Roman" w:cs="Times New Roman"/>
                <w:color w:val="000000"/>
                <w:spacing w:val="0"/>
                <w:w w:val="100"/>
                <w:position w:val="0"/>
              </w:rPr>
              <w:t xml:space="preserve">6 </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严格履 行，报告 期内承诺 到期。</w:t>
            </w: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资产重组 时所作承</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left"/>
            </w:pPr>
            <w:r>
              <w:rPr>
                <w:color w:val="000000"/>
                <w:spacing w:val="0"/>
                <w:w w:val="100"/>
                <w:position w:val="0"/>
              </w:rPr>
              <w:t>赣粤高 速、江西</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股份限售</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本单位认购的上市公司所有股份自上市首日起</w:t>
            </w:r>
            <w:r>
              <w:rPr>
                <w:rFonts w:ascii="Times New Roman" w:eastAsia="Times New Roman" w:hAnsi="Times New Roman" w:cs="Times New Roman"/>
                <w:color w:val="000000"/>
                <w:spacing w:val="0"/>
                <w:w w:val="100"/>
                <w:position w:val="0"/>
              </w:rPr>
              <w:t>12</w:t>
            </w:r>
            <w:r>
              <w:rPr>
                <w:color w:val="000000"/>
                <w:spacing w:val="0"/>
                <w:w w:val="100"/>
                <w:position w:val="0"/>
              </w:rPr>
              <w:t>个月内不得转让。</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05</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个月</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正常履行 中</w:t>
            </w:r>
          </w:p>
        </w:tc>
      </w:tr>
    </w:tbl>
    <w:p>
      <w:pPr>
        <w:spacing w:lineRule="exact" w:line="1"/>
        <w:rPr>
          <w:sz w:val="2"/>
          <w:szCs w:val="2"/>
        </w:rPr>
      </w:pPr>
      <w:r>
        <w:br w:type="page"/>
      </w:r>
    </w:p>
    <w:tbl>
      <w:tblPr>
        <w:tblOverlap w:val="never"/>
        <w:jc w:val="center"/>
        <w:tblLayout w:type="fixed"/>
      </w:tblPr>
      <w:tblGrid>
        <w:gridCol w:w="998"/>
        <w:gridCol w:w="994"/>
        <w:gridCol w:w="1133"/>
        <w:gridCol w:w="7939"/>
        <w:gridCol w:w="994"/>
        <w:gridCol w:w="994"/>
        <w:gridCol w:w="998"/>
      </w:tblGrid>
      <w:tr>
        <w:trPr>
          <w:trHeight w:val="2890" w:hRule="exact"/>
        </w:trPr>
        <w:tc>
          <w:tcPr>
            <w:vMerge w:val="restart"/>
            <w:tcBorders>
              <w:top w:val="single" w:sz="4"/>
              <w:left w:val="single" w:sz="4"/>
            </w:tcBorders>
            <w:shd w:val="clear" w:color="auto" w:fill="D3D3D3"/>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财投、江 西投资、 江西能 源、江西 地矿、江 西地勘、 锦峰投 资、江西 医药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前海发 展、前海 远大、凤 凰财鑫、 北京迅 杰、北京 岫晞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股份限售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本单位</w:t>
            </w:r>
            <w:r>
              <w:rPr>
                <w:rFonts w:ascii="Times New Roman" w:eastAsia="Times New Roman" w:hAnsi="Times New Roman" w:cs="Times New Roman"/>
                <w:color w:val="000000"/>
                <w:spacing w:val="0"/>
                <w:w w:val="100"/>
                <w:position w:val="0"/>
              </w:rPr>
              <w:t>/</w:t>
            </w:r>
            <w:r>
              <w:rPr>
                <w:color w:val="000000"/>
                <w:spacing w:val="0"/>
                <w:w w:val="100"/>
                <w:position w:val="0"/>
              </w:rPr>
              <w:t>本公司认购的上市公司所有股份自上市首日起</w:t>
            </w:r>
            <w:r>
              <w:rPr>
                <w:rFonts w:ascii="Times New Roman" w:eastAsia="Times New Roman" w:hAnsi="Times New Roman" w:cs="Times New Roman"/>
                <w:color w:val="000000"/>
                <w:spacing w:val="0"/>
                <w:w w:val="100"/>
                <w:position w:val="0"/>
              </w:rPr>
              <w:t>36</w:t>
            </w:r>
            <w:r>
              <w:rPr>
                <w:color w:val="000000"/>
                <w:spacing w:val="0"/>
                <w:w w:val="100"/>
                <w:position w:val="0"/>
              </w:rPr>
              <w:t>个月内不得转让。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05</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正常履行 中</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凤凰财智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股份限售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自本次发行结束之日起</w:t>
            </w:r>
            <w:r>
              <w:rPr>
                <w:rFonts w:ascii="Times New Roman" w:eastAsia="Times New Roman" w:hAnsi="Times New Roman" w:cs="Times New Roman"/>
                <w:color w:val="000000"/>
                <w:spacing w:val="0"/>
                <w:w w:val="100"/>
                <w:position w:val="0"/>
              </w:rPr>
              <w:t>12</w:t>
            </w:r>
            <w:r>
              <w:rPr>
                <w:color w:val="000000"/>
                <w:spacing w:val="0"/>
                <w:w w:val="100"/>
                <w:position w:val="0"/>
              </w:rPr>
              <w:t>个月内，不转让本次发行前所持有的上市公司的股份。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05</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正常履行 中</w:t>
            </w:r>
          </w:p>
        </w:tc>
      </w:tr>
      <w:tr>
        <w:trPr>
          <w:trHeight w:val="349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中江信 托、杜力、 张巍</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left"/>
            </w:pPr>
            <w:r>
              <w:rPr>
                <w:color w:val="000000"/>
                <w:spacing w:val="0"/>
                <w:w w:val="100"/>
                <w:position w:val="0"/>
              </w:rPr>
              <w:t>业绩承诺补 偿安排</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中江信托承诺国盛证券</w:t>
            </w:r>
            <w:r>
              <w:rPr>
                <w:rFonts w:ascii="Times New Roman" w:eastAsia="Times New Roman" w:hAnsi="Times New Roman" w:cs="Times New Roman"/>
                <w:color w:val="000000"/>
                <w:spacing w:val="0"/>
                <w:w w:val="100"/>
                <w:position w:val="0"/>
              </w:rPr>
              <w:t>2016</w:t>
            </w:r>
            <w:r>
              <w:rPr>
                <w:color w:val="000000"/>
                <w:spacing w:val="0"/>
                <w:w w:val="100"/>
                <w:position w:val="0"/>
              </w:rPr>
              <w:t>年度、</w:t>
            </w:r>
            <w:r>
              <w:rPr>
                <w:rFonts w:ascii="Times New Roman" w:eastAsia="Times New Roman" w:hAnsi="Times New Roman" w:cs="Times New Roman"/>
                <w:color w:val="000000"/>
                <w:spacing w:val="0"/>
                <w:w w:val="100"/>
                <w:position w:val="0"/>
              </w:rPr>
              <w:t>2017</w:t>
            </w:r>
            <w:r>
              <w:rPr>
                <w:color w:val="000000"/>
                <w:spacing w:val="0"/>
                <w:w w:val="100"/>
                <w:position w:val="0"/>
              </w:rPr>
              <w:t>年度、</w:t>
            </w:r>
            <w:r>
              <w:rPr>
                <w:rFonts w:ascii="Times New Roman" w:eastAsia="Times New Roman" w:hAnsi="Times New Roman" w:cs="Times New Roman"/>
                <w:color w:val="000000"/>
                <w:spacing w:val="0"/>
                <w:w w:val="100"/>
                <w:position w:val="0"/>
              </w:rPr>
              <w:t>2018</w:t>
            </w:r>
            <w:r>
              <w:rPr>
                <w:color w:val="000000"/>
                <w:spacing w:val="0"/>
                <w:w w:val="100"/>
                <w:position w:val="0"/>
              </w:rPr>
              <w:t>年度经审计的归属于母公司所有 者的净利润分别不低于人民币</w:t>
            </w:r>
            <w:r>
              <w:rPr>
                <w:rFonts w:ascii="Times New Roman" w:eastAsia="Times New Roman" w:hAnsi="Times New Roman" w:cs="Times New Roman"/>
                <w:color w:val="000000"/>
                <w:spacing w:val="0"/>
                <w:w w:val="100"/>
                <w:position w:val="0"/>
              </w:rPr>
              <w:t>74,000</w:t>
            </w:r>
            <w:r>
              <w:rPr>
                <w:color w:val="000000"/>
                <w:spacing w:val="0"/>
                <w:w w:val="100"/>
                <w:position w:val="0"/>
              </w:rPr>
              <w:t>万元（含本数）、</w:t>
            </w:r>
            <w:r>
              <w:rPr>
                <w:rFonts w:ascii="Times New Roman" w:eastAsia="Times New Roman" w:hAnsi="Times New Roman" w:cs="Times New Roman"/>
                <w:color w:val="000000"/>
                <w:spacing w:val="0"/>
                <w:w w:val="100"/>
                <w:position w:val="0"/>
              </w:rPr>
              <w:t>79,000</w:t>
            </w:r>
            <w:r>
              <w:rPr>
                <w:color w:val="000000"/>
                <w:spacing w:val="0"/>
                <w:w w:val="100"/>
                <w:position w:val="0"/>
              </w:rPr>
              <w:t>万元（含本数）、</w:t>
            </w:r>
            <w:r>
              <w:rPr>
                <w:rFonts w:ascii="Times New Roman" w:eastAsia="Times New Roman" w:hAnsi="Times New Roman" w:cs="Times New Roman"/>
                <w:color w:val="000000"/>
                <w:spacing w:val="0"/>
                <w:w w:val="100"/>
                <w:position w:val="0"/>
              </w:rPr>
              <w:t xml:space="preserve">85,000 </w:t>
            </w:r>
            <w:r>
              <w:rPr>
                <w:color w:val="000000"/>
                <w:spacing w:val="0"/>
                <w:w w:val="100"/>
                <w:position w:val="0"/>
              </w:rPr>
              <w:t>万元（含本数）。其中，净利润以扣除非经常性损益前后孰低值为准，非经常性损益应 根据《企业会计准则》及中国证监会的相关要求进行界定。</w:t>
            </w:r>
            <w:r>
              <w:rPr>
                <w:rFonts w:ascii="Times New Roman" w:eastAsia="Times New Roman" w:hAnsi="Times New Roman" w:cs="Times New Roman"/>
                <w:color w:val="000000"/>
                <w:spacing w:val="0"/>
                <w:w w:val="100"/>
                <w:position w:val="0"/>
              </w:rPr>
              <w:t>2.</w:t>
            </w:r>
            <w:r>
              <w:rPr>
                <w:color w:val="000000"/>
                <w:spacing w:val="0"/>
                <w:w w:val="100"/>
                <w:position w:val="0"/>
              </w:rPr>
              <w:t>如国盛证券在业绩承诺期 当年度未完成上述净利润数额，中江信托应向华声股份进行业绩补偿。业绩承诺差额补 偿应先以股份补偿，不足部分以现金补偿。如国盛证券</w:t>
            </w:r>
            <w:r>
              <w:rPr>
                <w:rFonts w:ascii="Times New Roman" w:eastAsia="Times New Roman" w:hAnsi="Times New Roman" w:cs="Times New Roman"/>
                <w:color w:val="000000"/>
                <w:spacing w:val="0"/>
                <w:w w:val="100"/>
                <w:position w:val="0"/>
              </w:rPr>
              <w:t>2016</w:t>
            </w:r>
            <w:r>
              <w:rPr>
                <w:color w:val="000000"/>
                <w:spacing w:val="0"/>
                <w:w w:val="100"/>
                <w:position w:val="0"/>
              </w:rPr>
              <w:t>年度、</w:t>
            </w:r>
            <w:r>
              <w:rPr>
                <w:rFonts w:ascii="Times New Roman" w:eastAsia="Times New Roman" w:hAnsi="Times New Roman" w:cs="Times New Roman"/>
                <w:color w:val="000000"/>
                <w:spacing w:val="0"/>
                <w:w w:val="100"/>
                <w:position w:val="0"/>
              </w:rPr>
              <w:t>2017</w:t>
            </w:r>
            <w:r>
              <w:rPr>
                <w:color w:val="000000"/>
                <w:spacing w:val="0"/>
                <w:w w:val="100"/>
                <w:position w:val="0"/>
              </w:rPr>
              <w:t>年度实际完成 的净利润高于业绩承诺金额的</w:t>
            </w:r>
            <w:r>
              <w:rPr>
                <w:rFonts w:ascii="Times New Roman" w:eastAsia="Times New Roman" w:hAnsi="Times New Roman" w:cs="Times New Roman"/>
                <w:color w:val="000000"/>
                <w:spacing w:val="0"/>
                <w:w w:val="100"/>
                <w:position w:val="0"/>
              </w:rPr>
              <w:t>80%</w:t>
            </w:r>
            <w:r>
              <w:rPr>
                <w:color w:val="000000"/>
                <w:spacing w:val="0"/>
                <w:w w:val="100"/>
                <w:position w:val="0"/>
              </w:rPr>
              <w:t>但不足业绩承诺金额的</w:t>
            </w:r>
            <w:r>
              <w:rPr>
                <w:rFonts w:ascii="Times New Roman" w:eastAsia="Times New Roman" w:hAnsi="Times New Roman" w:cs="Times New Roman"/>
                <w:color w:val="000000"/>
                <w:spacing w:val="0"/>
                <w:w w:val="100"/>
                <w:position w:val="0"/>
              </w:rPr>
              <w:t>100%</w:t>
            </w:r>
            <w:r>
              <w:rPr>
                <w:color w:val="000000"/>
                <w:spacing w:val="0"/>
                <w:w w:val="100"/>
                <w:position w:val="0"/>
              </w:rPr>
              <w:t>，中江信托有权要求在 后续业绩承诺年度累积进行业绩承诺差额补偿。</w:t>
            </w:r>
            <w:r>
              <w:rPr>
                <w:rFonts w:ascii="Times New Roman" w:eastAsia="Times New Roman" w:hAnsi="Times New Roman" w:cs="Times New Roman"/>
                <w:color w:val="000000"/>
                <w:spacing w:val="0"/>
                <w:w w:val="100"/>
                <w:position w:val="0"/>
              </w:rPr>
              <w:t>3.</w:t>
            </w:r>
            <w:r>
              <w:rPr>
                <w:color w:val="000000"/>
                <w:spacing w:val="0"/>
                <w:w w:val="100"/>
                <w:position w:val="0"/>
              </w:rPr>
              <w:t>根据减值测试报告，如标的资产期末 减值额</w:t>
            </w:r>
            <w:r>
              <w:rPr>
                <w:color w:val="000000"/>
                <w:spacing w:val="0"/>
                <w:w w:val="100"/>
                <w:position w:val="0"/>
              </w:rPr>
              <w:t>〉</w:t>
            </w:r>
            <w:r>
              <w:rPr>
                <w:color w:val="000000"/>
                <w:spacing w:val="0"/>
                <w:w w:val="100"/>
                <w:position w:val="0"/>
              </w:rPr>
              <w:t>中江信托已补偿金额</w:t>
            </w:r>
            <w:r>
              <w:rPr>
                <w:rFonts w:ascii="Times New Roman" w:eastAsia="Times New Roman" w:hAnsi="Times New Roman" w:cs="Times New Roman"/>
                <w:color w:val="000000"/>
                <w:spacing w:val="0"/>
                <w:w w:val="100"/>
                <w:position w:val="0"/>
              </w:rPr>
              <w:t>+</w:t>
            </w:r>
            <w:r>
              <w:rPr>
                <w:color w:val="000000"/>
                <w:spacing w:val="0"/>
                <w:w w:val="100"/>
                <w:position w:val="0"/>
              </w:rPr>
              <w:t>杜力、张巍已补偿金额（如有），则中江信托应向华声股 份另行以现金方式进行补偿。</w:t>
            </w:r>
            <w:r>
              <w:rPr>
                <w:rFonts w:ascii="Times New Roman" w:eastAsia="Times New Roman" w:hAnsi="Times New Roman" w:cs="Times New Roman"/>
                <w:color w:val="000000"/>
                <w:spacing w:val="0"/>
                <w:w w:val="100"/>
                <w:position w:val="0"/>
              </w:rPr>
              <w:t>4.</w:t>
            </w:r>
            <w:r>
              <w:rPr>
                <w:color w:val="000000"/>
                <w:spacing w:val="0"/>
                <w:w w:val="100"/>
                <w:position w:val="0"/>
              </w:rPr>
              <w:t>如中江信托承担的国盛证券资产减值补偿与业绩承诺补 偿合计金额超过</w:t>
            </w:r>
            <w:r>
              <w:rPr>
                <w:rFonts w:ascii="Times New Roman" w:eastAsia="Times New Roman" w:hAnsi="Times New Roman" w:cs="Times New Roman"/>
                <w:color w:val="000000"/>
                <w:spacing w:val="0"/>
                <w:w w:val="100"/>
                <w:position w:val="0"/>
              </w:rPr>
              <w:t>401,980.56</w:t>
            </w:r>
            <w:r>
              <w:rPr>
                <w:color w:val="000000"/>
                <w:spacing w:val="0"/>
                <w:w w:val="100"/>
                <w:position w:val="0"/>
              </w:rPr>
              <w:t>万元，则超出部分的补偿义务由杜力、张巍以现金方式向华</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05</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pPr>
            <w:r>
              <w:rPr>
                <w:color w:val="000000"/>
                <w:spacing w:val="0"/>
                <w:w w:val="100"/>
                <w:position w:val="0"/>
              </w:rPr>
              <w:t>有效期至</w:t>
            </w:r>
          </w:p>
          <w:p>
            <w:pPr>
              <w:pStyle w:val="Style20"/>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0"/>
              <w:keepNext w:val="0"/>
              <w:keepLines w:val="0"/>
              <w:widowControl w:val="0"/>
              <w:shd w:val="clear" w:color="auto" w:fill="auto"/>
              <w:bidi w:val="0"/>
              <w:spacing w:before="0" w:after="6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bl>
    <w:p>
      <w:pPr>
        <w:spacing w:lineRule="exact" w:line="1"/>
        <w:rPr>
          <w:sz w:val="2"/>
          <w:szCs w:val="2"/>
        </w:rPr>
      </w:pPr>
      <w:r>
        <w:br w:type="page"/>
      </w:r>
    </w:p>
    <w:tbl>
      <w:tblPr>
        <w:tblOverlap w:val="never"/>
        <w:jc w:val="center"/>
        <w:tblLayout w:type="fixed"/>
      </w:tblPr>
      <w:tblGrid>
        <w:gridCol w:w="1022"/>
        <w:gridCol w:w="994"/>
        <w:gridCol w:w="1133"/>
        <w:gridCol w:w="7939"/>
        <w:gridCol w:w="994"/>
        <w:gridCol w:w="994"/>
        <w:gridCol w:w="998"/>
      </w:tblGrid>
      <w:tr>
        <w:trPr>
          <w:trHeight w:val="164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声股份承担。</w:t>
            </w:r>
            <w:r>
              <w:rPr>
                <w:rFonts w:ascii="Times New Roman" w:eastAsia="Times New Roman" w:hAnsi="Times New Roman" w:cs="Times New Roman"/>
                <w:color w:val="000000"/>
                <w:spacing w:val="0"/>
                <w:w w:val="100"/>
                <w:position w:val="0"/>
              </w:rPr>
              <w:t>5.</w:t>
            </w:r>
            <w:r>
              <w:rPr>
                <w:color w:val="000000"/>
                <w:spacing w:val="0"/>
                <w:w w:val="100"/>
                <w:position w:val="0"/>
              </w:rPr>
              <w:t>中江信托在本次交易中获得的对价股份自上市首日起</w:t>
            </w:r>
            <w:r>
              <w:rPr>
                <w:rFonts w:ascii="Times New Roman" w:eastAsia="Times New Roman" w:hAnsi="Times New Roman" w:cs="Times New Roman"/>
                <w:color w:val="000000"/>
                <w:spacing w:val="0"/>
                <w:w w:val="100"/>
                <w:position w:val="0"/>
              </w:rPr>
              <w:t>12</w:t>
            </w:r>
            <w:r>
              <w:rPr>
                <w:color w:val="000000"/>
                <w:spacing w:val="0"/>
                <w:w w:val="100"/>
                <w:position w:val="0"/>
              </w:rPr>
              <w:t>个月内不得转 让，前述期限届满之后，如国盛证券在业绩承诺期内实现当年业绩承诺，则中江信托在 本次交易中获得的对价股份分三期按照</w:t>
            </w:r>
            <w:r>
              <w:rPr>
                <w:rFonts w:ascii="Times New Roman" w:eastAsia="Times New Roman" w:hAnsi="Times New Roman" w:cs="Times New Roman"/>
                <w:color w:val="000000"/>
                <w:spacing w:val="0"/>
                <w:w w:val="100"/>
                <w:position w:val="0"/>
              </w:rPr>
              <w:t>30%</w:t>
            </w:r>
            <w:r>
              <w:rPr>
                <w:color w:val="000000"/>
                <w:spacing w:val="0"/>
                <w:w w:val="100"/>
                <w:position w:val="0"/>
              </w:rPr>
              <w:t>、</w:t>
            </w:r>
            <w:r>
              <w:rPr>
                <w:rFonts w:ascii="Times New Roman" w:eastAsia="Times New Roman" w:hAnsi="Times New Roman" w:cs="Times New Roman"/>
                <w:color w:val="000000"/>
                <w:spacing w:val="0"/>
                <w:w w:val="100"/>
                <w:position w:val="0"/>
              </w:rPr>
              <w:t>30%</w:t>
            </w:r>
            <w:r>
              <w:rPr>
                <w:color w:val="000000"/>
                <w:spacing w:val="0"/>
                <w:w w:val="100"/>
                <w:position w:val="0"/>
              </w:rPr>
              <w:t>、</w:t>
            </w:r>
            <w:r>
              <w:rPr>
                <w:rFonts w:ascii="Times New Roman" w:eastAsia="Times New Roman" w:hAnsi="Times New Roman" w:cs="Times New Roman"/>
                <w:color w:val="000000"/>
                <w:spacing w:val="0"/>
                <w:w w:val="100"/>
                <w:position w:val="0"/>
              </w:rPr>
              <w:t>40%</w:t>
            </w:r>
            <w:r>
              <w:rPr>
                <w:color w:val="000000"/>
                <w:spacing w:val="0"/>
                <w:w w:val="100"/>
                <w:position w:val="0"/>
              </w:rPr>
              <w:t>的比例逐年解锁。尽管有以上 约定，自上市首日起</w:t>
            </w:r>
            <w:r>
              <w:rPr>
                <w:rFonts w:ascii="Times New Roman" w:eastAsia="Times New Roman" w:hAnsi="Times New Roman" w:cs="Times New Roman"/>
                <w:color w:val="000000"/>
                <w:spacing w:val="0"/>
                <w:w w:val="100"/>
                <w:position w:val="0"/>
              </w:rPr>
              <w:t>36</w:t>
            </w:r>
            <w:r>
              <w:rPr>
                <w:color w:val="000000"/>
                <w:spacing w:val="0"/>
                <w:w w:val="100"/>
                <w:position w:val="0"/>
              </w:rPr>
              <w:t>个月且中江信托履行完毕对华声股份的业绩承诺补偿义务之后， 中江信托所持对价股份全部解锁。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71"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凤凰财 智、杜力、 张巍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同业竞争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.截至本声明及承诺函出具之日，本单位</w:t>
            </w:r>
            <w:r>
              <w:rPr>
                <w:rFonts w:ascii="Times New Roman" w:eastAsia="Times New Roman" w:hAnsi="Times New Roman" w:cs="Times New Roman"/>
                <w:color w:val="000000"/>
                <w:spacing w:val="0"/>
                <w:w w:val="100"/>
                <w:position w:val="0"/>
              </w:rPr>
              <w:t>/</w:t>
            </w:r>
            <w:r>
              <w:rPr>
                <w:color w:val="000000"/>
                <w:spacing w:val="0"/>
                <w:w w:val="100"/>
                <w:position w:val="0"/>
              </w:rPr>
              <w:t>本人及本单位</w:t>
            </w:r>
            <w:r>
              <w:rPr>
                <w:rFonts w:ascii="Times New Roman" w:eastAsia="Times New Roman" w:hAnsi="Times New Roman" w:cs="Times New Roman"/>
                <w:color w:val="000000"/>
                <w:spacing w:val="0"/>
                <w:w w:val="100"/>
                <w:position w:val="0"/>
              </w:rPr>
              <w:t>/</w:t>
            </w:r>
            <w:r>
              <w:rPr>
                <w:color w:val="000000"/>
                <w:spacing w:val="0"/>
                <w:w w:val="100"/>
                <w:position w:val="0"/>
              </w:rPr>
              <w:t>本人控制的其他企业未从事 与上市公司及其控股子公司所从事的业务构成或可能构成直接利益冲突的竞争性经营 活动。</w:t>
            </w: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在本单位</w:t>
            </w:r>
            <w:r>
              <w:rPr>
                <w:rFonts w:ascii="Times New Roman" w:eastAsia="Times New Roman" w:hAnsi="Times New Roman" w:cs="Times New Roman"/>
                <w:color w:val="000000"/>
                <w:spacing w:val="0"/>
                <w:w w:val="100"/>
                <w:position w:val="0"/>
              </w:rPr>
              <w:t>/</w:t>
            </w:r>
            <w:r>
              <w:rPr>
                <w:color w:val="000000"/>
                <w:spacing w:val="0"/>
                <w:w w:val="100"/>
                <w:position w:val="0"/>
              </w:rPr>
              <w:t>本人或本单位</w:t>
            </w:r>
            <w:r>
              <w:rPr>
                <w:rFonts w:ascii="Times New Roman" w:eastAsia="Times New Roman" w:hAnsi="Times New Roman" w:cs="Times New Roman"/>
                <w:color w:val="000000"/>
                <w:spacing w:val="0"/>
                <w:w w:val="100"/>
                <w:position w:val="0"/>
              </w:rPr>
              <w:t>/</w:t>
            </w:r>
            <w:r>
              <w:rPr>
                <w:color w:val="000000"/>
                <w:spacing w:val="0"/>
                <w:w w:val="100"/>
                <w:position w:val="0"/>
              </w:rPr>
              <w:t>本人控制的企业作为上市公司股东期间及转让完毕 本单位</w:t>
            </w:r>
            <w:r>
              <w:rPr>
                <w:rFonts w:ascii="Times New Roman" w:eastAsia="Times New Roman" w:hAnsi="Times New Roman" w:cs="Times New Roman"/>
                <w:color w:val="000000"/>
                <w:spacing w:val="0"/>
                <w:w w:val="100"/>
                <w:position w:val="0"/>
              </w:rPr>
              <w:t>/</w:t>
            </w:r>
            <w:r>
              <w:rPr>
                <w:color w:val="000000"/>
                <w:spacing w:val="0"/>
                <w:w w:val="100"/>
                <w:position w:val="0"/>
              </w:rPr>
              <w:t>本人或本单位</w:t>
            </w:r>
            <w:r>
              <w:rPr>
                <w:rFonts w:ascii="Times New Roman" w:eastAsia="Times New Roman" w:hAnsi="Times New Roman" w:cs="Times New Roman"/>
                <w:color w:val="000000"/>
                <w:spacing w:val="0"/>
                <w:w w:val="100"/>
                <w:position w:val="0"/>
              </w:rPr>
              <w:t>/</w:t>
            </w:r>
            <w:r>
              <w:rPr>
                <w:color w:val="000000"/>
                <w:spacing w:val="0"/>
                <w:w w:val="100"/>
                <w:position w:val="0"/>
              </w:rPr>
              <w:t>本人控制的企业持有的上市公司股份之后一年内，本单位</w:t>
            </w:r>
            <w:r>
              <w:rPr>
                <w:rFonts w:ascii="Times New Roman" w:eastAsia="Times New Roman" w:hAnsi="Times New Roman" w:cs="Times New Roman"/>
                <w:color w:val="000000"/>
                <w:spacing w:val="0"/>
                <w:w w:val="100"/>
                <w:position w:val="0"/>
              </w:rPr>
              <w:t>/</w:t>
            </w:r>
            <w:r>
              <w:rPr>
                <w:color w:val="000000"/>
                <w:spacing w:val="0"/>
                <w:w w:val="100"/>
                <w:position w:val="0"/>
              </w:rPr>
              <w:t>本人及 本单位</w:t>
            </w:r>
            <w:r>
              <w:rPr>
                <w:rFonts w:ascii="Times New Roman" w:eastAsia="Times New Roman" w:hAnsi="Times New Roman" w:cs="Times New Roman"/>
                <w:color w:val="000000"/>
                <w:spacing w:val="0"/>
                <w:w w:val="100"/>
                <w:position w:val="0"/>
              </w:rPr>
              <w:t>/</w:t>
            </w:r>
            <w:r>
              <w:rPr>
                <w:color w:val="000000"/>
                <w:spacing w:val="0"/>
                <w:w w:val="100"/>
                <w:position w:val="0"/>
              </w:rPr>
              <w:t>本人控制的企业不直接或间接从事或发展与上市公司及其控股子公司经营范围 相同或相类似的业务或项目，也不为本单位</w:t>
            </w:r>
            <w:r>
              <w:rPr>
                <w:rFonts w:ascii="Times New Roman" w:eastAsia="Times New Roman" w:hAnsi="Times New Roman" w:cs="Times New Roman"/>
                <w:color w:val="000000"/>
                <w:spacing w:val="0"/>
                <w:w w:val="100"/>
                <w:position w:val="0"/>
              </w:rPr>
              <w:t>/</w:t>
            </w:r>
            <w:r>
              <w:rPr>
                <w:color w:val="000000"/>
                <w:spacing w:val="0"/>
                <w:w w:val="100"/>
                <w:position w:val="0"/>
              </w:rPr>
              <w:t>本人或代表任何第三方成立、发展、参与、 协助任何企业与上市公司进行直接或间接的竞争；本单位</w:t>
            </w:r>
            <w:r>
              <w:rPr>
                <w:rFonts w:ascii="Times New Roman" w:eastAsia="Times New Roman" w:hAnsi="Times New Roman" w:cs="Times New Roman"/>
                <w:color w:val="000000"/>
                <w:spacing w:val="0"/>
                <w:w w:val="100"/>
                <w:position w:val="0"/>
              </w:rPr>
              <w:t>/</w:t>
            </w:r>
            <w:r>
              <w:rPr>
                <w:color w:val="000000"/>
                <w:spacing w:val="0"/>
                <w:w w:val="100"/>
                <w:position w:val="0"/>
              </w:rPr>
              <w:t>本人不利用从上市公司处获 取的信息从事、直接或间接参与与上市公司相竞争的活动；在可能与上市公司存在竞争 的业务领域中出现新的发展机会时，给予上市公司优先发展权；如上市公司经营的业务 与本单位</w:t>
            </w:r>
            <w:r>
              <w:rPr>
                <w:rFonts w:ascii="Times New Roman" w:eastAsia="Times New Roman" w:hAnsi="Times New Roman" w:cs="Times New Roman"/>
                <w:color w:val="000000"/>
                <w:spacing w:val="0"/>
                <w:w w:val="100"/>
                <w:position w:val="0"/>
              </w:rPr>
              <w:t>/</w:t>
            </w:r>
            <w:r>
              <w:rPr>
                <w:color w:val="000000"/>
                <w:spacing w:val="0"/>
                <w:w w:val="100"/>
                <w:position w:val="0"/>
              </w:rPr>
              <w:t>本人以及受本单位</w:t>
            </w:r>
            <w:r>
              <w:rPr>
                <w:rFonts w:ascii="Times New Roman" w:eastAsia="Times New Roman" w:hAnsi="Times New Roman" w:cs="Times New Roman"/>
                <w:color w:val="000000"/>
                <w:spacing w:val="0"/>
                <w:w w:val="100"/>
                <w:position w:val="0"/>
              </w:rPr>
              <w:t>/</w:t>
            </w:r>
            <w:r>
              <w:rPr>
                <w:color w:val="000000"/>
                <w:spacing w:val="0"/>
                <w:w w:val="100"/>
                <w:position w:val="0"/>
              </w:rPr>
              <w:t>本人控制的任何其他企业或其他关联公司构成或可能构 成实质性竞争，本单位</w:t>
            </w:r>
            <w:r>
              <w:rPr>
                <w:rFonts w:ascii="Times New Roman" w:eastAsia="Times New Roman" w:hAnsi="Times New Roman" w:cs="Times New Roman"/>
                <w:color w:val="000000"/>
                <w:spacing w:val="0"/>
                <w:w w:val="100"/>
                <w:position w:val="0"/>
              </w:rPr>
              <w:t>/</w:t>
            </w:r>
            <w:r>
              <w:rPr>
                <w:color w:val="000000"/>
                <w:spacing w:val="0"/>
                <w:w w:val="100"/>
                <w:position w:val="0"/>
              </w:rPr>
              <w:t>本人同意上市公司有权以公平合理的价格优先收购本单位</w:t>
            </w:r>
            <w:r>
              <w:rPr>
                <w:rFonts w:ascii="Times New Roman" w:eastAsia="Times New Roman" w:hAnsi="Times New Roman" w:cs="Times New Roman"/>
                <w:color w:val="000000"/>
                <w:spacing w:val="0"/>
                <w:w w:val="100"/>
                <w:position w:val="0"/>
              </w:rPr>
              <w:t>/</w:t>
            </w:r>
            <w:r>
              <w:rPr>
                <w:color w:val="000000"/>
                <w:spacing w:val="0"/>
                <w:w w:val="100"/>
                <w:position w:val="0"/>
              </w:rPr>
              <w:t>本人 在该企业或其他关联公司中的全部股权或其他权益，或如上市公司决定不予收购的，本 单位</w:t>
            </w:r>
            <w:r>
              <w:rPr>
                <w:rFonts w:ascii="Times New Roman" w:eastAsia="Times New Roman" w:hAnsi="Times New Roman" w:cs="Times New Roman"/>
                <w:color w:val="000000"/>
                <w:spacing w:val="0"/>
                <w:w w:val="100"/>
                <w:position w:val="0"/>
              </w:rPr>
              <w:t>/</w:t>
            </w:r>
            <w:r>
              <w:rPr>
                <w:color w:val="000000"/>
                <w:spacing w:val="0"/>
                <w:w w:val="100"/>
                <w:position w:val="0"/>
              </w:rPr>
              <w:t>本人同意在合理期限内清理、注销该等同类营业或将资产转给其他非关联方；本 单位</w:t>
            </w:r>
            <w:r>
              <w:rPr>
                <w:rFonts w:ascii="Times New Roman" w:eastAsia="Times New Roman" w:hAnsi="Times New Roman" w:cs="Times New Roman"/>
                <w:color w:val="000000"/>
                <w:spacing w:val="0"/>
                <w:w w:val="100"/>
                <w:position w:val="0"/>
              </w:rPr>
              <w:t>/</w:t>
            </w:r>
            <w:r>
              <w:rPr>
                <w:color w:val="000000"/>
                <w:spacing w:val="0"/>
                <w:w w:val="100"/>
                <w:position w:val="0"/>
              </w:rPr>
              <w:t>本人不进行任何损害或可能损害上市公司利益的其他竞争行为。本单位</w:t>
            </w:r>
            <w:r>
              <w:rPr>
                <w:rFonts w:ascii="Times New Roman" w:eastAsia="Times New Roman" w:hAnsi="Times New Roman" w:cs="Times New Roman"/>
                <w:color w:val="000000"/>
                <w:spacing w:val="0"/>
                <w:w w:val="100"/>
                <w:position w:val="0"/>
              </w:rPr>
              <w:t>/</w:t>
            </w:r>
            <w:r>
              <w:rPr>
                <w:color w:val="000000"/>
                <w:spacing w:val="0"/>
                <w:w w:val="100"/>
                <w:position w:val="0"/>
              </w:rPr>
              <w:t>本人愿意 承担因违反上述承诺给上市公司造成的全部经济损失。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05</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正常履行 中</w:t>
            </w:r>
          </w:p>
        </w:tc>
      </w:tr>
      <w:tr>
        <w:trPr>
          <w:trHeight w:val="3182" w:hRule="exact"/>
        </w:trPr>
        <w:tc>
          <w:tcPr>
            <w:tcBorders>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凤凰财 智、杜力、 张巍</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对于未来可能的关联交易，本单位</w:t>
            </w:r>
            <w:r>
              <w:rPr>
                <w:rFonts w:ascii="Times New Roman" w:eastAsia="Times New Roman" w:hAnsi="Times New Roman" w:cs="Times New Roman"/>
                <w:color w:val="000000"/>
                <w:spacing w:val="0"/>
                <w:w w:val="100"/>
                <w:position w:val="0"/>
              </w:rPr>
              <w:t>/</w:t>
            </w:r>
            <w:r>
              <w:rPr>
                <w:color w:val="000000"/>
                <w:spacing w:val="0"/>
                <w:w w:val="100"/>
                <w:position w:val="0"/>
              </w:rPr>
              <w:t>本人将善意履行作为上市公司实际控制人的义务, 不利用本单位</w:t>
            </w:r>
            <w:r>
              <w:rPr>
                <w:rFonts w:ascii="Times New Roman" w:eastAsia="Times New Roman" w:hAnsi="Times New Roman" w:cs="Times New Roman"/>
                <w:color w:val="000000"/>
                <w:spacing w:val="0"/>
                <w:w w:val="100"/>
                <w:position w:val="0"/>
              </w:rPr>
              <w:t>/</w:t>
            </w:r>
            <w:r>
              <w:rPr>
                <w:color w:val="000000"/>
                <w:spacing w:val="0"/>
                <w:w w:val="100"/>
                <w:position w:val="0"/>
              </w:rPr>
              <w:t>本人的控制地位，就上市公司与本单位</w:t>
            </w:r>
            <w:r>
              <w:rPr>
                <w:rFonts w:ascii="Times New Roman" w:eastAsia="Times New Roman" w:hAnsi="Times New Roman" w:cs="Times New Roman"/>
                <w:color w:val="000000"/>
                <w:spacing w:val="0"/>
                <w:w w:val="100"/>
                <w:position w:val="0"/>
              </w:rPr>
              <w:t>/</w:t>
            </w:r>
            <w:r>
              <w:rPr>
                <w:color w:val="000000"/>
                <w:spacing w:val="0"/>
                <w:w w:val="100"/>
                <w:position w:val="0"/>
              </w:rPr>
              <w:t>本人及本单位</w:t>
            </w:r>
            <w:r>
              <w:rPr>
                <w:rFonts w:ascii="Times New Roman" w:eastAsia="Times New Roman" w:hAnsi="Times New Roman" w:cs="Times New Roman"/>
                <w:color w:val="000000"/>
                <w:spacing w:val="0"/>
                <w:w w:val="100"/>
                <w:position w:val="0"/>
              </w:rPr>
              <w:t>/</w:t>
            </w:r>
            <w:r>
              <w:rPr>
                <w:color w:val="000000"/>
                <w:spacing w:val="0"/>
                <w:w w:val="100"/>
                <w:position w:val="0"/>
              </w:rPr>
              <w:t>本人控制的其他企 业相关的任何关联交易采取任何行动，故意促使上市公司的股东大会或董事会做出损害 上市公司和其他股东合法权益的决议。</w:t>
            </w:r>
            <w:r>
              <w:rPr>
                <w:rFonts w:ascii="Times New Roman" w:eastAsia="Times New Roman" w:hAnsi="Times New Roman" w:cs="Times New Roman"/>
                <w:color w:val="000000"/>
                <w:spacing w:val="0"/>
                <w:w w:val="100"/>
                <w:position w:val="0"/>
              </w:rPr>
              <w:t>2.</w:t>
            </w:r>
            <w:r>
              <w:rPr>
                <w:color w:val="000000"/>
                <w:spacing w:val="0"/>
                <w:w w:val="100"/>
                <w:position w:val="0"/>
              </w:rPr>
              <w:t>本单位</w:t>
            </w:r>
            <w:r>
              <w:rPr>
                <w:rFonts w:ascii="Times New Roman" w:eastAsia="Times New Roman" w:hAnsi="Times New Roman" w:cs="Times New Roman"/>
                <w:color w:val="000000"/>
                <w:spacing w:val="0"/>
                <w:w w:val="100"/>
                <w:position w:val="0"/>
              </w:rPr>
              <w:t>/</w:t>
            </w:r>
            <w:r>
              <w:rPr>
                <w:color w:val="000000"/>
                <w:spacing w:val="0"/>
                <w:w w:val="100"/>
                <w:position w:val="0"/>
              </w:rPr>
              <w:t>本人及本单位</w:t>
            </w:r>
            <w:r>
              <w:rPr>
                <w:rFonts w:ascii="Times New Roman" w:eastAsia="Times New Roman" w:hAnsi="Times New Roman" w:cs="Times New Roman"/>
                <w:color w:val="000000"/>
                <w:spacing w:val="0"/>
                <w:w w:val="100"/>
                <w:position w:val="0"/>
              </w:rPr>
              <w:t>/</w:t>
            </w:r>
            <w:r>
              <w:rPr>
                <w:color w:val="000000"/>
                <w:spacing w:val="0"/>
                <w:w w:val="100"/>
                <w:position w:val="0"/>
              </w:rPr>
              <w:t>本人的关联方不以任何 方式违法违规占用上市公司资金及要求上市公司违法违规提供担保。</w:t>
            </w: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如果上市公司 与本单位</w:t>
            </w:r>
            <w:r>
              <w:rPr>
                <w:rFonts w:ascii="Times New Roman" w:eastAsia="Times New Roman" w:hAnsi="Times New Roman" w:cs="Times New Roman"/>
                <w:color w:val="000000"/>
                <w:spacing w:val="0"/>
                <w:w w:val="100"/>
                <w:position w:val="0"/>
              </w:rPr>
              <w:t>/</w:t>
            </w:r>
            <w:r>
              <w:rPr>
                <w:color w:val="000000"/>
                <w:spacing w:val="0"/>
                <w:w w:val="100"/>
                <w:position w:val="0"/>
              </w:rPr>
              <w:t>本人及本单位</w:t>
            </w:r>
            <w:r>
              <w:rPr>
                <w:rFonts w:ascii="Times New Roman" w:eastAsia="Times New Roman" w:hAnsi="Times New Roman" w:cs="Times New Roman"/>
                <w:color w:val="000000"/>
                <w:spacing w:val="0"/>
                <w:w w:val="100"/>
                <w:position w:val="0"/>
              </w:rPr>
              <w:t>/</w:t>
            </w:r>
            <w:r>
              <w:rPr>
                <w:color w:val="000000"/>
                <w:spacing w:val="0"/>
                <w:w w:val="100"/>
                <w:position w:val="0"/>
              </w:rPr>
              <w:t>本人控制的其他企业发生无法避免或有合理原因的关联交易， 则本单位</w:t>
            </w:r>
            <w:r>
              <w:rPr>
                <w:rFonts w:ascii="Times New Roman" w:eastAsia="Times New Roman" w:hAnsi="Times New Roman" w:cs="Times New Roman"/>
                <w:color w:val="000000"/>
                <w:spacing w:val="0"/>
                <w:w w:val="100"/>
                <w:position w:val="0"/>
              </w:rPr>
              <w:t>/</w:t>
            </w:r>
            <w:r>
              <w:rPr>
                <w:color w:val="000000"/>
                <w:spacing w:val="0"/>
                <w:w w:val="100"/>
                <w:position w:val="0"/>
              </w:rPr>
              <w:t>本人承诺将促使上述关联交易遵循市场公正、公平、公开的原则，依照正常 商业条件进行。本单位</w:t>
            </w:r>
            <w:r>
              <w:rPr>
                <w:rFonts w:ascii="Times New Roman" w:eastAsia="Times New Roman" w:hAnsi="Times New Roman" w:cs="Times New Roman"/>
                <w:color w:val="000000"/>
                <w:spacing w:val="0"/>
                <w:w w:val="100"/>
                <w:position w:val="0"/>
              </w:rPr>
              <w:t>/</w:t>
            </w:r>
            <w:r>
              <w:rPr>
                <w:color w:val="000000"/>
                <w:spacing w:val="0"/>
                <w:w w:val="100"/>
                <w:position w:val="0"/>
              </w:rPr>
              <w:t>本人将不会要求，也不会接受上市公司给予优于其在一项市场 公平交易中向第三方给予的交易条件。</w:t>
            </w:r>
            <w:r>
              <w:rPr>
                <w:rFonts w:ascii="Times New Roman" w:eastAsia="Times New Roman" w:hAnsi="Times New Roman" w:cs="Times New Roman"/>
                <w:color w:val="000000"/>
                <w:spacing w:val="0"/>
                <w:w w:val="100"/>
                <w:position w:val="0"/>
              </w:rPr>
              <w:t>4 .</w:t>
            </w:r>
            <w:r>
              <w:rPr>
                <w:color w:val="000000"/>
                <w:spacing w:val="0"/>
                <w:w w:val="100"/>
                <w:position w:val="0"/>
              </w:rPr>
              <w:t>本单位</w:t>
            </w:r>
            <w:r>
              <w:rPr>
                <w:rFonts w:ascii="Times New Roman" w:eastAsia="Times New Roman" w:hAnsi="Times New Roman" w:cs="Times New Roman"/>
                <w:color w:val="000000"/>
                <w:spacing w:val="0"/>
                <w:w w:val="100"/>
                <w:position w:val="0"/>
              </w:rPr>
              <w:t>/</w:t>
            </w:r>
            <w:r>
              <w:rPr>
                <w:color w:val="000000"/>
                <w:spacing w:val="0"/>
                <w:w w:val="100"/>
                <w:position w:val="0"/>
              </w:rPr>
              <w:t>本人将严格遵守和执行上市公司关联交 易管理制度的各项规定,如有违反以上承诺及上市公司关联交易管理制度而给上市公司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05</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正常履行 中</w:t>
            </w:r>
          </w:p>
        </w:tc>
      </w:tr>
    </w:tbl>
    <w:p>
      <w:pPr>
        <w:spacing w:lineRule="exact" w:line="1"/>
        <w:rPr>
          <w:sz w:val="2"/>
          <w:szCs w:val="2"/>
        </w:rPr>
      </w:pPr>
      <w:r>
        <w:br w:type="page"/>
      </w:r>
    </w:p>
    <w:tbl>
      <w:tblPr>
        <w:tblOverlap w:val="never"/>
        <w:jc w:val="center"/>
        <w:tblLayout w:type="fixed"/>
      </w:tblPr>
      <w:tblGrid>
        <w:gridCol w:w="1022"/>
        <w:gridCol w:w="994"/>
        <w:gridCol w:w="1133"/>
        <w:gridCol w:w="7939"/>
        <w:gridCol w:w="994"/>
        <w:gridCol w:w="994"/>
        <w:gridCol w:w="998"/>
      </w:tblGrid>
      <w:tr>
        <w:trPr>
          <w:trHeight w:val="39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造成损失的情形，将依法承担相应责任。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71"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中江信 托、赣粤 高速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同业竞争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截至本声明与承诺函出具之日，除国盛证券外，本公司及本公司控制的其他企业未从 事与上市公司及其控股子公司所从事的业务构成或可能构成直接利益冲突的竞争性经 营活动。</w:t>
            </w:r>
            <w:r>
              <w:rPr>
                <w:rFonts w:ascii="Times New Roman" w:eastAsia="Times New Roman" w:hAnsi="Times New Roman" w:cs="Times New Roman"/>
                <w:color w:val="000000"/>
                <w:spacing w:val="0"/>
                <w:w w:val="100"/>
                <w:position w:val="0"/>
              </w:rPr>
              <w:t>2.</w:t>
            </w:r>
            <w:r>
              <w:rPr>
                <w:color w:val="000000"/>
                <w:spacing w:val="0"/>
                <w:w w:val="100"/>
                <w:position w:val="0"/>
              </w:rPr>
              <w:t>本次交易实施完毕后，本公司及本公司控制的企业与上市公司、国盛证券及 上市公司其它控股子公司不会构成直接或间接同业竞争关系。</w:t>
            </w:r>
            <w:r>
              <w:rPr>
                <w:rFonts w:ascii="Times New Roman" w:eastAsia="Times New Roman" w:hAnsi="Times New Roman" w:cs="Times New Roman"/>
                <w:color w:val="000000"/>
                <w:spacing w:val="0"/>
                <w:w w:val="100"/>
                <w:position w:val="0"/>
              </w:rPr>
              <w:t>3.</w:t>
            </w:r>
            <w:r>
              <w:rPr>
                <w:color w:val="000000"/>
                <w:spacing w:val="0"/>
                <w:w w:val="100"/>
                <w:position w:val="0"/>
              </w:rPr>
              <w:t>在作为上市公司股东期 间及转让完毕本公司持有的上市公司股份之后一年内，本公司及本公司控制的企业不直 接或间接从事或发展与上市公司、国盛证券及上市公司其他控股子公司经营范围相同或 相类似的业务或项目，也不为本公司或代表任何第三方成立、发展、参与、协助任何企 业与上市公司进行直接或间接的竞争；本公司不利用从上市公司处获取的信息从事、直 接或间接参与与上市公司相竞争的活动;在可能与上市公司存在竞争的业务领域中出现 新的发展机会时，给予上市公司优先发展权；如上市公司经营的业务与本公司以及受本 公司控制的任何其他企业或其他关联公司构成或可能构成实质性竞争，本公司同意上市 公司有权以公平合理的价格优先收购本公司在该企业或其他关联公司中的全部股权或 其他权益，或如上市公司决定不予收购的，本公司同意在合理期限内清理、注销该等同 类营业或将资产转给其他非关联方;本公司不进行任何损害或可能损害上市公司利益的 其他竞争行为。本公司愿意承担因违反上述承诺给上市公司造成的全部经济损失。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05</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正常履行 中</w:t>
            </w:r>
          </w:p>
        </w:tc>
      </w:tr>
      <w:tr>
        <w:trPr>
          <w:trHeight w:val="3211"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中江信 托、赣粤 高速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对于未来可能的关联交易，本公司将善意履行作为上市公司股东的义务，不利用本公 司的股东地位，就上市公司与本公司及本公司控制的企业相关的任何关联交易采取任何 行动，故意促使上市公司的股东大会或董事会做出损害上市公司和其他股东合法权益的 决议。</w:t>
            </w:r>
            <w:r>
              <w:rPr>
                <w:rFonts w:ascii="Times New Roman" w:eastAsia="Times New Roman" w:hAnsi="Times New Roman" w:cs="Times New Roman"/>
                <w:color w:val="000000"/>
                <w:spacing w:val="0"/>
                <w:w w:val="100"/>
                <w:position w:val="0"/>
              </w:rPr>
              <w:t>2.</w:t>
            </w:r>
            <w:r>
              <w:rPr>
                <w:color w:val="000000"/>
                <w:spacing w:val="0"/>
                <w:w w:val="100"/>
                <w:position w:val="0"/>
              </w:rPr>
              <w:t>本公司及本公司的关联方不以任何方式违法违规占用上市公司资金及要求上市 公司违法违规提供担保。</w:t>
            </w:r>
            <w:r>
              <w:rPr>
                <w:rFonts w:ascii="Times New Roman" w:eastAsia="Times New Roman" w:hAnsi="Times New Roman" w:cs="Times New Roman"/>
                <w:color w:val="000000"/>
                <w:spacing w:val="0"/>
                <w:w w:val="100"/>
                <w:position w:val="0"/>
              </w:rPr>
              <w:t>3.</w:t>
            </w:r>
            <w:r>
              <w:rPr>
                <w:color w:val="000000"/>
                <w:spacing w:val="0"/>
                <w:w w:val="100"/>
                <w:position w:val="0"/>
              </w:rPr>
              <w:t>如果上市公司与本公司及本公司控制的企业发生无法避免或 有合理原因的关联交易，则本公司承诺将促使上述关联交易遵循市场公正、公平、公开 的原则，依照正常商业条件进行。本公司将不会要求，也不会接受上市公司给予优于其 在一项市场公平交易中向第三方给予的交易条件。</w:t>
            </w:r>
            <w:r>
              <w:rPr>
                <w:rFonts w:ascii="Times New Roman" w:eastAsia="Times New Roman" w:hAnsi="Times New Roman" w:cs="Times New Roman"/>
                <w:color w:val="000000"/>
                <w:spacing w:val="0"/>
                <w:w w:val="100"/>
                <w:position w:val="0"/>
              </w:rPr>
              <w:t>4.</w:t>
            </w:r>
            <w:r>
              <w:rPr>
                <w:color w:val="000000"/>
                <w:spacing w:val="0"/>
                <w:w w:val="100"/>
                <w:position w:val="0"/>
              </w:rPr>
              <w:t>本公司将严格遵守和执行上市公司 关联交易管理制度的各项规定,如有违反以上承诺及上市公司关联交易管理制度而给上 市公司造成损失的情形，将依法承担相应责任。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05</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正常履行 中</w:t>
            </w:r>
          </w:p>
        </w:tc>
      </w:tr>
      <w:tr>
        <w:trPr>
          <w:trHeight w:val="994" w:hRule="exact"/>
        </w:trPr>
        <w:tc>
          <w:tcPr>
            <w:tcBorders>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前海发 展、前海 远大、凤</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同业竞争</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.截至本声明与承诺函出具之日，本单位</w:t>
            </w:r>
            <w:r>
              <w:rPr>
                <w:rFonts w:ascii="Times New Roman" w:eastAsia="Times New Roman" w:hAnsi="Times New Roman" w:cs="Times New Roman"/>
                <w:color w:val="000000"/>
                <w:spacing w:val="0"/>
                <w:w w:val="100"/>
                <w:position w:val="0"/>
              </w:rPr>
              <w:t>/</w:t>
            </w:r>
            <w:r>
              <w:rPr>
                <w:color w:val="000000"/>
                <w:spacing w:val="0"/>
                <w:w w:val="100"/>
                <w:position w:val="0"/>
              </w:rPr>
              <w:t>本公司及本单位</w:t>
            </w:r>
            <w:r>
              <w:rPr>
                <w:rFonts w:ascii="Times New Roman" w:eastAsia="Times New Roman" w:hAnsi="Times New Roman" w:cs="Times New Roman"/>
                <w:color w:val="000000"/>
                <w:spacing w:val="0"/>
                <w:w w:val="100"/>
                <w:position w:val="0"/>
              </w:rPr>
              <w:t>/</w:t>
            </w:r>
            <w:r>
              <w:rPr>
                <w:color w:val="000000"/>
                <w:spacing w:val="0"/>
                <w:w w:val="100"/>
                <w:position w:val="0"/>
              </w:rPr>
              <w:t>本公司控制的其他企业未 从事与上市公司及其控股子公司所从事的业务构成或可能构成直接利益冲突的竞争性 经营活动。</w:t>
            </w: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本次交易实施完毕后，本单位</w:t>
            </w:r>
            <w:r>
              <w:rPr>
                <w:rFonts w:ascii="Times New Roman" w:eastAsia="Times New Roman" w:hAnsi="Times New Roman" w:cs="Times New Roman"/>
                <w:color w:val="000000"/>
                <w:spacing w:val="0"/>
                <w:w w:val="100"/>
                <w:position w:val="0"/>
              </w:rPr>
              <w:t>/</w:t>
            </w:r>
            <w:r>
              <w:rPr>
                <w:color w:val="000000"/>
                <w:spacing w:val="0"/>
                <w:w w:val="100"/>
                <w:position w:val="0"/>
              </w:rPr>
              <w:t>本公司及本单位</w:t>
            </w:r>
            <w:r>
              <w:rPr>
                <w:rFonts w:ascii="Times New Roman" w:eastAsia="Times New Roman" w:hAnsi="Times New Roman" w:cs="Times New Roman"/>
                <w:color w:val="000000"/>
                <w:spacing w:val="0"/>
                <w:w w:val="100"/>
                <w:position w:val="0"/>
              </w:rPr>
              <w:t>/</w:t>
            </w:r>
            <w:r>
              <w:rPr>
                <w:color w:val="000000"/>
                <w:spacing w:val="0"/>
                <w:w w:val="100"/>
                <w:position w:val="0"/>
              </w:rPr>
              <w:t>本公司控制的企业与上</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05</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bl>
    <w:p>
      <w:pPr>
        <w:sectPr>
          <w:headerReference w:type="default" r:id="rId17"/>
          <w:footerReference w:type="default" r:id="rId18"/>
          <w:footnotePr>
            <w:pos w:val="pageBottom"/>
            <w:numFmt w:val="decimal"/>
            <w:numRestart w:val="continuous"/>
          </w:footnotePr>
          <w:pgSz w:w="16840" w:h="11900" w:orient="landscape"/>
          <w:pgMar w:top="1098" w:right="1352" w:bottom="1206" w:left="1414" w:header="0" w:footer="3" w:gutter="0"/>
          <w:cols w:space="720"/>
          <w:noEndnote/>
          <w:rtlGutter w:val="0"/>
          <w:docGrid w:linePitch="360"/>
        </w:sectPr>
      </w:pPr>
    </w:p>
    <w:tbl>
      <w:tblPr>
        <w:tblOverlap w:val="never"/>
        <w:jc w:val="center"/>
        <w:tblLayout w:type="fixed"/>
      </w:tblPr>
      <w:tblGrid>
        <w:gridCol w:w="998"/>
        <w:gridCol w:w="994"/>
        <w:gridCol w:w="1133"/>
        <w:gridCol w:w="7939"/>
        <w:gridCol w:w="994"/>
        <w:gridCol w:w="994"/>
        <w:gridCol w:w="998"/>
      </w:tblGrid>
      <w:tr>
        <w:trPr>
          <w:trHeight w:val="445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凰财鑫、 北京迅杰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市公司、国盛证券及上市公司其它控股子公司不会构成直接或间接同业竞争关系。</w:t>
            </w:r>
            <w:r>
              <w:rPr>
                <w:rFonts w:ascii="Times New Roman" w:eastAsia="Times New Roman" w:hAnsi="Times New Roman" w:cs="Times New Roman"/>
                <w:color w:val="000000"/>
                <w:spacing w:val="0"/>
                <w:w w:val="100"/>
                <w:position w:val="0"/>
              </w:rPr>
              <w:t>3</w:t>
            </w:r>
            <w:r>
              <w:rPr>
                <w:color w:val="000000"/>
                <w:spacing w:val="0"/>
                <w:w w:val="100"/>
                <w:position w:val="0"/>
              </w:rPr>
              <w:t>.在 作为上市公司股东期间及转让完毕本单位</w:t>
            </w:r>
            <w:r>
              <w:rPr>
                <w:rFonts w:ascii="Times New Roman" w:eastAsia="Times New Roman" w:hAnsi="Times New Roman" w:cs="Times New Roman"/>
                <w:color w:val="000000"/>
                <w:spacing w:val="0"/>
                <w:w w:val="100"/>
                <w:position w:val="0"/>
              </w:rPr>
              <w:t>/</w:t>
            </w:r>
            <w:r>
              <w:rPr>
                <w:color w:val="000000"/>
                <w:spacing w:val="0"/>
                <w:w w:val="100"/>
                <w:position w:val="0"/>
              </w:rPr>
              <w:t>本公司持有的上市公司股份之后一年内，本 单位</w:t>
            </w:r>
            <w:r>
              <w:rPr>
                <w:rFonts w:ascii="Times New Roman" w:eastAsia="Times New Roman" w:hAnsi="Times New Roman" w:cs="Times New Roman"/>
                <w:color w:val="000000"/>
                <w:spacing w:val="0"/>
                <w:w w:val="100"/>
                <w:position w:val="0"/>
              </w:rPr>
              <w:t>/</w:t>
            </w:r>
            <w:r>
              <w:rPr>
                <w:color w:val="000000"/>
                <w:spacing w:val="0"/>
                <w:w w:val="100"/>
                <w:position w:val="0"/>
              </w:rPr>
              <w:t>本公司及本单位</w:t>
            </w:r>
            <w:r>
              <w:rPr>
                <w:rFonts w:ascii="Times New Roman" w:eastAsia="Times New Roman" w:hAnsi="Times New Roman" w:cs="Times New Roman"/>
                <w:color w:val="000000"/>
                <w:spacing w:val="0"/>
                <w:w w:val="100"/>
                <w:position w:val="0"/>
              </w:rPr>
              <w:t>/</w:t>
            </w:r>
            <w:r>
              <w:rPr>
                <w:color w:val="000000"/>
                <w:spacing w:val="0"/>
                <w:w w:val="100"/>
                <w:position w:val="0"/>
              </w:rPr>
              <w:t>本公司控制的企业不直接或间接从事或发展与上市公司、国盛证 券及上市公司其他控股子公司经营范围相同或相类似的业务或项目，也不为本单位</w:t>
            </w:r>
            <w:r>
              <w:rPr>
                <w:rFonts w:ascii="Times New Roman" w:eastAsia="Times New Roman" w:hAnsi="Times New Roman" w:cs="Times New Roman"/>
                <w:color w:val="000000"/>
                <w:spacing w:val="0"/>
                <w:w w:val="100"/>
                <w:position w:val="0"/>
              </w:rPr>
              <w:t>/</w:t>
            </w:r>
            <w:r>
              <w:rPr>
                <w:color w:val="000000"/>
                <w:spacing w:val="0"/>
                <w:w w:val="100"/>
                <w:position w:val="0"/>
              </w:rPr>
              <w:t>本 公司或代表任何第三方成立、发展、参与、协助任何企业与上市公司进行直接或间接的 竞争；本单位</w:t>
            </w:r>
            <w:r>
              <w:rPr>
                <w:rFonts w:ascii="Times New Roman" w:eastAsia="Times New Roman" w:hAnsi="Times New Roman" w:cs="Times New Roman"/>
                <w:color w:val="000000"/>
                <w:spacing w:val="0"/>
                <w:w w:val="100"/>
                <w:position w:val="0"/>
              </w:rPr>
              <w:t>/</w:t>
            </w:r>
            <w:r>
              <w:rPr>
                <w:color w:val="000000"/>
                <w:spacing w:val="0"/>
                <w:w w:val="100"/>
                <w:position w:val="0"/>
              </w:rPr>
              <w:t>本公司不利用从上市公司处获取的信息从事、直接或间接参与与上市公 司相竞争的活动；在可能与上市公司存在竞争的业务领域中出现新的发展机会时，给予 上市公司优先发展权；如上市公司经营的业务与本单位</w:t>
            </w:r>
            <w:r>
              <w:rPr>
                <w:rFonts w:ascii="Times New Roman" w:eastAsia="Times New Roman" w:hAnsi="Times New Roman" w:cs="Times New Roman"/>
                <w:color w:val="000000"/>
                <w:spacing w:val="0"/>
                <w:w w:val="100"/>
                <w:position w:val="0"/>
              </w:rPr>
              <w:t>/</w:t>
            </w:r>
            <w:r>
              <w:rPr>
                <w:color w:val="000000"/>
                <w:spacing w:val="0"/>
                <w:w w:val="100"/>
                <w:position w:val="0"/>
              </w:rPr>
              <w:t>本公司以及受本单位</w:t>
            </w:r>
            <w:r>
              <w:rPr>
                <w:rFonts w:ascii="Times New Roman" w:eastAsia="Times New Roman" w:hAnsi="Times New Roman" w:cs="Times New Roman"/>
                <w:color w:val="000000"/>
                <w:spacing w:val="0"/>
                <w:w w:val="100"/>
                <w:position w:val="0"/>
              </w:rPr>
              <w:t>/</w:t>
            </w:r>
            <w:r>
              <w:rPr>
                <w:color w:val="000000"/>
                <w:spacing w:val="0"/>
                <w:w w:val="100"/>
                <w:position w:val="0"/>
              </w:rPr>
              <w:t>本公司控 制的任何其他企业或其他关联公司构成或可能构成实质性竞争，本单位</w:t>
            </w:r>
            <w:r>
              <w:rPr>
                <w:rFonts w:ascii="Times New Roman" w:eastAsia="Times New Roman" w:hAnsi="Times New Roman" w:cs="Times New Roman"/>
                <w:color w:val="000000"/>
                <w:spacing w:val="0"/>
                <w:w w:val="100"/>
                <w:position w:val="0"/>
              </w:rPr>
              <w:t>/</w:t>
            </w:r>
            <w:r>
              <w:rPr>
                <w:color w:val="000000"/>
                <w:spacing w:val="0"/>
                <w:w w:val="100"/>
                <w:position w:val="0"/>
              </w:rPr>
              <w:t>本公司同意上 市公司有权以公平合理的价格优先收购本单位</w:t>
            </w:r>
            <w:r>
              <w:rPr>
                <w:rFonts w:ascii="Times New Roman" w:eastAsia="Times New Roman" w:hAnsi="Times New Roman" w:cs="Times New Roman"/>
                <w:color w:val="000000"/>
                <w:spacing w:val="0"/>
                <w:w w:val="100"/>
                <w:position w:val="0"/>
              </w:rPr>
              <w:t>/</w:t>
            </w:r>
            <w:r>
              <w:rPr>
                <w:color w:val="000000"/>
                <w:spacing w:val="0"/>
                <w:w w:val="100"/>
                <w:position w:val="0"/>
              </w:rPr>
              <w:t>本公司在该企业或其他关联公司中的全 部股权或其他权益，或如上市公司决定不予收购的，本单位</w:t>
            </w:r>
            <w:r>
              <w:rPr>
                <w:rFonts w:ascii="Times New Roman" w:eastAsia="Times New Roman" w:hAnsi="Times New Roman" w:cs="Times New Roman"/>
                <w:color w:val="000000"/>
                <w:spacing w:val="0"/>
                <w:w w:val="100"/>
                <w:position w:val="0"/>
              </w:rPr>
              <w:t>/</w:t>
            </w:r>
            <w:r>
              <w:rPr>
                <w:color w:val="000000"/>
                <w:spacing w:val="0"/>
                <w:w w:val="100"/>
                <w:position w:val="0"/>
              </w:rPr>
              <w:t>本公司同意在合理期限内 清理、注销该等同类营业或将资产转给其他非关联方；本单位</w:t>
            </w:r>
            <w:r>
              <w:rPr>
                <w:rFonts w:ascii="Times New Roman" w:eastAsia="Times New Roman" w:hAnsi="Times New Roman" w:cs="Times New Roman"/>
                <w:color w:val="000000"/>
                <w:spacing w:val="0"/>
                <w:w w:val="100"/>
                <w:position w:val="0"/>
              </w:rPr>
              <w:t>/</w:t>
            </w:r>
            <w:r>
              <w:rPr>
                <w:color w:val="000000"/>
                <w:spacing w:val="0"/>
                <w:w w:val="100"/>
                <w:position w:val="0"/>
              </w:rPr>
              <w:t>本公司不进行任何损害 或可能损害上市公司利益的其他竞争行为。本单位</w:t>
            </w:r>
            <w:r>
              <w:rPr>
                <w:rFonts w:ascii="Times New Roman" w:eastAsia="Times New Roman" w:hAnsi="Times New Roman" w:cs="Times New Roman"/>
                <w:color w:val="000000"/>
                <w:spacing w:val="0"/>
                <w:w w:val="100"/>
                <w:position w:val="0"/>
              </w:rPr>
              <w:t>/</w:t>
            </w:r>
            <w:r>
              <w:rPr>
                <w:color w:val="000000"/>
                <w:spacing w:val="0"/>
                <w:w w:val="100"/>
                <w:position w:val="0"/>
              </w:rPr>
              <w:t>本公司愿意承担因违反上述承诺给 上市公司造成的全部经济损失。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23"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left"/>
            </w:pPr>
            <w:r>
              <w:rPr>
                <w:color w:val="000000"/>
                <w:spacing w:val="0"/>
                <w:w w:val="100"/>
                <w:position w:val="0"/>
              </w:rPr>
              <w:t>前海发 展、前海 远大、凤 凰财鑫、 北京迅杰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对于未来可能的关联交易，本单位</w:t>
            </w:r>
            <w:r>
              <w:rPr>
                <w:rFonts w:ascii="Times New Roman" w:eastAsia="Times New Roman" w:hAnsi="Times New Roman" w:cs="Times New Roman"/>
                <w:color w:val="000000"/>
                <w:spacing w:val="0"/>
                <w:w w:val="100"/>
                <w:position w:val="0"/>
              </w:rPr>
              <w:t>/</w:t>
            </w:r>
            <w:r>
              <w:rPr>
                <w:color w:val="000000"/>
                <w:spacing w:val="0"/>
                <w:w w:val="100"/>
                <w:position w:val="0"/>
              </w:rPr>
              <w:t>本公司将善意履行作为上市公司股东的义务，不 利用本单位</w:t>
            </w:r>
            <w:r>
              <w:rPr>
                <w:rFonts w:ascii="Times New Roman" w:eastAsia="Times New Roman" w:hAnsi="Times New Roman" w:cs="Times New Roman"/>
                <w:color w:val="000000"/>
                <w:spacing w:val="0"/>
                <w:w w:val="100"/>
                <w:position w:val="0"/>
              </w:rPr>
              <w:t>/</w:t>
            </w:r>
            <w:r>
              <w:rPr>
                <w:color w:val="000000"/>
                <w:spacing w:val="0"/>
                <w:w w:val="100"/>
                <w:position w:val="0"/>
              </w:rPr>
              <w:t>本公司的股东地位，就上市公司与本单位</w:t>
            </w:r>
            <w:r>
              <w:rPr>
                <w:rFonts w:ascii="Times New Roman" w:eastAsia="Times New Roman" w:hAnsi="Times New Roman" w:cs="Times New Roman"/>
                <w:color w:val="000000"/>
                <w:spacing w:val="0"/>
                <w:w w:val="100"/>
                <w:position w:val="0"/>
              </w:rPr>
              <w:t>/</w:t>
            </w:r>
            <w:r>
              <w:rPr>
                <w:color w:val="000000"/>
                <w:spacing w:val="0"/>
                <w:w w:val="100"/>
                <w:position w:val="0"/>
              </w:rPr>
              <w:t>本公司及本单位</w:t>
            </w:r>
            <w:r>
              <w:rPr>
                <w:rFonts w:ascii="Times New Roman" w:eastAsia="Times New Roman" w:hAnsi="Times New Roman" w:cs="Times New Roman"/>
                <w:color w:val="000000"/>
                <w:spacing w:val="0"/>
                <w:w w:val="100"/>
                <w:position w:val="0"/>
              </w:rPr>
              <w:t>/</w:t>
            </w:r>
            <w:r>
              <w:rPr>
                <w:color w:val="000000"/>
                <w:spacing w:val="0"/>
                <w:w w:val="100"/>
                <w:position w:val="0"/>
              </w:rPr>
              <w:t>本公司控制的企 业相关的任何关联交易采取任何行动，故意促使上市公司的股东大会或董事会做出损害 上市公司和其他股东合法权益的决议。</w:t>
            </w:r>
            <w:r>
              <w:rPr>
                <w:rFonts w:ascii="Times New Roman" w:eastAsia="Times New Roman" w:hAnsi="Times New Roman" w:cs="Times New Roman"/>
                <w:color w:val="000000"/>
                <w:spacing w:val="0"/>
                <w:w w:val="100"/>
                <w:position w:val="0"/>
              </w:rPr>
              <w:t>2.</w:t>
            </w:r>
            <w:r>
              <w:rPr>
                <w:color w:val="000000"/>
                <w:spacing w:val="0"/>
                <w:w w:val="100"/>
                <w:position w:val="0"/>
              </w:rPr>
              <w:t>本单位</w:t>
            </w:r>
            <w:r>
              <w:rPr>
                <w:rFonts w:ascii="Times New Roman" w:eastAsia="Times New Roman" w:hAnsi="Times New Roman" w:cs="Times New Roman"/>
                <w:color w:val="000000"/>
                <w:spacing w:val="0"/>
                <w:w w:val="100"/>
                <w:position w:val="0"/>
              </w:rPr>
              <w:t>/</w:t>
            </w:r>
            <w:r>
              <w:rPr>
                <w:color w:val="000000"/>
                <w:spacing w:val="0"/>
                <w:w w:val="100"/>
                <w:position w:val="0"/>
              </w:rPr>
              <w:t>本公司及本单位</w:t>
            </w:r>
            <w:r>
              <w:rPr>
                <w:rFonts w:ascii="Times New Roman" w:eastAsia="Times New Roman" w:hAnsi="Times New Roman" w:cs="Times New Roman"/>
                <w:color w:val="000000"/>
                <w:spacing w:val="0"/>
                <w:w w:val="100"/>
                <w:position w:val="0"/>
              </w:rPr>
              <w:t>/</w:t>
            </w:r>
            <w:r>
              <w:rPr>
                <w:color w:val="000000"/>
                <w:spacing w:val="0"/>
                <w:w w:val="100"/>
                <w:position w:val="0"/>
              </w:rPr>
              <w:t>本公司的关联方不以 任何方式违法违规占用上市公司资金及要求上市公司违法违规提供担保。</w:t>
            </w: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如果上市 公司与本单位</w:t>
            </w:r>
            <w:r>
              <w:rPr>
                <w:rFonts w:ascii="Times New Roman" w:eastAsia="Times New Roman" w:hAnsi="Times New Roman" w:cs="Times New Roman"/>
                <w:color w:val="000000"/>
                <w:spacing w:val="0"/>
                <w:w w:val="100"/>
                <w:position w:val="0"/>
              </w:rPr>
              <w:t>/</w:t>
            </w:r>
            <w:r>
              <w:rPr>
                <w:color w:val="000000"/>
                <w:spacing w:val="0"/>
                <w:w w:val="100"/>
                <w:position w:val="0"/>
              </w:rPr>
              <w:t>本公司及本单位</w:t>
            </w:r>
            <w:r>
              <w:rPr>
                <w:rFonts w:ascii="Times New Roman" w:eastAsia="Times New Roman" w:hAnsi="Times New Roman" w:cs="Times New Roman"/>
                <w:color w:val="000000"/>
                <w:spacing w:val="0"/>
                <w:w w:val="100"/>
                <w:position w:val="0"/>
              </w:rPr>
              <w:t>/</w:t>
            </w:r>
            <w:r>
              <w:rPr>
                <w:color w:val="000000"/>
                <w:spacing w:val="0"/>
                <w:w w:val="100"/>
                <w:position w:val="0"/>
              </w:rPr>
              <w:t>本公司控制的企业发生无法避免或有合理原因的关联 交易，则本单位</w:t>
            </w:r>
            <w:r>
              <w:rPr>
                <w:rFonts w:ascii="Times New Roman" w:eastAsia="Times New Roman" w:hAnsi="Times New Roman" w:cs="Times New Roman"/>
                <w:color w:val="000000"/>
                <w:spacing w:val="0"/>
                <w:w w:val="100"/>
                <w:position w:val="0"/>
              </w:rPr>
              <w:t>/</w:t>
            </w:r>
            <w:r>
              <w:rPr>
                <w:color w:val="000000"/>
                <w:spacing w:val="0"/>
                <w:w w:val="100"/>
                <w:position w:val="0"/>
              </w:rPr>
              <w:t>本公司承诺将促使上述关联交易遵循市场公正、公平、公开的原则， 依照正常商业条件进行。本单位</w:t>
            </w:r>
            <w:r>
              <w:rPr>
                <w:rFonts w:ascii="Times New Roman" w:eastAsia="Times New Roman" w:hAnsi="Times New Roman" w:cs="Times New Roman"/>
                <w:color w:val="000000"/>
                <w:spacing w:val="0"/>
                <w:w w:val="100"/>
                <w:position w:val="0"/>
              </w:rPr>
              <w:t>/</w:t>
            </w:r>
            <w:r>
              <w:rPr>
                <w:color w:val="000000"/>
                <w:spacing w:val="0"/>
                <w:w w:val="100"/>
                <w:position w:val="0"/>
              </w:rPr>
              <w:t>本公司将不会要求，也不会接受上市公司给予优于其 在一项市场公平交易中向第三方给予的交易条件。</w:t>
            </w:r>
            <w:r>
              <w:rPr>
                <w:rFonts w:ascii="Times New Roman" w:eastAsia="Times New Roman" w:hAnsi="Times New Roman" w:cs="Times New Roman"/>
                <w:color w:val="000000"/>
                <w:spacing w:val="0"/>
                <w:w w:val="100"/>
                <w:position w:val="0"/>
              </w:rPr>
              <w:t>4 .</w:t>
            </w:r>
            <w:r>
              <w:rPr>
                <w:color w:val="000000"/>
                <w:spacing w:val="0"/>
                <w:w w:val="100"/>
                <w:position w:val="0"/>
              </w:rPr>
              <w:t>本单位</w:t>
            </w:r>
            <w:r>
              <w:rPr>
                <w:rFonts w:ascii="Times New Roman" w:eastAsia="Times New Roman" w:hAnsi="Times New Roman" w:cs="Times New Roman"/>
                <w:color w:val="000000"/>
                <w:spacing w:val="0"/>
                <w:w w:val="100"/>
                <w:position w:val="0"/>
              </w:rPr>
              <w:t>/</w:t>
            </w:r>
            <w:r>
              <w:rPr>
                <w:color w:val="000000"/>
                <w:spacing w:val="0"/>
                <w:w w:val="100"/>
                <w:position w:val="0"/>
              </w:rPr>
              <w:t>本公司将严格遵守和执行上 市公司关联交易管理制度的各项规定,如有违反以上承诺及上市公司关联交易管理制度 而给上市公司造成损失的情形，将依法承担相应责任。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05</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正常履行 中</w:t>
            </w:r>
          </w:p>
        </w:tc>
      </w:tr>
      <w:tr>
        <w:trPr>
          <w:trHeight w:val="1310" w:hRule="exact"/>
        </w:trPr>
        <w:tc>
          <w:tcPr>
            <w:tcBorders>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中江信托</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如果因国盛证券在本次交易完成前的房产租赁存在的法律瑕疵，包括但不限于出租人不 是所出租房产的合法出租方、未能提供租赁房产合法有效权证、未办理租赁备案登记手 续、租赁违约或其他经济纠纷，而导致本次交易完成后国盛证券或上市公司遭受损失的， 本公司将在收到上市公司书面通知之日起</w:t>
            </w:r>
            <w:r>
              <w:rPr>
                <w:rFonts w:ascii="Times New Roman" w:eastAsia="Times New Roman" w:hAnsi="Times New Roman" w:cs="Times New Roman"/>
                <w:color w:val="000000"/>
                <w:spacing w:val="0"/>
                <w:w w:val="100"/>
                <w:position w:val="0"/>
              </w:rPr>
              <w:t>10</w:t>
            </w:r>
            <w:r>
              <w:rPr>
                <w:color w:val="000000"/>
                <w:spacing w:val="0"/>
                <w:w w:val="100"/>
                <w:position w:val="0"/>
              </w:rPr>
              <w:t>个工作日内以现金方式向其进行足额补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05</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正常履行 中</w:t>
            </w:r>
          </w:p>
        </w:tc>
      </w:tr>
    </w:tbl>
    <w:p>
      <w:pPr>
        <w:widowControl w:val="0"/>
        <w:spacing w:after="739" w:line="1" w:lineRule="exact"/>
      </w:pPr>
    </w:p>
    <w:p>
      <w:pPr>
        <w:widowControl w:val="0"/>
        <w:jc w:val="center"/>
        <w:rPr>
          <w:sz w:val="2"/>
          <w:szCs w:val="2"/>
        </w:rPr>
        <w:sectPr>
          <w:footnotePr>
            <w:pos w:val="pageBottom"/>
            <w:numFmt w:val="decimal"/>
            <w:numRestart w:val="continuous"/>
          </w:footnotePr>
          <w:pgSz w:w="16840" w:h="11900" w:orient="landscape"/>
          <w:pgMar w:top="1095" w:right="1359" w:bottom="125" w:left="1431" w:header="0" w:footer="3" w:gutter="0"/>
          <w:cols w:space="720"/>
          <w:noEndnote/>
          <w:rtlGutter w:val="0"/>
          <w:docGrid w:linePitch="360"/>
        </w:sectPr>
      </w:pPr>
      <w:r>
        <w:drawing>
          <wp:inline>
            <wp:extent cx="859790" cy="494030"/>
            <wp:docPr id="56" name="Picutre 56"/>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19"/>
                    <a:stretch/>
                  </pic:blipFill>
                  <pic:spPr>
                    <a:xfrm>
                      <a:ext cx="859790" cy="494030"/>
                    </a:xfrm>
                    <a:prstGeom prst="rect"/>
                  </pic:spPr>
                </pic:pic>
              </a:graphicData>
            </a:graphic>
          </wp:inline>
        </w:drawing>
      </w:r>
    </w:p>
    <w:tbl>
      <w:tblPr>
        <w:tblOverlap w:val="never"/>
        <w:jc w:val="center"/>
        <w:tblLayout w:type="fixed"/>
      </w:tblPr>
      <w:tblGrid>
        <w:gridCol w:w="1022"/>
        <w:gridCol w:w="994"/>
        <w:gridCol w:w="1133"/>
        <w:gridCol w:w="7939"/>
        <w:gridCol w:w="994"/>
        <w:gridCol w:w="994"/>
        <w:gridCol w:w="998"/>
      </w:tblGrid>
      <w:tr>
        <w:trPr>
          <w:trHeight w:val="394"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杜力、张 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鉴于本人长期看好上市公司发展，为了更好的实施上市公司发展战略，本人通过前海发 展、前海远大、凤凰财鑫、凤凰财智持有的上市公司股权除遵守已作出的股份锁定承诺 外，在本次发行完成后</w:t>
            </w:r>
            <w:r>
              <w:rPr>
                <w:rFonts w:ascii="Times New Roman" w:eastAsia="Times New Roman" w:hAnsi="Times New Roman" w:cs="Times New Roman"/>
                <w:color w:val="000000"/>
                <w:spacing w:val="0"/>
                <w:w w:val="100"/>
                <w:position w:val="0"/>
              </w:rPr>
              <w:t>60</w:t>
            </w:r>
            <w:r>
              <w:rPr>
                <w:color w:val="000000"/>
                <w:spacing w:val="0"/>
                <w:w w:val="100"/>
                <w:position w:val="0"/>
              </w:rPr>
              <w:t>个月内，本人将确保实际控制人地位不发生变化。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05</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正常履行 中</w:t>
            </w:r>
          </w:p>
        </w:tc>
      </w:tr>
      <w:tr>
        <w:trPr>
          <w:trHeight w:val="817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凤凰财 智、杜力、 张巍</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left"/>
            </w:pPr>
            <w:r>
              <w:rPr>
                <w:color w:val="000000"/>
                <w:spacing w:val="0"/>
                <w:w w:val="100"/>
                <w:position w:val="0"/>
              </w:rPr>
              <w:t>保持上市公 司独立性</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一、资产完整本单位</w:t>
            </w:r>
            <w:r>
              <w:rPr>
                <w:rFonts w:ascii="Times New Roman" w:eastAsia="Times New Roman" w:hAnsi="Times New Roman" w:cs="Times New Roman"/>
                <w:color w:val="000000"/>
                <w:spacing w:val="0"/>
                <w:w w:val="100"/>
                <w:position w:val="0"/>
              </w:rPr>
              <w:t>/</w:t>
            </w:r>
            <w:r>
              <w:rPr>
                <w:color w:val="000000"/>
                <w:spacing w:val="0"/>
                <w:w w:val="100"/>
                <w:position w:val="0"/>
              </w:rPr>
              <w:t>本人将继续确保上市公司合法拥有与生产经营有关的资产，确保 上市公司资产独立于本单位</w:t>
            </w:r>
            <w:r>
              <w:rPr>
                <w:rFonts w:ascii="Times New Roman" w:eastAsia="Times New Roman" w:hAnsi="Times New Roman" w:cs="Times New Roman"/>
                <w:color w:val="000000"/>
                <w:spacing w:val="0"/>
                <w:w w:val="100"/>
                <w:position w:val="0"/>
              </w:rPr>
              <w:t>/</w:t>
            </w:r>
            <w:r>
              <w:rPr>
                <w:color w:val="000000"/>
                <w:spacing w:val="0"/>
                <w:w w:val="100"/>
                <w:position w:val="0"/>
              </w:rPr>
              <w:t>本人及本单位</w:t>
            </w:r>
            <w:r>
              <w:rPr>
                <w:rFonts w:ascii="Times New Roman" w:eastAsia="Times New Roman" w:hAnsi="Times New Roman" w:cs="Times New Roman"/>
                <w:color w:val="000000"/>
                <w:spacing w:val="0"/>
                <w:w w:val="100"/>
                <w:position w:val="0"/>
              </w:rPr>
              <w:t>/</w:t>
            </w:r>
            <w:r>
              <w:rPr>
                <w:color w:val="000000"/>
                <w:spacing w:val="0"/>
                <w:w w:val="100"/>
                <w:position w:val="0"/>
              </w:rPr>
              <w:t>本人控制的除上市公司及其下属企业以外 的其他企业，确保上市公司资产在上市公司的控制之下；本单位</w:t>
            </w:r>
            <w:r>
              <w:rPr>
                <w:rFonts w:ascii="Times New Roman" w:eastAsia="Times New Roman" w:hAnsi="Times New Roman" w:cs="Times New Roman"/>
                <w:color w:val="000000"/>
                <w:spacing w:val="0"/>
                <w:w w:val="100"/>
                <w:position w:val="0"/>
              </w:rPr>
              <w:t>/</w:t>
            </w:r>
            <w:r>
              <w:rPr>
                <w:color w:val="000000"/>
                <w:spacing w:val="0"/>
                <w:w w:val="100"/>
                <w:position w:val="0"/>
              </w:rPr>
              <w:t>本人将杜绝其与上市 公司出现资产混同使用的情形，并保证不以任何方式侵占上市公司资产，确保上市公司 拥有资产的完整权属。二、人员独立本单位</w:t>
            </w:r>
            <w:r>
              <w:rPr>
                <w:rFonts w:ascii="Times New Roman" w:eastAsia="Times New Roman" w:hAnsi="Times New Roman" w:cs="Times New Roman"/>
                <w:color w:val="000000"/>
                <w:spacing w:val="0"/>
                <w:w w:val="100"/>
                <w:position w:val="0"/>
              </w:rPr>
              <w:t>/</w:t>
            </w:r>
            <w:r>
              <w:rPr>
                <w:color w:val="000000"/>
                <w:spacing w:val="0"/>
                <w:w w:val="100"/>
                <w:position w:val="0"/>
              </w:rPr>
              <w:t>本人将继续保证上市公司的董事、监事、 高级管理人员均严格按照《公司法》、《公司章程》的有关规定选举，不存在本单位</w:t>
            </w:r>
            <w:r>
              <w:rPr>
                <w:rFonts w:ascii="Times New Roman" w:eastAsia="Times New Roman" w:hAnsi="Times New Roman" w:cs="Times New Roman"/>
                <w:color w:val="000000"/>
                <w:spacing w:val="0"/>
                <w:w w:val="100"/>
                <w:position w:val="0"/>
              </w:rPr>
              <w:t>/</w:t>
            </w:r>
            <w:r>
              <w:rPr>
                <w:color w:val="000000"/>
                <w:spacing w:val="0"/>
                <w:w w:val="100"/>
                <w:position w:val="0"/>
              </w:rPr>
              <w:t>本 人干预公司董事会和股东大会做出人事任免决定的情况；本单位</w:t>
            </w:r>
            <w:r>
              <w:rPr>
                <w:rFonts w:ascii="Times New Roman" w:eastAsia="Times New Roman" w:hAnsi="Times New Roman" w:cs="Times New Roman"/>
                <w:color w:val="000000"/>
                <w:spacing w:val="0"/>
                <w:w w:val="100"/>
                <w:position w:val="0"/>
              </w:rPr>
              <w:t>/</w:t>
            </w:r>
            <w:r>
              <w:rPr>
                <w:color w:val="000000"/>
                <w:spacing w:val="0"/>
                <w:w w:val="100"/>
                <w:position w:val="0"/>
              </w:rPr>
              <w:t>本人将继续保证上市 公司的总经理、副总经理、财务负责人、营销负责人和董事会秘书等高级管理人员不在 本单位</w:t>
            </w:r>
            <w:r>
              <w:rPr>
                <w:rFonts w:ascii="Times New Roman" w:eastAsia="Times New Roman" w:hAnsi="Times New Roman" w:cs="Times New Roman"/>
                <w:color w:val="000000"/>
                <w:spacing w:val="0"/>
                <w:w w:val="100"/>
                <w:position w:val="0"/>
              </w:rPr>
              <w:t>/</w:t>
            </w:r>
            <w:r>
              <w:rPr>
                <w:color w:val="000000"/>
                <w:spacing w:val="0"/>
                <w:w w:val="100"/>
                <w:position w:val="0"/>
              </w:rPr>
              <w:t>本人及本单位</w:t>
            </w:r>
            <w:r>
              <w:rPr>
                <w:rFonts w:ascii="Times New Roman" w:eastAsia="Times New Roman" w:hAnsi="Times New Roman" w:cs="Times New Roman"/>
                <w:color w:val="000000"/>
                <w:spacing w:val="0"/>
                <w:w w:val="100"/>
                <w:position w:val="0"/>
              </w:rPr>
              <w:t>/</w:t>
            </w:r>
            <w:r>
              <w:rPr>
                <w:color w:val="000000"/>
                <w:spacing w:val="0"/>
                <w:w w:val="100"/>
                <w:position w:val="0"/>
              </w:rPr>
              <w:t>本人控制的除上市公司以外的其它企业中担任除董事以外的其 他职务，不在本单位</w:t>
            </w:r>
            <w:r>
              <w:rPr>
                <w:rFonts w:ascii="Times New Roman" w:eastAsia="Times New Roman" w:hAnsi="Times New Roman" w:cs="Times New Roman"/>
                <w:color w:val="000000"/>
                <w:spacing w:val="0"/>
                <w:w w:val="100"/>
                <w:position w:val="0"/>
              </w:rPr>
              <w:t>/</w:t>
            </w:r>
            <w:r>
              <w:rPr>
                <w:color w:val="000000"/>
                <w:spacing w:val="0"/>
                <w:w w:val="100"/>
                <w:position w:val="0"/>
              </w:rPr>
              <w:t>本人及本单位</w:t>
            </w:r>
            <w:r>
              <w:rPr>
                <w:rFonts w:ascii="Times New Roman" w:eastAsia="Times New Roman" w:hAnsi="Times New Roman" w:cs="Times New Roman"/>
                <w:color w:val="000000"/>
                <w:spacing w:val="0"/>
                <w:w w:val="100"/>
                <w:position w:val="0"/>
              </w:rPr>
              <w:t>/</w:t>
            </w:r>
            <w:r>
              <w:rPr>
                <w:color w:val="000000"/>
                <w:spacing w:val="0"/>
                <w:w w:val="100"/>
                <w:position w:val="0"/>
              </w:rPr>
              <w:t>本人控制的除上市公司以外的其它企业领薪；上市 公司的财务人员不在本单位</w:t>
            </w:r>
            <w:r>
              <w:rPr>
                <w:rFonts w:ascii="Times New Roman" w:eastAsia="Times New Roman" w:hAnsi="Times New Roman" w:cs="Times New Roman"/>
                <w:color w:val="000000"/>
                <w:spacing w:val="0"/>
                <w:w w:val="100"/>
                <w:position w:val="0"/>
              </w:rPr>
              <w:t>/</w:t>
            </w:r>
            <w:r>
              <w:rPr>
                <w:color w:val="000000"/>
                <w:spacing w:val="0"/>
                <w:w w:val="100"/>
                <w:position w:val="0"/>
              </w:rPr>
              <w:t>本人及本单位</w:t>
            </w:r>
            <w:r>
              <w:rPr>
                <w:rFonts w:ascii="Times New Roman" w:eastAsia="Times New Roman" w:hAnsi="Times New Roman" w:cs="Times New Roman"/>
                <w:color w:val="000000"/>
                <w:spacing w:val="0"/>
                <w:w w:val="100"/>
                <w:position w:val="0"/>
              </w:rPr>
              <w:t>/</w:t>
            </w:r>
            <w:r>
              <w:rPr>
                <w:color w:val="000000"/>
                <w:spacing w:val="0"/>
                <w:w w:val="100"/>
                <w:position w:val="0"/>
              </w:rPr>
              <w:t>本人控制的除上市公司以外的其它企业中 兼职；本单位</w:t>
            </w:r>
            <w:r>
              <w:rPr>
                <w:rFonts w:ascii="Times New Roman" w:eastAsia="Times New Roman" w:hAnsi="Times New Roman" w:cs="Times New Roman"/>
                <w:color w:val="000000"/>
                <w:spacing w:val="0"/>
                <w:w w:val="100"/>
                <w:position w:val="0"/>
              </w:rPr>
              <w:t>/</w:t>
            </w:r>
            <w:r>
              <w:rPr>
                <w:color w:val="000000"/>
                <w:spacing w:val="0"/>
                <w:w w:val="100"/>
                <w:position w:val="0"/>
              </w:rPr>
              <w:t>本人保证上市公司的劳动、人事及工资管理与本单位</w:t>
            </w:r>
            <w:r>
              <w:rPr>
                <w:rFonts w:ascii="Times New Roman" w:eastAsia="Times New Roman" w:hAnsi="Times New Roman" w:cs="Times New Roman"/>
                <w:color w:val="000000"/>
                <w:spacing w:val="0"/>
                <w:w w:val="100"/>
                <w:position w:val="0"/>
              </w:rPr>
              <w:t>/</w:t>
            </w:r>
            <w:r>
              <w:rPr>
                <w:color w:val="000000"/>
                <w:spacing w:val="0"/>
                <w:w w:val="100"/>
                <w:position w:val="0"/>
              </w:rPr>
              <w:t>本人及本单位</w:t>
            </w:r>
            <w:r>
              <w:rPr>
                <w:rFonts w:ascii="Times New Roman" w:eastAsia="Times New Roman" w:hAnsi="Times New Roman" w:cs="Times New Roman"/>
                <w:color w:val="000000"/>
                <w:spacing w:val="0"/>
                <w:w w:val="100"/>
                <w:position w:val="0"/>
              </w:rPr>
              <w:t>/</w:t>
            </w:r>
            <w:r>
              <w:rPr>
                <w:color w:val="000000"/>
                <w:spacing w:val="0"/>
                <w:w w:val="100"/>
                <w:position w:val="0"/>
              </w:rPr>
              <w:t>本人 控制的除上市公司以外的其它企业之间完全独立。三、财务独立上市公司已建立了独立 的财务部门，配备了专门的财务人员，建立了独立的会计核算体系和财务管理制度等内 控制度，能够独立做出财务决策；上市公司开立了独立的银行账户，并依法独立履行纳 税义务。本单位</w:t>
            </w:r>
            <w:r>
              <w:rPr>
                <w:rFonts w:ascii="Times New Roman" w:eastAsia="Times New Roman" w:hAnsi="Times New Roman" w:cs="Times New Roman"/>
                <w:color w:val="000000"/>
                <w:spacing w:val="0"/>
                <w:w w:val="100"/>
                <w:position w:val="0"/>
              </w:rPr>
              <w:t>/</w:t>
            </w:r>
            <w:r>
              <w:rPr>
                <w:color w:val="000000"/>
                <w:spacing w:val="0"/>
                <w:w w:val="100"/>
                <w:position w:val="0"/>
              </w:rPr>
              <w:t>本人承诺上市公司资金使用不受本单位</w:t>
            </w:r>
            <w:r>
              <w:rPr>
                <w:rFonts w:ascii="Times New Roman" w:eastAsia="Times New Roman" w:hAnsi="Times New Roman" w:cs="Times New Roman"/>
                <w:color w:val="000000"/>
                <w:spacing w:val="0"/>
                <w:w w:val="100"/>
                <w:position w:val="0"/>
              </w:rPr>
              <w:t>/</w:t>
            </w:r>
            <w:r>
              <w:rPr>
                <w:color w:val="000000"/>
                <w:spacing w:val="0"/>
                <w:w w:val="100"/>
                <w:position w:val="0"/>
              </w:rPr>
              <w:t>本人及本单位</w:t>
            </w:r>
            <w:r>
              <w:rPr>
                <w:rFonts w:ascii="Times New Roman" w:eastAsia="Times New Roman" w:hAnsi="Times New Roman" w:cs="Times New Roman"/>
                <w:color w:val="000000"/>
                <w:spacing w:val="0"/>
                <w:w w:val="100"/>
                <w:position w:val="0"/>
              </w:rPr>
              <w:t>/</w:t>
            </w:r>
            <w:r>
              <w:rPr>
                <w:color w:val="000000"/>
                <w:spacing w:val="0"/>
                <w:w w:val="100"/>
                <w:position w:val="0"/>
              </w:rPr>
              <w:t>本人控制的除上 市公司以外的其他企业的干预；同时上市公司的财务人员均系其自行聘用员工，独立于 本单位</w:t>
            </w:r>
            <w:r>
              <w:rPr>
                <w:rFonts w:ascii="Times New Roman" w:eastAsia="Times New Roman" w:hAnsi="Times New Roman" w:cs="Times New Roman"/>
                <w:color w:val="000000"/>
                <w:spacing w:val="0"/>
                <w:w w:val="100"/>
                <w:position w:val="0"/>
              </w:rPr>
              <w:t>/</w:t>
            </w:r>
            <w:r>
              <w:rPr>
                <w:color w:val="000000"/>
                <w:spacing w:val="0"/>
                <w:w w:val="100"/>
                <w:position w:val="0"/>
              </w:rPr>
              <w:t>本人控制的除上市公司以外的其他企业。本单位</w:t>
            </w:r>
            <w:r>
              <w:rPr>
                <w:rFonts w:ascii="Times New Roman" w:eastAsia="Times New Roman" w:hAnsi="Times New Roman" w:cs="Times New Roman"/>
                <w:color w:val="000000"/>
                <w:spacing w:val="0"/>
                <w:w w:val="100"/>
                <w:position w:val="0"/>
              </w:rPr>
              <w:t>/</w:t>
            </w:r>
            <w:r>
              <w:rPr>
                <w:color w:val="000000"/>
                <w:spacing w:val="0"/>
                <w:w w:val="100"/>
                <w:position w:val="0"/>
              </w:rPr>
              <w:t>本人承诺将继续确保上市公司 财务的独立性。四、机构独立</w:t>
            </w: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上市公司拥有独立的法人治理结构，其机构完整、独 立，法人治理结构健全。本单位</w:t>
            </w:r>
            <w:r>
              <w:rPr>
                <w:rFonts w:ascii="Times New Roman" w:eastAsia="Times New Roman" w:hAnsi="Times New Roman" w:cs="Times New Roman"/>
                <w:color w:val="000000"/>
                <w:spacing w:val="0"/>
                <w:w w:val="100"/>
                <w:position w:val="0"/>
              </w:rPr>
              <w:t>/</w:t>
            </w:r>
            <w:r>
              <w:rPr>
                <w:color w:val="000000"/>
                <w:spacing w:val="0"/>
                <w:w w:val="100"/>
                <w:position w:val="0"/>
              </w:rPr>
              <w:t>本人承诺按照国家相关法律法规之规定，确保上市公 司的股东大会、董事会、监事会等机构独立行使职权；</w:t>
            </w: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上市公司在劳动用工、薪酬 分配、人事制度、经营管理等方面与本单位</w:t>
            </w:r>
            <w:r>
              <w:rPr>
                <w:rFonts w:ascii="Times New Roman" w:eastAsia="Times New Roman" w:hAnsi="Times New Roman" w:cs="Times New Roman"/>
                <w:color w:val="000000"/>
                <w:spacing w:val="0"/>
                <w:w w:val="100"/>
                <w:position w:val="0"/>
              </w:rPr>
              <w:t>/</w:t>
            </w:r>
            <w:r>
              <w:rPr>
                <w:color w:val="000000"/>
                <w:spacing w:val="0"/>
                <w:w w:val="100"/>
                <w:position w:val="0"/>
              </w:rPr>
              <w:t>本人及本单位</w:t>
            </w:r>
            <w:r>
              <w:rPr>
                <w:rFonts w:ascii="Times New Roman" w:eastAsia="Times New Roman" w:hAnsi="Times New Roman" w:cs="Times New Roman"/>
                <w:color w:val="000000"/>
                <w:spacing w:val="0"/>
                <w:w w:val="100"/>
                <w:position w:val="0"/>
              </w:rPr>
              <w:t>/</w:t>
            </w:r>
            <w:r>
              <w:rPr>
                <w:color w:val="000000"/>
                <w:spacing w:val="0"/>
                <w:w w:val="100"/>
                <w:position w:val="0"/>
              </w:rPr>
              <w:t>本人控制的除上市公司以外 的其他企业之间将不会存在交叉和上下级关系，确保上市公司经营机构的完整，不以任 何理由干涉上市公司的机构设置、自主经营；</w:t>
            </w:r>
            <w:r>
              <w:rPr>
                <w:rFonts w:ascii="Times New Roman" w:eastAsia="Times New Roman" w:hAnsi="Times New Roman" w:cs="Times New Roman"/>
                <w:color w:val="000000"/>
                <w:spacing w:val="0"/>
                <w:w w:val="100"/>
                <w:position w:val="0"/>
              </w:rPr>
              <w:t>3</w:t>
            </w:r>
            <w:r>
              <w:rPr>
                <w:color w:val="000000"/>
                <w:spacing w:val="0"/>
                <w:w w:val="100"/>
                <w:position w:val="0"/>
              </w:rPr>
              <w:t>.确保上市公司具有完全独立的办公机 构与生产经营场所，不与本单位</w:t>
            </w:r>
            <w:r>
              <w:rPr>
                <w:rFonts w:ascii="Times New Roman" w:eastAsia="Times New Roman" w:hAnsi="Times New Roman" w:cs="Times New Roman"/>
                <w:color w:val="000000"/>
                <w:spacing w:val="0"/>
                <w:w w:val="100"/>
                <w:position w:val="0"/>
              </w:rPr>
              <w:t>/</w:t>
            </w:r>
            <w:r>
              <w:rPr>
                <w:color w:val="000000"/>
                <w:spacing w:val="0"/>
                <w:w w:val="100"/>
                <w:position w:val="0"/>
              </w:rPr>
              <w:t>本人控制的除上市公司以外的其他企业混合经营、合 署办公。五、业务独立上市公司及其全资子公司、控股子公司均具有独立、完整的业务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05</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正常履行 中</w:t>
            </w:r>
          </w:p>
        </w:tc>
      </w:tr>
    </w:tbl>
    <w:p>
      <w:pPr>
        <w:spacing w:lineRule="exact" w:line="1"/>
        <w:rPr>
          <w:sz w:val="2"/>
          <w:szCs w:val="2"/>
        </w:rPr>
      </w:pPr>
      <w:r>
        <w:br w:type="page"/>
      </w:r>
    </w:p>
    <w:tbl>
      <w:tblPr>
        <w:tblOverlap w:val="never"/>
        <w:jc w:val="center"/>
        <w:tblLayout w:type="fixed"/>
      </w:tblPr>
      <w:tblGrid>
        <w:gridCol w:w="1022"/>
        <w:gridCol w:w="994"/>
        <w:gridCol w:w="1133"/>
        <w:gridCol w:w="7939"/>
        <w:gridCol w:w="994"/>
        <w:gridCol w:w="994"/>
        <w:gridCol w:w="998"/>
      </w:tblGrid>
      <w:tr>
        <w:trPr>
          <w:trHeight w:val="289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流程及自主经营的能力，上市公司及其下属全资子公司、控股子公司的各项业务决策均 系其依照《公司章程》和经政府相关部门批准的经营许可而作出，完全独立于本单位</w:t>
            </w:r>
            <w:r>
              <w:rPr>
                <w:rFonts w:ascii="Times New Roman" w:eastAsia="Times New Roman" w:hAnsi="Times New Roman" w:cs="Times New Roman"/>
                <w:color w:val="000000"/>
                <w:spacing w:val="0"/>
                <w:w w:val="100"/>
                <w:position w:val="0"/>
              </w:rPr>
              <w:t xml:space="preserve">/ </w:t>
            </w:r>
            <w:r>
              <w:rPr>
                <w:color w:val="000000"/>
                <w:spacing w:val="0"/>
                <w:w w:val="100"/>
                <w:position w:val="0"/>
              </w:rPr>
              <w:t>本人及本单位</w:t>
            </w:r>
            <w:r>
              <w:rPr>
                <w:rFonts w:ascii="Times New Roman" w:eastAsia="Times New Roman" w:hAnsi="Times New Roman" w:cs="Times New Roman"/>
                <w:color w:val="000000"/>
                <w:spacing w:val="0"/>
                <w:w w:val="100"/>
                <w:position w:val="0"/>
              </w:rPr>
              <w:t>/</w:t>
            </w:r>
            <w:r>
              <w:rPr>
                <w:color w:val="000000"/>
                <w:spacing w:val="0"/>
                <w:w w:val="100"/>
                <w:position w:val="0"/>
              </w:rPr>
              <w:t>本人控制的除上市公司以外的其他企业。本单位</w:t>
            </w:r>
            <w:r>
              <w:rPr>
                <w:rFonts w:ascii="Times New Roman" w:eastAsia="Times New Roman" w:hAnsi="Times New Roman" w:cs="Times New Roman"/>
                <w:color w:val="000000"/>
                <w:spacing w:val="0"/>
                <w:w w:val="100"/>
                <w:position w:val="0"/>
              </w:rPr>
              <w:t>/</w:t>
            </w:r>
            <w:r>
              <w:rPr>
                <w:color w:val="000000"/>
                <w:spacing w:val="0"/>
                <w:w w:val="100"/>
                <w:position w:val="0"/>
              </w:rPr>
              <w:t>本人将继续确保上市公 司独立经营，在业务的各个方面保持独立。本单位</w:t>
            </w:r>
            <w:r>
              <w:rPr>
                <w:rFonts w:ascii="Times New Roman" w:eastAsia="Times New Roman" w:hAnsi="Times New Roman" w:cs="Times New Roman"/>
                <w:color w:val="000000"/>
                <w:spacing w:val="0"/>
                <w:w w:val="100"/>
                <w:position w:val="0"/>
              </w:rPr>
              <w:t>/</w:t>
            </w:r>
            <w:r>
              <w:rPr>
                <w:color w:val="000000"/>
                <w:spacing w:val="0"/>
                <w:w w:val="100"/>
                <w:position w:val="0"/>
              </w:rPr>
              <w:t>本人承诺将遵守中国证监会的相关 规定以及本单位</w:t>
            </w:r>
            <w:r>
              <w:rPr>
                <w:rFonts w:ascii="Times New Roman" w:eastAsia="Times New Roman" w:hAnsi="Times New Roman" w:cs="Times New Roman"/>
                <w:color w:val="000000"/>
                <w:spacing w:val="0"/>
                <w:w w:val="100"/>
                <w:position w:val="0"/>
              </w:rPr>
              <w:t>/</w:t>
            </w:r>
            <w:r>
              <w:rPr>
                <w:color w:val="000000"/>
                <w:spacing w:val="0"/>
                <w:w w:val="100"/>
                <w:position w:val="0"/>
              </w:rPr>
              <w:t>本人的承诺，并尽量减少与上市公司之间的关联交易，保证不会以侵 占上市公司利益为目的与上市公司之间开展显失公平的关联交易；本单位</w:t>
            </w:r>
            <w:r>
              <w:rPr>
                <w:rFonts w:ascii="Times New Roman" w:eastAsia="Times New Roman" w:hAnsi="Times New Roman" w:cs="Times New Roman"/>
                <w:color w:val="000000"/>
                <w:spacing w:val="0"/>
                <w:w w:val="100"/>
                <w:position w:val="0"/>
              </w:rPr>
              <w:t>/</w:t>
            </w:r>
            <w:r>
              <w:rPr>
                <w:color w:val="000000"/>
                <w:spacing w:val="0"/>
                <w:w w:val="100"/>
                <w:position w:val="0"/>
              </w:rPr>
              <w:t>本人将保证 上市公司继续具备独立开展业务的资质、人员、资产等所有必备条件，确保上市公司业 务独立。六、本单位</w:t>
            </w:r>
            <w:r>
              <w:rPr>
                <w:rFonts w:ascii="Times New Roman" w:eastAsia="Times New Roman" w:hAnsi="Times New Roman" w:cs="Times New Roman"/>
                <w:color w:val="000000"/>
                <w:spacing w:val="0"/>
                <w:w w:val="100"/>
                <w:position w:val="0"/>
              </w:rPr>
              <w:t>/</w:t>
            </w:r>
            <w:r>
              <w:rPr>
                <w:color w:val="000000"/>
                <w:spacing w:val="0"/>
                <w:w w:val="100"/>
                <w:position w:val="0"/>
              </w:rPr>
              <w:t>本人承诺确保上市公司独立性，并承诺不利用上市公司控股股东</w:t>
            </w:r>
            <w:r>
              <w:rPr>
                <w:rFonts w:ascii="Times New Roman" w:eastAsia="Times New Roman" w:hAnsi="Times New Roman" w:cs="Times New Roman"/>
                <w:color w:val="000000"/>
                <w:spacing w:val="0"/>
                <w:w w:val="100"/>
                <w:position w:val="0"/>
              </w:rPr>
              <w:t xml:space="preserve">/ </w:t>
            </w:r>
            <w:r>
              <w:rPr>
                <w:color w:val="000000"/>
                <w:spacing w:val="0"/>
                <w:w w:val="100"/>
                <w:position w:val="0"/>
              </w:rPr>
              <w:t>实际控制人地位损害上市公司及其他股东的利益。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59"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前海发 展、前海 远大、凤 凰财鑫、 北京迅 杰、北京 岫晞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所提供信息 真实、准确、 完整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本单位</w:t>
            </w:r>
            <w:r>
              <w:rPr>
                <w:rFonts w:ascii="Times New Roman" w:eastAsia="Times New Roman" w:hAnsi="Times New Roman" w:cs="Times New Roman"/>
                <w:color w:val="000000"/>
                <w:spacing w:val="0"/>
                <w:w w:val="100"/>
                <w:position w:val="0"/>
              </w:rPr>
              <w:t>/</w:t>
            </w:r>
            <w:r>
              <w:rPr>
                <w:color w:val="000000"/>
                <w:spacing w:val="0"/>
                <w:w w:val="100"/>
                <w:position w:val="0"/>
              </w:rPr>
              <w:t>本公司已向上市公司提供本次交易相关的信息，并保证所提供信息的真实性、 准确性、完整性，保证不存在虚假记载、误导性陈述或者重大遗漏。根据本次交易进程, 需要本单位</w:t>
            </w:r>
            <w:r>
              <w:rPr>
                <w:rFonts w:ascii="Times New Roman" w:eastAsia="Times New Roman" w:hAnsi="Times New Roman" w:cs="Times New Roman"/>
                <w:color w:val="000000"/>
                <w:spacing w:val="0"/>
                <w:w w:val="100"/>
                <w:position w:val="0"/>
              </w:rPr>
              <w:t>/</w:t>
            </w:r>
            <w:r>
              <w:rPr>
                <w:color w:val="000000"/>
                <w:spacing w:val="0"/>
                <w:w w:val="100"/>
                <w:position w:val="0"/>
              </w:rPr>
              <w:t>本公司及本单位</w:t>
            </w:r>
            <w:r>
              <w:rPr>
                <w:rFonts w:ascii="Times New Roman" w:eastAsia="Times New Roman" w:hAnsi="Times New Roman" w:cs="Times New Roman"/>
                <w:color w:val="000000"/>
                <w:spacing w:val="0"/>
                <w:w w:val="100"/>
                <w:position w:val="0"/>
              </w:rPr>
              <w:t>/</w:t>
            </w:r>
            <w:r>
              <w:rPr>
                <w:color w:val="000000"/>
                <w:spacing w:val="0"/>
                <w:w w:val="100"/>
                <w:position w:val="0"/>
              </w:rPr>
              <w:t>本公司下属企业补充提供相关信息时，本单位</w:t>
            </w:r>
            <w:r>
              <w:rPr>
                <w:rFonts w:ascii="Times New Roman" w:eastAsia="Times New Roman" w:hAnsi="Times New Roman" w:cs="Times New Roman"/>
                <w:color w:val="000000"/>
                <w:spacing w:val="0"/>
                <w:w w:val="100"/>
                <w:position w:val="0"/>
              </w:rPr>
              <w:t>/</w:t>
            </w:r>
            <w:r>
              <w:rPr>
                <w:color w:val="000000"/>
                <w:spacing w:val="0"/>
                <w:w w:val="100"/>
                <w:position w:val="0"/>
              </w:rPr>
              <w:t>本公司及本 单位</w:t>
            </w:r>
            <w:r>
              <w:rPr>
                <w:rFonts w:ascii="Times New Roman" w:eastAsia="Times New Roman" w:hAnsi="Times New Roman" w:cs="Times New Roman"/>
                <w:color w:val="000000"/>
                <w:spacing w:val="0"/>
                <w:w w:val="100"/>
                <w:position w:val="0"/>
              </w:rPr>
              <w:t>/</w:t>
            </w:r>
            <w:r>
              <w:rPr>
                <w:color w:val="000000"/>
                <w:spacing w:val="0"/>
                <w:w w:val="100"/>
                <w:position w:val="0"/>
              </w:rPr>
              <w:t>本公司下属企业保证继续提供的信息仍然符合真实、准确、完整、有效的要求。 本单位</w:t>
            </w:r>
            <w:r>
              <w:rPr>
                <w:rFonts w:ascii="Times New Roman" w:eastAsia="Times New Roman" w:hAnsi="Times New Roman" w:cs="Times New Roman"/>
                <w:color w:val="000000"/>
                <w:spacing w:val="0"/>
                <w:w w:val="100"/>
                <w:position w:val="0"/>
              </w:rPr>
              <w:t>/</w:t>
            </w:r>
            <w:r>
              <w:rPr>
                <w:color w:val="000000"/>
                <w:spacing w:val="0"/>
                <w:w w:val="100"/>
                <w:position w:val="0"/>
              </w:rPr>
              <w:t>本公司承诺，对上述项下所提供信息的真实性、准确性、完整性依法承担法律 责任。如本单位</w:t>
            </w:r>
            <w:r>
              <w:rPr>
                <w:rFonts w:ascii="Times New Roman" w:eastAsia="Times New Roman" w:hAnsi="Times New Roman" w:cs="Times New Roman"/>
                <w:color w:val="000000"/>
                <w:spacing w:val="0"/>
                <w:w w:val="100"/>
                <w:position w:val="0"/>
              </w:rPr>
              <w:t>/</w:t>
            </w:r>
            <w:r>
              <w:rPr>
                <w:color w:val="000000"/>
                <w:spacing w:val="0"/>
                <w:w w:val="100"/>
                <w:position w:val="0"/>
              </w:rPr>
              <w:t>本公司在本次交易中所提供或披露的信息涉嫌虚假记载、误导性陈述 或者重大遗漏，被司法机关立案侦查或者被中国证监会立案调查的，在形成调查结论以 前，本单位</w:t>
            </w:r>
            <w:r>
              <w:rPr>
                <w:rFonts w:ascii="Times New Roman" w:eastAsia="Times New Roman" w:hAnsi="Times New Roman" w:cs="Times New Roman"/>
                <w:color w:val="000000"/>
                <w:spacing w:val="0"/>
                <w:w w:val="100"/>
                <w:position w:val="0"/>
              </w:rPr>
              <w:t>/</w:t>
            </w:r>
            <w:r>
              <w:rPr>
                <w:color w:val="000000"/>
                <w:spacing w:val="0"/>
                <w:w w:val="100"/>
                <w:position w:val="0"/>
              </w:rPr>
              <w:t>本公司不转让在上市公司拥有权益的股份，并于收到立案稽查通知的两个 交易日内将暂停转让的书面申请和股票账户提交上市公司董事会，由董事会代本单位</w:t>
            </w:r>
            <w:r>
              <w:rPr>
                <w:rFonts w:ascii="Times New Roman" w:eastAsia="Times New Roman" w:hAnsi="Times New Roman" w:cs="Times New Roman"/>
                <w:color w:val="000000"/>
                <w:spacing w:val="0"/>
                <w:w w:val="100"/>
                <w:position w:val="0"/>
              </w:rPr>
              <w:t xml:space="preserve">/ </w:t>
            </w:r>
            <w:r>
              <w:rPr>
                <w:color w:val="000000"/>
                <w:spacing w:val="0"/>
                <w:w w:val="100"/>
                <w:position w:val="0"/>
              </w:rPr>
              <w:t>本公司向证券交易所和登记结算公司申请锁定；未在两个交易日内提交锁定申请的，授 权董事会核实后直接向证券交易所和登记结算公司报送本单位</w:t>
            </w:r>
            <w:r>
              <w:rPr>
                <w:rFonts w:ascii="Times New Roman" w:eastAsia="Times New Roman" w:hAnsi="Times New Roman" w:cs="Times New Roman"/>
                <w:color w:val="000000"/>
                <w:spacing w:val="0"/>
                <w:w w:val="100"/>
                <w:position w:val="0"/>
              </w:rPr>
              <w:t>/</w:t>
            </w:r>
            <w:r>
              <w:rPr>
                <w:color w:val="000000"/>
                <w:spacing w:val="0"/>
                <w:w w:val="100"/>
                <w:position w:val="0"/>
              </w:rPr>
              <w:t>本公司的身份信息和账 户信息并申请锁定；董事会未向证券交易所和登记结算公司报送本单位</w:t>
            </w:r>
            <w:r>
              <w:rPr>
                <w:rFonts w:ascii="Times New Roman" w:eastAsia="Times New Roman" w:hAnsi="Times New Roman" w:cs="Times New Roman"/>
                <w:color w:val="000000"/>
                <w:spacing w:val="0"/>
                <w:w w:val="100"/>
                <w:position w:val="0"/>
              </w:rPr>
              <w:t>/</w:t>
            </w:r>
            <w:r>
              <w:rPr>
                <w:color w:val="000000"/>
                <w:spacing w:val="0"/>
                <w:w w:val="100"/>
                <w:position w:val="0"/>
              </w:rPr>
              <w:t>本公司的身份 信息和账户信息的，授权证券交易所和登记结算公司直接锁定相关股份。如调查结论发 现存在违法违规情节，本单位</w:t>
            </w:r>
            <w:r>
              <w:rPr>
                <w:rFonts w:ascii="Times New Roman" w:eastAsia="Times New Roman" w:hAnsi="Times New Roman" w:cs="Times New Roman"/>
                <w:color w:val="000000"/>
                <w:spacing w:val="0"/>
                <w:w w:val="100"/>
                <w:position w:val="0"/>
              </w:rPr>
              <w:t>/</w:t>
            </w:r>
            <w:r>
              <w:rPr>
                <w:color w:val="000000"/>
                <w:spacing w:val="0"/>
                <w:w w:val="100"/>
                <w:position w:val="0"/>
              </w:rPr>
              <w:t>本公司承诺锁定股份自愿用于相关投资者赔偿安排。</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正常履行 中</w:t>
            </w:r>
          </w:p>
        </w:tc>
      </w:tr>
      <w:tr>
        <w:trPr>
          <w:trHeight w:val="2246" w:hRule="exact"/>
        </w:trPr>
        <w:tc>
          <w:tcPr>
            <w:tcBorders>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中江信 托、赣粤 高速、江 西财投、 江西投 资、江西 能源、江</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所提供信息 真实、准确、 完整</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本单位</w:t>
            </w:r>
            <w:r>
              <w:rPr>
                <w:rFonts w:ascii="Times New Roman" w:eastAsia="Times New Roman" w:hAnsi="Times New Roman" w:cs="Times New Roman"/>
                <w:color w:val="000000"/>
                <w:spacing w:val="0"/>
                <w:w w:val="100"/>
                <w:position w:val="0"/>
              </w:rPr>
              <w:t>/</w:t>
            </w:r>
            <w:r>
              <w:rPr>
                <w:color w:val="000000"/>
                <w:spacing w:val="0"/>
                <w:w w:val="100"/>
                <w:position w:val="0"/>
              </w:rPr>
              <w:t>本公司已向上市公司提供本次交易相关的信息，并保证所提供信息的真实性、 准确性、完整性，保证不存在虚假记载、误导性陈述或者重大遗漏。根据本次交易进程, 需要本单位</w:t>
            </w:r>
            <w:r>
              <w:rPr>
                <w:rFonts w:ascii="Times New Roman" w:eastAsia="Times New Roman" w:hAnsi="Times New Roman" w:cs="Times New Roman"/>
                <w:color w:val="000000"/>
                <w:spacing w:val="0"/>
                <w:w w:val="100"/>
                <w:position w:val="0"/>
              </w:rPr>
              <w:t>/</w:t>
            </w:r>
            <w:r>
              <w:rPr>
                <w:color w:val="000000"/>
                <w:spacing w:val="0"/>
                <w:w w:val="100"/>
                <w:position w:val="0"/>
              </w:rPr>
              <w:t>本公司及本单位</w:t>
            </w:r>
            <w:r>
              <w:rPr>
                <w:rFonts w:ascii="Times New Roman" w:eastAsia="Times New Roman" w:hAnsi="Times New Roman" w:cs="Times New Roman"/>
                <w:color w:val="000000"/>
                <w:spacing w:val="0"/>
                <w:w w:val="100"/>
                <w:position w:val="0"/>
              </w:rPr>
              <w:t>/</w:t>
            </w:r>
            <w:r>
              <w:rPr>
                <w:color w:val="000000"/>
                <w:spacing w:val="0"/>
                <w:w w:val="100"/>
                <w:position w:val="0"/>
              </w:rPr>
              <w:t>本公司下属企业补充提供相关信息时，本单位</w:t>
            </w:r>
            <w:r>
              <w:rPr>
                <w:rFonts w:ascii="Times New Roman" w:eastAsia="Times New Roman" w:hAnsi="Times New Roman" w:cs="Times New Roman"/>
                <w:color w:val="000000"/>
                <w:spacing w:val="0"/>
                <w:w w:val="100"/>
                <w:position w:val="0"/>
              </w:rPr>
              <w:t>/</w:t>
            </w:r>
            <w:r>
              <w:rPr>
                <w:color w:val="000000"/>
                <w:spacing w:val="0"/>
                <w:w w:val="100"/>
                <w:position w:val="0"/>
              </w:rPr>
              <w:t>本公司及本 单位</w:t>
            </w:r>
            <w:r>
              <w:rPr>
                <w:rFonts w:ascii="Times New Roman" w:eastAsia="Times New Roman" w:hAnsi="Times New Roman" w:cs="Times New Roman"/>
                <w:color w:val="000000"/>
                <w:spacing w:val="0"/>
                <w:w w:val="100"/>
                <w:position w:val="0"/>
              </w:rPr>
              <w:t>/</w:t>
            </w:r>
            <w:r>
              <w:rPr>
                <w:color w:val="000000"/>
                <w:spacing w:val="0"/>
                <w:w w:val="100"/>
                <w:position w:val="0"/>
              </w:rPr>
              <w:t>本公司下属企业保证继续提供的信息仍然符合真实、准确、完整、有效的要求。 本单位</w:t>
            </w:r>
            <w:r>
              <w:rPr>
                <w:rFonts w:ascii="Times New Roman" w:eastAsia="Times New Roman" w:hAnsi="Times New Roman" w:cs="Times New Roman"/>
                <w:color w:val="000000"/>
                <w:spacing w:val="0"/>
                <w:w w:val="100"/>
                <w:position w:val="0"/>
              </w:rPr>
              <w:t>/</w:t>
            </w:r>
            <w:r>
              <w:rPr>
                <w:color w:val="000000"/>
                <w:spacing w:val="0"/>
                <w:w w:val="100"/>
                <w:position w:val="0"/>
              </w:rPr>
              <w:t>本公司承诺，对上述项下所提供信息的真实性、准确性、完整性依法承担法律 责任。如本单位</w:t>
            </w:r>
            <w:r>
              <w:rPr>
                <w:rFonts w:ascii="Times New Roman" w:eastAsia="Times New Roman" w:hAnsi="Times New Roman" w:cs="Times New Roman"/>
                <w:color w:val="000000"/>
                <w:spacing w:val="0"/>
                <w:w w:val="100"/>
                <w:position w:val="0"/>
              </w:rPr>
              <w:t>/</w:t>
            </w:r>
            <w:r>
              <w:rPr>
                <w:color w:val="000000"/>
                <w:spacing w:val="0"/>
                <w:w w:val="100"/>
                <w:position w:val="0"/>
              </w:rPr>
              <w:t>本公司在本次交易中所提供或披露的信息涉嫌虚假记载、误导性陈述 或者重大遗漏，被司法机关立案侦查或者被中国证监会立案调查的，在形成调查结论以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正常履行 中</w:t>
            </w:r>
          </w:p>
        </w:tc>
      </w:tr>
    </w:tbl>
    <w:p>
      <w:pPr>
        <w:spacing w:lineRule="exact" w:line="1"/>
        <w:rPr>
          <w:sz w:val="2"/>
          <w:szCs w:val="2"/>
        </w:rPr>
      </w:pPr>
      <w:r>
        <w:br w:type="page"/>
      </w:r>
    </w:p>
    <w:tbl>
      <w:tblPr>
        <w:tblOverlap w:val="never"/>
        <w:jc w:val="center"/>
        <w:tblLayout w:type="fixed"/>
      </w:tblPr>
      <w:tblGrid>
        <w:gridCol w:w="998"/>
        <w:gridCol w:w="994"/>
        <w:gridCol w:w="1133"/>
        <w:gridCol w:w="7939"/>
        <w:gridCol w:w="994"/>
        <w:gridCol w:w="994"/>
        <w:gridCol w:w="998"/>
      </w:tblGrid>
      <w:tr>
        <w:trPr>
          <w:trHeight w:val="2266"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西地矿、 江西地 勘、锦峰 投资、江 西医药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color w:val="000000"/>
                <w:spacing w:val="0"/>
                <w:w w:val="100"/>
                <w:position w:val="0"/>
              </w:rPr>
              <w:t>前，本单位</w:t>
            </w:r>
            <w:r>
              <w:rPr>
                <w:rFonts w:ascii="Times New Roman" w:eastAsia="Times New Roman" w:hAnsi="Times New Roman" w:cs="Times New Roman"/>
                <w:color w:val="000000"/>
                <w:spacing w:val="0"/>
                <w:w w:val="100"/>
                <w:position w:val="0"/>
              </w:rPr>
              <w:t>/</w:t>
            </w:r>
            <w:r>
              <w:rPr>
                <w:color w:val="000000"/>
                <w:spacing w:val="0"/>
                <w:w w:val="100"/>
                <w:position w:val="0"/>
              </w:rPr>
              <w:t>本公司不转让在上市公司拥有权益的股份，并于收到立案稽查通知的两个 交易日内将暂停转让的书面申请和股票账户提交上市公司董事会，由董事会代本单位</w:t>
            </w:r>
            <w:r>
              <w:rPr>
                <w:rFonts w:ascii="Times New Roman" w:eastAsia="Times New Roman" w:hAnsi="Times New Roman" w:cs="Times New Roman"/>
                <w:color w:val="000000"/>
                <w:spacing w:val="0"/>
                <w:w w:val="100"/>
                <w:position w:val="0"/>
              </w:rPr>
              <w:t xml:space="preserve">/ </w:t>
            </w:r>
            <w:r>
              <w:rPr>
                <w:color w:val="000000"/>
                <w:spacing w:val="0"/>
                <w:w w:val="100"/>
                <w:position w:val="0"/>
              </w:rPr>
              <w:t>本公司向证券交易所和登记结算公司申请锁定；未在两个交易日内提交锁定申请的，授 权董事会核实后直接向证券交易所和登记结算公司报送本单位</w:t>
            </w:r>
            <w:r>
              <w:rPr>
                <w:rFonts w:ascii="Times New Roman" w:eastAsia="Times New Roman" w:hAnsi="Times New Roman" w:cs="Times New Roman"/>
                <w:color w:val="000000"/>
                <w:spacing w:val="0"/>
                <w:w w:val="100"/>
                <w:position w:val="0"/>
              </w:rPr>
              <w:t>/</w:t>
            </w:r>
            <w:r>
              <w:rPr>
                <w:color w:val="000000"/>
                <w:spacing w:val="0"/>
                <w:w w:val="100"/>
                <w:position w:val="0"/>
              </w:rPr>
              <w:t>本公司的身份信息和账 户信息并申请锁定；董事会未向证券交易所和登记结算公司报送本单位</w:t>
            </w:r>
            <w:r>
              <w:rPr>
                <w:rFonts w:ascii="Times New Roman" w:eastAsia="Times New Roman" w:hAnsi="Times New Roman" w:cs="Times New Roman"/>
                <w:color w:val="000000"/>
                <w:spacing w:val="0"/>
                <w:w w:val="100"/>
                <w:position w:val="0"/>
              </w:rPr>
              <w:t>/</w:t>
            </w:r>
            <w:r>
              <w:rPr>
                <w:color w:val="000000"/>
                <w:spacing w:val="0"/>
                <w:w w:val="100"/>
                <w:position w:val="0"/>
              </w:rPr>
              <w:t>本公司的身份 信息和账户信息的，授权证券交易所和登记结算公司直接锁定相关股份。如调查结论发 现存在违法违规情节，本单位</w:t>
            </w:r>
            <w:r>
              <w:rPr>
                <w:rFonts w:ascii="Times New Roman" w:eastAsia="Times New Roman" w:hAnsi="Times New Roman" w:cs="Times New Roman"/>
                <w:color w:val="000000"/>
                <w:spacing w:val="0"/>
                <w:w w:val="100"/>
                <w:position w:val="0"/>
              </w:rPr>
              <w:t>/</w:t>
            </w:r>
            <w:r>
              <w:rPr>
                <w:color w:val="000000"/>
                <w:spacing w:val="0"/>
                <w:w w:val="100"/>
                <w:position w:val="0"/>
              </w:rPr>
              <w:t>本公司承诺锁定股份自愿用于相关投资者赔偿安排。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2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杜力、张 巍、谢基 柱、赵岑、 罗嘉俊、 李英明、 张李平、 周春生、 徐强国， 凤凰财智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所提供信息 真实、准确、 完整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6" w:lineRule="exact"/>
              <w:ind w:left="0" w:right="0" w:firstLine="0"/>
              <w:jc w:val="left"/>
            </w:pPr>
            <w:r>
              <w:rPr>
                <w:color w:val="000000"/>
                <w:spacing w:val="0"/>
                <w:w w:val="100"/>
                <w:position w:val="0"/>
              </w:rPr>
              <w:t>本单位</w:t>
            </w:r>
            <w:r>
              <w:rPr>
                <w:rFonts w:ascii="Times New Roman" w:eastAsia="Times New Roman" w:hAnsi="Times New Roman" w:cs="Times New Roman"/>
                <w:color w:val="000000"/>
                <w:spacing w:val="0"/>
                <w:w w:val="100"/>
                <w:position w:val="0"/>
              </w:rPr>
              <w:t>/</w:t>
            </w:r>
            <w:r>
              <w:rPr>
                <w:color w:val="000000"/>
                <w:spacing w:val="0"/>
                <w:w w:val="100"/>
                <w:position w:val="0"/>
              </w:rPr>
              <w:t>本人保证本次交易信息披露和申请文件的真实性、准确性、完整性，保证不存 在虚假记载、误导性陈述或者重大遗漏，并对本次交易信息披露和申请文件的真实性、 准确性、完整性依法承担法律责任。如在本次交易中所提供或披露的信息涉嫌虚假记载、 误导性陈述或者重大遗漏，被司法机关立案侦查或者被中国证监会立案调查的，在形成 调查结论以前，本单位</w:t>
            </w:r>
            <w:r>
              <w:rPr>
                <w:rFonts w:ascii="Times New Roman" w:eastAsia="Times New Roman" w:hAnsi="Times New Roman" w:cs="Times New Roman"/>
                <w:color w:val="000000"/>
                <w:spacing w:val="0"/>
                <w:w w:val="100"/>
                <w:position w:val="0"/>
              </w:rPr>
              <w:t>/</w:t>
            </w:r>
            <w:r>
              <w:rPr>
                <w:color w:val="000000"/>
                <w:spacing w:val="0"/>
                <w:w w:val="100"/>
                <w:position w:val="0"/>
              </w:rPr>
              <w:t>本人不转让在上市公司拥有权益的股份，并于收到立案稽查通 知的两个交易日内将暂停转让的书面申请和股票账户提交上市公司董事会，由董事会代 本单位</w:t>
            </w:r>
            <w:r>
              <w:rPr>
                <w:rFonts w:ascii="Times New Roman" w:eastAsia="Times New Roman" w:hAnsi="Times New Roman" w:cs="Times New Roman"/>
                <w:color w:val="000000"/>
                <w:spacing w:val="0"/>
                <w:w w:val="100"/>
                <w:position w:val="0"/>
              </w:rPr>
              <w:t>/</w:t>
            </w:r>
            <w:r>
              <w:rPr>
                <w:color w:val="000000"/>
                <w:spacing w:val="0"/>
                <w:w w:val="100"/>
                <w:position w:val="0"/>
              </w:rPr>
              <w:t>本人向证券交易所和登记结算公司申请锁定；未在两个交易日内提交锁定申请 的，授权董事会核实后直接向证券交易所和登记结算公司报送本单位</w:t>
            </w:r>
            <w:r>
              <w:rPr>
                <w:rFonts w:ascii="Times New Roman" w:eastAsia="Times New Roman" w:hAnsi="Times New Roman" w:cs="Times New Roman"/>
                <w:color w:val="000000"/>
                <w:spacing w:val="0"/>
                <w:w w:val="100"/>
                <w:position w:val="0"/>
              </w:rPr>
              <w:t>/</w:t>
            </w:r>
            <w:r>
              <w:rPr>
                <w:color w:val="000000"/>
                <w:spacing w:val="0"/>
                <w:w w:val="100"/>
                <w:position w:val="0"/>
              </w:rPr>
              <w:t>本人的身份信息 和账户信息并申请锁定；董事会未向证券交易所和登记结算公司报送本单位</w:t>
            </w:r>
            <w:r>
              <w:rPr>
                <w:rFonts w:ascii="Times New Roman" w:eastAsia="Times New Roman" w:hAnsi="Times New Roman" w:cs="Times New Roman"/>
                <w:color w:val="000000"/>
                <w:spacing w:val="0"/>
                <w:w w:val="100"/>
                <w:position w:val="0"/>
              </w:rPr>
              <w:t>/</w:t>
            </w:r>
            <w:r>
              <w:rPr>
                <w:color w:val="000000"/>
                <w:spacing w:val="0"/>
                <w:w w:val="100"/>
                <w:position w:val="0"/>
              </w:rPr>
              <w:t>本人的身 份信息和账户信息的，授权证券交易所和登记结算公司直接锁定相关股份。如调查结论 发现存在违法违规情节，承诺锁定股份自愿用于相关投资者赔偿安排。</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正常履行 中</w:t>
            </w:r>
          </w:p>
        </w:tc>
      </w:tr>
      <w:tr>
        <w:trPr>
          <w:trHeight w:val="349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首次公开 发行或再 融资时所 作承诺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罗桥胜、 冯倩红、 卢锡球、 黄喜强、 谢基柱、 卢惠全、 刘琛、刘 世明</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股份限售</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在作为本公司董事、监事、高级管理人员期间，每年转让的股份不超过其直接或间接持 有本公司股份总数的</w:t>
            </w:r>
            <w:r>
              <w:rPr>
                <w:rFonts w:ascii="Times New Roman" w:eastAsia="Times New Roman" w:hAnsi="Times New Roman" w:cs="Times New Roman"/>
                <w:color w:val="000000"/>
                <w:spacing w:val="0"/>
                <w:w w:val="100"/>
                <w:position w:val="0"/>
              </w:rPr>
              <w:t>25%</w:t>
            </w:r>
            <w:r>
              <w:rPr>
                <w:color w:val="000000"/>
                <w:spacing w:val="0"/>
                <w:w w:val="100"/>
                <w:position w:val="0"/>
              </w:rPr>
              <w:t>。如其离职，离职后半年内不转让其所持有的本公司股份， 在申报离任六个月后的十二个月内通过证券交易所挂牌交易出售的股份不超过其所持 有本公司股份总数的</w:t>
            </w:r>
            <w:r>
              <w:rPr>
                <w:rFonts w:ascii="Times New Roman" w:eastAsia="Times New Roman" w:hAnsi="Times New Roman" w:cs="Times New Roman"/>
                <w:color w:val="000000"/>
                <w:spacing w:val="0"/>
                <w:w w:val="100"/>
                <w:position w:val="0"/>
              </w:rPr>
              <w:t>50%</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317" w:lineRule="exact"/>
              <w:ind w:left="0" w:right="0" w:firstLine="0"/>
              <w:jc w:val="left"/>
            </w:pPr>
            <w:r>
              <w:rPr>
                <w:color w:val="000000"/>
                <w:spacing w:val="0"/>
                <w:w w:val="100"/>
                <w:position w:val="0"/>
              </w:rPr>
              <w:t>公司上市 一年后至 其离任后</w:t>
            </w:r>
          </w:p>
          <w:p>
            <w:pPr>
              <w:pStyle w:val="Style20"/>
              <w:keepNext w:val="0"/>
              <w:keepLines w:val="0"/>
              <w:widowControl w:val="0"/>
              <w:shd w:val="clear" w:color="auto" w:fill="auto"/>
              <w:bidi w:val="0"/>
              <w:spacing w:before="0" w:after="0" w:line="331" w:lineRule="auto"/>
              <w:ind w:left="0" w:right="0" w:firstLine="0"/>
              <w:jc w:val="left"/>
            </w:pPr>
            <w:r>
              <w:rPr>
                <w:rFonts w:ascii="Times New Roman" w:eastAsia="Times New Roman" w:hAnsi="Times New Roman" w:cs="Times New Roman"/>
                <w:color w:val="000000"/>
                <w:spacing w:val="0"/>
                <w:w w:val="100"/>
                <w:position w:val="0"/>
              </w:rPr>
              <w:t>18</w:t>
            </w:r>
            <w:r>
              <w:rPr>
                <w:color w:val="000000"/>
                <w:spacing w:val="0"/>
                <w:w w:val="100"/>
                <w:position w:val="0"/>
              </w:rPr>
              <w:t>个月</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正常履行 中；</w:t>
            </w:r>
            <w:r>
              <w:rPr>
                <w:rFonts w:ascii="Times New Roman" w:eastAsia="Times New Roman" w:hAnsi="Times New Roman" w:cs="Times New Roman"/>
                <w:color w:val="000000"/>
                <w:spacing w:val="0"/>
                <w:w w:val="100"/>
                <w:position w:val="0"/>
              </w:rPr>
              <w:t xml:space="preserve">2015 </w:t>
            </w:r>
            <w:r>
              <w:rPr>
                <w:color w:val="000000"/>
                <w:spacing w:val="0"/>
                <w:w w:val="100"/>
                <w:position w:val="0"/>
              </w:rPr>
              <w:t>年，罗桥 胜、冯倩 红、卢锡 球、黄喜 强、卢惠 全辞职， 该等人员 承诺事项 于报告期</w:t>
            </w:r>
          </w:p>
        </w:tc>
      </w:tr>
    </w:tbl>
    <w:p>
      <w:pPr>
        <w:sectPr>
          <w:footnotePr>
            <w:pos w:val="pageBottom"/>
            <w:numFmt w:val="decimal"/>
            <w:numRestart w:val="continuous"/>
          </w:footnotePr>
          <w:pgSz w:w="16840" w:h="11900" w:orient="landscape"/>
          <w:pgMar w:top="1099" w:right="1355" w:bottom="1205" w:left="1411" w:header="0" w:footer="3" w:gutter="0"/>
          <w:cols w:space="720"/>
          <w:noEndnote/>
          <w:rtlGutter w:val="0"/>
          <w:docGrid w:linePitch="360"/>
        </w:sectPr>
      </w:pPr>
    </w:p>
    <w:tbl>
      <w:tblPr>
        <w:tblOverlap w:val="never"/>
        <w:jc w:val="left"/>
        <w:tblLayout w:type="fixed"/>
      </w:tblPr>
      <w:tblGrid>
        <w:gridCol w:w="11064"/>
        <w:gridCol w:w="2986"/>
      </w:tblGrid>
      <w:tr>
        <w:trPr>
          <w:trHeight w:val="3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pPr>
            <w:r>
              <w:rPr>
                <w:color w:val="000000"/>
                <w:spacing w:val="0"/>
                <w:w w:val="100"/>
                <w:position w:val="0"/>
              </w:rPr>
              <w:t>内到期。</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如承诺超期未履行完毕的，应当详细说明未完成履行的具体原因及下一步的工作计划</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26"/>
        <w:keepNext w:val="0"/>
        <w:keepLines w:val="0"/>
        <w:widowControl w:val="0"/>
        <w:shd w:val="clear" w:color="auto" w:fill="auto"/>
        <w:tabs>
          <w:tab w:pos="12331" w:val="left"/>
        </w:tabs>
        <w:bidi w:val="0"/>
        <w:spacing w:before="0" w:after="0" w:line="240" w:lineRule="auto"/>
        <w:ind w:left="0" w:right="0" w:firstLine="0"/>
        <w:jc w:val="left"/>
      </w:pPr>
      <w:bookmarkStart w:id="306" w:name="bookmark306"/>
      <w:r>
        <w:rPr>
          <w:rFonts w:ascii="Times New Roman" w:eastAsia="Times New Roman" w:hAnsi="Times New Roman" w:cs="Times New Roman"/>
          <w:b/>
          <w:bCs/>
          <w:color w:val="000000"/>
          <w:spacing w:val="0"/>
          <w:w w:val="100"/>
          <w:position w:val="0"/>
        </w:rPr>
        <w:t>2</w:t>
      </w:r>
      <w:r>
        <w:rPr>
          <w:b/>
          <w:bCs/>
          <w:color w:val="000000"/>
          <w:spacing w:val="0"/>
          <w:w w:val="100"/>
          <w:position w:val="0"/>
        </w:rPr>
        <w:t>、公司资产或项目存在盈利预测，且报告期仍处在盈利预测期间，公司就资产或项目达到原盈利预测及其原因做出说明</w:t>
        <w:tab/>
      </w: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306"/>
    </w:p>
    <w:p>
      <w:pPr>
        <w:widowControl w:val="0"/>
        <w:spacing w:after="299" w:line="1" w:lineRule="exact"/>
      </w:pPr>
    </w:p>
    <w:tbl>
      <w:tblPr>
        <w:tblOverlap w:val="never"/>
        <w:jc w:val="left"/>
        <w:tblLayout w:type="fixed"/>
      </w:tblPr>
      <w:tblGrid>
        <w:gridCol w:w="1709"/>
        <w:gridCol w:w="994"/>
        <w:gridCol w:w="970"/>
        <w:gridCol w:w="1181"/>
        <w:gridCol w:w="1181"/>
        <w:gridCol w:w="1771"/>
        <w:gridCol w:w="1277"/>
        <w:gridCol w:w="4968"/>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盈利预测资产或 项目名称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预测起始 时间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预测终止 时间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当期预测业 绩（万元）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当期实际业 绩（万元）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未达预测的原因 （如适用）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原预测披露 日期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原预测披露索引</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国盛证券有限责 任公司</w:t>
            </w:r>
            <w:r>
              <w:rPr>
                <w:rFonts w:ascii="Times New Roman" w:eastAsia="Times New Roman" w:hAnsi="Times New Roman" w:cs="Times New Roman"/>
                <w:color w:val="000000"/>
                <w:spacing w:val="0"/>
                <w:w w:val="100"/>
                <w:position w:val="0"/>
              </w:rPr>
              <w:t>100%</w:t>
            </w:r>
            <w:r>
              <w:rPr>
                <w:color w:val="000000"/>
                <w:spacing w:val="0"/>
                <w:w w:val="100"/>
                <w:position w:val="0"/>
              </w:rPr>
              <w:t>股权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01</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74,000.00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60,722.62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日披露于巨潮资讯网</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）的《关于重大资产重组事项签 署</w:t>
            </w:r>
            <w:r>
              <w:rPr>
                <w:color w:val="000000"/>
                <w:spacing w:val="0"/>
                <w:w w:val="100"/>
                <w:position w:val="0"/>
              </w:rPr>
              <w:t>〈</w:t>
            </w:r>
            <w:r>
              <w:rPr>
                <w:color w:val="000000"/>
                <w:spacing w:val="0"/>
                <w:w w:val="100"/>
                <w:position w:val="0"/>
              </w:rPr>
              <w:t>业绩承诺补偿协议</w:t>
            </w:r>
            <w:r>
              <w:rPr>
                <w:rFonts w:ascii="Times New Roman" w:eastAsia="Times New Roman" w:hAnsi="Times New Roman" w:cs="Times New Roman"/>
                <w:color w:val="000000"/>
                <w:spacing w:val="0"/>
                <w:w w:val="100"/>
                <w:position w:val="0"/>
              </w:rPr>
              <w:t>＞</w:t>
            </w:r>
            <w:r>
              <w:rPr>
                <w:color w:val="000000"/>
                <w:spacing w:val="0"/>
                <w:w w:val="100"/>
                <w:position w:val="0"/>
              </w:rPr>
              <w:t>的公告》（编号：</w:t>
            </w:r>
            <w:r>
              <w:rPr>
                <w:rFonts w:ascii="Times New Roman" w:eastAsia="Times New Roman" w:hAnsi="Times New Roman" w:cs="Times New Roman"/>
                <w:color w:val="000000"/>
                <w:spacing w:val="0"/>
                <w:w w:val="100"/>
                <w:position w:val="0"/>
              </w:rPr>
              <w:t>2016-003</w:t>
            </w:r>
            <w:r>
              <w:rPr>
                <w:color w:val="000000"/>
                <w:spacing w:val="0"/>
                <w:w w:val="100"/>
                <w:position w:val="0"/>
              </w:rPr>
              <w:t>）</w:t>
            </w:r>
          </w:p>
        </w:tc>
      </w:tr>
      <w:tr>
        <w:trPr>
          <w:trHeight w:val="103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05" w:lineRule="exact"/>
              <w:ind w:left="0" w:right="0" w:firstLine="0"/>
              <w:jc w:val="left"/>
            </w:pPr>
            <w:r>
              <w:rPr>
                <w:color w:val="000000"/>
                <w:spacing w:val="0"/>
                <w:w w:val="100"/>
                <w:position w:val="0"/>
              </w:rPr>
              <w:t xml:space="preserve">北京快乐时代科 技发展有限公司 </w:t>
            </w:r>
            <w:r>
              <w:rPr>
                <w:rFonts w:ascii="Times New Roman" w:eastAsia="Times New Roman" w:hAnsi="Times New Roman" w:cs="Times New Roman"/>
                <w:color w:val="000000"/>
                <w:spacing w:val="0"/>
                <w:w w:val="100"/>
                <w:position w:val="0"/>
              </w:rPr>
              <w:t>100%</w:t>
            </w:r>
            <w:r>
              <w:rPr>
                <w:color w:val="000000"/>
                <w:spacing w:val="0"/>
                <w:w w:val="100"/>
                <w:position w:val="0"/>
              </w:rPr>
              <w:t>股权</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01</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42,339.00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w:t>
            </w: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6"/>
        <w:keepNext w:val="0"/>
        <w:keepLines w:val="0"/>
        <w:widowControl w:val="0"/>
        <w:shd w:val="clear" w:color="auto" w:fill="auto"/>
        <w:tabs>
          <w:tab w:pos="12307" w:val="left"/>
        </w:tabs>
        <w:bidi w:val="0"/>
        <w:spacing w:before="0" w:after="0" w:line="240" w:lineRule="auto"/>
        <w:ind w:left="0" w:right="0" w:firstLine="0"/>
        <w:jc w:val="center"/>
      </w:pPr>
      <w:r>
        <w:rPr>
          <w:color w:val="000000"/>
          <w:spacing w:val="0"/>
          <w:w w:val="100"/>
          <w:position w:val="0"/>
        </w:rPr>
        <w:t>公司股东、交易对手方在报告年度经营业绩做出的承诺情况</w:t>
        <w:tab/>
      </w: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val="0"/>
        <w:keepLines w:val="0"/>
        <w:widowControl w:val="0"/>
        <w:shd w:val="clear" w:color="auto" w:fill="auto"/>
        <w:bidi w:val="0"/>
        <w:spacing w:before="0" w:after="0" w:line="315" w:lineRule="exact"/>
        <w:ind w:left="0" w:right="0" w:firstLine="480"/>
        <w:jc w:val="both"/>
      </w:pPr>
      <w:r>
        <w:rPr>
          <w:color w:val="000000"/>
          <w:spacing w:val="0"/>
          <w:w w:val="100"/>
          <w:position w:val="0"/>
        </w:rPr>
        <w:t>注</w:t>
      </w:r>
      <w:r>
        <w:rPr>
          <w:color w:val="000000"/>
          <w:spacing w:val="0"/>
          <w:w w:val="100"/>
          <w:position w:val="0"/>
        </w:rPr>
        <w:t>1： 2016</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13</w:t>
      </w:r>
      <w:r>
        <w:rPr>
          <w:color w:val="000000"/>
          <w:spacing w:val="0"/>
          <w:w w:val="100"/>
          <w:position w:val="0"/>
        </w:rPr>
        <w:t>日，公司、中江信托、杜力、张巍签订《广东华声电器股份有限公司与中江国际信托股份有限公司、杜力、张巍签署之业绩承诺 补偿协议》，中江信托承诺国盛证券</w:t>
      </w:r>
      <w:r>
        <w:rPr>
          <w:color w:val="000000"/>
          <w:spacing w:val="0"/>
          <w:w w:val="100"/>
          <w:position w:val="0"/>
        </w:rPr>
        <w:t>2016</w:t>
      </w:r>
      <w:r>
        <w:rPr>
          <w:color w:val="000000"/>
          <w:spacing w:val="0"/>
          <w:w w:val="100"/>
          <w:position w:val="0"/>
        </w:rPr>
        <w:t>年度、</w:t>
      </w:r>
      <w:r>
        <w:rPr>
          <w:color w:val="000000"/>
          <w:spacing w:val="0"/>
          <w:w w:val="100"/>
          <w:position w:val="0"/>
        </w:rPr>
        <w:t>2017</w:t>
      </w:r>
      <w:r>
        <w:rPr>
          <w:color w:val="000000"/>
          <w:spacing w:val="0"/>
          <w:w w:val="100"/>
          <w:position w:val="0"/>
        </w:rPr>
        <w:t>年度、</w:t>
      </w:r>
      <w:r>
        <w:rPr>
          <w:color w:val="000000"/>
          <w:spacing w:val="0"/>
          <w:w w:val="100"/>
          <w:position w:val="0"/>
        </w:rPr>
        <w:t>2018</w:t>
      </w:r>
      <w:r>
        <w:rPr>
          <w:color w:val="000000"/>
          <w:spacing w:val="0"/>
          <w:w w:val="100"/>
          <w:position w:val="0"/>
        </w:rPr>
        <w:t>年度经审计的归属于母公司所有者的净利润分别不低于人民币</w:t>
      </w:r>
      <w:r>
        <w:rPr>
          <w:color w:val="000000"/>
          <w:spacing w:val="0"/>
          <w:w w:val="100"/>
          <w:position w:val="0"/>
        </w:rPr>
        <w:t>74,000</w:t>
      </w:r>
      <w:r>
        <w:rPr>
          <w:color w:val="000000"/>
          <w:spacing w:val="0"/>
          <w:w w:val="100"/>
          <w:position w:val="0"/>
        </w:rPr>
        <w:t xml:space="preserve">万元（含本数）、 </w:t>
      </w:r>
      <w:r>
        <w:rPr>
          <w:color w:val="000000"/>
          <w:spacing w:val="0"/>
          <w:w w:val="100"/>
          <w:position w:val="0"/>
        </w:rPr>
        <w:t>79,000</w:t>
      </w:r>
      <w:r>
        <w:rPr>
          <w:color w:val="000000"/>
          <w:spacing w:val="0"/>
          <w:w w:val="100"/>
          <w:position w:val="0"/>
        </w:rPr>
        <w:t>万元（含本数）、</w:t>
      </w:r>
      <w:r>
        <w:rPr>
          <w:color w:val="000000"/>
          <w:spacing w:val="0"/>
          <w:w w:val="100"/>
          <w:position w:val="0"/>
        </w:rPr>
        <w:t>85,000</w:t>
      </w:r>
      <w:r>
        <w:rPr>
          <w:color w:val="000000"/>
          <w:spacing w:val="0"/>
          <w:w w:val="100"/>
          <w:position w:val="0"/>
        </w:rPr>
        <w:t xml:space="preserve">万元（含本数），净利润以扣除非经常性损益前后孰低值为准。经立信会计师事务所（特殊普通合伙）审计，国盛证券 </w:t>
      </w:r>
      <w:r>
        <w:rPr>
          <w:color w:val="000000"/>
          <w:spacing w:val="0"/>
          <w:w w:val="100"/>
          <w:position w:val="0"/>
        </w:rPr>
        <w:t>2016</w:t>
      </w:r>
      <w:r>
        <w:rPr>
          <w:color w:val="000000"/>
          <w:spacing w:val="0"/>
          <w:w w:val="100"/>
          <w:position w:val="0"/>
        </w:rPr>
        <w:t>年度实现归属于母公司所有者的净利润</w:t>
      </w:r>
      <w:r>
        <w:rPr>
          <w:color w:val="000000"/>
          <w:spacing w:val="0"/>
          <w:w w:val="100"/>
          <w:position w:val="0"/>
        </w:rPr>
        <w:t>612,509,257.79</w:t>
      </w:r>
      <w:r>
        <w:rPr>
          <w:color w:val="000000"/>
          <w:spacing w:val="0"/>
          <w:w w:val="100"/>
          <w:position w:val="0"/>
        </w:rPr>
        <w:t>元，扣除非经常性损益后归属于母公司所有者的净利润为</w:t>
      </w:r>
      <w:r>
        <w:rPr>
          <w:color w:val="000000"/>
          <w:spacing w:val="0"/>
          <w:w w:val="100"/>
          <w:position w:val="0"/>
        </w:rPr>
        <w:t xml:space="preserve">608,180,997. </w:t>
      </w:r>
      <w:r>
        <w:rPr>
          <w:color w:val="000000"/>
          <w:spacing w:val="0"/>
          <w:w w:val="100"/>
          <w:position w:val="0"/>
        </w:rPr>
        <w:t>77</w:t>
      </w:r>
      <w:r>
        <w:rPr>
          <w:color w:val="000000"/>
          <w:spacing w:val="0"/>
          <w:w w:val="100"/>
          <w:position w:val="0"/>
        </w:rPr>
        <w:t>元。国盛证券</w:t>
      </w:r>
      <w:r>
        <w:rPr>
          <w:color w:val="000000"/>
          <w:spacing w:val="0"/>
          <w:w w:val="100"/>
          <w:position w:val="0"/>
        </w:rPr>
        <w:t xml:space="preserve">2016 </w:t>
      </w:r>
      <w:r>
        <w:rPr>
          <w:color w:val="000000"/>
          <w:spacing w:val="0"/>
          <w:w w:val="100"/>
          <w:position w:val="0"/>
        </w:rPr>
        <w:t>年度业绩承诺完成率为</w:t>
      </w:r>
      <w:r>
        <w:rPr>
          <w:color w:val="000000"/>
          <w:spacing w:val="0"/>
          <w:w w:val="100"/>
          <w:position w:val="0"/>
        </w:rPr>
        <w:t>82.19%</w:t>
      </w:r>
      <w:r>
        <w:rPr>
          <w:color w:val="000000"/>
          <w:spacing w:val="0"/>
          <w:w w:val="100"/>
          <w:position w:val="0"/>
        </w:rPr>
        <w:t>。</w:t>
      </w:r>
    </w:p>
    <w:p>
      <w:pPr>
        <w:pStyle w:val="Style33"/>
        <w:keepNext w:val="0"/>
        <w:keepLines w:val="0"/>
        <w:widowControl w:val="0"/>
        <w:shd w:val="clear" w:color="auto" w:fill="auto"/>
        <w:bidi w:val="0"/>
        <w:spacing w:before="0" w:after="360" w:line="315" w:lineRule="exact"/>
        <w:ind w:left="0" w:right="0" w:firstLine="480"/>
        <w:jc w:val="both"/>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：公司全资子公司深圳华声于</w:t>
      </w:r>
      <w:r>
        <w:rPr>
          <w:rFonts w:ascii="Times New Roman" w:eastAsia="Times New Roman" w:hAnsi="Times New Roman" w:cs="Times New Roman"/>
          <w:color w:val="000000"/>
          <w:spacing w:val="0"/>
          <w:w w:val="100"/>
          <w:position w:val="0"/>
        </w:rPr>
        <w:t>2016</w:t>
      </w:r>
      <w:r>
        <w:rPr>
          <w:color w:val="000000"/>
          <w:spacing w:val="0"/>
          <w:w w:val="100"/>
          <w:position w:val="0"/>
        </w:rPr>
        <w:t>年度以</w:t>
      </w:r>
      <w:r>
        <w:rPr>
          <w:rFonts w:ascii="Times New Roman" w:eastAsia="Times New Roman" w:hAnsi="Times New Roman" w:cs="Times New Roman"/>
          <w:color w:val="000000"/>
          <w:spacing w:val="0"/>
          <w:w w:val="100"/>
          <w:position w:val="0"/>
        </w:rPr>
        <w:t>3.75</w:t>
      </w:r>
      <w:r>
        <w:rPr>
          <w:color w:val="000000"/>
          <w:spacing w:val="0"/>
          <w:w w:val="100"/>
          <w:position w:val="0"/>
        </w:rPr>
        <w:t>亿元受让凤凰祥瑞所持北京快乐时代</w:t>
      </w:r>
      <w:r>
        <w:rPr>
          <w:rFonts w:ascii="Times New Roman" w:eastAsia="Times New Roman" w:hAnsi="Times New Roman" w:cs="Times New Roman"/>
          <w:color w:val="000000"/>
          <w:spacing w:val="0"/>
          <w:w w:val="100"/>
          <w:position w:val="0"/>
        </w:rPr>
        <w:t>5%</w:t>
      </w:r>
      <w:r>
        <w:rPr>
          <w:color w:val="000000"/>
          <w:spacing w:val="0"/>
          <w:w w:val="100"/>
          <w:position w:val="0"/>
        </w:rPr>
        <w:t>股权。根据本次交易资产评估机构出具的《评估报告》，评 估机构对北京快乐时代</w:t>
      </w:r>
      <w:r>
        <w:rPr>
          <w:rFonts w:ascii="Times New Roman" w:eastAsia="Times New Roman" w:hAnsi="Times New Roman" w:cs="Times New Roman"/>
          <w:color w:val="000000"/>
          <w:spacing w:val="0"/>
          <w:w w:val="100"/>
          <w:position w:val="0"/>
        </w:rPr>
        <w:t>2016</w:t>
      </w:r>
      <w:r>
        <w:rPr>
          <w:color w:val="000000"/>
          <w:spacing w:val="0"/>
          <w:w w:val="100"/>
          <w:position w:val="0"/>
        </w:rPr>
        <w:t>年度预测净利润为</w:t>
      </w:r>
      <w:r>
        <w:rPr>
          <w:rFonts w:ascii="Times New Roman" w:eastAsia="Times New Roman" w:hAnsi="Times New Roman" w:cs="Times New Roman"/>
          <w:color w:val="000000"/>
          <w:spacing w:val="0"/>
          <w:w w:val="100"/>
          <w:position w:val="0"/>
        </w:rPr>
        <w:t>42,339</w:t>
      </w:r>
      <w:r>
        <w:rPr>
          <w:color w:val="000000"/>
          <w:spacing w:val="0"/>
          <w:w w:val="100"/>
          <w:position w:val="0"/>
        </w:rPr>
        <w:t>万元。截至本报告披露日，北京快乐时代尚未完成其</w:t>
      </w:r>
      <w:r>
        <w:rPr>
          <w:rFonts w:ascii="Times New Roman" w:eastAsia="Times New Roman" w:hAnsi="Times New Roman" w:cs="Times New Roman"/>
          <w:color w:val="000000"/>
          <w:spacing w:val="0"/>
          <w:w w:val="100"/>
          <w:position w:val="0"/>
        </w:rPr>
        <w:t>2016</w:t>
      </w:r>
      <w:r>
        <w:rPr>
          <w:color w:val="000000"/>
          <w:spacing w:val="0"/>
          <w:w w:val="100"/>
          <w:position w:val="0"/>
        </w:rPr>
        <w:t>年度财务审计。根据北京快乐时代</w:t>
      </w:r>
      <w:r>
        <w:rPr>
          <w:rFonts w:ascii="Times New Roman" w:eastAsia="Times New Roman" w:hAnsi="Times New Roman" w:cs="Times New Roman"/>
          <w:color w:val="000000"/>
          <w:spacing w:val="0"/>
          <w:w w:val="100"/>
          <w:position w:val="0"/>
        </w:rPr>
        <w:t>2016</w:t>
      </w:r>
      <w:r>
        <w:rPr>
          <w:color w:val="000000"/>
          <w:spacing w:val="0"/>
          <w:w w:val="100"/>
          <w:position w:val="0"/>
        </w:rPr>
        <w:t>年度 未经审计财务报表，其</w:t>
      </w:r>
      <w:r>
        <w:rPr>
          <w:rFonts w:ascii="Times New Roman" w:eastAsia="Times New Roman" w:hAnsi="Times New Roman" w:cs="Times New Roman"/>
          <w:color w:val="000000"/>
          <w:spacing w:val="0"/>
          <w:w w:val="100"/>
          <w:position w:val="0"/>
        </w:rPr>
        <w:t>2016</w:t>
      </w:r>
      <w:r>
        <w:rPr>
          <w:color w:val="000000"/>
          <w:spacing w:val="0"/>
          <w:w w:val="100"/>
          <w:position w:val="0"/>
        </w:rPr>
        <w:t>年度实际净利润为</w:t>
      </w:r>
      <w:r>
        <w:rPr>
          <w:rFonts w:ascii="Times New Roman" w:eastAsia="Times New Roman" w:hAnsi="Times New Roman" w:cs="Times New Roman"/>
          <w:color w:val="000000"/>
          <w:spacing w:val="0"/>
          <w:w w:val="100"/>
          <w:position w:val="0"/>
        </w:rPr>
        <w:t>56,345.40</w:t>
      </w:r>
      <w:r>
        <w:rPr>
          <w:color w:val="000000"/>
          <w:spacing w:val="0"/>
          <w:w w:val="100"/>
          <w:position w:val="0"/>
        </w:rPr>
        <w:t>万元。同时，鉴于北京快乐时代尚未完成</w:t>
      </w:r>
      <w:r>
        <w:rPr>
          <w:rFonts w:ascii="Times New Roman" w:eastAsia="Times New Roman" w:hAnsi="Times New Roman" w:cs="Times New Roman"/>
          <w:color w:val="000000"/>
          <w:spacing w:val="0"/>
          <w:w w:val="100"/>
          <w:position w:val="0"/>
        </w:rPr>
        <w:t>2016</w:t>
      </w:r>
      <w:r>
        <w:rPr>
          <w:color w:val="000000"/>
          <w:spacing w:val="0"/>
          <w:w w:val="100"/>
          <w:position w:val="0"/>
        </w:rPr>
        <w:t>年度财务审计，会计师无法就预测业绩实现情况出 具核查意见。</w:t>
      </w:r>
    </w:p>
    <w:p>
      <w:pPr>
        <w:pStyle w:val="Style33"/>
        <w:keepNext w:val="0"/>
        <w:keepLines w:val="0"/>
        <w:widowControl w:val="0"/>
        <w:shd w:val="clear" w:color="auto" w:fill="auto"/>
        <w:tabs>
          <w:tab w:pos="12235" w:val="left"/>
        </w:tabs>
        <w:bidi w:val="0"/>
        <w:spacing w:before="0" w:after="300" w:line="240" w:lineRule="auto"/>
        <w:ind w:left="0" w:right="0" w:firstLine="0"/>
        <w:jc w:val="left"/>
      </w:pPr>
      <w:bookmarkStart w:id="307" w:name="bookmark307"/>
      <w:bookmarkStart w:id="308" w:name="bookmark308"/>
      <w:r>
        <w:rPr>
          <w:b/>
          <w:bCs/>
          <w:color w:val="000000"/>
          <w:spacing w:val="0"/>
          <w:w w:val="100"/>
          <w:position w:val="0"/>
          <w:sz w:val="22"/>
          <w:szCs w:val="22"/>
        </w:rPr>
        <w:t>四</w:t>
      </w:r>
      <w:bookmarkEnd w:id="307"/>
      <w:r>
        <w:rPr>
          <w:b/>
          <w:bCs/>
          <w:color w:val="000000"/>
          <w:spacing w:val="0"/>
          <w:w w:val="100"/>
          <w:position w:val="0"/>
          <w:sz w:val="22"/>
          <w:szCs w:val="22"/>
        </w:rPr>
        <w:t>、控股股东及其关联方对上市公司的非经营性占用资金情况</w:t>
        <w:tab/>
      </w: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308"/>
    </w:p>
    <w:p>
      <w:pPr>
        <w:pStyle w:val="Style33"/>
        <w:keepNext w:val="0"/>
        <w:keepLines w:val="0"/>
        <w:widowControl w:val="0"/>
        <w:shd w:val="clear" w:color="auto" w:fill="auto"/>
        <w:bidi w:val="0"/>
        <w:spacing w:before="0" w:after="300" w:line="315" w:lineRule="exact"/>
        <w:ind w:left="0" w:right="0" w:firstLine="480"/>
        <w:jc w:val="left"/>
      </w:pPr>
      <w:bookmarkStart w:id="309" w:name="bookmark309"/>
      <w:r>
        <w:rPr>
          <w:color w:val="000000"/>
          <w:spacing w:val="0"/>
          <w:w w:val="100"/>
          <w:position w:val="0"/>
        </w:rPr>
        <w:t>公司报告期不存在控股股东及其关联方对上市公司的非经营性占用资金。</w:t>
      </w:r>
      <w:bookmarkEnd w:id="309"/>
    </w:p>
    <w:p>
      <w:pPr>
        <w:pStyle w:val="Style20"/>
        <w:keepNext w:val="0"/>
        <w:keepLines w:val="0"/>
        <w:widowControl w:val="0"/>
        <w:shd w:val="clear" w:color="auto" w:fill="auto"/>
        <w:bidi w:val="0"/>
        <w:spacing w:before="0" w:after="300" w:line="240" w:lineRule="auto"/>
        <w:ind w:left="13840" w:right="0" w:firstLine="0"/>
        <w:jc w:val="left"/>
        <w:rPr>
          <w:sz w:val="18"/>
          <w:szCs w:val="18"/>
        </w:rPr>
        <w:sectPr>
          <w:headerReference w:type="default" r:id="rId21"/>
          <w:footerReference w:type="default" r:id="rId22"/>
          <w:footnotePr>
            <w:pos w:val="pageBottom"/>
            <w:numFmt w:val="decimal"/>
            <w:numRestart w:val="continuous"/>
          </w:footnotePr>
          <w:pgSz w:w="16840" w:h="11900" w:orient="landscape"/>
          <w:pgMar w:top="1100" w:right="178" w:bottom="960" w:left="1378" w:header="0" w:footer="532" w:gutter="0"/>
          <w:cols w:space="720"/>
          <w:noEndnote/>
          <w:rtlGutter w:val="0"/>
          <w:docGrid w:linePitch="360"/>
        </w:sectPr>
      </w:pPr>
      <w:bookmarkStart w:id="310" w:name="bookmark310"/>
      <w:r>
        <w:rPr>
          <w:rFonts w:ascii="Times New Roman" w:eastAsia="Times New Roman" w:hAnsi="Times New Roman" w:cs="Times New Roman"/>
          <w:color w:val="000000"/>
          <w:spacing w:val="0"/>
          <w:w w:val="100"/>
          <w:position w:val="0"/>
          <w:sz w:val="18"/>
          <w:szCs w:val="18"/>
        </w:rPr>
        <w:t>40</w:t>
      </w:r>
      <w:bookmarkEnd w:id="310"/>
    </w:p>
    <w:tbl>
      <w:tblPr>
        <w:tblOverlap w:val="never"/>
        <w:jc w:val="left"/>
        <w:tblLayout w:type="fixed"/>
      </w:tblPr>
      <w:tblGrid>
        <w:gridCol w:w="11016"/>
        <w:gridCol w:w="3067"/>
      </w:tblGrid>
      <w:tr>
        <w:trPr>
          <w:trHeight w:val="451" w:hRule="exact"/>
        </w:trPr>
        <w:tc>
          <w:tcPr>
            <w:tcBorders>
              <w:top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2"/>
                <w:szCs w:val="22"/>
              </w:rPr>
            </w:pPr>
            <w:bookmarkStart w:id="311" w:name="bookmark311"/>
            <w:r>
              <w:rPr>
                <w:b/>
                <w:bCs/>
                <w:color w:val="000000"/>
                <w:spacing w:val="0"/>
                <w:w w:val="100"/>
                <w:position w:val="0"/>
                <w:sz w:val="22"/>
                <w:szCs w:val="22"/>
              </w:rPr>
              <w:t>五、董事会、监事会、独立董事（如有）对会计师事务所本报告期</w:t>
            </w:r>
            <w:r>
              <w:rPr>
                <w:rFonts w:ascii="Times New Roman" w:eastAsia="Times New Roman" w:hAnsi="Times New Roman" w:cs="Times New Roman"/>
                <w:b/>
                <w:bCs/>
                <w:color w:val="000000"/>
                <w:spacing w:val="0"/>
                <w:w w:val="100"/>
                <w:position w:val="0"/>
                <w:sz w:val="24"/>
                <w:szCs w:val="24"/>
              </w:rPr>
              <w:t>“</w:t>
            </w:r>
            <w:r>
              <w:rPr>
                <w:b/>
                <w:bCs/>
                <w:color w:val="000000"/>
                <w:spacing w:val="0"/>
                <w:w w:val="100"/>
                <w:position w:val="0"/>
                <w:sz w:val="22"/>
                <w:szCs w:val="22"/>
              </w:rPr>
              <w:t>非标准审计报告</w:t>
            </w:r>
            <w:r>
              <w:rPr>
                <w:rFonts w:ascii="Times New Roman" w:eastAsia="Times New Roman" w:hAnsi="Times New Roman" w:cs="Times New Roman"/>
                <w:b/>
                <w:bCs/>
                <w:color w:val="000000"/>
                <w:spacing w:val="0"/>
                <w:w w:val="100"/>
                <w:position w:val="0"/>
                <w:sz w:val="24"/>
                <w:szCs w:val="24"/>
              </w:rPr>
              <w:t>”</w:t>
            </w:r>
            <w:r>
              <w:rPr>
                <w:b/>
                <w:bCs/>
                <w:color w:val="000000"/>
                <w:spacing w:val="0"/>
                <w:w w:val="100"/>
                <w:position w:val="0"/>
                <w:sz w:val="22"/>
                <w:szCs w:val="22"/>
              </w:rPr>
              <w:t>的说明</w:t>
            </w:r>
            <w:bookmarkEnd w:id="311"/>
          </w:p>
        </w:tc>
        <w:tc>
          <w:tcPr>
            <w:tcBorders>
              <w:top w:val="single" w:sz="4"/>
            </w:tcBorders>
            <w:shd w:val="clear" w:color="auto" w:fill="FFFFFF"/>
            <w:vAlign w:val="top"/>
          </w:tcPr>
          <w:p>
            <w:pPr>
              <w:pStyle w:val="Style20"/>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tc>
      </w:tr>
      <w:tr>
        <w:trPr>
          <w:trHeight w:val="64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2"/>
                <w:szCs w:val="22"/>
              </w:rPr>
            </w:pPr>
            <w:bookmarkStart w:id="312" w:name="bookmark312"/>
            <w:r>
              <w:rPr>
                <w:b/>
                <w:bCs/>
                <w:color w:val="000000"/>
                <w:spacing w:val="0"/>
                <w:w w:val="100"/>
                <w:position w:val="0"/>
                <w:sz w:val="22"/>
                <w:szCs w:val="22"/>
              </w:rPr>
              <w:t>六、与上年度财务报告相比，会计政策、会计估计和核算方法发生变化的情况说明</w:t>
            </w:r>
            <w:bookmarkEnd w:id="312"/>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tc>
      </w:tr>
    </w:tbl>
    <w:p>
      <w:pPr>
        <w:pStyle w:val="Style26"/>
        <w:keepNext w:val="0"/>
        <w:keepLines w:val="0"/>
        <w:widowControl w:val="0"/>
        <w:shd w:val="clear" w:color="auto" w:fill="auto"/>
        <w:bidi w:val="0"/>
        <w:spacing w:before="0" w:after="0" w:line="240" w:lineRule="auto"/>
        <w:ind w:left="466" w:right="0" w:firstLine="0"/>
        <w:jc w:val="left"/>
      </w:pPr>
      <w:r>
        <w:rPr>
          <w:color w:val="000000"/>
          <w:spacing w:val="0"/>
          <w:w w:val="100"/>
          <w:position w:val="0"/>
        </w:rPr>
        <w:t>公司报告期无会计政策、会计估计和核算方法发生变化的情况。</w:t>
      </w:r>
    </w:p>
    <w:p>
      <w:pPr>
        <w:widowControl w:val="0"/>
        <w:spacing w:after="119" w:line="1" w:lineRule="exact"/>
      </w:pPr>
    </w:p>
    <w:tbl>
      <w:tblPr>
        <w:tblOverlap w:val="never"/>
        <w:jc w:val="left"/>
        <w:tblLayout w:type="fixed"/>
      </w:tblPr>
      <w:tblGrid>
        <w:gridCol w:w="11016"/>
        <w:gridCol w:w="3067"/>
      </w:tblGrid>
      <w:tr>
        <w:trPr>
          <w:trHeight w:val="682"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2"/>
                <w:szCs w:val="22"/>
              </w:rPr>
            </w:pPr>
            <w:bookmarkStart w:id="313" w:name="bookmark313"/>
            <w:r>
              <w:rPr>
                <w:b/>
                <w:bCs/>
                <w:color w:val="000000"/>
                <w:spacing w:val="0"/>
                <w:w w:val="100"/>
                <w:position w:val="0"/>
                <w:sz w:val="22"/>
                <w:szCs w:val="22"/>
              </w:rPr>
              <w:t>七、报告期内发生重大会计差错更正需追溯重述的情况说明</w:t>
            </w:r>
            <w:bookmarkEnd w:id="313"/>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tc>
      </w:tr>
    </w:tbl>
    <w:p>
      <w:pPr>
        <w:pStyle w:val="Style26"/>
        <w:keepNext w:val="0"/>
        <w:keepLines w:val="0"/>
        <w:widowControl w:val="0"/>
        <w:shd w:val="clear" w:color="auto" w:fill="auto"/>
        <w:bidi w:val="0"/>
        <w:spacing w:before="0" w:after="0" w:line="240" w:lineRule="auto"/>
        <w:ind w:left="466" w:right="0" w:firstLine="0"/>
        <w:jc w:val="left"/>
      </w:pPr>
      <w:r>
        <w:rPr>
          <w:color w:val="000000"/>
          <w:spacing w:val="0"/>
          <w:w w:val="100"/>
          <w:position w:val="0"/>
        </w:rPr>
        <w:t>公司报告期无重大会计差错更正需追溯重述的情况。</w:t>
      </w:r>
    </w:p>
    <w:p>
      <w:pPr>
        <w:widowControl w:val="0"/>
        <w:spacing w:after="7299" w:line="1" w:lineRule="exact"/>
      </w:pPr>
    </w:p>
    <w:p>
      <w:pPr>
        <w:pStyle w:val="Style20"/>
        <w:keepNext w:val="0"/>
        <w:keepLines w:val="0"/>
        <w:widowControl w:val="0"/>
        <w:shd w:val="clear" w:color="auto" w:fill="auto"/>
        <w:bidi w:val="0"/>
        <w:spacing w:before="0" w:after="120" w:line="240" w:lineRule="auto"/>
        <w:ind w:left="14280" w:right="0" w:firstLine="0"/>
        <w:jc w:val="left"/>
      </w:pPr>
      <w:r>
        <w:rPr>
          <w:rFonts w:ascii="Arial" w:eastAsia="Arial" w:hAnsi="Arial" w:cs="Arial"/>
          <w:b/>
          <w:bCs/>
          <w:color w:val="DBDBDB"/>
          <w:spacing w:val="0"/>
          <w:w w:val="100"/>
          <w:position w:val="0"/>
          <w:sz w:val="20"/>
          <w:szCs w:val="20"/>
        </w:rPr>
        <w:t>cninf$</w:t>
      </w:r>
    </w:p>
    <w:p>
      <w:pPr>
        <w:pStyle w:val="Style20"/>
        <w:keepNext w:val="0"/>
        <w:keepLines w:val="0"/>
        <w:widowControl w:val="0"/>
        <w:shd w:val="clear" w:color="auto" w:fill="auto"/>
        <w:bidi w:val="0"/>
        <w:spacing w:before="0" w:after="0" w:line="240" w:lineRule="auto"/>
        <w:ind w:left="14280" w:right="0" w:firstLine="0"/>
        <w:jc w:val="left"/>
        <w:rPr>
          <w:sz w:val="9"/>
          <w:szCs w:val="9"/>
        </w:rPr>
        <w:sectPr>
          <w:headerReference w:type="default" r:id="rId23"/>
          <w:footerReference w:type="default" r:id="rId24"/>
          <w:footnotePr>
            <w:pos w:val="pageBottom"/>
            <w:numFmt w:val="decimal"/>
            <w:numRestart w:val="continuous"/>
          </w:footnotePr>
          <w:pgSz w:w="16840" w:h="11900" w:orient="landscape"/>
          <w:pgMar w:top="1140" w:right="178" w:bottom="172" w:left="1378" w:header="0" w:footer="3" w:gutter="0"/>
          <w:cols w:space="720"/>
          <w:noEndnote/>
          <w:rtlGutter w:val="0"/>
          <w:docGrid w:linePitch="360"/>
        </w:sectPr>
      </w:pPr>
      <w:r>
        <w:rPr>
          <w:rFonts w:ascii="Arial" w:eastAsia="Arial" w:hAnsi="Arial" w:cs="Arial"/>
          <w:b/>
          <w:bCs/>
          <w:color w:val="DBDBDB"/>
          <w:spacing w:val="0"/>
          <w:w w:val="100"/>
          <w:position w:val="0"/>
          <w:sz w:val="9"/>
          <w:szCs w:val="9"/>
        </w:rPr>
        <w:t>wwwicninfo.cxxn.cn</w:t>
      </w:r>
    </w:p>
    <w:p>
      <w:pPr>
        <w:pStyle w:val="Style23"/>
        <w:keepNext/>
        <w:keepLines/>
        <w:widowControl w:val="0"/>
        <w:shd w:val="clear" w:color="auto" w:fill="auto"/>
        <w:tabs>
          <w:tab w:pos="7938" w:val="left"/>
        </w:tabs>
        <w:bidi w:val="0"/>
        <w:spacing w:before="0" w:after="260" w:line="240" w:lineRule="auto"/>
        <w:ind w:left="0" w:right="0" w:firstLine="0"/>
        <w:jc w:val="both"/>
      </w:pPr>
      <w:bookmarkStart w:id="314" w:name="bookmark314"/>
      <w:bookmarkStart w:id="315" w:name="bookmark315"/>
      <w:bookmarkStart w:id="316" w:name="bookmark316"/>
      <w:bookmarkStart w:id="317" w:name="bookmark317"/>
      <w:r>
        <w:rPr>
          <w:b/>
          <w:bCs/>
          <w:color w:val="000000"/>
          <w:spacing w:val="0"/>
          <w:w w:val="100"/>
          <w:position w:val="0"/>
          <w:sz w:val="22"/>
          <w:szCs w:val="22"/>
        </w:rPr>
        <w:t>八</w:t>
      </w:r>
      <w:bookmarkEnd w:id="316"/>
      <w:r>
        <w:rPr>
          <w:b/>
          <w:bCs/>
          <w:color w:val="000000"/>
          <w:spacing w:val="0"/>
          <w:w w:val="100"/>
          <w:position w:val="0"/>
          <w:sz w:val="22"/>
          <w:szCs w:val="22"/>
        </w:rPr>
        <w:t>、与上年度财务报告相比，合并报表范围发生变化的情况说明</w:t>
        <w:tab/>
      </w: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314"/>
      <w:bookmarkEnd w:id="315"/>
      <w:bookmarkEnd w:id="317"/>
    </w:p>
    <w:p>
      <w:pPr>
        <w:pStyle w:val="Style33"/>
        <w:keepNext w:val="0"/>
        <w:keepLines w:val="0"/>
        <w:widowControl w:val="0"/>
        <w:shd w:val="clear" w:color="auto" w:fill="auto"/>
        <w:bidi w:val="0"/>
        <w:spacing w:before="0" w:after="60" w:line="322" w:lineRule="exact"/>
        <w:ind w:left="0" w:right="0" w:firstLine="440"/>
        <w:jc w:val="left"/>
      </w:pPr>
      <w:bookmarkStart w:id="318" w:name="bookmark318"/>
      <w:r>
        <w:rPr>
          <w:color w:val="000000"/>
          <w:spacing w:val="0"/>
          <w:w w:val="100"/>
          <w:position w:val="0"/>
        </w:rPr>
        <w:t>报告期内，公司实施发行股份及支付现金购买国盛证券</w:t>
      </w:r>
      <w:r>
        <w:rPr>
          <w:rFonts w:ascii="Times New Roman" w:eastAsia="Times New Roman" w:hAnsi="Times New Roman" w:cs="Times New Roman"/>
          <w:color w:val="000000"/>
          <w:spacing w:val="0"/>
          <w:w w:val="100"/>
          <w:position w:val="0"/>
        </w:rPr>
        <w:t>100%</w:t>
      </w:r>
      <w:r>
        <w:rPr>
          <w:color w:val="000000"/>
          <w:spacing w:val="0"/>
          <w:w w:val="100"/>
          <w:position w:val="0"/>
        </w:rPr>
        <w:t>股权方案。本次交易完成后，国盛证券及 其下属国盛期货、国盛资管、上海全钰纳入合并报表范围。</w:t>
      </w:r>
      <w:bookmarkEnd w:id="318"/>
    </w:p>
    <w:p>
      <w:pPr>
        <w:pStyle w:val="Style33"/>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报告期内，公司新设全资子公司前海科技，该企业自设立日起纳入合并报表范围。</w:t>
      </w:r>
    </w:p>
    <w:p>
      <w:pPr>
        <w:pStyle w:val="Style23"/>
        <w:keepNext/>
        <w:keepLines/>
        <w:widowControl w:val="0"/>
        <w:shd w:val="clear" w:color="auto" w:fill="auto"/>
        <w:bidi w:val="0"/>
        <w:spacing w:before="0" w:after="380" w:line="240" w:lineRule="auto"/>
        <w:ind w:left="0" w:right="0" w:firstLine="0"/>
        <w:jc w:val="both"/>
        <w:rPr>
          <w:sz w:val="22"/>
          <w:szCs w:val="22"/>
        </w:rPr>
      </w:pPr>
      <w:bookmarkStart w:id="319" w:name="bookmark319"/>
      <w:bookmarkStart w:id="320" w:name="bookmark320"/>
      <w:bookmarkStart w:id="321" w:name="bookmark321"/>
      <w:bookmarkStart w:id="322" w:name="bookmark322"/>
      <w:r>
        <w:rPr>
          <w:b/>
          <w:bCs/>
          <w:color w:val="000000"/>
          <w:spacing w:val="0"/>
          <w:w w:val="100"/>
          <w:position w:val="0"/>
          <w:sz w:val="22"/>
          <w:szCs w:val="22"/>
        </w:rPr>
        <w:t>九</w:t>
      </w:r>
      <w:bookmarkEnd w:id="321"/>
      <w:r>
        <w:rPr>
          <w:b/>
          <w:bCs/>
          <w:color w:val="000000"/>
          <w:spacing w:val="0"/>
          <w:w w:val="100"/>
          <w:position w:val="0"/>
          <w:sz w:val="22"/>
          <w:szCs w:val="22"/>
        </w:rPr>
        <w:t>、聘任、解聘会计师事务所情况</w:t>
      </w:r>
      <w:bookmarkEnd w:id="319"/>
      <w:bookmarkEnd w:id="320"/>
      <w:bookmarkEnd w:id="322"/>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541"/>
        <w:gridCol w:w="504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杨志平、潘留焱</w:t>
            </w:r>
          </w:p>
        </w:tc>
      </w:tr>
    </w:tbl>
    <w:p>
      <w:pPr>
        <w:pStyle w:val="Style26"/>
        <w:keepNext w:val="0"/>
        <w:keepLines w:val="0"/>
        <w:widowControl w:val="0"/>
        <w:shd w:val="clear" w:color="auto" w:fill="auto"/>
        <w:tabs>
          <w:tab w:pos="8597" w:val="left"/>
        </w:tabs>
        <w:bidi w:val="0"/>
        <w:spacing w:before="0" w:after="100" w:line="240" w:lineRule="auto"/>
        <w:ind w:left="0" w:right="0" w:firstLine="0"/>
        <w:jc w:val="center"/>
      </w:pPr>
      <w:r>
        <w:rPr>
          <w:color w:val="000000"/>
          <w:spacing w:val="0"/>
          <w:w w:val="100"/>
          <w:position w:val="0"/>
        </w:rPr>
        <w:t>当期是否改聘会计师事务所</w:t>
        <w:tab/>
      </w: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q</w:t>
      </w:r>
      <w:r>
        <w:rPr>
          <w:color w:val="000000"/>
          <w:spacing w:val="0"/>
          <w:w w:val="100"/>
          <w:position w:val="0"/>
        </w:rPr>
        <w:t>否</w:t>
      </w:r>
    </w:p>
    <w:p>
      <w:pPr>
        <w:pStyle w:val="Style26"/>
        <w:keepNext w:val="0"/>
        <w:keepLines w:val="0"/>
        <w:widowControl w:val="0"/>
        <w:shd w:val="clear" w:color="auto" w:fill="auto"/>
        <w:tabs>
          <w:tab w:pos="7982" w:val="left"/>
        </w:tabs>
        <w:bidi w:val="0"/>
        <w:spacing w:before="0" w:after="0" w:line="240" w:lineRule="auto"/>
        <w:ind w:left="0" w:right="0" w:firstLine="0"/>
        <w:jc w:val="center"/>
      </w:pPr>
      <w:r>
        <w:rPr>
          <w:color w:val="000000"/>
          <w:spacing w:val="0"/>
          <w:w w:val="100"/>
          <w:position w:val="0"/>
        </w:rPr>
        <w:t>聘请内部控制审计会计师事务所、财务顾问或保荐人情况</w:t>
        <w:tab/>
      </w: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3"/>
        <w:keepNext/>
        <w:keepLines/>
        <w:widowControl w:val="0"/>
        <w:shd w:val="clear" w:color="auto" w:fill="auto"/>
        <w:tabs>
          <w:tab w:pos="7938" w:val="left"/>
        </w:tabs>
        <w:bidi w:val="0"/>
        <w:spacing w:before="0" w:after="0" w:line="605" w:lineRule="exact"/>
        <w:ind w:left="0" w:right="0" w:firstLine="0"/>
        <w:jc w:val="both"/>
      </w:pPr>
      <w:bookmarkStart w:id="323" w:name="bookmark323"/>
      <w:bookmarkStart w:id="324" w:name="bookmark324"/>
      <w:bookmarkStart w:id="325" w:name="bookmark325"/>
      <w:r>
        <w:rPr>
          <w:b/>
          <w:bCs/>
          <w:color w:val="000000"/>
          <w:spacing w:val="0"/>
          <w:w w:val="100"/>
          <w:position w:val="0"/>
          <w:sz w:val="22"/>
          <w:szCs w:val="22"/>
        </w:rPr>
        <w:t>十、年度报告披露后面临暂停上市和终止上市情况</w:t>
        <w:tab/>
      </w: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323"/>
      <w:bookmarkEnd w:id="324"/>
      <w:bookmarkEnd w:id="325"/>
    </w:p>
    <w:p>
      <w:pPr>
        <w:pStyle w:val="Style23"/>
        <w:keepNext/>
        <w:keepLines/>
        <w:widowControl w:val="0"/>
        <w:shd w:val="clear" w:color="auto" w:fill="auto"/>
        <w:tabs>
          <w:tab w:pos="7938" w:val="left"/>
        </w:tabs>
        <w:bidi w:val="0"/>
        <w:spacing w:before="0" w:after="0" w:line="605" w:lineRule="exact"/>
        <w:ind w:left="0" w:right="0" w:firstLine="0"/>
        <w:jc w:val="both"/>
      </w:pPr>
      <w:bookmarkStart w:id="323" w:name="bookmark323"/>
      <w:bookmarkStart w:id="324" w:name="bookmark324"/>
      <w:bookmarkStart w:id="326" w:name="bookmark326"/>
      <w:bookmarkStart w:id="327" w:name="bookmark327"/>
      <w:r>
        <w:rPr>
          <w:b/>
          <w:bCs/>
          <w:color w:val="000000"/>
          <w:spacing w:val="0"/>
          <w:w w:val="100"/>
          <w:position w:val="0"/>
          <w:sz w:val="22"/>
          <w:szCs w:val="22"/>
        </w:rPr>
        <w:t>十一、破产重整相关事项</w:t>
        <w:tab/>
      </w: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323"/>
      <w:bookmarkEnd w:id="324"/>
      <w:bookmarkEnd w:id="326"/>
      <w:bookmarkEnd w:id="327"/>
    </w:p>
    <w:p>
      <w:pPr>
        <w:pStyle w:val="Style33"/>
        <w:keepNext w:val="0"/>
        <w:keepLines w:val="0"/>
        <w:widowControl w:val="0"/>
        <w:shd w:val="clear" w:color="auto" w:fill="auto"/>
        <w:bidi w:val="0"/>
        <w:spacing w:before="0" w:after="0" w:line="605" w:lineRule="exact"/>
        <w:ind w:left="0" w:right="0" w:firstLine="440"/>
        <w:jc w:val="left"/>
      </w:pPr>
      <w:bookmarkStart w:id="328" w:name="bookmark328"/>
      <w:r>
        <w:rPr>
          <w:color w:val="000000"/>
          <w:spacing w:val="0"/>
          <w:w w:val="100"/>
          <w:position w:val="0"/>
        </w:rPr>
        <w:t>公司报告期未发生破产重整相关事项。</w:t>
      </w:r>
      <w:bookmarkEnd w:id="328"/>
    </w:p>
    <w:p>
      <w:pPr>
        <w:pStyle w:val="Style23"/>
        <w:keepNext/>
        <w:keepLines/>
        <w:widowControl w:val="0"/>
        <w:shd w:val="clear" w:color="auto" w:fill="auto"/>
        <w:bidi w:val="0"/>
        <w:spacing w:before="0" w:after="260" w:line="605" w:lineRule="exact"/>
        <w:ind w:left="0" w:right="0" w:firstLine="0"/>
        <w:jc w:val="left"/>
        <w:rPr>
          <w:sz w:val="22"/>
          <w:szCs w:val="22"/>
        </w:rPr>
      </w:pPr>
      <w:bookmarkStart w:id="329" w:name="bookmark329"/>
      <w:bookmarkStart w:id="330" w:name="bookmark330"/>
      <w:bookmarkStart w:id="331" w:name="bookmark331"/>
      <w:bookmarkStart w:id="332" w:name="bookmark332"/>
      <w:r>
        <w:rPr>
          <w:b/>
          <w:bCs/>
          <w:color w:val="000000"/>
          <w:spacing w:val="0"/>
          <w:w w:val="100"/>
          <w:position w:val="0"/>
          <w:sz w:val="22"/>
          <w:szCs w:val="22"/>
        </w:rPr>
        <w:t>十二、重大诉讼、仲裁事项</w:t>
      </w:r>
      <w:bookmarkEnd w:id="329"/>
      <w:bookmarkEnd w:id="330"/>
      <w:bookmarkEnd w:id="331"/>
      <w:bookmarkEnd w:id="332"/>
    </w:p>
    <w:p>
      <w:pPr>
        <w:pStyle w:val="Style33"/>
        <w:keepNext w:val="0"/>
        <w:keepLines w:val="0"/>
        <w:widowControl w:val="0"/>
        <w:shd w:val="clear" w:color="auto" w:fill="auto"/>
        <w:bidi w:val="0"/>
        <w:spacing w:before="0" w:after="0" w:line="322" w:lineRule="exact"/>
        <w:ind w:left="0" w:right="0" w:firstLine="440"/>
        <w:jc w:val="both"/>
      </w:pPr>
      <w:bookmarkStart w:id="333" w:name="bookmark333"/>
      <w:r>
        <w:rPr>
          <w:color w:val="000000"/>
          <w:spacing w:val="0"/>
          <w:w w:val="100"/>
          <w:position w:val="0"/>
        </w:rPr>
        <w:t>本报告期公司无重大诉讼、仲裁事项。公司未达到披露标准的诉讼事项涉及金额合计</w:t>
      </w:r>
      <w:r>
        <w:rPr>
          <w:rFonts w:ascii="Times New Roman" w:eastAsia="Times New Roman" w:hAnsi="Times New Roman" w:cs="Times New Roman"/>
          <w:color w:val="000000"/>
          <w:spacing w:val="0"/>
          <w:w w:val="100"/>
          <w:position w:val="0"/>
        </w:rPr>
        <w:t>35,168.20</w:t>
      </w:r>
      <w:r>
        <w:rPr>
          <w:color w:val="000000"/>
          <w:spacing w:val="0"/>
          <w:w w:val="100"/>
          <w:position w:val="0"/>
        </w:rPr>
        <w:t>万元, 均未形成预计负债。</w:t>
      </w:r>
      <w:bookmarkEnd w:id="333"/>
    </w:p>
    <w:p>
      <w:pPr>
        <w:pStyle w:val="Style33"/>
        <w:keepNext w:val="0"/>
        <w:keepLines w:val="0"/>
        <w:widowControl w:val="0"/>
        <w:shd w:val="clear" w:color="auto" w:fill="auto"/>
        <w:tabs>
          <w:tab w:pos="7938" w:val="left"/>
        </w:tabs>
        <w:bidi w:val="0"/>
        <w:spacing w:before="0" w:after="0" w:line="605" w:lineRule="exact"/>
        <w:ind w:left="0" w:right="0" w:firstLine="0"/>
        <w:jc w:val="both"/>
      </w:pPr>
      <w:bookmarkStart w:id="334" w:name="bookmark334"/>
      <w:r>
        <w:rPr>
          <w:b/>
          <w:bCs/>
          <w:color w:val="000000"/>
          <w:spacing w:val="0"/>
          <w:w w:val="100"/>
          <w:position w:val="0"/>
          <w:sz w:val="22"/>
          <w:szCs w:val="22"/>
        </w:rPr>
        <w:t>十三、处罚及整改情况</w:t>
        <w:tab/>
      </w: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334"/>
    </w:p>
    <w:p>
      <w:pPr>
        <w:pStyle w:val="Style33"/>
        <w:keepNext w:val="0"/>
        <w:keepLines w:val="0"/>
        <w:widowControl w:val="0"/>
        <w:shd w:val="clear" w:color="auto" w:fill="auto"/>
        <w:bidi w:val="0"/>
        <w:spacing w:before="0" w:after="0" w:line="605" w:lineRule="exact"/>
        <w:ind w:left="0" w:right="0" w:firstLine="440"/>
        <w:jc w:val="left"/>
      </w:pPr>
      <w:bookmarkStart w:id="335" w:name="bookmark335"/>
      <w:r>
        <w:rPr>
          <w:color w:val="000000"/>
          <w:spacing w:val="0"/>
          <w:w w:val="100"/>
          <w:position w:val="0"/>
        </w:rPr>
        <w:t>公司报告期不存在处罚及整改情况。</w:t>
      </w:r>
      <w:bookmarkEnd w:id="335"/>
    </w:p>
    <w:p>
      <w:pPr>
        <w:pStyle w:val="Style23"/>
        <w:keepNext/>
        <w:keepLines/>
        <w:widowControl w:val="0"/>
        <w:shd w:val="clear" w:color="auto" w:fill="auto"/>
        <w:tabs>
          <w:tab w:pos="7938" w:val="left"/>
        </w:tabs>
        <w:bidi w:val="0"/>
        <w:spacing w:before="0" w:after="0" w:line="605" w:lineRule="exact"/>
        <w:ind w:left="0" w:right="0" w:firstLine="0"/>
        <w:jc w:val="both"/>
      </w:pPr>
      <w:bookmarkStart w:id="336" w:name="bookmark336"/>
      <w:bookmarkStart w:id="337" w:name="bookmark337"/>
      <w:bookmarkStart w:id="338" w:name="bookmark338"/>
      <w:bookmarkStart w:id="339" w:name="bookmark339"/>
      <w:r>
        <w:rPr>
          <w:b/>
          <w:bCs/>
          <w:color w:val="000000"/>
          <w:spacing w:val="0"/>
          <w:w w:val="100"/>
          <w:position w:val="0"/>
          <w:sz w:val="22"/>
          <w:szCs w:val="22"/>
        </w:rPr>
        <w:t>十四、公司及其控股股东、实际控制人的诚信状况</w:t>
        <w:tab/>
      </w: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336"/>
      <w:bookmarkEnd w:id="337"/>
      <w:bookmarkEnd w:id="338"/>
      <w:bookmarkEnd w:id="339"/>
    </w:p>
    <w:p>
      <w:pPr>
        <w:pStyle w:val="Style33"/>
        <w:keepNext w:val="0"/>
        <w:keepLines w:val="0"/>
        <w:widowControl w:val="0"/>
        <w:shd w:val="clear" w:color="auto" w:fill="auto"/>
        <w:bidi w:val="0"/>
        <w:spacing w:before="0" w:after="40" w:line="605" w:lineRule="exact"/>
        <w:ind w:left="440" w:right="0" w:hanging="440"/>
        <w:jc w:val="both"/>
        <w:sectPr>
          <w:headerReference w:type="default" r:id="rId25"/>
          <w:footerReference w:type="default" r:id="rId26"/>
          <w:footnotePr>
            <w:pos w:val="pageBottom"/>
            <w:numFmt w:val="decimal"/>
            <w:numRestart w:val="continuous"/>
          </w:footnotePr>
          <w:pgSz w:w="11900" w:h="16840"/>
          <w:pgMar w:top="1714" w:right="1004" w:bottom="1714" w:left="1109" w:header="0" w:footer="3" w:gutter="0"/>
          <w:cols w:space="720"/>
          <w:noEndnote/>
          <w:rtlGutter w:val="0"/>
          <w:docGrid w:linePitch="360"/>
        </w:sectPr>
      </w:pPr>
      <w:bookmarkStart w:id="340" w:name="bookmark340"/>
      <w:bookmarkStart w:id="341" w:name="bookmark341"/>
      <w:r>
        <w:rPr>
          <w:b/>
          <w:bCs/>
          <w:color w:val="000000"/>
          <w:spacing w:val="0"/>
          <w:w w:val="100"/>
          <w:position w:val="0"/>
          <w:sz w:val="22"/>
          <w:szCs w:val="22"/>
        </w:rPr>
        <w:t>十五、公司股权激励计划、员工持股计划或其他员工激励措施的实施情况</w:t>
      </w: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 公司报告期无股权激励计划、员工持股计划或其他员工激励措施及其实施情况。</w:t>
      </w:r>
      <w:bookmarkEnd w:id="340"/>
      <w:bookmarkEnd w:id="341"/>
    </w:p>
    <w:p>
      <w:pPr>
        <w:pStyle w:val="Style23"/>
        <w:keepNext/>
        <w:keepLines/>
        <w:widowControl w:val="0"/>
        <w:shd w:val="clear" w:color="auto" w:fill="auto"/>
        <w:bidi w:val="0"/>
        <w:spacing w:before="0" w:after="320" w:line="240" w:lineRule="auto"/>
        <w:ind w:left="0" w:right="0" w:firstLine="0"/>
        <w:jc w:val="left"/>
        <w:rPr>
          <w:sz w:val="22"/>
          <w:szCs w:val="22"/>
        </w:rPr>
      </w:pPr>
      <w:bookmarkStart w:id="342" w:name="bookmark342"/>
      <w:bookmarkStart w:id="343" w:name="bookmark343"/>
      <w:bookmarkStart w:id="344" w:name="bookmark344"/>
      <w:r>
        <w:rPr>
          <w:b/>
          <w:bCs/>
          <w:color w:val="000000"/>
          <w:spacing w:val="0"/>
          <w:w w:val="100"/>
          <w:position w:val="0"/>
          <w:sz w:val="22"/>
          <w:szCs w:val="22"/>
        </w:rPr>
        <w:t>十六、重大关联交易</w:t>
      </w:r>
      <w:bookmarkEnd w:id="342"/>
      <w:bookmarkEnd w:id="343"/>
      <w:bookmarkEnd w:id="344"/>
    </w:p>
    <w:tbl>
      <w:tblPr>
        <w:tblOverlap w:val="never"/>
        <w:jc w:val="left"/>
        <w:tblLayout w:type="fixed"/>
      </w:tblPr>
      <w:tblGrid>
        <w:gridCol w:w="715"/>
        <w:gridCol w:w="854"/>
        <w:gridCol w:w="989"/>
        <w:gridCol w:w="2126"/>
        <w:gridCol w:w="994"/>
        <w:gridCol w:w="710"/>
        <w:gridCol w:w="989"/>
        <w:gridCol w:w="710"/>
        <w:gridCol w:w="850"/>
        <w:gridCol w:w="850"/>
        <w:gridCol w:w="710"/>
        <w:gridCol w:w="994"/>
        <w:gridCol w:w="989"/>
        <w:gridCol w:w="994"/>
        <w:gridCol w:w="576"/>
      </w:tblGrid>
      <w:tr>
        <w:trPr>
          <w:trHeight w:val="1344" w:hRule="exact"/>
        </w:trPr>
        <w:tc>
          <w:tcPr>
            <w:tcBorders>
              <w:top w:val="single" w:sz="4"/>
              <w:left w:val="single" w:sz="4"/>
            </w:tcBorders>
            <w:shd w:val="clear" w:color="auto" w:fill="D3D3D3"/>
            <w:vAlign w:val="center"/>
          </w:tcPr>
          <w:p>
            <w:pPr>
              <w:pStyle w:val="Style20"/>
              <w:keepNext w:val="0"/>
              <w:keepLines w:val="0"/>
              <w:framePr w:w="14050" w:h="8136" w:hSpace="5" w:vSpace="600" w:wrap="notBeside" w:vAnchor="text" w:hAnchor="text" w:x="32" w:y="601"/>
              <w:widowControl w:val="0"/>
              <w:shd w:val="clear" w:color="auto" w:fill="auto"/>
              <w:bidi w:val="0"/>
              <w:spacing w:before="0" w:after="0" w:line="317" w:lineRule="exact"/>
              <w:ind w:left="0" w:right="0" w:firstLine="0"/>
              <w:jc w:val="center"/>
            </w:pPr>
            <w:r>
              <w:rPr>
                <w:color w:val="000000"/>
                <w:spacing w:val="0"/>
                <w:w w:val="100"/>
                <w:position w:val="0"/>
              </w:rPr>
              <w:t>关联交 易方</w:t>
            </w:r>
          </w:p>
        </w:tc>
        <w:tc>
          <w:tcPr>
            <w:tcBorders>
              <w:top w:val="single" w:sz="4"/>
              <w:left w:val="single" w:sz="4"/>
            </w:tcBorders>
            <w:shd w:val="clear" w:color="auto" w:fill="D3D3D3"/>
            <w:vAlign w:val="center"/>
          </w:tcPr>
          <w:p>
            <w:pPr>
              <w:pStyle w:val="Style20"/>
              <w:keepNext w:val="0"/>
              <w:keepLines w:val="0"/>
              <w:framePr w:w="14050" w:h="8136" w:hSpace="5" w:vSpace="600" w:wrap="notBeside" w:vAnchor="text" w:hAnchor="text" w:x="32" w:y="601"/>
              <w:widowControl w:val="0"/>
              <w:shd w:val="clear" w:color="auto" w:fill="auto"/>
              <w:bidi w:val="0"/>
              <w:spacing w:before="0" w:after="0" w:line="355" w:lineRule="exact"/>
              <w:ind w:left="220" w:right="0" w:firstLine="0"/>
              <w:jc w:val="left"/>
            </w:pPr>
            <w:r>
              <w:rPr>
                <w:color w:val="000000"/>
                <w:spacing w:val="0"/>
                <w:w w:val="100"/>
                <w:position w:val="0"/>
              </w:rPr>
              <w:t>关联 关系</w:t>
            </w:r>
          </w:p>
        </w:tc>
        <w:tc>
          <w:tcPr>
            <w:tcBorders>
              <w:top w:val="single" w:sz="4"/>
              <w:left w:val="single" w:sz="4"/>
            </w:tcBorders>
            <w:shd w:val="clear" w:color="auto" w:fill="D3D3D3"/>
            <w:vAlign w:val="center"/>
          </w:tcPr>
          <w:p>
            <w:pPr>
              <w:pStyle w:val="Style20"/>
              <w:keepNext w:val="0"/>
              <w:keepLines w:val="0"/>
              <w:framePr w:w="14050" w:h="8136" w:hSpace="5" w:vSpace="600" w:wrap="notBeside" w:vAnchor="text" w:hAnchor="text" w:x="32" w:y="601"/>
              <w:widowControl w:val="0"/>
              <w:shd w:val="clear" w:color="auto" w:fill="auto"/>
              <w:bidi w:val="0"/>
              <w:spacing w:before="0" w:after="0" w:line="317" w:lineRule="exact"/>
              <w:ind w:left="0" w:right="0" w:firstLine="0"/>
              <w:jc w:val="center"/>
            </w:pPr>
            <w:r>
              <w:rPr>
                <w:color w:val="000000"/>
                <w:spacing w:val="0"/>
                <w:w w:val="100"/>
                <w:position w:val="0"/>
              </w:rPr>
              <w:t>关联交易 类型</w:t>
            </w:r>
          </w:p>
        </w:tc>
        <w:tc>
          <w:tcPr>
            <w:tcBorders>
              <w:top w:val="single" w:sz="4"/>
              <w:left w:val="single" w:sz="4"/>
            </w:tcBorders>
            <w:shd w:val="clear" w:color="auto" w:fill="D3D3D3"/>
            <w:vAlign w:val="center"/>
          </w:tcPr>
          <w:p>
            <w:pPr>
              <w:pStyle w:val="Style20"/>
              <w:keepNext w:val="0"/>
              <w:keepLines w:val="0"/>
              <w:framePr w:w="14050" w:h="8136" w:hSpace="5" w:vSpace="600" w:wrap="notBeside" w:vAnchor="text" w:hAnchor="text" w:x="32" w:y="601"/>
              <w:widowControl w:val="0"/>
              <w:shd w:val="clear" w:color="auto" w:fill="auto"/>
              <w:bidi w:val="0"/>
              <w:spacing w:before="0" w:after="0" w:line="240" w:lineRule="auto"/>
              <w:ind w:left="0" w:right="0" w:firstLine="42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0"/>
              <w:keepNext w:val="0"/>
              <w:keepLines w:val="0"/>
              <w:framePr w:w="14050" w:h="8136" w:hSpace="5" w:vSpace="600" w:wrap="notBeside" w:vAnchor="text" w:hAnchor="text" w:x="32" w:y="601"/>
              <w:widowControl w:val="0"/>
              <w:shd w:val="clear" w:color="auto" w:fill="auto"/>
              <w:bidi w:val="0"/>
              <w:spacing w:before="0" w:after="0" w:line="317" w:lineRule="exact"/>
              <w:ind w:left="0" w:right="0" w:firstLine="0"/>
              <w:jc w:val="center"/>
            </w:pPr>
            <w:r>
              <w:rPr>
                <w:color w:val="000000"/>
                <w:spacing w:val="0"/>
                <w:w w:val="100"/>
                <w:position w:val="0"/>
              </w:rPr>
              <w:t>关联交易 定价原则</w:t>
            </w:r>
          </w:p>
        </w:tc>
        <w:tc>
          <w:tcPr>
            <w:tcBorders>
              <w:top w:val="single" w:sz="4"/>
              <w:left w:val="single" w:sz="4"/>
            </w:tcBorders>
            <w:shd w:val="clear" w:color="auto" w:fill="D3D3D3"/>
            <w:vAlign w:val="center"/>
          </w:tcPr>
          <w:p>
            <w:pPr>
              <w:pStyle w:val="Style20"/>
              <w:keepNext w:val="0"/>
              <w:keepLines w:val="0"/>
              <w:framePr w:w="14050" w:h="8136" w:hSpace="5" w:vSpace="600" w:wrap="notBeside" w:vAnchor="text" w:hAnchor="text" w:x="32" w:y="601"/>
              <w:widowControl w:val="0"/>
              <w:shd w:val="clear" w:color="auto" w:fill="auto"/>
              <w:bidi w:val="0"/>
              <w:spacing w:before="0" w:after="0" w:line="317" w:lineRule="exact"/>
              <w:ind w:left="0" w:right="0" w:firstLine="0"/>
              <w:jc w:val="both"/>
            </w:pPr>
            <w:r>
              <w:rPr>
                <w:color w:val="000000"/>
                <w:spacing w:val="0"/>
                <w:w w:val="100"/>
                <w:position w:val="0"/>
              </w:rPr>
              <w:t>关联交 易价格</w:t>
            </w:r>
          </w:p>
        </w:tc>
        <w:tc>
          <w:tcPr>
            <w:tcBorders>
              <w:top w:val="single" w:sz="4"/>
              <w:left w:val="single" w:sz="4"/>
            </w:tcBorders>
            <w:shd w:val="clear" w:color="auto" w:fill="D3D3D3"/>
            <w:vAlign w:val="center"/>
          </w:tcPr>
          <w:p>
            <w:pPr>
              <w:pStyle w:val="Style20"/>
              <w:keepNext w:val="0"/>
              <w:keepLines w:val="0"/>
              <w:framePr w:w="14050" w:h="8136" w:hSpace="5" w:vSpace="600" w:wrap="notBeside" w:vAnchor="text" w:hAnchor="text" w:x="32" w:y="601"/>
              <w:widowControl w:val="0"/>
              <w:shd w:val="clear" w:color="auto" w:fill="auto"/>
              <w:bidi w:val="0"/>
              <w:spacing w:before="0" w:after="0" w:line="312" w:lineRule="exact"/>
              <w:ind w:left="0" w:right="0" w:firstLine="0"/>
              <w:jc w:val="center"/>
            </w:pPr>
            <w:r>
              <w:rPr>
                <w:color w:val="000000"/>
                <w:spacing w:val="0"/>
                <w:w w:val="100"/>
                <w:position w:val="0"/>
              </w:rPr>
              <w:t>交易涉及 金额（万 元）</w:t>
            </w:r>
          </w:p>
        </w:tc>
        <w:tc>
          <w:tcPr>
            <w:tcBorders>
              <w:top w:val="single" w:sz="4"/>
              <w:left w:val="single" w:sz="4"/>
            </w:tcBorders>
            <w:shd w:val="clear" w:color="auto" w:fill="D3D3D3"/>
            <w:vAlign w:val="center"/>
          </w:tcPr>
          <w:p>
            <w:pPr>
              <w:pStyle w:val="Style20"/>
              <w:keepNext w:val="0"/>
              <w:keepLines w:val="0"/>
              <w:framePr w:w="14050" w:h="8136" w:hSpace="5" w:vSpace="600" w:wrap="notBeside" w:vAnchor="text" w:hAnchor="text" w:x="32" w:y="601"/>
              <w:widowControl w:val="0"/>
              <w:shd w:val="clear" w:color="auto" w:fill="auto"/>
              <w:bidi w:val="0"/>
              <w:spacing w:before="0" w:after="0" w:line="314" w:lineRule="exact"/>
              <w:ind w:left="0" w:right="0" w:firstLine="0"/>
              <w:jc w:val="center"/>
            </w:pPr>
            <w:r>
              <w:rPr>
                <w:color w:val="000000"/>
                <w:spacing w:val="0"/>
                <w:w w:val="100"/>
                <w:position w:val="0"/>
              </w:rPr>
              <w:t>投资收 益</w:t>
            </w:r>
            <w:r>
              <w:rPr>
                <w:rFonts w:ascii="Times New Roman" w:eastAsia="Times New Roman" w:hAnsi="Times New Roman" w:cs="Times New Roman"/>
                <w:color w:val="000000"/>
                <w:spacing w:val="0"/>
                <w:w w:val="100"/>
                <w:position w:val="0"/>
              </w:rPr>
              <w:t>/</w:t>
            </w:r>
            <w:r>
              <w:rPr>
                <w:color w:val="000000"/>
                <w:spacing w:val="0"/>
                <w:w w:val="100"/>
                <w:position w:val="0"/>
              </w:rPr>
              <w:t>支 出（万 元）</w:t>
            </w:r>
          </w:p>
        </w:tc>
        <w:tc>
          <w:tcPr>
            <w:tcBorders>
              <w:top w:val="single" w:sz="4"/>
              <w:left w:val="single" w:sz="4"/>
            </w:tcBorders>
            <w:shd w:val="clear" w:color="auto" w:fill="D3D3D3"/>
            <w:vAlign w:val="center"/>
          </w:tcPr>
          <w:p>
            <w:pPr>
              <w:pStyle w:val="Style20"/>
              <w:keepNext w:val="0"/>
              <w:keepLines w:val="0"/>
              <w:framePr w:w="14050" w:h="8136" w:hSpace="5" w:vSpace="600" w:wrap="notBeside" w:vAnchor="text" w:hAnchor="text" w:x="32" w:y="601"/>
              <w:widowControl w:val="0"/>
              <w:shd w:val="clear" w:color="auto" w:fill="auto"/>
              <w:bidi w:val="0"/>
              <w:spacing w:before="0" w:after="0" w:line="314" w:lineRule="exact"/>
              <w:ind w:left="0" w:right="0" w:firstLine="0"/>
              <w:jc w:val="center"/>
            </w:pPr>
            <w:r>
              <w:rPr>
                <w:color w:val="000000"/>
                <w:spacing w:val="0"/>
                <w:w w:val="100"/>
                <w:position w:val="0"/>
              </w:rPr>
              <w:t>占同类 交易金 额的比 例</w:t>
            </w:r>
          </w:p>
        </w:tc>
        <w:tc>
          <w:tcPr>
            <w:tcBorders>
              <w:top w:val="single" w:sz="4"/>
              <w:left w:val="single" w:sz="4"/>
            </w:tcBorders>
            <w:shd w:val="clear" w:color="auto" w:fill="D3D3D3"/>
            <w:vAlign w:val="center"/>
          </w:tcPr>
          <w:p>
            <w:pPr>
              <w:pStyle w:val="Style20"/>
              <w:keepNext w:val="0"/>
              <w:keepLines w:val="0"/>
              <w:framePr w:w="14050" w:h="8136" w:hSpace="5" w:vSpace="600" w:wrap="notBeside" w:vAnchor="text" w:hAnchor="text" w:x="32" w:y="601"/>
              <w:widowControl w:val="0"/>
              <w:shd w:val="clear" w:color="auto" w:fill="auto"/>
              <w:bidi w:val="0"/>
              <w:spacing w:before="0" w:after="0" w:line="315" w:lineRule="exact"/>
              <w:ind w:left="0" w:right="0" w:firstLine="0"/>
              <w:jc w:val="center"/>
            </w:pPr>
            <w:r>
              <w:rPr>
                <w:color w:val="000000"/>
                <w:spacing w:val="0"/>
                <w:w w:val="100"/>
                <w:position w:val="0"/>
              </w:rPr>
              <w:t>获批的 交易额 度（万 元）</w:t>
            </w:r>
          </w:p>
        </w:tc>
        <w:tc>
          <w:tcPr>
            <w:tcBorders>
              <w:top w:val="single" w:sz="4"/>
              <w:left w:val="single" w:sz="4"/>
            </w:tcBorders>
            <w:shd w:val="clear" w:color="auto" w:fill="D3D3D3"/>
            <w:vAlign w:val="center"/>
          </w:tcPr>
          <w:p>
            <w:pPr>
              <w:pStyle w:val="Style20"/>
              <w:keepNext w:val="0"/>
              <w:keepLines w:val="0"/>
              <w:framePr w:w="14050" w:h="8136" w:hSpace="5" w:vSpace="600" w:wrap="notBeside" w:vAnchor="text" w:hAnchor="text" w:x="32" w:y="601"/>
              <w:widowControl w:val="0"/>
              <w:shd w:val="clear" w:color="auto" w:fill="auto"/>
              <w:bidi w:val="0"/>
              <w:spacing w:before="0" w:after="0" w:line="312" w:lineRule="exact"/>
              <w:ind w:left="0" w:right="0" w:firstLine="0"/>
              <w:jc w:val="left"/>
            </w:pPr>
            <w:r>
              <w:rPr>
                <w:color w:val="000000"/>
                <w:spacing w:val="0"/>
                <w:w w:val="100"/>
                <w:position w:val="0"/>
              </w:rPr>
              <w:t>是否超 过获批 额度</w:t>
            </w:r>
          </w:p>
        </w:tc>
        <w:tc>
          <w:tcPr>
            <w:tcBorders>
              <w:top w:val="single" w:sz="4"/>
              <w:left w:val="single" w:sz="4"/>
            </w:tcBorders>
            <w:shd w:val="clear" w:color="auto" w:fill="D3D3D3"/>
            <w:vAlign w:val="center"/>
          </w:tcPr>
          <w:p>
            <w:pPr>
              <w:pStyle w:val="Style20"/>
              <w:keepNext w:val="0"/>
              <w:keepLines w:val="0"/>
              <w:framePr w:w="14050" w:h="8136" w:hSpace="5" w:vSpace="600" w:wrap="notBeside" w:vAnchor="text" w:hAnchor="text" w:x="32" w:y="601"/>
              <w:widowControl w:val="0"/>
              <w:shd w:val="clear" w:color="auto" w:fill="auto"/>
              <w:bidi w:val="0"/>
              <w:spacing w:before="0" w:after="0" w:line="317" w:lineRule="exact"/>
              <w:ind w:left="0" w:right="0" w:firstLine="0"/>
              <w:jc w:val="left"/>
            </w:pPr>
            <w:r>
              <w:rPr>
                <w:color w:val="000000"/>
                <w:spacing w:val="0"/>
                <w:w w:val="100"/>
                <w:position w:val="0"/>
              </w:rPr>
              <w:t>关联交易 结算方式</w:t>
            </w:r>
          </w:p>
        </w:tc>
        <w:tc>
          <w:tcPr>
            <w:tcBorders>
              <w:top w:val="single" w:sz="4"/>
              <w:left w:val="single" w:sz="4"/>
            </w:tcBorders>
            <w:shd w:val="clear" w:color="auto" w:fill="D3D3D3"/>
            <w:vAlign w:val="center"/>
          </w:tcPr>
          <w:p>
            <w:pPr>
              <w:pStyle w:val="Style20"/>
              <w:keepNext w:val="0"/>
              <w:keepLines w:val="0"/>
              <w:framePr w:w="14050" w:h="8136" w:hSpace="5" w:vSpace="600" w:wrap="notBeside" w:vAnchor="text" w:hAnchor="text" w:x="32" w:y="601"/>
              <w:widowControl w:val="0"/>
              <w:shd w:val="clear" w:color="auto" w:fill="auto"/>
              <w:bidi w:val="0"/>
              <w:spacing w:before="0" w:after="0" w:line="312" w:lineRule="exact"/>
              <w:ind w:left="0" w:right="0" w:firstLine="0"/>
              <w:jc w:val="center"/>
            </w:pPr>
            <w:r>
              <w:rPr>
                <w:color w:val="000000"/>
                <w:spacing w:val="0"/>
                <w:w w:val="100"/>
                <w:position w:val="0"/>
              </w:rPr>
              <w:t>可获得的 同类交易 市价</w:t>
            </w:r>
          </w:p>
        </w:tc>
        <w:tc>
          <w:tcPr>
            <w:tcBorders>
              <w:top w:val="single" w:sz="4"/>
              <w:left w:val="single" w:sz="4"/>
            </w:tcBorders>
            <w:shd w:val="clear" w:color="auto" w:fill="D3D3D3"/>
            <w:vAlign w:val="center"/>
          </w:tcPr>
          <w:p>
            <w:pPr>
              <w:pStyle w:val="Style20"/>
              <w:keepNext w:val="0"/>
              <w:keepLines w:val="0"/>
              <w:framePr w:w="14050" w:h="8136" w:hSpace="5" w:vSpace="600" w:wrap="notBeside" w:vAnchor="text" w:hAnchor="text" w:x="32" w:y="601"/>
              <w:widowControl w:val="0"/>
              <w:shd w:val="clear" w:color="auto" w:fill="auto"/>
              <w:bidi w:val="0"/>
              <w:spacing w:before="0" w:after="0" w:line="240" w:lineRule="auto"/>
              <w:ind w:left="0" w:right="0" w:firstLine="0"/>
              <w:jc w:val="righ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0"/>
              <w:keepNext w:val="0"/>
              <w:keepLines w:val="0"/>
              <w:framePr w:w="14050" w:h="8136" w:hSpace="5" w:vSpace="600" w:wrap="notBeside" w:vAnchor="text" w:hAnchor="text" w:x="32" w:y="601"/>
              <w:widowControl w:val="0"/>
              <w:shd w:val="clear" w:color="auto" w:fill="auto"/>
              <w:bidi w:val="0"/>
              <w:spacing w:before="0" w:after="0" w:line="317" w:lineRule="exact"/>
              <w:ind w:left="0" w:right="0" w:firstLine="0"/>
              <w:jc w:val="left"/>
            </w:pPr>
            <w:r>
              <w:rPr>
                <w:color w:val="000000"/>
                <w:spacing w:val="0"/>
                <w:w w:val="100"/>
                <w:position w:val="0"/>
              </w:rPr>
              <w:t>披露 索引</w:t>
            </w:r>
          </w:p>
        </w:tc>
      </w:tr>
      <w:tr>
        <w:trPr>
          <w:trHeight w:val="2275" w:hRule="exact"/>
        </w:trPr>
        <w:tc>
          <w:tcPr>
            <w:tcBorders>
              <w:top w:val="single" w:sz="4"/>
              <w:left w:val="single" w:sz="4"/>
            </w:tcBorders>
            <w:shd w:val="clear" w:color="auto" w:fill="FFFFFF"/>
            <w:vAlign w:val="center"/>
          </w:tcPr>
          <w:p>
            <w:pPr>
              <w:pStyle w:val="Style20"/>
              <w:keepNext w:val="0"/>
              <w:keepLines w:val="0"/>
              <w:framePr w:w="14050" w:h="8136" w:hSpace="5" w:vSpace="600" w:wrap="notBeside" w:vAnchor="text" w:hAnchor="text" w:x="32" w:y="601"/>
              <w:widowControl w:val="0"/>
              <w:shd w:val="clear" w:color="auto" w:fill="auto"/>
              <w:bidi w:val="0"/>
              <w:spacing w:before="0" w:after="0" w:line="355" w:lineRule="exact"/>
              <w:ind w:left="140" w:right="0" w:firstLine="0"/>
              <w:jc w:val="both"/>
            </w:pPr>
            <w:r>
              <w:rPr>
                <w:color w:val="000000"/>
                <w:spacing w:val="0"/>
                <w:w w:val="100"/>
                <w:position w:val="0"/>
              </w:rPr>
              <w:t>中江 信托</w:t>
            </w:r>
          </w:p>
        </w:tc>
        <w:tc>
          <w:tcPr>
            <w:tcBorders>
              <w:top w:val="single" w:sz="4"/>
              <w:left w:val="single" w:sz="4"/>
            </w:tcBorders>
            <w:shd w:val="clear" w:color="auto" w:fill="FFFFFF"/>
            <w:vAlign w:val="center"/>
          </w:tcPr>
          <w:p>
            <w:pPr>
              <w:pStyle w:val="Style20"/>
              <w:keepNext w:val="0"/>
              <w:keepLines w:val="0"/>
              <w:framePr w:w="14050" w:h="8136" w:hSpace="5" w:vSpace="600" w:wrap="notBeside" w:vAnchor="text" w:hAnchor="text" w:x="32" w:y="601"/>
              <w:widowControl w:val="0"/>
              <w:shd w:val="clear" w:color="auto" w:fill="auto"/>
              <w:bidi w:val="0"/>
              <w:spacing w:before="0" w:after="0" w:line="331" w:lineRule="exact"/>
              <w:ind w:left="0" w:right="0" w:firstLine="0"/>
              <w:jc w:val="center"/>
            </w:pPr>
            <w:r>
              <w:rPr>
                <w:rFonts w:ascii="Times New Roman" w:eastAsia="Times New Roman" w:hAnsi="Times New Roman" w:cs="Times New Roman"/>
                <w:color w:val="000000"/>
                <w:spacing w:val="0"/>
                <w:w w:val="100"/>
                <w:position w:val="0"/>
              </w:rPr>
              <w:t>5%</w:t>
            </w:r>
            <w:r>
              <w:rPr>
                <w:color w:val="000000"/>
                <w:spacing w:val="0"/>
                <w:w w:val="100"/>
                <w:position w:val="0"/>
              </w:rPr>
              <w:t>以上 股东</w:t>
            </w:r>
          </w:p>
        </w:tc>
        <w:tc>
          <w:tcPr>
            <w:tcBorders>
              <w:top w:val="single" w:sz="4"/>
              <w:left w:val="single" w:sz="4"/>
            </w:tcBorders>
            <w:shd w:val="clear" w:color="auto" w:fill="FFFFFF"/>
            <w:vAlign w:val="center"/>
          </w:tcPr>
          <w:p>
            <w:pPr>
              <w:pStyle w:val="Style20"/>
              <w:keepNext w:val="0"/>
              <w:keepLines w:val="0"/>
              <w:framePr w:w="14050" w:h="8136" w:hSpace="5" w:vSpace="600" w:wrap="notBeside" w:vAnchor="text" w:hAnchor="text" w:x="32" w:y="601"/>
              <w:widowControl w:val="0"/>
              <w:shd w:val="clear" w:color="auto" w:fill="auto"/>
              <w:bidi w:val="0"/>
              <w:spacing w:before="0" w:after="0" w:line="312" w:lineRule="exact"/>
              <w:ind w:left="0" w:right="0" w:firstLine="0"/>
              <w:jc w:val="both"/>
            </w:pPr>
            <w:r>
              <w:rPr>
                <w:color w:val="000000"/>
                <w:spacing w:val="0"/>
                <w:w w:val="100"/>
                <w:position w:val="0"/>
              </w:rPr>
              <w:t>向关联人 提供劳务</w:t>
            </w:r>
          </w:p>
        </w:tc>
        <w:tc>
          <w:tcPr>
            <w:tcBorders>
              <w:top w:val="single" w:sz="4"/>
              <w:left w:val="single" w:sz="4"/>
            </w:tcBorders>
            <w:shd w:val="clear" w:color="auto" w:fill="FFFFFF"/>
            <w:vAlign w:val="center"/>
          </w:tcPr>
          <w:p>
            <w:pPr>
              <w:pStyle w:val="Style20"/>
              <w:keepNext w:val="0"/>
              <w:keepLines w:val="0"/>
              <w:framePr w:w="14050" w:h="8136" w:hSpace="5" w:vSpace="600" w:wrap="notBeside" w:vAnchor="text" w:hAnchor="text" w:x="32" w:y="601"/>
              <w:widowControl w:val="0"/>
              <w:shd w:val="clear" w:color="auto" w:fill="auto"/>
              <w:bidi w:val="0"/>
              <w:spacing w:before="0" w:after="0" w:line="240" w:lineRule="auto"/>
              <w:ind w:left="0" w:right="0" w:firstLine="0"/>
              <w:jc w:val="left"/>
            </w:pPr>
            <w:r>
              <w:rPr>
                <w:color w:val="000000"/>
                <w:spacing w:val="0"/>
                <w:w w:val="100"/>
                <w:position w:val="0"/>
              </w:rPr>
              <w:t>信托产品推荐服务</w:t>
            </w:r>
          </w:p>
        </w:tc>
        <w:tc>
          <w:tcPr>
            <w:tcBorders>
              <w:top w:val="single" w:sz="4"/>
              <w:left w:val="single" w:sz="4"/>
            </w:tcBorders>
            <w:shd w:val="clear" w:color="auto" w:fill="FFFFFF"/>
            <w:vAlign w:val="center"/>
          </w:tcPr>
          <w:p>
            <w:pPr>
              <w:pStyle w:val="Style20"/>
              <w:keepNext w:val="0"/>
              <w:keepLines w:val="0"/>
              <w:framePr w:w="14050" w:h="8136" w:hSpace="5" w:vSpace="600" w:wrap="notBeside" w:vAnchor="text" w:hAnchor="text" w:x="32" w:y="601"/>
              <w:widowControl w:val="0"/>
              <w:shd w:val="clear" w:color="auto" w:fill="auto"/>
              <w:bidi w:val="0"/>
              <w:spacing w:before="0" w:after="0" w:line="240" w:lineRule="auto"/>
              <w:ind w:left="0" w:right="0" w:firstLine="0"/>
              <w:jc w:val="left"/>
            </w:pPr>
            <w:r>
              <w:rPr>
                <w:color w:val="000000"/>
                <w:spacing w:val="0"/>
                <w:w w:val="100"/>
                <w:position w:val="0"/>
              </w:rPr>
              <w:t>双方协定</w:t>
            </w:r>
          </w:p>
        </w:tc>
        <w:tc>
          <w:tcPr>
            <w:tcBorders>
              <w:top w:val="single" w:sz="4"/>
              <w:left w:val="single" w:sz="4"/>
            </w:tcBorders>
            <w:shd w:val="clear" w:color="auto" w:fill="FFFFFF"/>
            <w:vAlign w:val="center"/>
          </w:tcPr>
          <w:p>
            <w:pPr>
              <w:pStyle w:val="Style20"/>
              <w:keepNext w:val="0"/>
              <w:keepLines w:val="0"/>
              <w:framePr w:w="14050" w:h="8136" w:hSpace="5" w:vSpace="600" w:wrap="notBeside" w:vAnchor="text" w:hAnchor="text" w:x="32" w:y="601"/>
              <w:widowControl w:val="0"/>
              <w:shd w:val="clear" w:color="auto" w:fill="auto"/>
              <w:bidi w:val="0"/>
              <w:spacing w:before="0" w:after="80" w:line="240" w:lineRule="auto"/>
              <w:ind w:left="0" w:right="0" w:firstLine="0"/>
              <w:jc w:val="both"/>
            </w:pPr>
            <w:r>
              <w:rPr>
                <w:color w:val="000000"/>
                <w:spacing w:val="0"/>
                <w:w w:val="100"/>
                <w:position w:val="0"/>
              </w:rPr>
              <w:t>双方协</w:t>
            </w:r>
          </w:p>
          <w:p>
            <w:pPr>
              <w:pStyle w:val="Style20"/>
              <w:keepNext w:val="0"/>
              <w:keepLines w:val="0"/>
              <w:framePr w:w="14050" w:h="8136" w:hSpace="5" w:vSpace="600" w:wrap="notBeside" w:vAnchor="text" w:hAnchor="text" w:x="32" w:y="601"/>
              <w:widowControl w:val="0"/>
              <w:shd w:val="clear" w:color="auto" w:fill="auto"/>
              <w:bidi w:val="0"/>
              <w:spacing w:before="0" w:after="0" w:line="240" w:lineRule="auto"/>
              <w:ind w:left="0" w:right="0" w:firstLine="0"/>
              <w:jc w:val="both"/>
            </w:pPr>
            <w:r>
              <w:rPr>
                <w:color w:val="000000"/>
                <w:spacing w:val="0"/>
                <w:w w:val="100"/>
                <w:position w:val="0"/>
              </w:rPr>
              <w:t>定</w:t>
            </w:r>
          </w:p>
        </w:tc>
        <w:tc>
          <w:tcPr>
            <w:tcBorders>
              <w:top w:val="single" w:sz="4"/>
              <w:left w:val="single" w:sz="4"/>
            </w:tcBorders>
            <w:shd w:val="clear" w:color="auto" w:fill="FFFFFF"/>
            <w:vAlign w:val="center"/>
          </w:tcPr>
          <w:p>
            <w:pPr>
              <w:pStyle w:val="Style20"/>
              <w:keepNext w:val="0"/>
              <w:keepLines w:val="0"/>
              <w:framePr w:w="14050" w:h="8136" w:hSpace="5" w:vSpace="600" w:wrap="notBeside" w:vAnchor="text" w:hAnchor="text" w:x="32" w:y="60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3,067.03</w:t>
            </w:r>
          </w:p>
        </w:tc>
        <w:tc>
          <w:tcPr>
            <w:tcBorders>
              <w:top w:val="single" w:sz="4"/>
              <w:left w:val="single" w:sz="4"/>
            </w:tcBorders>
            <w:shd w:val="clear" w:color="auto" w:fill="FFFFFF"/>
            <w:vAlign w:val="top"/>
          </w:tcPr>
          <w:p>
            <w:pPr>
              <w:framePr w:w="14050" w:h="8136" w:hSpace="5" w:vSpace="600" w:wrap="notBeside" w:vAnchor="text" w:hAnchor="text" w:x="32" w:y="601"/>
              <w:widowControl w:val="0"/>
              <w:rPr>
                <w:sz w:val="10"/>
                <w:szCs w:val="10"/>
              </w:rPr>
            </w:pPr>
          </w:p>
        </w:tc>
        <w:tc>
          <w:tcPr>
            <w:tcBorders>
              <w:top w:val="single" w:sz="4"/>
              <w:left w:val="single" w:sz="4"/>
            </w:tcBorders>
            <w:shd w:val="clear" w:color="auto" w:fill="FFFFFF"/>
            <w:vAlign w:val="top"/>
          </w:tcPr>
          <w:p>
            <w:pPr>
              <w:framePr w:w="14050" w:h="8136" w:hSpace="5" w:vSpace="600" w:wrap="notBeside" w:vAnchor="text" w:hAnchor="text" w:x="32" w:y="601"/>
              <w:widowControl w:val="0"/>
              <w:rPr>
                <w:sz w:val="10"/>
                <w:szCs w:val="10"/>
              </w:rPr>
            </w:pPr>
          </w:p>
        </w:tc>
        <w:tc>
          <w:tcPr>
            <w:tcBorders>
              <w:top w:val="single" w:sz="4"/>
              <w:left w:val="single" w:sz="4"/>
            </w:tcBorders>
            <w:shd w:val="clear" w:color="auto" w:fill="FFFFFF"/>
            <w:vAlign w:val="center"/>
          </w:tcPr>
          <w:p>
            <w:pPr>
              <w:pStyle w:val="Style20"/>
              <w:keepNext w:val="0"/>
              <w:keepLines w:val="0"/>
              <w:framePr w:w="14050" w:h="8136" w:hSpace="5" w:vSpace="600" w:wrap="notBeside" w:vAnchor="text" w:hAnchor="text" w:x="32" w:y="60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9,500</w:t>
            </w:r>
          </w:p>
        </w:tc>
        <w:tc>
          <w:tcPr>
            <w:tcBorders>
              <w:top w:val="single" w:sz="4"/>
              <w:left w:val="single" w:sz="4"/>
            </w:tcBorders>
            <w:shd w:val="clear" w:color="auto" w:fill="FFFFFF"/>
            <w:vAlign w:val="center"/>
          </w:tcPr>
          <w:p>
            <w:pPr>
              <w:pStyle w:val="Style20"/>
              <w:keepNext w:val="0"/>
              <w:keepLines w:val="0"/>
              <w:framePr w:w="14050" w:h="8136" w:hSpace="5" w:vSpace="600" w:wrap="notBeside" w:vAnchor="text" w:hAnchor="text" w:x="32" w:y="601"/>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framePr w:w="14050" w:h="8136" w:hSpace="5" w:vSpace="600" w:wrap="notBeside" w:vAnchor="text" w:hAnchor="text" w:x="32" w:y="601"/>
              <w:widowControl w:val="0"/>
              <w:shd w:val="clear" w:color="auto" w:fill="auto"/>
              <w:bidi w:val="0"/>
              <w:spacing w:before="0" w:after="0" w:line="240" w:lineRule="auto"/>
              <w:ind w:left="0" w:right="0" w:firstLine="0"/>
              <w:jc w:val="left"/>
            </w:pPr>
            <w:r>
              <w:rPr>
                <w:color w:val="000000"/>
                <w:spacing w:val="0"/>
                <w:w w:val="100"/>
                <w:position w:val="0"/>
              </w:rPr>
              <w:t>现金结算</w:t>
            </w:r>
          </w:p>
        </w:tc>
        <w:tc>
          <w:tcPr>
            <w:tcBorders>
              <w:top w:val="single" w:sz="4"/>
              <w:left w:val="single" w:sz="4"/>
            </w:tcBorders>
            <w:shd w:val="clear" w:color="auto" w:fill="FFFFFF"/>
            <w:vAlign w:val="center"/>
          </w:tcPr>
          <w:p>
            <w:pPr>
              <w:pStyle w:val="Style20"/>
              <w:keepNext w:val="0"/>
              <w:keepLines w:val="0"/>
              <w:framePr w:w="14050" w:h="8136" w:hSpace="5" w:vSpace="600" w:wrap="notBeside" w:vAnchor="text" w:hAnchor="text" w:x="32" w:y="601"/>
              <w:widowControl w:val="0"/>
              <w:shd w:val="clear" w:color="auto" w:fill="auto"/>
              <w:bidi w:val="0"/>
              <w:spacing w:before="0" w:after="0" w:line="312" w:lineRule="exact"/>
              <w:ind w:left="0" w:right="0" w:firstLine="0"/>
              <w:jc w:val="left"/>
            </w:pPr>
            <w:r>
              <w:rPr>
                <w:color w:val="000000"/>
                <w:spacing w:val="0"/>
                <w:w w:val="100"/>
                <w:position w:val="0"/>
              </w:rPr>
              <w:t>与本次关 联交易价 格持平</w:t>
            </w:r>
          </w:p>
        </w:tc>
        <w:tc>
          <w:tcPr>
            <w:tcBorders>
              <w:top w:val="single" w:sz="4"/>
              <w:left w:val="single" w:sz="4"/>
            </w:tcBorders>
            <w:shd w:val="clear" w:color="auto" w:fill="FFFFFF"/>
            <w:vAlign w:val="center"/>
          </w:tcPr>
          <w:p>
            <w:pPr>
              <w:pStyle w:val="Style20"/>
              <w:keepNext w:val="0"/>
              <w:keepLines w:val="0"/>
              <w:framePr w:w="14050" w:h="8136" w:hSpace="5" w:vSpace="600" w:wrap="notBeside" w:vAnchor="text" w:hAnchor="text" w:x="32" w:y="601"/>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0"/>
              <w:keepNext w:val="0"/>
              <w:keepLines w:val="0"/>
              <w:framePr w:w="14050" w:h="8136" w:hSpace="5" w:vSpace="600" w:wrap="notBeside" w:vAnchor="text" w:hAnchor="text" w:x="32" w:y="601"/>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framePr w:w="14050" w:h="8136" w:hSpace="5" w:vSpace="600" w:wrap="notBeside" w:vAnchor="text" w:hAnchor="text" w:x="32" w:y="601"/>
              <w:widowControl w:val="0"/>
              <w:shd w:val="clear" w:color="auto" w:fill="auto"/>
              <w:bidi w:val="0"/>
              <w:spacing w:before="0" w:after="80" w:line="314" w:lineRule="exact"/>
              <w:ind w:left="0" w:right="0" w:firstLine="0"/>
              <w:jc w:val="left"/>
            </w:pPr>
            <w:r>
              <w:rPr>
                <w:color w:val="000000"/>
                <w:spacing w:val="0"/>
                <w:w w:val="100"/>
                <w:position w:val="0"/>
              </w:rPr>
              <w:t>巨潮 资讯 网公 告</w:t>
            </w:r>
          </w:p>
          <w:p>
            <w:pPr>
              <w:pStyle w:val="Style20"/>
              <w:keepNext w:val="0"/>
              <w:keepLines w:val="0"/>
              <w:framePr w:w="14050" w:h="8136" w:hSpace="5" w:vSpace="600" w:wrap="notBeside" w:vAnchor="text" w:hAnchor="text" w:x="32" w:y="601"/>
              <w:widowControl w:val="0"/>
              <w:shd w:val="clear" w:color="auto" w:fill="auto"/>
              <w:bidi w:val="0"/>
              <w:spacing w:before="0" w:after="8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w:t>
            </w:r>
          </w:p>
          <w:p>
            <w:pPr>
              <w:pStyle w:val="Style20"/>
              <w:keepNext w:val="0"/>
              <w:keepLines w:val="0"/>
              <w:framePr w:w="14050" w:h="8136" w:hSpace="5" w:vSpace="600" w:wrap="notBeside" w:vAnchor="text" w:hAnchor="text" w:x="32" w:y="601"/>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16-07</w:t>
            </w:r>
          </w:p>
          <w:p>
            <w:pPr>
              <w:pStyle w:val="Style20"/>
              <w:keepNext w:val="0"/>
              <w:keepLines w:val="0"/>
              <w:framePr w:w="14050" w:h="8136" w:hSpace="5" w:vSpace="600" w:wrap="notBeside" w:vAnchor="text" w:hAnchor="text" w:x="32" w:y="601"/>
              <w:widowControl w:val="0"/>
              <w:shd w:val="clear" w:color="auto" w:fill="auto"/>
              <w:bidi w:val="0"/>
              <w:spacing w:before="0" w:after="80" w:line="326"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20"/>
              <w:keepNext w:val="0"/>
              <w:keepLines w:val="0"/>
              <w:framePr w:w="14050" w:h="8136" w:hSpace="5" w:vSpace="600" w:wrap="notBeside" w:vAnchor="text" w:hAnchor="text" w:x="32" w:y="601"/>
              <w:widowControl w:val="0"/>
              <w:shd w:val="clear" w:color="auto" w:fill="auto"/>
              <w:bidi w:val="0"/>
              <w:spacing w:before="0" w:after="0" w:line="360" w:lineRule="exact"/>
              <w:ind w:left="140" w:right="0" w:firstLine="0"/>
              <w:jc w:val="both"/>
            </w:pPr>
            <w:r>
              <w:rPr>
                <w:color w:val="000000"/>
                <w:spacing w:val="0"/>
                <w:w w:val="100"/>
                <w:position w:val="0"/>
              </w:rPr>
              <w:t>中江 信托</w:t>
            </w:r>
          </w:p>
        </w:tc>
        <w:tc>
          <w:tcPr>
            <w:tcBorders>
              <w:top w:val="single" w:sz="4"/>
              <w:left w:val="single" w:sz="4"/>
            </w:tcBorders>
            <w:shd w:val="clear" w:color="auto" w:fill="FFFFFF"/>
            <w:vAlign w:val="center"/>
          </w:tcPr>
          <w:p>
            <w:pPr>
              <w:pStyle w:val="Style20"/>
              <w:keepNext w:val="0"/>
              <w:keepLines w:val="0"/>
              <w:framePr w:w="14050" w:h="8136" w:hSpace="5" w:vSpace="600" w:wrap="notBeside" w:vAnchor="text" w:hAnchor="text" w:x="32" w:y="601"/>
              <w:widowControl w:val="0"/>
              <w:shd w:val="clear" w:color="auto" w:fill="auto"/>
              <w:bidi w:val="0"/>
              <w:spacing w:before="0" w:after="0" w:line="336" w:lineRule="exact"/>
              <w:ind w:left="0" w:right="0" w:firstLine="0"/>
              <w:jc w:val="center"/>
            </w:pPr>
            <w:r>
              <w:rPr>
                <w:rFonts w:ascii="Times New Roman" w:eastAsia="Times New Roman" w:hAnsi="Times New Roman" w:cs="Times New Roman"/>
                <w:color w:val="000000"/>
                <w:spacing w:val="0"/>
                <w:w w:val="100"/>
                <w:position w:val="0"/>
              </w:rPr>
              <w:t>5%</w:t>
            </w:r>
            <w:r>
              <w:rPr>
                <w:color w:val="000000"/>
                <w:spacing w:val="0"/>
                <w:w w:val="100"/>
                <w:position w:val="0"/>
              </w:rPr>
              <w:t>以上 股东</w:t>
            </w:r>
          </w:p>
        </w:tc>
        <w:tc>
          <w:tcPr>
            <w:tcBorders>
              <w:top w:val="single" w:sz="4"/>
              <w:left w:val="single" w:sz="4"/>
            </w:tcBorders>
            <w:shd w:val="clear" w:color="auto" w:fill="FFFFFF"/>
            <w:vAlign w:val="center"/>
          </w:tcPr>
          <w:p>
            <w:pPr>
              <w:pStyle w:val="Style20"/>
              <w:keepNext w:val="0"/>
              <w:keepLines w:val="0"/>
              <w:framePr w:w="14050" w:h="8136" w:hSpace="5" w:vSpace="600" w:wrap="notBeside" w:vAnchor="text" w:hAnchor="text" w:x="32" w:y="601"/>
              <w:widowControl w:val="0"/>
              <w:shd w:val="clear" w:color="auto" w:fill="auto"/>
              <w:bidi w:val="0"/>
              <w:spacing w:before="0" w:after="0" w:line="317" w:lineRule="exact"/>
              <w:ind w:left="0" w:right="0" w:firstLine="0"/>
              <w:jc w:val="both"/>
            </w:pPr>
            <w:r>
              <w:rPr>
                <w:color w:val="000000"/>
                <w:spacing w:val="0"/>
                <w:w w:val="100"/>
                <w:position w:val="0"/>
              </w:rPr>
              <w:t>向关联人 提供劳务</w:t>
            </w:r>
          </w:p>
        </w:tc>
        <w:tc>
          <w:tcPr>
            <w:tcBorders>
              <w:top w:val="single" w:sz="4"/>
              <w:left w:val="single" w:sz="4"/>
            </w:tcBorders>
            <w:shd w:val="clear" w:color="auto" w:fill="FFFFFF"/>
            <w:vAlign w:val="center"/>
          </w:tcPr>
          <w:p>
            <w:pPr>
              <w:pStyle w:val="Style20"/>
              <w:keepNext w:val="0"/>
              <w:keepLines w:val="0"/>
              <w:framePr w:w="14050" w:h="8136" w:hSpace="5" w:vSpace="600" w:wrap="notBeside" w:vAnchor="text" w:hAnchor="text" w:x="32" w:y="601"/>
              <w:widowControl w:val="0"/>
              <w:shd w:val="clear" w:color="auto" w:fill="auto"/>
              <w:bidi w:val="0"/>
              <w:spacing w:before="0" w:after="0" w:line="240" w:lineRule="auto"/>
              <w:ind w:left="0" w:right="0" w:firstLine="0"/>
              <w:jc w:val="left"/>
            </w:pPr>
            <w:r>
              <w:rPr>
                <w:color w:val="000000"/>
                <w:spacing w:val="0"/>
                <w:w w:val="100"/>
                <w:position w:val="0"/>
              </w:rPr>
              <w:t>手续费及佣金</w:t>
            </w:r>
          </w:p>
        </w:tc>
        <w:tc>
          <w:tcPr>
            <w:tcBorders>
              <w:top w:val="single" w:sz="4"/>
              <w:left w:val="single" w:sz="4"/>
            </w:tcBorders>
            <w:shd w:val="clear" w:color="auto" w:fill="FFFFFF"/>
            <w:vAlign w:val="center"/>
          </w:tcPr>
          <w:p>
            <w:pPr>
              <w:pStyle w:val="Style20"/>
              <w:keepNext w:val="0"/>
              <w:keepLines w:val="0"/>
              <w:framePr w:w="14050" w:h="8136" w:hSpace="5" w:vSpace="600" w:wrap="notBeside" w:vAnchor="text" w:hAnchor="text" w:x="32" w:y="601"/>
              <w:widowControl w:val="0"/>
              <w:shd w:val="clear" w:color="auto" w:fill="auto"/>
              <w:bidi w:val="0"/>
              <w:spacing w:before="0" w:after="0" w:line="240" w:lineRule="auto"/>
              <w:ind w:left="0" w:right="0" w:firstLine="0"/>
              <w:jc w:val="left"/>
            </w:pPr>
            <w:r>
              <w:rPr>
                <w:color w:val="000000"/>
                <w:spacing w:val="0"/>
                <w:w w:val="100"/>
                <w:position w:val="0"/>
              </w:rPr>
              <w:t>双方协定</w:t>
            </w:r>
          </w:p>
        </w:tc>
        <w:tc>
          <w:tcPr>
            <w:tcBorders>
              <w:top w:val="single" w:sz="4"/>
              <w:left w:val="single" w:sz="4"/>
            </w:tcBorders>
            <w:shd w:val="clear" w:color="auto" w:fill="FFFFFF"/>
            <w:vAlign w:val="center"/>
          </w:tcPr>
          <w:p>
            <w:pPr>
              <w:pStyle w:val="Style20"/>
              <w:keepNext w:val="0"/>
              <w:keepLines w:val="0"/>
              <w:framePr w:w="14050" w:h="8136" w:hSpace="5" w:vSpace="600" w:wrap="notBeside" w:vAnchor="text" w:hAnchor="text" w:x="32" w:y="601"/>
              <w:widowControl w:val="0"/>
              <w:shd w:val="clear" w:color="auto" w:fill="auto"/>
              <w:bidi w:val="0"/>
              <w:spacing w:before="0" w:after="80" w:line="240" w:lineRule="auto"/>
              <w:ind w:left="0" w:right="0" w:firstLine="0"/>
              <w:jc w:val="both"/>
            </w:pPr>
            <w:r>
              <w:rPr>
                <w:color w:val="000000"/>
                <w:spacing w:val="0"/>
                <w:w w:val="100"/>
                <w:position w:val="0"/>
              </w:rPr>
              <w:t>双方协</w:t>
            </w:r>
          </w:p>
          <w:p>
            <w:pPr>
              <w:pStyle w:val="Style20"/>
              <w:keepNext w:val="0"/>
              <w:keepLines w:val="0"/>
              <w:framePr w:w="14050" w:h="8136" w:hSpace="5" w:vSpace="600" w:wrap="notBeside" w:vAnchor="text" w:hAnchor="text" w:x="32" w:y="601"/>
              <w:widowControl w:val="0"/>
              <w:shd w:val="clear" w:color="auto" w:fill="auto"/>
              <w:bidi w:val="0"/>
              <w:spacing w:before="0" w:after="0" w:line="240" w:lineRule="auto"/>
              <w:ind w:left="0" w:right="0" w:firstLine="0"/>
              <w:jc w:val="both"/>
            </w:pPr>
            <w:r>
              <w:rPr>
                <w:color w:val="000000"/>
                <w:spacing w:val="0"/>
                <w:w w:val="100"/>
                <w:position w:val="0"/>
              </w:rPr>
              <w:t>定</w:t>
            </w:r>
          </w:p>
        </w:tc>
        <w:tc>
          <w:tcPr>
            <w:tcBorders>
              <w:top w:val="single" w:sz="4"/>
              <w:left w:val="single" w:sz="4"/>
            </w:tcBorders>
            <w:shd w:val="clear" w:color="auto" w:fill="FFFFFF"/>
            <w:vAlign w:val="center"/>
          </w:tcPr>
          <w:p>
            <w:pPr>
              <w:pStyle w:val="Style20"/>
              <w:keepNext w:val="0"/>
              <w:keepLines w:val="0"/>
              <w:framePr w:w="14050" w:h="8136" w:hSpace="5" w:vSpace="600" w:wrap="notBeside" w:vAnchor="text" w:hAnchor="text" w:x="32" w:y="60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4.95</w:t>
            </w:r>
          </w:p>
        </w:tc>
        <w:tc>
          <w:tcPr>
            <w:tcBorders>
              <w:top w:val="single" w:sz="4"/>
              <w:left w:val="single" w:sz="4"/>
            </w:tcBorders>
            <w:shd w:val="clear" w:color="auto" w:fill="FFFFFF"/>
            <w:vAlign w:val="top"/>
          </w:tcPr>
          <w:p>
            <w:pPr>
              <w:framePr w:w="14050" w:h="8136" w:hSpace="5" w:vSpace="600" w:wrap="notBeside" w:vAnchor="text" w:hAnchor="text" w:x="32" w:y="601"/>
              <w:widowControl w:val="0"/>
              <w:rPr>
                <w:sz w:val="10"/>
                <w:szCs w:val="10"/>
              </w:rPr>
            </w:pPr>
          </w:p>
        </w:tc>
        <w:tc>
          <w:tcPr>
            <w:tcBorders>
              <w:top w:val="single" w:sz="4"/>
              <w:left w:val="single" w:sz="4"/>
            </w:tcBorders>
            <w:shd w:val="clear" w:color="auto" w:fill="FFFFFF"/>
            <w:vAlign w:val="top"/>
          </w:tcPr>
          <w:p>
            <w:pPr>
              <w:framePr w:w="14050" w:h="8136" w:hSpace="5" w:vSpace="600" w:wrap="notBeside" w:vAnchor="text" w:hAnchor="text" w:x="32" w:y="601"/>
              <w:widowControl w:val="0"/>
              <w:rPr>
                <w:sz w:val="10"/>
                <w:szCs w:val="10"/>
              </w:rPr>
            </w:pPr>
          </w:p>
        </w:tc>
        <w:tc>
          <w:tcPr>
            <w:tcBorders>
              <w:top w:val="single" w:sz="4"/>
              <w:left w:val="single" w:sz="4"/>
            </w:tcBorders>
            <w:shd w:val="clear" w:color="auto" w:fill="FFFFFF"/>
            <w:vAlign w:val="top"/>
          </w:tcPr>
          <w:p>
            <w:pPr>
              <w:framePr w:w="14050" w:h="8136" w:hSpace="5" w:vSpace="600" w:wrap="notBeside" w:vAnchor="text" w:hAnchor="text" w:x="32" w:y="601"/>
              <w:widowControl w:val="0"/>
              <w:rPr>
                <w:sz w:val="10"/>
                <w:szCs w:val="10"/>
              </w:rPr>
            </w:pPr>
          </w:p>
        </w:tc>
        <w:tc>
          <w:tcPr>
            <w:tcBorders>
              <w:top w:val="single" w:sz="4"/>
              <w:left w:val="single" w:sz="4"/>
            </w:tcBorders>
            <w:shd w:val="clear" w:color="auto" w:fill="FFFFFF"/>
            <w:vAlign w:val="center"/>
          </w:tcPr>
          <w:p>
            <w:pPr>
              <w:pStyle w:val="Style20"/>
              <w:keepNext w:val="0"/>
              <w:keepLines w:val="0"/>
              <w:framePr w:w="14050" w:h="8136" w:hSpace="5" w:vSpace="600" w:wrap="notBeside" w:vAnchor="text" w:hAnchor="text" w:x="32" w:y="601"/>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framePr w:w="14050" w:h="8136" w:hSpace="5" w:vSpace="600" w:wrap="notBeside" w:vAnchor="text" w:hAnchor="text" w:x="32" w:y="601"/>
              <w:widowControl w:val="0"/>
              <w:shd w:val="clear" w:color="auto" w:fill="auto"/>
              <w:bidi w:val="0"/>
              <w:spacing w:before="0" w:after="0" w:line="240" w:lineRule="auto"/>
              <w:ind w:left="0" w:right="0" w:firstLine="0"/>
              <w:jc w:val="left"/>
            </w:pPr>
            <w:r>
              <w:rPr>
                <w:color w:val="000000"/>
                <w:spacing w:val="0"/>
                <w:w w:val="100"/>
                <w:position w:val="0"/>
              </w:rPr>
              <w:t>现金结算</w:t>
            </w:r>
          </w:p>
        </w:tc>
        <w:tc>
          <w:tcPr>
            <w:tcBorders>
              <w:top w:val="single" w:sz="4"/>
              <w:left w:val="single" w:sz="4"/>
            </w:tcBorders>
            <w:shd w:val="clear" w:color="auto" w:fill="FFFFFF"/>
            <w:vAlign w:val="center"/>
          </w:tcPr>
          <w:p>
            <w:pPr>
              <w:pStyle w:val="Style20"/>
              <w:keepNext w:val="0"/>
              <w:keepLines w:val="0"/>
              <w:framePr w:w="14050" w:h="8136" w:hSpace="5" w:vSpace="600" w:wrap="notBeside" w:vAnchor="text" w:hAnchor="text" w:x="32" w:y="601"/>
              <w:widowControl w:val="0"/>
              <w:shd w:val="clear" w:color="auto" w:fill="auto"/>
              <w:bidi w:val="0"/>
              <w:spacing w:before="0" w:after="0" w:line="312" w:lineRule="exact"/>
              <w:ind w:left="0" w:right="0" w:firstLine="0"/>
              <w:jc w:val="left"/>
            </w:pPr>
            <w:r>
              <w:rPr>
                <w:color w:val="000000"/>
                <w:spacing w:val="0"/>
                <w:w w:val="100"/>
                <w:position w:val="0"/>
              </w:rPr>
              <w:t>与本次关 联交易价 格持平</w:t>
            </w:r>
          </w:p>
        </w:tc>
        <w:tc>
          <w:tcPr>
            <w:tcBorders>
              <w:top w:val="single" w:sz="4"/>
              <w:left w:val="single" w:sz="4"/>
            </w:tcBorders>
            <w:shd w:val="clear" w:color="auto" w:fill="FFFFFF"/>
            <w:vAlign w:val="top"/>
          </w:tcPr>
          <w:p>
            <w:pPr>
              <w:framePr w:w="14050" w:h="8136" w:hSpace="5" w:vSpace="600" w:wrap="notBeside" w:vAnchor="text" w:hAnchor="text" w:x="32" w:y="601"/>
              <w:widowControl w:val="0"/>
              <w:rPr>
                <w:sz w:val="10"/>
                <w:szCs w:val="10"/>
              </w:rPr>
            </w:pPr>
          </w:p>
        </w:tc>
        <w:tc>
          <w:tcPr>
            <w:tcBorders>
              <w:top w:val="single" w:sz="4"/>
              <w:left w:val="single" w:sz="4"/>
              <w:right w:val="single" w:sz="4"/>
            </w:tcBorders>
            <w:shd w:val="clear" w:color="auto" w:fill="FFFFFF"/>
            <w:vAlign w:val="top"/>
          </w:tcPr>
          <w:p>
            <w:pPr>
              <w:framePr w:w="14050" w:h="8136" w:hSpace="5" w:vSpace="600" w:wrap="notBeside" w:vAnchor="text" w:hAnchor="text" w:x="32" w:y="601"/>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0"/>
              <w:keepNext w:val="0"/>
              <w:keepLines w:val="0"/>
              <w:framePr w:w="14050" w:h="8136" w:hSpace="5" w:vSpace="600" w:wrap="notBeside" w:vAnchor="text" w:hAnchor="text" w:x="32" w:y="601"/>
              <w:widowControl w:val="0"/>
              <w:shd w:val="clear" w:color="auto" w:fill="auto"/>
              <w:bidi w:val="0"/>
              <w:spacing w:before="0" w:after="0" w:line="355" w:lineRule="exact"/>
              <w:ind w:left="140" w:right="0" w:firstLine="0"/>
              <w:jc w:val="both"/>
            </w:pPr>
            <w:r>
              <w:rPr>
                <w:color w:val="000000"/>
                <w:spacing w:val="0"/>
                <w:w w:val="100"/>
                <w:position w:val="0"/>
              </w:rPr>
              <w:t>中江 信托</w:t>
            </w:r>
          </w:p>
        </w:tc>
        <w:tc>
          <w:tcPr>
            <w:tcBorders>
              <w:top w:val="single" w:sz="4"/>
              <w:left w:val="single" w:sz="4"/>
            </w:tcBorders>
            <w:shd w:val="clear" w:color="auto" w:fill="FFFFFF"/>
            <w:vAlign w:val="center"/>
          </w:tcPr>
          <w:p>
            <w:pPr>
              <w:pStyle w:val="Style20"/>
              <w:keepNext w:val="0"/>
              <w:keepLines w:val="0"/>
              <w:framePr w:w="14050" w:h="8136" w:hSpace="5" w:vSpace="600" w:wrap="notBeside" w:vAnchor="text" w:hAnchor="text" w:x="32" w:y="601"/>
              <w:widowControl w:val="0"/>
              <w:shd w:val="clear" w:color="auto" w:fill="auto"/>
              <w:bidi w:val="0"/>
              <w:spacing w:before="0" w:after="0" w:line="331" w:lineRule="exact"/>
              <w:ind w:left="0" w:right="0" w:firstLine="0"/>
              <w:jc w:val="center"/>
            </w:pPr>
            <w:r>
              <w:rPr>
                <w:rFonts w:ascii="Times New Roman" w:eastAsia="Times New Roman" w:hAnsi="Times New Roman" w:cs="Times New Roman"/>
                <w:color w:val="000000"/>
                <w:spacing w:val="0"/>
                <w:w w:val="100"/>
                <w:position w:val="0"/>
              </w:rPr>
              <w:t>5%</w:t>
            </w:r>
            <w:r>
              <w:rPr>
                <w:color w:val="000000"/>
                <w:spacing w:val="0"/>
                <w:w w:val="100"/>
                <w:position w:val="0"/>
              </w:rPr>
              <w:t>以上 股东</w:t>
            </w:r>
          </w:p>
        </w:tc>
        <w:tc>
          <w:tcPr>
            <w:tcBorders>
              <w:top w:val="single" w:sz="4"/>
              <w:left w:val="single" w:sz="4"/>
            </w:tcBorders>
            <w:shd w:val="clear" w:color="auto" w:fill="FFFFFF"/>
            <w:vAlign w:val="center"/>
          </w:tcPr>
          <w:p>
            <w:pPr>
              <w:pStyle w:val="Style20"/>
              <w:keepNext w:val="0"/>
              <w:keepLines w:val="0"/>
              <w:framePr w:w="14050" w:h="8136" w:hSpace="5" w:vSpace="600" w:wrap="notBeside" w:vAnchor="text" w:hAnchor="text" w:x="32" w:y="601"/>
              <w:widowControl w:val="0"/>
              <w:shd w:val="clear" w:color="auto" w:fill="auto"/>
              <w:bidi w:val="0"/>
              <w:spacing w:before="0" w:after="0" w:line="312" w:lineRule="exact"/>
              <w:ind w:left="0" w:right="0" w:firstLine="0"/>
              <w:jc w:val="both"/>
            </w:pPr>
            <w:r>
              <w:rPr>
                <w:color w:val="000000"/>
                <w:spacing w:val="0"/>
                <w:w w:val="100"/>
                <w:position w:val="0"/>
              </w:rPr>
              <w:t>接受关联 人提供的 劳务</w:t>
            </w:r>
          </w:p>
        </w:tc>
        <w:tc>
          <w:tcPr>
            <w:tcBorders>
              <w:top w:val="single" w:sz="4"/>
              <w:left w:val="single" w:sz="4"/>
            </w:tcBorders>
            <w:shd w:val="clear" w:color="auto" w:fill="FFFFFF"/>
            <w:vAlign w:val="center"/>
          </w:tcPr>
          <w:p>
            <w:pPr>
              <w:pStyle w:val="Style20"/>
              <w:keepNext w:val="0"/>
              <w:keepLines w:val="0"/>
              <w:framePr w:w="14050" w:h="8136" w:hSpace="5" w:vSpace="600" w:wrap="notBeside" w:vAnchor="text" w:hAnchor="text" w:x="32" w:y="601"/>
              <w:widowControl w:val="0"/>
              <w:shd w:val="clear" w:color="auto" w:fill="auto"/>
              <w:bidi w:val="0"/>
              <w:spacing w:before="0" w:after="0" w:line="240" w:lineRule="auto"/>
              <w:ind w:left="0" w:right="0" w:firstLine="0"/>
              <w:jc w:val="left"/>
            </w:pPr>
            <w:r>
              <w:rPr>
                <w:color w:val="000000"/>
                <w:spacing w:val="0"/>
                <w:w w:val="100"/>
                <w:position w:val="0"/>
              </w:rPr>
              <w:t>手续费及佣金</w:t>
            </w:r>
          </w:p>
        </w:tc>
        <w:tc>
          <w:tcPr>
            <w:tcBorders>
              <w:top w:val="single" w:sz="4"/>
              <w:left w:val="single" w:sz="4"/>
            </w:tcBorders>
            <w:shd w:val="clear" w:color="auto" w:fill="FFFFFF"/>
            <w:vAlign w:val="center"/>
          </w:tcPr>
          <w:p>
            <w:pPr>
              <w:pStyle w:val="Style20"/>
              <w:keepNext w:val="0"/>
              <w:keepLines w:val="0"/>
              <w:framePr w:w="14050" w:h="8136" w:hSpace="5" w:vSpace="600" w:wrap="notBeside" w:vAnchor="text" w:hAnchor="text" w:x="32" w:y="601"/>
              <w:widowControl w:val="0"/>
              <w:shd w:val="clear" w:color="auto" w:fill="auto"/>
              <w:bidi w:val="0"/>
              <w:spacing w:before="0" w:after="0" w:line="240" w:lineRule="auto"/>
              <w:ind w:left="0" w:right="0" w:firstLine="0"/>
              <w:jc w:val="left"/>
            </w:pPr>
            <w:r>
              <w:rPr>
                <w:color w:val="000000"/>
                <w:spacing w:val="0"/>
                <w:w w:val="100"/>
                <w:position w:val="0"/>
              </w:rPr>
              <w:t>双方协定</w:t>
            </w:r>
          </w:p>
        </w:tc>
        <w:tc>
          <w:tcPr>
            <w:tcBorders>
              <w:top w:val="single" w:sz="4"/>
              <w:left w:val="single" w:sz="4"/>
            </w:tcBorders>
            <w:shd w:val="clear" w:color="auto" w:fill="FFFFFF"/>
            <w:vAlign w:val="center"/>
          </w:tcPr>
          <w:p>
            <w:pPr>
              <w:pStyle w:val="Style20"/>
              <w:keepNext w:val="0"/>
              <w:keepLines w:val="0"/>
              <w:framePr w:w="14050" w:h="8136" w:hSpace="5" w:vSpace="600" w:wrap="notBeside" w:vAnchor="text" w:hAnchor="text" w:x="32" w:y="601"/>
              <w:widowControl w:val="0"/>
              <w:shd w:val="clear" w:color="auto" w:fill="auto"/>
              <w:bidi w:val="0"/>
              <w:spacing w:before="0" w:after="80" w:line="240" w:lineRule="auto"/>
              <w:ind w:left="0" w:right="0" w:firstLine="0"/>
              <w:jc w:val="both"/>
            </w:pPr>
            <w:r>
              <w:rPr>
                <w:color w:val="000000"/>
                <w:spacing w:val="0"/>
                <w:w w:val="100"/>
                <w:position w:val="0"/>
              </w:rPr>
              <w:t>双方协</w:t>
            </w:r>
          </w:p>
          <w:p>
            <w:pPr>
              <w:pStyle w:val="Style20"/>
              <w:keepNext w:val="0"/>
              <w:keepLines w:val="0"/>
              <w:framePr w:w="14050" w:h="8136" w:hSpace="5" w:vSpace="600" w:wrap="notBeside" w:vAnchor="text" w:hAnchor="text" w:x="32" w:y="601"/>
              <w:widowControl w:val="0"/>
              <w:shd w:val="clear" w:color="auto" w:fill="auto"/>
              <w:bidi w:val="0"/>
              <w:spacing w:before="0" w:after="0" w:line="240" w:lineRule="auto"/>
              <w:ind w:left="0" w:right="0" w:firstLine="0"/>
              <w:jc w:val="both"/>
            </w:pPr>
            <w:r>
              <w:rPr>
                <w:color w:val="000000"/>
                <w:spacing w:val="0"/>
                <w:w w:val="100"/>
                <w:position w:val="0"/>
              </w:rPr>
              <w:t>定</w:t>
            </w:r>
          </w:p>
        </w:tc>
        <w:tc>
          <w:tcPr>
            <w:tcBorders>
              <w:top w:val="single" w:sz="4"/>
              <w:left w:val="single" w:sz="4"/>
            </w:tcBorders>
            <w:shd w:val="clear" w:color="auto" w:fill="FFFFFF"/>
            <w:vAlign w:val="center"/>
          </w:tcPr>
          <w:p>
            <w:pPr>
              <w:pStyle w:val="Style20"/>
              <w:keepNext w:val="0"/>
              <w:keepLines w:val="0"/>
              <w:framePr w:w="14050" w:h="8136" w:hSpace="5" w:vSpace="600" w:wrap="notBeside" w:vAnchor="text" w:hAnchor="text" w:x="32" w:y="60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75.47</w:t>
            </w:r>
          </w:p>
        </w:tc>
        <w:tc>
          <w:tcPr>
            <w:tcBorders>
              <w:top w:val="single" w:sz="4"/>
              <w:left w:val="single" w:sz="4"/>
            </w:tcBorders>
            <w:shd w:val="clear" w:color="auto" w:fill="FFFFFF"/>
            <w:vAlign w:val="top"/>
          </w:tcPr>
          <w:p>
            <w:pPr>
              <w:framePr w:w="14050" w:h="8136" w:hSpace="5" w:vSpace="600" w:wrap="notBeside" w:vAnchor="text" w:hAnchor="text" w:x="32" w:y="601"/>
              <w:widowControl w:val="0"/>
              <w:rPr>
                <w:sz w:val="10"/>
                <w:szCs w:val="10"/>
              </w:rPr>
            </w:pPr>
          </w:p>
        </w:tc>
        <w:tc>
          <w:tcPr>
            <w:tcBorders>
              <w:top w:val="single" w:sz="4"/>
              <w:left w:val="single" w:sz="4"/>
            </w:tcBorders>
            <w:shd w:val="clear" w:color="auto" w:fill="FFFFFF"/>
            <w:vAlign w:val="top"/>
          </w:tcPr>
          <w:p>
            <w:pPr>
              <w:framePr w:w="14050" w:h="8136" w:hSpace="5" w:vSpace="600" w:wrap="notBeside" w:vAnchor="text" w:hAnchor="text" w:x="32" w:y="601"/>
              <w:widowControl w:val="0"/>
              <w:rPr>
                <w:sz w:val="10"/>
                <w:szCs w:val="10"/>
              </w:rPr>
            </w:pPr>
          </w:p>
        </w:tc>
        <w:tc>
          <w:tcPr>
            <w:tcBorders>
              <w:top w:val="single" w:sz="4"/>
              <w:left w:val="single" w:sz="4"/>
            </w:tcBorders>
            <w:shd w:val="clear" w:color="auto" w:fill="FFFFFF"/>
            <w:vAlign w:val="top"/>
          </w:tcPr>
          <w:p>
            <w:pPr>
              <w:framePr w:w="14050" w:h="8136" w:hSpace="5" w:vSpace="600" w:wrap="notBeside" w:vAnchor="text" w:hAnchor="text" w:x="32" w:y="601"/>
              <w:widowControl w:val="0"/>
              <w:rPr>
                <w:sz w:val="10"/>
                <w:szCs w:val="10"/>
              </w:rPr>
            </w:pPr>
          </w:p>
        </w:tc>
        <w:tc>
          <w:tcPr>
            <w:tcBorders>
              <w:top w:val="single" w:sz="4"/>
              <w:left w:val="single" w:sz="4"/>
            </w:tcBorders>
            <w:shd w:val="clear" w:color="auto" w:fill="FFFFFF"/>
            <w:vAlign w:val="center"/>
          </w:tcPr>
          <w:p>
            <w:pPr>
              <w:pStyle w:val="Style20"/>
              <w:keepNext w:val="0"/>
              <w:keepLines w:val="0"/>
              <w:framePr w:w="14050" w:h="8136" w:hSpace="5" w:vSpace="600" w:wrap="notBeside" w:vAnchor="text" w:hAnchor="text" w:x="32" w:y="601"/>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framePr w:w="14050" w:h="8136" w:hSpace="5" w:vSpace="600" w:wrap="notBeside" w:vAnchor="text" w:hAnchor="text" w:x="32" w:y="601"/>
              <w:widowControl w:val="0"/>
              <w:shd w:val="clear" w:color="auto" w:fill="auto"/>
              <w:bidi w:val="0"/>
              <w:spacing w:before="0" w:after="0" w:line="240" w:lineRule="auto"/>
              <w:ind w:left="0" w:right="0" w:firstLine="0"/>
              <w:jc w:val="left"/>
            </w:pPr>
            <w:r>
              <w:rPr>
                <w:color w:val="000000"/>
                <w:spacing w:val="0"/>
                <w:w w:val="100"/>
                <w:position w:val="0"/>
              </w:rPr>
              <w:t>现金结算</w:t>
            </w:r>
          </w:p>
        </w:tc>
        <w:tc>
          <w:tcPr>
            <w:tcBorders>
              <w:top w:val="single" w:sz="4"/>
              <w:left w:val="single" w:sz="4"/>
            </w:tcBorders>
            <w:shd w:val="clear" w:color="auto" w:fill="FFFFFF"/>
            <w:vAlign w:val="center"/>
          </w:tcPr>
          <w:p>
            <w:pPr>
              <w:pStyle w:val="Style20"/>
              <w:keepNext w:val="0"/>
              <w:keepLines w:val="0"/>
              <w:framePr w:w="14050" w:h="8136" w:hSpace="5" w:vSpace="600" w:wrap="notBeside" w:vAnchor="text" w:hAnchor="text" w:x="32" w:y="601"/>
              <w:widowControl w:val="0"/>
              <w:shd w:val="clear" w:color="auto" w:fill="auto"/>
              <w:bidi w:val="0"/>
              <w:spacing w:before="0" w:after="0" w:line="312" w:lineRule="exact"/>
              <w:ind w:left="0" w:right="0" w:firstLine="0"/>
              <w:jc w:val="left"/>
            </w:pPr>
            <w:r>
              <w:rPr>
                <w:color w:val="000000"/>
                <w:spacing w:val="0"/>
                <w:w w:val="100"/>
                <w:position w:val="0"/>
              </w:rPr>
              <w:t>与本次关 联交易价 格持平</w:t>
            </w:r>
          </w:p>
        </w:tc>
        <w:tc>
          <w:tcPr>
            <w:tcBorders>
              <w:top w:val="single" w:sz="4"/>
              <w:left w:val="single" w:sz="4"/>
            </w:tcBorders>
            <w:shd w:val="clear" w:color="auto" w:fill="FFFFFF"/>
            <w:vAlign w:val="top"/>
          </w:tcPr>
          <w:p>
            <w:pPr>
              <w:framePr w:w="14050" w:h="8136" w:hSpace="5" w:vSpace="600" w:wrap="notBeside" w:vAnchor="text" w:hAnchor="text" w:x="32" w:y="601"/>
              <w:widowControl w:val="0"/>
              <w:rPr>
                <w:sz w:val="10"/>
                <w:szCs w:val="10"/>
              </w:rPr>
            </w:pPr>
          </w:p>
        </w:tc>
        <w:tc>
          <w:tcPr>
            <w:tcBorders>
              <w:top w:val="single" w:sz="4"/>
              <w:left w:val="single" w:sz="4"/>
              <w:right w:val="single" w:sz="4"/>
            </w:tcBorders>
            <w:shd w:val="clear" w:color="auto" w:fill="FFFFFF"/>
            <w:vAlign w:val="top"/>
          </w:tcPr>
          <w:p>
            <w:pPr>
              <w:framePr w:w="14050" w:h="8136" w:hSpace="5" w:vSpace="600" w:wrap="notBeside" w:vAnchor="text" w:hAnchor="text" w:x="32" w:y="601"/>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framePr w:w="14050" w:h="8136" w:hSpace="5" w:vSpace="600" w:wrap="notBeside" w:vAnchor="text" w:hAnchor="text" w:x="32" w:y="601"/>
              <w:widowControl w:val="0"/>
              <w:shd w:val="clear" w:color="auto" w:fill="auto"/>
              <w:bidi w:val="0"/>
              <w:spacing w:before="0" w:after="0" w:line="355" w:lineRule="exact"/>
              <w:ind w:left="140" w:right="0" w:firstLine="0"/>
              <w:jc w:val="both"/>
            </w:pPr>
            <w:r>
              <w:rPr>
                <w:color w:val="000000"/>
                <w:spacing w:val="0"/>
                <w:w w:val="100"/>
                <w:position w:val="0"/>
              </w:rPr>
              <w:t>中江 信托</w:t>
            </w:r>
          </w:p>
        </w:tc>
        <w:tc>
          <w:tcPr>
            <w:tcBorders>
              <w:top w:val="single" w:sz="4"/>
              <w:left w:val="single" w:sz="4"/>
            </w:tcBorders>
            <w:shd w:val="clear" w:color="auto" w:fill="FFFFFF"/>
            <w:vAlign w:val="center"/>
          </w:tcPr>
          <w:p>
            <w:pPr>
              <w:pStyle w:val="Style20"/>
              <w:keepNext w:val="0"/>
              <w:keepLines w:val="0"/>
              <w:framePr w:w="14050" w:h="8136" w:hSpace="5" w:vSpace="600" w:wrap="notBeside" w:vAnchor="text" w:hAnchor="text" w:x="32" w:y="601"/>
              <w:widowControl w:val="0"/>
              <w:shd w:val="clear" w:color="auto" w:fill="auto"/>
              <w:bidi w:val="0"/>
              <w:spacing w:before="0" w:after="0" w:line="331" w:lineRule="exact"/>
              <w:ind w:left="0" w:right="0" w:firstLine="0"/>
              <w:jc w:val="center"/>
            </w:pPr>
            <w:r>
              <w:rPr>
                <w:rFonts w:ascii="Times New Roman" w:eastAsia="Times New Roman" w:hAnsi="Times New Roman" w:cs="Times New Roman"/>
                <w:color w:val="000000"/>
                <w:spacing w:val="0"/>
                <w:w w:val="100"/>
                <w:position w:val="0"/>
              </w:rPr>
              <w:t>5%</w:t>
            </w:r>
            <w:r>
              <w:rPr>
                <w:color w:val="000000"/>
                <w:spacing w:val="0"/>
                <w:w w:val="100"/>
                <w:position w:val="0"/>
              </w:rPr>
              <w:t>以上 股东</w:t>
            </w:r>
          </w:p>
        </w:tc>
        <w:tc>
          <w:tcPr>
            <w:tcBorders>
              <w:top w:val="single" w:sz="4"/>
              <w:left w:val="single" w:sz="4"/>
            </w:tcBorders>
            <w:shd w:val="clear" w:color="auto" w:fill="FFFFFF"/>
            <w:vAlign w:val="center"/>
          </w:tcPr>
          <w:p>
            <w:pPr>
              <w:pStyle w:val="Style20"/>
              <w:keepNext w:val="0"/>
              <w:keepLines w:val="0"/>
              <w:framePr w:w="14050" w:h="8136" w:hSpace="5" w:vSpace="600" w:wrap="notBeside" w:vAnchor="text" w:hAnchor="text" w:x="32" w:y="601"/>
              <w:widowControl w:val="0"/>
              <w:shd w:val="clear" w:color="auto" w:fill="auto"/>
              <w:bidi w:val="0"/>
              <w:spacing w:before="0" w:after="0" w:line="312" w:lineRule="exact"/>
              <w:ind w:left="0" w:right="0" w:firstLine="0"/>
              <w:jc w:val="both"/>
            </w:pPr>
            <w:r>
              <w:rPr>
                <w:color w:val="000000"/>
                <w:spacing w:val="0"/>
                <w:w w:val="100"/>
                <w:position w:val="0"/>
              </w:rPr>
              <w:t>委托关联 人管理资 产</w:t>
            </w:r>
          </w:p>
        </w:tc>
        <w:tc>
          <w:tcPr>
            <w:tcBorders>
              <w:top w:val="single" w:sz="4"/>
              <w:left w:val="single" w:sz="4"/>
            </w:tcBorders>
            <w:shd w:val="clear" w:color="auto" w:fill="FFFFFF"/>
            <w:vAlign w:val="center"/>
          </w:tcPr>
          <w:p>
            <w:pPr>
              <w:pStyle w:val="Style20"/>
              <w:keepNext w:val="0"/>
              <w:keepLines w:val="0"/>
              <w:framePr w:w="14050" w:h="8136" w:hSpace="5" w:vSpace="600" w:wrap="notBeside" w:vAnchor="text" w:hAnchor="text" w:x="32" w:y="601"/>
              <w:widowControl w:val="0"/>
              <w:shd w:val="clear" w:color="auto" w:fill="auto"/>
              <w:bidi w:val="0"/>
              <w:spacing w:before="0" w:after="0" w:line="312" w:lineRule="exact"/>
              <w:ind w:left="0" w:right="0" w:firstLine="0"/>
              <w:jc w:val="left"/>
            </w:pPr>
            <w:r>
              <w:rPr>
                <w:color w:val="000000"/>
                <w:spacing w:val="0"/>
                <w:w w:val="100"/>
                <w:position w:val="0"/>
              </w:rPr>
              <w:t>委托关联人管理集合 资金信托计划</w:t>
            </w:r>
          </w:p>
        </w:tc>
        <w:tc>
          <w:tcPr>
            <w:tcBorders>
              <w:top w:val="single" w:sz="4"/>
              <w:left w:val="single" w:sz="4"/>
            </w:tcBorders>
            <w:shd w:val="clear" w:color="auto" w:fill="FFFFFF"/>
            <w:vAlign w:val="center"/>
          </w:tcPr>
          <w:p>
            <w:pPr>
              <w:pStyle w:val="Style20"/>
              <w:keepNext w:val="0"/>
              <w:keepLines w:val="0"/>
              <w:framePr w:w="14050" w:h="8136" w:hSpace="5" w:vSpace="600" w:wrap="notBeside" w:vAnchor="text" w:hAnchor="text" w:x="32" w:y="601"/>
              <w:widowControl w:val="0"/>
              <w:shd w:val="clear" w:color="auto" w:fill="auto"/>
              <w:bidi w:val="0"/>
              <w:spacing w:before="0" w:after="0" w:line="240" w:lineRule="auto"/>
              <w:ind w:left="0" w:right="0" w:firstLine="0"/>
              <w:jc w:val="left"/>
            </w:pPr>
            <w:r>
              <w:rPr>
                <w:color w:val="000000"/>
                <w:spacing w:val="0"/>
                <w:w w:val="100"/>
                <w:position w:val="0"/>
              </w:rPr>
              <w:t>双方协定</w:t>
            </w:r>
          </w:p>
        </w:tc>
        <w:tc>
          <w:tcPr>
            <w:tcBorders>
              <w:top w:val="single" w:sz="4"/>
              <w:left w:val="single" w:sz="4"/>
            </w:tcBorders>
            <w:shd w:val="clear" w:color="auto" w:fill="FFFFFF"/>
            <w:vAlign w:val="center"/>
          </w:tcPr>
          <w:p>
            <w:pPr>
              <w:pStyle w:val="Style20"/>
              <w:keepNext w:val="0"/>
              <w:keepLines w:val="0"/>
              <w:framePr w:w="14050" w:h="8136" w:hSpace="5" w:vSpace="600" w:wrap="notBeside" w:vAnchor="text" w:hAnchor="text" w:x="32" w:y="601"/>
              <w:widowControl w:val="0"/>
              <w:shd w:val="clear" w:color="auto" w:fill="auto"/>
              <w:bidi w:val="0"/>
              <w:spacing w:before="0" w:after="80" w:line="240" w:lineRule="auto"/>
              <w:ind w:left="0" w:right="0" w:firstLine="0"/>
              <w:jc w:val="both"/>
            </w:pPr>
            <w:r>
              <w:rPr>
                <w:color w:val="000000"/>
                <w:spacing w:val="0"/>
                <w:w w:val="100"/>
                <w:position w:val="0"/>
              </w:rPr>
              <w:t>双方协</w:t>
            </w:r>
          </w:p>
          <w:p>
            <w:pPr>
              <w:pStyle w:val="Style20"/>
              <w:keepNext w:val="0"/>
              <w:keepLines w:val="0"/>
              <w:framePr w:w="14050" w:h="8136" w:hSpace="5" w:vSpace="600" w:wrap="notBeside" w:vAnchor="text" w:hAnchor="text" w:x="32" w:y="601"/>
              <w:widowControl w:val="0"/>
              <w:shd w:val="clear" w:color="auto" w:fill="auto"/>
              <w:bidi w:val="0"/>
              <w:spacing w:before="0" w:after="0" w:line="240" w:lineRule="auto"/>
              <w:ind w:left="0" w:right="0" w:firstLine="0"/>
              <w:jc w:val="both"/>
            </w:pPr>
            <w:r>
              <w:rPr>
                <w:color w:val="000000"/>
                <w:spacing w:val="0"/>
                <w:w w:val="100"/>
                <w:position w:val="0"/>
              </w:rPr>
              <w:t>定</w:t>
            </w:r>
          </w:p>
        </w:tc>
        <w:tc>
          <w:tcPr>
            <w:tcBorders>
              <w:top w:val="single" w:sz="4"/>
              <w:left w:val="single" w:sz="4"/>
            </w:tcBorders>
            <w:shd w:val="clear" w:color="auto" w:fill="FFFFFF"/>
            <w:vAlign w:val="center"/>
          </w:tcPr>
          <w:p>
            <w:pPr>
              <w:pStyle w:val="Style20"/>
              <w:keepNext w:val="0"/>
              <w:keepLines w:val="0"/>
              <w:framePr w:w="14050" w:h="8136" w:hSpace="5" w:vSpace="600" w:wrap="notBeside" w:vAnchor="text" w:hAnchor="text" w:x="32" w:y="60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framePr w:w="14050" w:h="8136" w:hSpace="5" w:vSpace="600" w:wrap="notBeside" w:vAnchor="text" w:hAnchor="text" w:x="32" w:y="601"/>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215.42</w:t>
            </w:r>
          </w:p>
        </w:tc>
        <w:tc>
          <w:tcPr>
            <w:tcBorders>
              <w:top w:val="single" w:sz="4"/>
              <w:left w:val="single" w:sz="4"/>
            </w:tcBorders>
            <w:shd w:val="clear" w:color="auto" w:fill="FFFFFF"/>
            <w:vAlign w:val="top"/>
          </w:tcPr>
          <w:p>
            <w:pPr>
              <w:framePr w:w="14050" w:h="8136" w:hSpace="5" w:vSpace="600" w:wrap="notBeside" w:vAnchor="text" w:hAnchor="text" w:x="32" w:y="601"/>
              <w:widowControl w:val="0"/>
              <w:rPr>
                <w:sz w:val="10"/>
                <w:szCs w:val="10"/>
              </w:rPr>
            </w:pPr>
          </w:p>
        </w:tc>
        <w:tc>
          <w:tcPr>
            <w:tcBorders>
              <w:top w:val="single" w:sz="4"/>
              <w:left w:val="single" w:sz="4"/>
            </w:tcBorders>
            <w:shd w:val="clear" w:color="auto" w:fill="FFFFFF"/>
            <w:vAlign w:val="top"/>
          </w:tcPr>
          <w:p>
            <w:pPr>
              <w:framePr w:w="14050" w:h="8136" w:hSpace="5" w:vSpace="600" w:wrap="notBeside" w:vAnchor="text" w:hAnchor="text" w:x="32" w:y="601"/>
              <w:widowControl w:val="0"/>
              <w:rPr>
                <w:sz w:val="10"/>
                <w:szCs w:val="10"/>
              </w:rPr>
            </w:pPr>
          </w:p>
        </w:tc>
        <w:tc>
          <w:tcPr>
            <w:tcBorders>
              <w:top w:val="single" w:sz="4"/>
              <w:left w:val="single" w:sz="4"/>
            </w:tcBorders>
            <w:shd w:val="clear" w:color="auto" w:fill="FFFFFF"/>
            <w:vAlign w:val="center"/>
          </w:tcPr>
          <w:p>
            <w:pPr>
              <w:pStyle w:val="Style20"/>
              <w:keepNext w:val="0"/>
              <w:keepLines w:val="0"/>
              <w:framePr w:w="14050" w:h="8136" w:hSpace="5" w:vSpace="600" w:wrap="notBeside" w:vAnchor="text" w:hAnchor="text" w:x="32" w:y="601"/>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framePr w:w="14050" w:h="8136" w:hSpace="5" w:vSpace="600" w:wrap="notBeside" w:vAnchor="text" w:hAnchor="text" w:x="32" w:y="601"/>
              <w:widowControl w:val="0"/>
              <w:shd w:val="clear" w:color="auto" w:fill="auto"/>
              <w:bidi w:val="0"/>
              <w:spacing w:before="0" w:after="0" w:line="240" w:lineRule="auto"/>
              <w:ind w:left="0" w:right="0" w:firstLine="0"/>
              <w:jc w:val="left"/>
            </w:pPr>
            <w:r>
              <w:rPr>
                <w:color w:val="000000"/>
                <w:spacing w:val="0"/>
                <w:w w:val="100"/>
                <w:position w:val="0"/>
              </w:rPr>
              <w:t>现金结算</w:t>
            </w:r>
          </w:p>
        </w:tc>
        <w:tc>
          <w:tcPr>
            <w:tcBorders>
              <w:top w:val="single" w:sz="4"/>
              <w:left w:val="single" w:sz="4"/>
            </w:tcBorders>
            <w:shd w:val="clear" w:color="auto" w:fill="FFFFFF"/>
            <w:vAlign w:val="center"/>
          </w:tcPr>
          <w:p>
            <w:pPr>
              <w:pStyle w:val="Style20"/>
              <w:keepNext w:val="0"/>
              <w:keepLines w:val="0"/>
              <w:framePr w:w="14050" w:h="8136" w:hSpace="5" w:vSpace="600" w:wrap="notBeside" w:vAnchor="text" w:hAnchor="text" w:x="32" w:y="601"/>
              <w:widowControl w:val="0"/>
              <w:shd w:val="clear" w:color="auto" w:fill="auto"/>
              <w:bidi w:val="0"/>
              <w:spacing w:before="0" w:after="0" w:line="312" w:lineRule="exact"/>
              <w:ind w:left="0" w:right="0" w:firstLine="0"/>
              <w:jc w:val="left"/>
            </w:pPr>
            <w:r>
              <w:rPr>
                <w:color w:val="000000"/>
                <w:spacing w:val="0"/>
                <w:w w:val="100"/>
                <w:position w:val="0"/>
              </w:rPr>
              <w:t>与本次关 联交易价 格持平</w:t>
            </w:r>
          </w:p>
        </w:tc>
        <w:tc>
          <w:tcPr>
            <w:tcBorders>
              <w:top w:val="single" w:sz="4"/>
              <w:left w:val="single" w:sz="4"/>
            </w:tcBorders>
            <w:shd w:val="clear" w:color="auto" w:fill="FFFFFF"/>
            <w:vAlign w:val="top"/>
          </w:tcPr>
          <w:p>
            <w:pPr>
              <w:framePr w:w="14050" w:h="8136" w:hSpace="5" w:vSpace="600" w:wrap="notBeside" w:vAnchor="text" w:hAnchor="text" w:x="32" w:y="601"/>
              <w:widowControl w:val="0"/>
              <w:rPr>
                <w:sz w:val="10"/>
                <w:szCs w:val="10"/>
              </w:rPr>
            </w:pPr>
          </w:p>
        </w:tc>
        <w:tc>
          <w:tcPr>
            <w:tcBorders>
              <w:top w:val="single" w:sz="4"/>
              <w:left w:val="single" w:sz="4"/>
              <w:right w:val="single" w:sz="4"/>
            </w:tcBorders>
            <w:shd w:val="clear" w:color="auto" w:fill="FFFFFF"/>
            <w:vAlign w:val="top"/>
          </w:tcPr>
          <w:p>
            <w:pPr>
              <w:framePr w:w="14050" w:h="8136" w:hSpace="5" w:vSpace="600" w:wrap="notBeside" w:vAnchor="text" w:hAnchor="text" w:x="32" w:y="601"/>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framePr w:w="14050" w:h="8136" w:hSpace="5" w:vSpace="600" w:wrap="notBeside" w:vAnchor="text" w:hAnchor="text" w:x="32" w:y="601"/>
              <w:widowControl w:val="0"/>
              <w:shd w:val="clear" w:color="auto" w:fill="auto"/>
              <w:bidi w:val="0"/>
              <w:spacing w:before="0" w:after="0" w:line="355" w:lineRule="exact"/>
              <w:ind w:left="140" w:right="0" w:firstLine="0"/>
              <w:jc w:val="both"/>
            </w:pPr>
            <w:r>
              <w:rPr>
                <w:color w:val="000000"/>
                <w:spacing w:val="0"/>
                <w:w w:val="100"/>
                <w:position w:val="0"/>
              </w:rPr>
              <w:t>中江 信托</w:t>
            </w:r>
          </w:p>
        </w:tc>
        <w:tc>
          <w:tcPr>
            <w:tcBorders>
              <w:top w:val="single" w:sz="4"/>
              <w:left w:val="single" w:sz="4"/>
            </w:tcBorders>
            <w:shd w:val="clear" w:color="auto" w:fill="FFFFFF"/>
            <w:vAlign w:val="center"/>
          </w:tcPr>
          <w:p>
            <w:pPr>
              <w:pStyle w:val="Style20"/>
              <w:keepNext w:val="0"/>
              <w:keepLines w:val="0"/>
              <w:framePr w:w="14050" w:h="8136" w:hSpace="5" w:vSpace="600" w:wrap="notBeside" w:vAnchor="text" w:hAnchor="text" w:x="32" w:y="601"/>
              <w:widowControl w:val="0"/>
              <w:shd w:val="clear" w:color="auto" w:fill="auto"/>
              <w:bidi w:val="0"/>
              <w:spacing w:before="0" w:after="0" w:line="331" w:lineRule="exact"/>
              <w:ind w:left="0" w:right="0" w:firstLine="0"/>
              <w:jc w:val="center"/>
            </w:pPr>
            <w:r>
              <w:rPr>
                <w:rFonts w:ascii="Times New Roman" w:eastAsia="Times New Roman" w:hAnsi="Times New Roman" w:cs="Times New Roman"/>
                <w:color w:val="000000"/>
                <w:spacing w:val="0"/>
                <w:w w:val="100"/>
                <w:position w:val="0"/>
              </w:rPr>
              <w:t>5%</w:t>
            </w:r>
            <w:r>
              <w:rPr>
                <w:color w:val="000000"/>
                <w:spacing w:val="0"/>
                <w:w w:val="100"/>
                <w:position w:val="0"/>
              </w:rPr>
              <w:t>以上 股东</w:t>
            </w:r>
          </w:p>
        </w:tc>
        <w:tc>
          <w:tcPr>
            <w:tcBorders>
              <w:top w:val="single" w:sz="4"/>
              <w:left w:val="single" w:sz="4"/>
            </w:tcBorders>
            <w:shd w:val="clear" w:color="auto" w:fill="FFFFFF"/>
            <w:vAlign w:val="center"/>
          </w:tcPr>
          <w:p>
            <w:pPr>
              <w:pStyle w:val="Style20"/>
              <w:keepNext w:val="0"/>
              <w:keepLines w:val="0"/>
              <w:framePr w:w="14050" w:h="8136" w:hSpace="5" w:vSpace="600" w:wrap="notBeside" w:vAnchor="text" w:hAnchor="text" w:x="32" w:y="601"/>
              <w:widowControl w:val="0"/>
              <w:shd w:val="clear" w:color="auto" w:fill="auto"/>
              <w:bidi w:val="0"/>
              <w:spacing w:before="0" w:after="0" w:line="314" w:lineRule="exact"/>
              <w:ind w:left="0" w:right="0" w:firstLine="0"/>
              <w:jc w:val="both"/>
            </w:pPr>
            <w:r>
              <w:rPr>
                <w:color w:val="000000"/>
                <w:spacing w:val="0"/>
                <w:w w:val="100"/>
                <w:position w:val="0"/>
              </w:rPr>
              <w:t>委托关联 人管理资 产</w:t>
            </w:r>
          </w:p>
        </w:tc>
        <w:tc>
          <w:tcPr>
            <w:tcBorders>
              <w:top w:val="single" w:sz="4"/>
              <w:left w:val="single" w:sz="4"/>
            </w:tcBorders>
            <w:shd w:val="clear" w:color="auto" w:fill="FFFFFF"/>
            <w:vAlign w:val="center"/>
          </w:tcPr>
          <w:p>
            <w:pPr>
              <w:pStyle w:val="Style20"/>
              <w:keepNext w:val="0"/>
              <w:keepLines w:val="0"/>
              <w:framePr w:w="14050" w:h="8136" w:hSpace="5" w:vSpace="600" w:wrap="notBeside" w:vAnchor="text" w:hAnchor="text" w:x="32" w:y="601"/>
              <w:widowControl w:val="0"/>
              <w:shd w:val="clear" w:color="auto" w:fill="auto"/>
              <w:bidi w:val="0"/>
              <w:spacing w:before="0" w:after="0" w:line="312" w:lineRule="exact"/>
              <w:ind w:left="0" w:right="0" w:firstLine="0"/>
              <w:jc w:val="left"/>
            </w:pPr>
            <w:r>
              <w:rPr>
                <w:color w:val="000000"/>
                <w:spacing w:val="0"/>
                <w:w w:val="100"/>
                <w:position w:val="0"/>
              </w:rPr>
              <w:t>委托关联人管理集合 资金信托计划</w:t>
            </w:r>
          </w:p>
        </w:tc>
        <w:tc>
          <w:tcPr>
            <w:tcBorders>
              <w:top w:val="single" w:sz="4"/>
              <w:left w:val="single" w:sz="4"/>
            </w:tcBorders>
            <w:shd w:val="clear" w:color="auto" w:fill="FFFFFF"/>
            <w:vAlign w:val="center"/>
          </w:tcPr>
          <w:p>
            <w:pPr>
              <w:pStyle w:val="Style20"/>
              <w:keepNext w:val="0"/>
              <w:keepLines w:val="0"/>
              <w:framePr w:w="14050" w:h="8136" w:hSpace="5" w:vSpace="600" w:wrap="notBeside" w:vAnchor="text" w:hAnchor="text" w:x="32" w:y="601"/>
              <w:widowControl w:val="0"/>
              <w:shd w:val="clear" w:color="auto" w:fill="auto"/>
              <w:bidi w:val="0"/>
              <w:spacing w:before="0" w:after="0" w:line="240" w:lineRule="auto"/>
              <w:ind w:left="0" w:right="0" w:firstLine="0"/>
              <w:jc w:val="left"/>
            </w:pPr>
            <w:r>
              <w:rPr>
                <w:color w:val="000000"/>
                <w:spacing w:val="0"/>
                <w:w w:val="100"/>
                <w:position w:val="0"/>
              </w:rPr>
              <w:t>双方协定</w:t>
            </w:r>
          </w:p>
        </w:tc>
        <w:tc>
          <w:tcPr>
            <w:tcBorders>
              <w:top w:val="single" w:sz="4"/>
              <w:left w:val="single" w:sz="4"/>
            </w:tcBorders>
            <w:shd w:val="clear" w:color="auto" w:fill="FFFFFF"/>
            <w:vAlign w:val="center"/>
          </w:tcPr>
          <w:p>
            <w:pPr>
              <w:pStyle w:val="Style20"/>
              <w:keepNext w:val="0"/>
              <w:keepLines w:val="0"/>
              <w:framePr w:w="14050" w:h="8136" w:hSpace="5" w:vSpace="600" w:wrap="notBeside" w:vAnchor="text" w:hAnchor="text" w:x="32" w:y="601"/>
              <w:widowControl w:val="0"/>
              <w:shd w:val="clear" w:color="auto" w:fill="auto"/>
              <w:bidi w:val="0"/>
              <w:spacing w:before="0" w:after="80" w:line="240" w:lineRule="auto"/>
              <w:ind w:left="0" w:right="0" w:firstLine="0"/>
              <w:jc w:val="both"/>
            </w:pPr>
            <w:r>
              <w:rPr>
                <w:color w:val="000000"/>
                <w:spacing w:val="0"/>
                <w:w w:val="100"/>
                <w:position w:val="0"/>
              </w:rPr>
              <w:t>双方协</w:t>
            </w:r>
          </w:p>
          <w:p>
            <w:pPr>
              <w:pStyle w:val="Style20"/>
              <w:keepNext w:val="0"/>
              <w:keepLines w:val="0"/>
              <w:framePr w:w="14050" w:h="8136" w:hSpace="5" w:vSpace="600" w:wrap="notBeside" w:vAnchor="text" w:hAnchor="text" w:x="32" w:y="601"/>
              <w:widowControl w:val="0"/>
              <w:shd w:val="clear" w:color="auto" w:fill="auto"/>
              <w:bidi w:val="0"/>
              <w:spacing w:before="0" w:after="0" w:line="240" w:lineRule="auto"/>
              <w:ind w:left="0" w:right="0" w:firstLine="0"/>
              <w:jc w:val="both"/>
            </w:pPr>
            <w:r>
              <w:rPr>
                <w:color w:val="000000"/>
                <w:spacing w:val="0"/>
                <w:w w:val="100"/>
                <w:position w:val="0"/>
              </w:rPr>
              <w:t>定</w:t>
            </w:r>
          </w:p>
        </w:tc>
        <w:tc>
          <w:tcPr>
            <w:tcBorders>
              <w:top w:val="single" w:sz="4"/>
              <w:left w:val="single" w:sz="4"/>
            </w:tcBorders>
            <w:shd w:val="clear" w:color="auto" w:fill="FFFFFF"/>
            <w:vAlign w:val="center"/>
          </w:tcPr>
          <w:p>
            <w:pPr>
              <w:pStyle w:val="Style20"/>
              <w:keepNext w:val="0"/>
              <w:keepLines w:val="0"/>
              <w:framePr w:w="14050" w:h="8136" w:hSpace="5" w:vSpace="600" w:wrap="notBeside" w:vAnchor="text" w:hAnchor="text" w:x="32" w:y="60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w:t>
            </w:r>
          </w:p>
        </w:tc>
        <w:tc>
          <w:tcPr>
            <w:tcBorders>
              <w:top w:val="single" w:sz="4"/>
              <w:left w:val="single" w:sz="4"/>
            </w:tcBorders>
            <w:shd w:val="clear" w:color="auto" w:fill="FFFFFF"/>
            <w:vAlign w:val="center"/>
          </w:tcPr>
          <w:p>
            <w:pPr>
              <w:pStyle w:val="Style20"/>
              <w:keepNext w:val="0"/>
              <w:keepLines w:val="0"/>
              <w:framePr w:w="14050" w:h="8136" w:hSpace="5" w:vSpace="600" w:wrap="notBeside" w:vAnchor="text" w:hAnchor="text" w:x="32" w:y="60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39.66</w:t>
            </w:r>
          </w:p>
        </w:tc>
        <w:tc>
          <w:tcPr>
            <w:tcBorders>
              <w:top w:val="single" w:sz="4"/>
              <w:left w:val="single" w:sz="4"/>
            </w:tcBorders>
            <w:shd w:val="clear" w:color="auto" w:fill="FFFFFF"/>
            <w:vAlign w:val="top"/>
          </w:tcPr>
          <w:p>
            <w:pPr>
              <w:framePr w:w="14050" w:h="8136" w:hSpace="5" w:vSpace="600" w:wrap="notBeside" w:vAnchor="text" w:hAnchor="text" w:x="32" w:y="601"/>
              <w:widowControl w:val="0"/>
              <w:rPr>
                <w:sz w:val="10"/>
                <w:szCs w:val="10"/>
              </w:rPr>
            </w:pPr>
          </w:p>
        </w:tc>
        <w:tc>
          <w:tcPr>
            <w:tcBorders>
              <w:top w:val="single" w:sz="4"/>
              <w:left w:val="single" w:sz="4"/>
            </w:tcBorders>
            <w:shd w:val="clear" w:color="auto" w:fill="FFFFFF"/>
            <w:vAlign w:val="top"/>
          </w:tcPr>
          <w:p>
            <w:pPr>
              <w:framePr w:w="14050" w:h="8136" w:hSpace="5" w:vSpace="600" w:wrap="notBeside" w:vAnchor="text" w:hAnchor="text" w:x="32" w:y="601"/>
              <w:widowControl w:val="0"/>
              <w:rPr>
                <w:sz w:val="10"/>
                <w:szCs w:val="10"/>
              </w:rPr>
            </w:pPr>
          </w:p>
        </w:tc>
        <w:tc>
          <w:tcPr>
            <w:tcBorders>
              <w:top w:val="single" w:sz="4"/>
              <w:left w:val="single" w:sz="4"/>
            </w:tcBorders>
            <w:shd w:val="clear" w:color="auto" w:fill="FFFFFF"/>
            <w:vAlign w:val="center"/>
          </w:tcPr>
          <w:p>
            <w:pPr>
              <w:pStyle w:val="Style20"/>
              <w:keepNext w:val="0"/>
              <w:keepLines w:val="0"/>
              <w:framePr w:w="14050" w:h="8136" w:hSpace="5" w:vSpace="600" w:wrap="notBeside" w:vAnchor="text" w:hAnchor="text" w:x="32" w:y="601"/>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framePr w:w="14050" w:h="8136" w:hSpace="5" w:vSpace="600" w:wrap="notBeside" w:vAnchor="text" w:hAnchor="text" w:x="32" w:y="601"/>
              <w:widowControl w:val="0"/>
              <w:shd w:val="clear" w:color="auto" w:fill="auto"/>
              <w:bidi w:val="0"/>
              <w:spacing w:before="0" w:after="0" w:line="240" w:lineRule="auto"/>
              <w:ind w:left="0" w:right="0" w:firstLine="0"/>
              <w:jc w:val="left"/>
            </w:pPr>
            <w:r>
              <w:rPr>
                <w:color w:val="000000"/>
                <w:spacing w:val="0"/>
                <w:w w:val="100"/>
                <w:position w:val="0"/>
              </w:rPr>
              <w:t>现金结算</w:t>
            </w:r>
          </w:p>
        </w:tc>
        <w:tc>
          <w:tcPr>
            <w:tcBorders>
              <w:top w:val="single" w:sz="4"/>
              <w:left w:val="single" w:sz="4"/>
            </w:tcBorders>
            <w:shd w:val="clear" w:color="auto" w:fill="FFFFFF"/>
            <w:vAlign w:val="center"/>
          </w:tcPr>
          <w:p>
            <w:pPr>
              <w:pStyle w:val="Style20"/>
              <w:keepNext w:val="0"/>
              <w:keepLines w:val="0"/>
              <w:framePr w:w="14050" w:h="8136" w:hSpace="5" w:vSpace="600" w:wrap="notBeside" w:vAnchor="text" w:hAnchor="text" w:x="32" w:y="601"/>
              <w:widowControl w:val="0"/>
              <w:shd w:val="clear" w:color="auto" w:fill="auto"/>
              <w:bidi w:val="0"/>
              <w:spacing w:before="0" w:after="0" w:line="314" w:lineRule="exact"/>
              <w:ind w:left="0" w:right="0" w:firstLine="0"/>
              <w:jc w:val="left"/>
            </w:pPr>
            <w:r>
              <w:rPr>
                <w:color w:val="000000"/>
                <w:spacing w:val="0"/>
                <w:w w:val="100"/>
                <w:position w:val="0"/>
              </w:rPr>
              <w:t>与本次关 联交易价 格持平</w:t>
            </w:r>
          </w:p>
        </w:tc>
        <w:tc>
          <w:tcPr>
            <w:tcBorders>
              <w:top w:val="single" w:sz="4"/>
              <w:left w:val="single" w:sz="4"/>
            </w:tcBorders>
            <w:shd w:val="clear" w:color="auto" w:fill="FFFFFF"/>
            <w:vAlign w:val="top"/>
          </w:tcPr>
          <w:p>
            <w:pPr>
              <w:framePr w:w="14050" w:h="8136" w:hSpace="5" w:vSpace="600" w:wrap="notBeside" w:vAnchor="text" w:hAnchor="text" w:x="32" w:y="601"/>
              <w:widowControl w:val="0"/>
              <w:rPr>
                <w:sz w:val="10"/>
                <w:szCs w:val="10"/>
              </w:rPr>
            </w:pPr>
          </w:p>
        </w:tc>
        <w:tc>
          <w:tcPr>
            <w:tcBorders>
              <w:top w:val="single" w:sz="4"/>
              <w:left w:val="single" w:sz="4"/>
              <w:right w:val="single" w:sz="4"/>
            </w:tcBorders>
            <w:shd w:val="clear" w:color="auto" w:fill="FFFFFF"/>
            <w:vAlign w:val="top"/>
          </w:tcPr>
          <w:p>
            <w:pPr>
              <w:framePr w:w="14050" w:h="8136" w:hSpace="5" w:vSpace="600" w:wrap="notBeside" w:vAnchor="text" w:hAnchor="text" w:x="32" w:y="601"/>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framePr w:w="14050" w:h="8136" w:hSpace="5" w:vSpace="600" w:wrap="notBeside" w:vAnchor="text" w:hAnchor="text" w:x="32" w:y="601"/>
              <w:widowControl w:val="0"/>
              <w:shd w:val="clear" w:color="auto" w:fill="auto"/>
              <w:bidi w:val="0"/>
              <w:spacing w:before="0" w:after="0" w:line="240" w:lineRule="auto"/>
              <w:ind w:left="0" w:right="0" w:firstLine="0"/>
              <w:jc w:val="center"/>
            </w:pPr>
            <w:r>
              <w:rPr>
                <w:color w:val="000000"/>
                <w:spacing w:val="0"/>
                <w:w w:val="100"/>
                <w:position w:val="0"/>
              </w:rPr>
              <w:t>中江</w:t>
            </w:r>
          </w:p>
        </w:tc>
        <w:tc>
          <w:tcPr>
            <w:tcBorders>
              <w:top w:val="single" w:sz="4"/>
              <w:left w:val="single" w:sz="4"/>
              <w:bottom w:val="single" w:sz="4"/>
            </w:tcBorders>
            <w:shd w:val="clear" w:color="auto" w:fill="FFFFFF"/>
            <w:vAlign w:val="center"/>
          </w:tcPr>
          <w:p>
            <w:pPr>
              <w:pStyle w:val="Style20"/>
              <w:keepNext w:val="0"/>
              <w:keepLines w:val="0"/>
              <w:framePr w:w="14050" w:h="8136" w:hSpace="5" w:vSpace="600" w:wrap="notBeside" w:vAnchor="text" w:hAnchor="text" w:x="32" w:y="60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r>
              <w:rPr>
                <w:color w:val="000000"/>
                <w:spacing w:val="0"/>
                <w:w w:val="100"/>
                <w:position w:val="0"/>
              </w:rPr>
              <w:t>以上</w:t>
            </w:r>
          </w:p>
        </w:tc>
        <w:tc>
          <w:tcPr>
            <w:tcBorders>
              <w:top w:val="single" w:sz="4"/>
              <w:left w:val="single" w:sz="4"/>
              <w:bottom w:val="single" w:sz="4"/>
            </w:tcBorders>
            <w:shd w:val="clear" w:color="auto" w:fill="FFFFFF"/>
            <w:vAlign w:val="center"/>
          </w:tcPr>
          <w:p>
            <w:pPr>
              <w:pStyle w:val="Style20"/>
              <w:keepNext w:val="0"/>
              <w:keepLines w:val="0"/>
              <w:framePr w:w="14050" w:h="8136" w:hSpace="5" w:vSpace="600" w:wrap="notBeside" w:vAnchor="text" w:hAnchor="text" w:x="32" w:y="601"/>
              <w:widowControl w:val="0"/>
              <w:shd w:val="clear" w:color="auto" w:fill="auto"/>
              <w:bidi w:val="0"/>
              <w:spacing w:before="0" w:after="0" w:line="240" w:lineRule="auto"/>
              <w:ind w:left="0" w:right="0" w:firstLine="0"/>
              <w:jc w:val="both"/>
            </w:pPr>
            <w:r>
              <w:rPr>
                <w:color w:val="000000"/>
                <w:spacing w:val="0"/>
                <w:w w:val="100"/>
                <w:position w:val="0"/>
              </w:rPr>
              <w:t>卖出回购</w:t>
            </w:r>
          </w:p>
        </w:tc>
        <w:tc>
          <w:tcPr>
            <w:tcBorders>
              <w:top w:val="single" w:sz="4"/>
              <w:left w:val="single" w:sz="4"/>
              <w:bottom w:val="single" w:sz="4"/>
            </w:tcBorders>
            <w:shd w:val="clear" w:color="auto" w:fill="FFFFFF"/>
            <w:vAlign w:val="center"/>
          </w:tcPr>
          <w:p>
            <w:pPr>
              <w:pStyle w:val="Style20"/>
              <w:keepNext w:val="0"/>
              <w:keepLines w:val="0"/>
              <w:framePr w:w="14050" w:h="8136" w:hSpace="5" w:vSpace="600" w:wrap="notBeside" w:vAnchor="text" w:hAnchor="text" w:x="32" w:y="601"/>
              <w:widowControl w:val="0"/>
              <w:shd w:val="clear" w:color="auto" w:fill="auto"/>
              <w:bidi w:val="0"/>
              <w:spacing w:before="0" w:after="0" w:line="240" w:lineRule="auto"/>
              <w:ind w:left="0" w:right="0" w:firstLine="0"/>
              <w:jc w:val="left"/>
            </w:pPr>
            <w:r>
              <w:rPr>
                <w:color w:val="000000"/>
                <w:spacing w:val="0"/>
                <w:w w:val="100"/>
                <w:position w:val="0"/>
              </w:rPr>
              <w:t>向关联人卖出金融资</w:t>
            </w:r>
          </w:p>
        </w:tc>
        <w:tc>
          <w:tcPr>
            <w:tcBorders>
              <w:top w:val="single" w:sz="4"/>
              <w:left w:val="single" w:sz="4"/>
              <w:bottom w:val="single" w:sz="4"/>
            </w:tcBorders>
            <w:shd w:val="clear" w:color="auto" w:fill="FFFFFF"/>
            <w:vAlign w:val="center"/>
          </w:tcPr>
          <w:p>
            <w:pPr>
              <w:pStyle w:val="Style20"/>
              <w:keepNext w:val="0"/>
              <w:keepLines w:val="0"/>
              <w:framePr w:w="14050" w:h="8136" w:hSpace="5" w:vSpace="600" w:wrap="notBeside" w:vAnchor="text" w:hAnchor="text" w:x="32" w:y="601"/>
              <w:widowControl w:val="0"/>
              <w:shd w:val="clear" w:color="auto" w:fill="auto"/>
              <w:bidi w:val="0"/>
              <w:spacing w:before="0" w:after="0" w:line="240" w:lineRule="auto"/>
              <w:ind w:left="0" w:right="0" w:firstLine="0"/>
              <w:jc w:val="left"/>
            </w:pPr>
            <w:r>
              <w:rPr>
                <w:color w:val="000000"/>
                <w:spacing w:val="0"/>
                <w:w w:val="100"/>
                <w:position w:val="0"/>
              </w:rPr>
              <w:t>双方协定</w:t>
            </w:r>
          </w:p>
        </w:tc>
        <w:tc>
          <w:tcPr>
            <w:tcBorders>
              <w:top w:val="single" w:sz="4"/>
              <w:left w:val="single" w:sz="4"/>
              <w:bottom w:val="single" w:sz="4"/>
            </w:tcBorders>
            <w:shd w:val="clear" w:color="auto" w:fill="FFFFFF"/>
            <w:vAlign w:val="center"/>
          </w:tcPr>
          <w:p>
            <w:pPr>
              <w:pStyle w:val="Style20"/>
              <w:keepNext w:val="0"/>
              <w:keepLines w:val="0"/>
              <w:framePr w:w="14050" w:h="8136" w:hSpace="5" w:vSpace="600" w:wrap="notBeside" w:vAnchor="text" w:hAnchor="text" w:x="32" w:y="601"/>
              <w:widowControl w:val="0"/>
              <w:shd w:val="clear" w:color="auto" w:fill="auto"/>
              <w:bidi w:val="0"/>
              <w:spacing w:before="0" w:after="0" w:line="240" w:lineRule="auto"/>
              <w:ind w:left="0" w:right="0" w:firstLine="0"/>
              <w:jc w:val="both"/>
            </w:pPr>
            <w:r>
              <w:rPr>
                <w:color w:val="000000"/>
                <w:spacing w:val="0"/>
                <w:w w:val="100"/>
                <w:position w:val="0"/>
              </w:rPr>
              <w:t>双方协</w:t>
            </w:r>
          </w:p>
        </w:tc>
        <w:tc>
          <w:tcPr>
            <w:tcBorders>
              <w:top w:val="single" w:sz="4"/>
              <w:left w:val="single" w:sz="4"/>
              <w:bottom w:val="single" w:sz="4"/>
            </w:tcBorders>
            <w:shd w:val="clear" w:color="auto" w:fill="FFFFFF"/>
            <w:vAlign w:val="center"/>
          </w:tcPr>
          <w:p>
            <w:pPr>
              <w:pStyle w:val="Style20"/>
              <w:keepNext w:val="0"/>
              <w:keepLines w:val="0"/>
              <w:framePr w:w="14050" w:h="8136" w:hSpace="5" w:vSpace="600" w:wrap="notBeside" w:vAnchor="text" w:hAnchor="text" w:x="32" w:y="60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w:t>
            </w:r>
          </w:p>
        </w:tc>
        <w:tc>
          <w:tcPr>
            <w:tcBorders>
              <w:top w:val="single" w:sz="4"/>
              <w:left w:val="single" w:sz="4"/>
              <w:bottom w:val="single" w:sz="4"/>
            </w:tcBorders>
            <w:shd w:val="clear" w:color="auto" w:fill="FFFFFF"/>
            <w:vAlign w:val="center"/>
          </w:tcPr>
          <w:p>
            <w:pPr>
              <w:pStyle w:val="Style20"/>
              <w:keepNext w:val="0"/>
              <w:keepLines w:val="0"/>
              <w:framePr w:w="14050" w:h="8136" w:hSpace="5" w:vSpace="600" w:wrap="notBeside" w:vAnchor="text" w:hAnchor="text" w:x="32" w:y="601"/>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117.33</w:t>
            </w:r>
          </w:p>
        </w:tc>
        <w:tc>
          <w:tcPr>
            <w:tcBorders>
              <w:top w:val="single" w:sz="4"/>
              <w:left w:val="single" w:sz="4"/>
              <w:bottom w:val="single" w:sz="4"/>
            </w:tcBorders>
            <w:shd w:val="clear" w:color="auto" w:fill="FFFFFF"/>
            <w:vAlign w:val="top"/>
          </w:tcPr>
          <w:p>
            <w:pPr>
              <w:framePr w:w="14050" w:h="8136" w:hSpace="5" w:vSpace="600" w:wrap="notBeside" w:vAnchor="text" w:hAnchor="text" w:x="32" w:y="601"/>
              <w:widowControl w:val="0"/>
              <w:rPr>
                <w:sz w:val="10"/>
                <w:szCs w:val="10"/>
              </w:rPr>
            </w:pPr>
          </w:p>
        </w:tc>
        <w:tc>
          <w:tcPr>
            <w:tcBorders>
              <w:top w:val="single" w:sz="4"/>
              <w:left w:val="single" w:sz="4"/>
              <w:bottom w:val="single" w:sz="4"/>
            </w:tcBorders>
            <w:shd w:val="clear" w:color="auto" w:fill="FFFFFF"/>
            <w:vAlign w:val="top"/>
          </w:tcPr>
          <w:p>
            <w:pPr>
              <w:framePr w:w="14050" w:h="8136" w:hSpace="5" w:vSpace="600" w:wrap="notBeside" w:vAnchor="text" w:hAnchor="text" w:x="32" w:y="601"/>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framePr w:w="14050" w:h="8136" w:hSpace="5" w:vSpace="600" w:wrap="notBeside" w:vAnchor="text" w:hAnchor="text" w:x="32" w:y="601"/>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0"/>
              <w:keepNext w:val="0"/>
              <w:keepLines w:val="0"/>
              <w:framePr w:w="14050" w:h="8136" w:hSpace="5" w:vSpace="600" w:wrap="notBeside" w:vAnchor="text" w:hAnchor="text" w:x="32" w:y="601"/>
              <w:widowControl w:val="0"/>
              <w:shd w:val="clear" w:color="auto" w:fill="auto"/>
              <w:bidi w:val="0"/>
              <w:spacing w:before="0" w:after="0" w:line="240" w:lineRule="auto"/>
              <w:ind w:left="0" w:right="0" w:firstLine="0"/>
              <w:jc w:val="left"/>
            </w:pPr>
            <w:r>
              <w:rPr>
                <w:color w:val="000000"/>
                <w:spacing w:val="0"/>
                <w:w w:val="100"/>
                <w:position w:val="0"/>
              </w:rPr>
              <w:t>现金结算</w:t>
            </w:r>
          </w:p>
        </w:tc>
        <w:tc>
          <w:tcPr>
            <w:tcBorders>
              <w:top w:val="single" w:sz="4"/>
              <w:left w:val="single" w:sz="4"/>
              <w:bottom w:val="single" w:sz="4"/>
            </w:tcBorders>
            <w:shd w:val="clear" w:color="auto" w:fill="FFFFFF"/>
            <w:vAlign w:val="center"/>
          </w:tcPr>
          <w:p>
            <w:pPr>
              <w:pStyle w:val="Style20"/>
              <w:keepNext w:val="0"/>
              <w:keepLines w:val="0"/>
              <w:framePr w:w="14050" w:h="8136" w:hSpace="5" w:vSpace="600" w:wrap="notBeside" w:vAnchor="text" w:hAnchor="text" w:x="32" w:y="601"/>
              <w:widowControl w:val="0"/>
              <w:shd w:val="clear" w:color="auto" w:fill="auto"/>
              <w:bidi w:val="0"/>
              <w:spacing w:before="0" w:after="0" w:line="240" w:lineRule="auto"/>
              <w:ind w:left="0" w:right="0" w:firstLine="0"/>
              <w:jc w:val="left"/>
            </w:pPr>
            <w:r>
              <w:rPr>
                <w:color w:val="000000"/>
                <w:spacing w:val="0"/>
                <w:w w:val="100"/>
                <w:position w:val="0"/>
              </w:rPr>
              <w:t>与本次关</w:t>
            </w:r>
          </w:p>
        </w:tc>
        <w:tc>
          <w:tcPr>
            <w:tcBorders>
              <w:top w:val="single" w:sz="4"/>
              <w:left w:val="single" w:sz="4"/>
              <w:bottom w:val="single" w:sz="4"/>
            </w:tcBorders>
            <w:shd w:val="clear" w:color="auto" w:fill="FFFFFF"/>
            <w:vAlign w:val="top"/>
          </w:tcPr>
          <w:p>
            <w:pPr>
              <w:framePr w:w="14050" w:h="8136" w:hSpace="5" w:vSpace="600" w:wrap="notBeside" w:vAnchor="text" w:hAnchor="text" w:x="32" w:y="601"/>
              <w:widowControl w:val="0"/>
              <w:rPr>
                <w:sz w:val="10"/>
                <w:szCs w:val="10"/>
              </w:rPr>
            </w:pPr>
          </w:p>
        </w:tc>
        <w:tc>
          <w:tcPr>
            <w:tcBorders>
              <w:top w:val="single" w:sz="4"/>
              <w:left w:val="single" w:sz="4"/>
              <w:bottom w:val="single" w:sz="4"/>
              <w:right w:val="single" w:sz="4"/>
            </w:tcBorders>
            <w:shd w:val="clear" w:color="auto" w:fill="FFFFFF"/>
            <w:vAlign w:val="top"/>
          </w:tcPr>
          <w:p>
            <w:pPr>
              <w:framePr w:w="14050" w:h="8136" w:hSpace="5" w:vSpace="600" w:wrap="notBeside" w:vAnchor="text" w:hAnchor="text" w:x="32" w:y="601"/>
              <w:widowControl w:val="0"/>
              <w:rPr>
                <w:sz w:val="10"/>
                <w:szCs w:val="10"/>
              </w:rPr>
            </w:pPr>
          </w:p>
        </w:tc>
      </w:tr>
    </w:tbl>
    <w:p>
      <w:pPr>
        <w:pStyle w:val="Style26"/>
        <w:keepNext w:val="0"/>
        <w:keepLines w:val="0"/>
        <w:framePr w:w="2789" w:h="278" w:hSpace="26" w:wrap="notBeside" w:vAnchor="text" w:hAnchor="text" w:x="27" w:y="20"/>
        <w:widowControl w:val="0"/>
        <w:shd w:val="clear" w:color="auto" w:fill="auto"/>
        <w:bidi w:val="0"/>
        <w:spacing w:before="0" w:after="0" w:line="240" w:lineRule="auto"/>
        <w:ind w:left="0" w:right="0" w:firstLine="0"/>
        <w:jc w:val="left"/>
      </w:pPr>
      <w:bookmarkStart w:id="345" w:name="bookmark345"/>
      <w:r>
        <w:rPr>
          <w:rFonts w:ascii="Times New Roman" w:eastAsia="Times New Roman" w:hAnsi="Times New Roman" w:cs="Times New Roman"/>
          <w:b/>
          <w:bCs/>
          <w:color w:val="000000"/>
          <w:spacing w:val="0"/>
          <w:w w:val="100"/>
          <w:position w:val="0"/>
        </w:rPr>
        <w:t>1</w:t>
      </w:r>
      <w:r>
        <w:rPr>
          <w:b/>
          <w:bCs/>
          <w:color w:val="000000"/>
          <w:spacing w:val="0"/>
          <w:w w:val="100"/>
          <w:position w:val="0"/>
        </w:rPr>
        <w:t>、与日常经营相关的关联交易</w:t>
      </w:r>
      <w:bookmarkEnd w:id="345"/>
    </w:p>
    <w:p>
      <w:pPr>
        <w:pStyle w:val="Style26"/>
        <w:keepNext w:val="0"/>
        <w:keepLines w:val="0"/>
        <w:framePr w:w="1651" w:h="298" w:hSpace="26" w:wrap="notBeside" w:vAnchor="text" w:hAnchor="text" w:x="12368"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widowControl w:val="0"/>
        <w:spacing w:line="1" w:lineRule="exact"/>
      </w:pPr>
      <w:r>
        <w:br w:type="page"/>
      </w:r>
    </w:p>
    <w:tbl>
      <w:tblPr>
        <w:tblOverlap w:val="never"/>
        <w:jc w:val="center"/>
        <w:tblLayout w:type="fixed"/>
      </w:tblPr>
      <w:tblGrid>
        <w:gridCol w:w="715"/>
        <w:gridCol w:w="854"/>
        <w:gridCol w:w="989"/>
        <w:gridCol w:w="2126"/>
        <w:gridCol w:w="850"/>
        <w:gridCol w:w="144"/>
        <w:gridCol w:w="710"/>
        <w:gridCol w:w="989"/>
        <w:gridCol w:w="710"/>
        <w:gridCol w:w="850"/>
        <w:gridCol w:w="850"/>
        <w:gridCol w:w="710"/>
        <w:gridCol w:w="994"/>
        <w:gridCol w:w="989"/>
        <w:gridCol w:w="994"/>
        <w:gridCol w:w="576"/>
      </w:tblGrid>
      <w:tr>
        <w:trPr>
          <w:trHeight w:val="70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center"/>
            </w:pPr>
            <w:r>
              <w:rPr>
                <w:color w:val="000000"/>
                <w:spacing w:val="0"/>
                <w:w w:val="100"/>
                <w:position w:val="0"/>
              </w:rPr>
              <w:t>信托</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股东</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金融资产</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产并回购（注</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联交易价</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格持平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55" w:lineRule="exact"/>
              <w:ind w:left="140" w:right="0" w:firstLine="0"/>
              <w:jc w:val="left"/>
            </w:pPr>
            <w:r>
              <w:rPr>
                <w:color w:val="000000"/>
                <w:spacing w:val="0"/>
                <w:w w:val="100"/>
                <w:position w:val="0"/>
              </w:rPr>
              <w:t>中江 信托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center"/>
            </w:pPr>
            <w:r>
              <w:rPr>
                <w:rFonts w:ascii="Times New Roman" w:eastAsia="Times New Roman" w:hAnsi="Times New Roman" w:cs="Times New Roman"/>
                <w:color w:val="000000"/>
                <w:spacing w:val="0"/>
                <w:w w:val="100"/>
                <w:position w:val="0"/>
              </w:rPr>
              <w:t>5%</w:t>
            </w:r>
            <w:r>
              <w:rPr>
                <w:color w:val="000000"/>
                <w:spacing w:val="0"/>
                <w:w w:val="100"/>
                <w:position w:val="0"/>
              </w:rPr>
              <w:t>以上 股东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应付关联 方款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其他应付款（注</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双方协定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双方协</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6,354.52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现金结算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与本次关 联交易价 格持平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exact"/>
              <w:ind w:left="140" w:right="0" w:firstLine="0"/>
              <w:jc w:val="left"/>
            </w:pPr>
            <w:r>
              <w:rPr>
                <w:color w:val="000000"/>
                <w:spacing w:val="0"/>
                <w:w w:val="100"/>
                <w:position w:val="0"/>
              </w:rPr>
              <w:t>中江 信托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center"/>
            </w:pPr>
            <w:r>
              <w:rPr>
                <w:rFonts w:ascii="Times New Roman" w:eastAsia="Times New Roman" w:hAnsi="Times New Roman" w:cs="Times New Roman"/>
                <w:color w:val="000000"/>
                <w:spacing w:val="0"/>
                <w:w w:val="100"/>
                <w:position w:val="0"/>
              </w:rPr>
              <w:t>5%</w:t>
            </w:r>
            <w:r>
              <w:rPr>
                <w:color w:val="000000"/>
                <w:spacing w:val="0"/>
                <w:w w:val="100"/>
                <w:position w:val="0"/>
              </w:rPr>
              <w:t>以上 股东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应收关联 方款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应收账款</w:t>
            </w:r>
            <w:r>
              <w:rPr>
                <w:rFonts w:ascii="Times New Roman" w:eastAsia="Times New Roman" w:hAnsi="Times New Roman" w:cs="Times New Roman"/>
                <w:color w:val="000000"/>
                <w:spacing w:val="0"/>
                <w:w w:val="100"/>
                <w:position w:val="0"/>
              </w:rPr>
              <w:t>-</w:t>
            </w:r>
            <w:r>
              <w:rPr>
                <w:color w:val="000000"/>
                <w:spacing w:val="0"/>
                <w:w w:val="100"/>
                <w:position w:val="0"/>
              </w:rPr>
              <w:t>资管计划管 理费</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双方协定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双方协</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现金结算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与本次关 联交易价 格持平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exact"/>
              <w:ind w:left="140" w:right="0" w:firstLine="0"/>
              <w:jc w:val="left"/>
            </w:pPr>
            <w:r>
              <w:rPr>
                <w:color w:val="000000"/>
                <w:spacing w:val="0"/>
                <w:w w:val="100"/>
                <w:position w:val="0"/>
              </w:rPr>
              <w:t>中江 信托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center"/>
            </w:pPr>
            <w:r>
              <w:rPr>
                <w:rFonts w:ascii="Times New Roman" w:eastAsia="Times New Roman" w:hAnsi="Times New Roman" w:cs="Times New Roman"/>
                <w:color w:val="000000"/>
                <w:spacing w:val="0"/>
                <w:w w:val="100"/>
                <w:position w:val="0"/>
              </w:rPr>
              <w:t>5%</w:t>
            </w:r>
            <w:r>
              <w:rPr>
                <w:color w:val="000000"/>
                <w:spacing w:val="0"/>
                <w:w w:val="100"/>
                <w:position w:val="0"/>
              </w:rPr>
              <w:t>以上 股东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应付关联 方款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双方协定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双方协</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现金结算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与本次关 联交易价 格持平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45,792.12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9,500</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大额销货退回的详细情况</w:t>
            </w:r>
          </w:p>
        </w:tc>
        <w:tc>
          <w:tcPr>
            <w:tcBorders>
              <w:top w:val="single" w:sz="4"/>
              <w:left w:val="single" w:sz="4"/>
            </w:tcBorders>
            <w:shd w:val="clear" w:color="auto" w:fill="FFFFFF"/>
            <w:vAlign w:val="top"/>
          </w:tcPr>
          <w:p>
            <w:pPr>
              <w:widowControl w:val="0"/>
              <w:rPr>
                <w:sz w:val="10"/>
                <w:szCs w:val="10"/>
              </w:rPr>
            </w:pPr>
          </w:p>
        </w:tc>
        <w:tc>
          <w:tcPr>
            <w:gridSpan w:val="11"/>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按类别对本期将发生的日常关联交易进行总金额预 计的，在报告期内的实际履行情况（如有）</w:t>
            </w:r>
          </w:p>
        </w:tc>
        <w:tc>
          <w:tcPr>
            <w:tcBorders>
              <w:top w:val="single" w:sz="4"/>
              <w:left w:val="single" w:sz="4"/>
            </w:tcBorders>
            <w:shd w:val="clear" w:color="auto" w:fill="FFFFFF"/>
            <w:vAlign w:val="top"/>
          </w:tcPr>
          <w:p>
            <w:pPr>
              <w:widowControl w:val="0"/>
              <w:rPr>
                <w:sz w:val="10"/>
                <w:szCs w:val="10"/>
              </w:rPr>
            </w:pPr>
          </w:p>
        </w:tc>
        <w:tc>
          <w:tcPr>
            <w:gridSpan w:val="11"/>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gridSpan w:val="4"/>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交易价格与市场参考价格差异较大的原因（如适用）</w:t>
            </w:r>
          </w:p>
        </w:tc>
        <w:tc>
          <w:tcPr>
            <w:tcBorders>
              <w:top w:val="single" w:sz="4"/>
              <w:left w:val="single" w:sz="4"/>
              <w:bottom w:val="single" w:sz="4"/>
            </w:tcBorders>
            <w:shd w:val="clear" w:color="auto" w:fill="FFFFFF"/>
            <w:vAlign w:val="top"/>
          </w:tcPr>
          <w:p>
            <w:pPr>
              <w:widowControl w:val="0"/>
              <w:rPr>
                <w:sz w:val="10"/>
                <w:szCs w:val="10"/>
              </w:rPr>
            </w:pPr>
          </w:p>
        </w:tc>
        <w:tc>
          <w:tcPr>
            <w:gridSpan w:val="11"/>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26"/>
        <w:keepNext w:val="0"/>
        <w:keepLines w:val="0"/>
        <w:widowControl w:val="0"/>
        <w:shd w:val="clear" w:color="auto" w:fill="auto"/>
        <w:bidi w:val="0"/>
        <w:spacing w:before="0" w:after="0" w:line="312" w:lineRule="exact"/>
        <w:ind w:left="0" w:right="0" w:firstLine="0"/>
        <w:jc w:val="left"/>
      </w:pPr>
      <w:bookmarkStart w:id="346" w:name="bookmark346"/>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：国盛证券于</w:t>
      </w:r>
      <w:r>
        <w:rPr>
          <w:rFonts w:ascii="Times New Roman" w:eastAsia="Times New Roman" w:hAnsi="Times New Roman" w:cs="Times New Roman"/>
          <w:color w:val="000000"/>
          <w:spacing w:val="0"/>
          <w:w w:val="100"/>
          <w:position w:val="0"/>
        </w:rPr>
        <w:t>2015</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日以</w:t>
      </w:r>
      <w:r>
        <w:rPr>
          <w:rFonts w:ascii="Times New Roman" w:eastAsia="Times New Roman" w:hAnsi="Times New Roman" w:cs="Times New Roman"/>
          <w:color w:val="000000"/>
          <w:spacing w:val="0"/>
          <w:w w:val="100"/>
          <w:position w:val="0"/>
        </w:rPr>
        <w:t>2</w:t>
      </w:r>
      <w:r>
        <w:rPr>
          <w:color w:val="000000"/>
          <w:spacing w:val="0"/>
          <w:w w:val="100"/>
          <w:position w:val="0"/>
        </w:rPr>
        <w:t>亿元价款向中江信托转让金融资产收益权。</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日转让期满，国盛证券按照协议约定回购该等金融资产。 注</w:t>
      </w:r>
      <w:r>
        <w:rPr>
          <w:rFonts w:ascii="Times New Roman" w:eastAsia="Times New Roman" w:hAnsi="Times New Roman" w:cs="Times New Roman"/>
          <w:color w:val="000000"/>
          <w:spacing w:val="0"/>
          <w:w w:val="100"/>
          <w:position w:val="0"/>
        </w:rPr>
        <w:t>2</w:t>
      </w:r>
      <w:r>
        <w:rPr>
          <w:color w:val="000000"/>
          <w:spacing w:val="0"/>
          <w:w w:val="100"/>
          <w:position w:val="0"/>
        </w:rPr>
        <w:t>：已于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月退还。</w:t>
      </w:r>
      <w:bookmarkEnd w:id="346"/>
    </w:p>
    <w:p>
      <w:pPr>
        <w:widowControl w:val="0"/>
        <w:spacing w:after="299" w:line="1" w:lineRule="exact"/>
      </w:pPr>
    </w:p>
    <w:p>
      <w:pPr>
        <w:pStyle w:val="Style33"/>
        <w:keepNext w:val="0"/>
        <w:keepLines w:val="0"/>
        <w:widowControl w:val="0"/>
        <w:shd w:val="clear" w:color="auto" w:fill="auto"/>
        <w:tabs>
          <w:tab w:pos="378" w:val="left"/>
        </w:tabs>
        <w:bidi w:val="0"/>
        <w:spacing w:before="0" w:after="360" w:line="240" w:lineRule="auto"/>
        <w:ind w:left="0" w:right="0" w:firstLine="0"/>
        <w:jc w:val="left"/>
      </w:pPr>
      <w:r>
        <mc:AlternateContent>
          <mc:Choice Requires="wps">
            <w:drawing>
              <wp:anchor distT="0" distB="777240" distL="120650" distR="114300" simplePos="0" relativeHeight="125829400" behindDoc="0" locked="0" layoutInCell="1" allowOverlap="1">
                <wp:simplePos x="0" y="0"/>
                <wp:positionH relativeFrom="page">
                  <wp:posOffset>8736965</wp:posOffset>
                </wp:positionH>
                <wp:positionV relativeFrom="paragraph">
                  <wp:posOffset>12700</wp:posOffset>
                </wp:positionV>
                <wp:extent cx="1048385" cy="189230"/>
                <wp:wrapSquare wrapText="left"/>
                <wp:docPr id="68" name="Shape 68"/>
                <a:graphic xmlns:a="http://schemas.openxmlformats.org/drawingml/2006/main">
                  <a:graphicData uri="http://schemas.microsoft.com/office/word/2010/wordprocessingShape">
                    <wps:wsp>
                      <wps:cNvSpPr txBox="1"/>
                      <wps:spPr>
                        <a:xfrm>
                          <a:ext cx="1048385" cy="18923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txbxContent>
                      </wps:txbx>
                      <wps:bodyPr wrap="none" lIns="0" tIns="0" rIns="0" bIns="0">
                        <a:noAutoFit/>
                      </wps:bodyPr>
                    </wps:wsp>
                  </a:graphicData>
                </a:graphic>
              </wp:anchor>
            </w:drawing>
          </mc:Choice>
          <mc:Fallback>
            <w:pict>
              <v:shape id="_x0000_s1094" type="#_x0000_t202" style="position:absolute;margin-left:687.95000000000005pt;margin-top:1.pt;width:82.549999999999997pt;height:14.9pt;z-index:-125829353;mso-wrap-distance-left:9.5pt;mso-wrap-distance-right:9.pt;mso-wrap-distance-bottom:61.200000000000003pt;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txbxContent>
                </v:textbox>
                <w10:wrap type="square" side="left" anchorx="page"/>
              </v:shape>
            </w:pict>
          </mc:Fallback>
        </mc:AlternateContent>
      </w:r>
      <w:r>
        <mc:AlternateContent>
          <mc:Choice Requires="wps">
            <w:drawing>
              <wp:anchor distT="777240" distB="0" distL="114300" distR="126365" simplePos="0" relativeHeight="125829402" behindDoc="0" locked="0" layoutInCell="1" allowOverlap="1">
                <wp:simplePos x="0" y="0"/>
                <wp:positionH relativeFrom="page">
                  <wp:posOffset>8730615</wp:posOffset>
                </wp:positionH>
                <wp:positionV relativeFrom="paragraph">
                  <wp:posOffset>789940</wp:posOffset>
                </wp:positionV>
                <wp:extent cx="1042670" cy="189230"/>
                <wp:wrapSquare wrapText="left"/>
                <wp:docPr id="70" name="Shape 70"/>
                <a:graphic xmlns:a="http://schemas.openxmlformats.org/drawingml/2006/main">
                  <a:graphicData uri="http://schemas.microsoft.com/office/word/2010/wordprocessingShape">
                    <wps:wsp>
                      <wps:cNvSpPr txBox="1"/>
                      <wps:spPr>
                        <a:xfrm>
                          <a:ext cx="1042670" cy="18923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txbxContent>
                      </wps:txbx>
                      <wps:bodyPr wrap="none" lIns="0" tIns="0" rIns="0" bIns="0">
                        <a:noAutoFit/>
                      </wps:bodyPr>
                    </wps:wsp>
                  </a:graphicData>
                </a:graphic>
              </wp:anchor>
            </w:drawing>
          </mc:Choice>
          <mc:Fallback>
            <w:pict>
              <v:shape id="_x0000_s1096" type="#_x0000_t202" style="position:absolute;margin-left:687.45000000000005pt;margin-top:62.200000000000003pt;width:82.100000000000009pt;height:14.9pt;z-index:-125829351;mso-wrap-distance-left:9.pt;mso-wrap-distance-top:61.200000000000003pt;mso-wrap-distance-right:9.9500000000000011pt;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txbxContent>
                </v:textbox>
                <w10:wrap type="square" side="left" anchorx="page"/>
              </v:shape>
            </w:pict>
          </mc:Fallback>
        </mc:AlternateContent>
      </w:r>
      <w:bookmarkStart w:id="347" w:name="bookmark347"/>
      <w:bookmarkStart w:id="348" w:name="bookmark348"/>
      <w:r>
        <w:rPr>
          <w:rFonts w:ascii="Times New Roman" w:eastAsia="Times New Roman" w:hAnsi="Times New Roman" w:cs="Times New Roman"/>
          <w:b/>
          <w:bCs/>
          <w:color w:val="000000"/>
          <w:spacing w:val="0"/>
          <w:w w:val="100"/>
          <w:position w:val="0"/>
        </w:rPr>
        <w:t>2</w:t>
      </w:r>
      <w:bookmarkEnd w:id="347"/>
      <w:r>
        <w:rPr>
          <w:b/>
          <w:bCs/>
          <w:color w:val="000000"/>
          <w:spacing w:val="0"/>
          <w:w w:val="100"/>
          <w:position w:val="0"/>
        </w:rPr>
        <w:t>、</w:t>
        <w:tab/>
        <w:t>资产或股权收购、出售发生的关联交易</w:t>
      </w:r>
      <w:bookmarkEnd w:id="348"/>
    </w:p>
    <w:p>
      <w:pPr>
        <w:pStyle w:val="Style33"/>
        <w:keepNext w:val="0"/>
        <w:keepLines w:val="0"/>
        <w:widowControl w:val="0"/>
        <w:shd w:val="clear" w:color="auto" w:fill="auto"/>
        <w:bidi w:val="0"/>
        <w:spacing w:before="0" w:after="360" w:line="240" w:lineRule="auto"/>
        <w:ind w:left="0" w:right="0" w:firstLine="440"/>
        <w:jc w:val="left"/>
      </w:pPr>
      <w:bookmarkStart w:id="349" w:name="bookmark349"/>
      <w:r>
        <w:rPr>
          <w:color w:val="000000"/>
          <w:spacing w:val="0"/>
          <w:w w:val="100"/>
          <w:position w:val="0"/>
        </w:rPr>
        <w:t>详见本节“</w:t>
      </w:r>
      <w:r>
        <w:rPr>
          <w:rFonts w:ascii="Times New Roman" w:eastAsia="Times New Roman" w:hAnsi="Times New Roman" w:cs="Times New Roman"/>
          <w:color w:val="000000"/>
          <w:spacing w:val="0"/>
          <w:w w:val="100"/>
          <w:position w:val="0"/>
        </w:rPr>
        <w:t>5</w:t>
      </w:r>
      <w:r>
        <w:rPr>
          <w:color w:val="000000"/>
          <w:spacing w:val="0"/>
          <w:w w:val="100"/>
          <w:position w:val="0"/>
        </w:rPr>
        <w:t>、其他重大关联交易”。</w:t>
      </w:r>
      <w:bookmarkEnd w:id="349"/>
    </w:p>
    <w:p>
      <w:pPr>
        <w:pStyle w:val="Style33"/>
        <w:keepNext w:val="0"/>
        <w:keepLines w:val="0"/>
        <w:widowControl w:val="0"/>
        <w:shd w:val="clear" w:color="auto" w:fill="auto"/>
        <w:tabs>
          <w:tab w:pos="378" w:val="left"/>
        </w:tabs>
        <w:bidi w:val="0"/>
        <w:spacing w:before="0" w:after="360" w:line="240" w:lineRule="auto"/>
        <w:ind w:left="0" w:right="0" w:firstLine="0"/>
        <w:jc w:val="left"/>
      </w:pPr>
      <w:bookmarkStart w:id="350" w:name="bookmark350"/>
      <w:bookmarkStart w:id="351" w:name="bookmark351"/>
      <w:bookmarkStart w:id="352" w:name="bookmark352"/>
      <w:r>
        <w:rPr>
          <w:rFonts w:ascii="Times New Roman" w:eastAsia="Times New Roman" w:hAnsi="Times New Roman" w:cs="Times New Roman"/>
          <w:b/>
          <w:bCs/>
          <w:color w:val="000000"/>
          <w:spacing w:val="0"/>
          <w:w w:val="100"/>
          <w:position w:val="0"/>
        </w:rPr>
        <w:t>3</w:t>
      </w:r>
      <w:bookmarkEnd w:id="350"/>
      <w:r>
        <w:rPr>
          <w:b/>
          <w:bCs/>
          <w:color w:val="000000"/>
          <w:spacing w:val="0"/>
          <w:w w:val="100"/>
          <w:position w:val="0"/>
        </w:rPr>
        <w:t>、</w:t>
        <w:tab/>
        <w:t>共同对外投资的关联交易</w:t>
      </w:r>
      <w:bookmarkEnd w:id="351"/>
      <w:bookmarkEnd w:id="352"/>
    </w:p>
    <w:p>
      <w:pPr>
        <w:pStyle w:val="Style33"/>
        <w:keepNext w:val="0"/>
        <w:keepLines w:val="0"/>
        <w:widowControl w:val="0"/>
        <w:shd w:val="clear" w:color="auto" w:fill="auto"/>
        <w:bidi w:val="0"/>
        <w:spacing w:before="0" w:after="360" w:line="240" w:lineRule="auto"/>
        <w:ind w:left="0" w:right="0" w:firstLine="440"/>
        <w:jc w:val="left"/>
        <w:sectPr>
          <w:headerReference w:type="default" r:id="rId27"/>
          <w:footerReference w:type="default" r:id="rId28"/>
          <w:footnotePr>
            <w:pos w:val="pageBottom"/>
            <w:numFmt w:val="decimal"/>
            <w:numRestart w:val="continuous"/>
          </w:footnotePr>
          <w:pgSz w:w="16840" w:h="11900" w:orient="landscape"/>
          <w:pgMar w:top="1124" w:right="1324" w:bottom="1388" w:left="1408" w:header="0" w:footer="3" w:gutter="0"/>
          <w:cols w:space="720"/>
          <w:noEndnote/>
          <w:rtlGutter w:val="0"/>
          <w:docGrid w:linePitch="360"/>
        </w:sectPr>
      </w:pPr>
      <w:r>
        <w:rPr>
          <w:color w:val="000000"/>
          <w:spacing w:val="0"/>
          <w:w w:val="100"/>
          <w:position w:val="0"/>
        </w:rPr>
        <w:t>公司报告期未发生共同对外投资的关联交易。</w:t>
      </w:r>
    </w:p>
    <w:p>
      <w:pPr>
        <w:pStyle w:val="Style60"/>
        <w:keepNext w:val="0"/>
        <w:keepLines w:val="0"/>
        <w:widowControl w:val="0"/>
        <w:shd w:val="clear" w:color="auto" w:fill="auto"/>
        <w:bidi w:val="0"/>
        <w:spacing w:before="0" w:after="280"/>
        <w:ind w:left="0" w:right="0" w:firstLine="0"/>
        <w:jc w:val="center"/>
        <w:rPr>
          <w:sz w:val="20"/>
          <w:szCs w:val="20"/>
        </w:rPr>
      </w:pPr>
      <w:r>
        <mc:AlternateContent>
          <mc:Choice Requires="wps">
            <w:drawing>
              <wp:anchor distT="0" distB="0" distL="114300" distR="114300" simplePos="0" relativeHeight="125829404" behindDoc="0" locked="0" layoutInCell="1" allowOverlap="1">
                <wp:simplePos x="0" y="0"/>
                <wp:positionH relativeFrom="page">
                  <wp:posOffset>899795</wp:posOffset>
                </wp:positionH>
                <wp:positionV relativeFrom="paragraph">
                  <wp:posOffset>304800</wp:posOffset>
                </wp:positionV>
                <wp:extent cx="1661160" cy="158750"/>
                <wp:wrapSquare wrapText="bothSides"/>
                <wp:docPr id="76" name="Shape 76"/>
                <a:graphic xmlns:a="http://schemas.openxmlformats.org/drawingml/2006/main">
                  <a:graphicData uri="http://schemas.microsoft.com/office/word/2010/wordprocessingShape">
                    <wps:wsp>
                      <wps:cNvSpPr txBox="1"/>
                      <wps:spPr>
                        <a:xfrm>
                          <a:ext cx="1661160" cy="15875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bookmarkStart w:id="353" w:name="bookmark353"/>
                            <w:r>
                              <w:rPr>
                                <w:rFonts w:ascii="Times New Roman" w:eastAsia="Times New Roman" w:hAnsi="Times New Roman" w:cs="Times New Roman"/>
                                <w:b/>
                                <w:bCs/>
                                <w:color w:val="000000"/>
                                <w:spacing w:val="0"/>
                                <w:w w:val="100"/>
                                <w:position w:val="0"/>
                              </w:rPr>
                              <w:t>4</w:t>
                            </w:r>
                            <w:r>
                              <w:rPr>
                                <w:b/>
                                <w:bCs/>
                                <w:color w:val="000000"/>
                                <w:spacing w:val="0"/>
                                <w:w w:val="100"/>
                                <w:position w:val="0"/>
                              </w:rPr>
                              <w:t>、关联债权债务往来</w:t>
                            </w:r>
                            <w:bookmarkEnd w:id="353"/>
                          </w:p>
                        </w:txbxContent>
                      </wps:txbx>
                      <wps:bodyPr wrap="none" lIns="0" tIns="0" rIns="0" bIns="0">
                        <a:noAutoFit/>
                      </wps:bodyPr>
                    </wps:wsp>
                  </a:graphicData>
                </a:graphic>
              </wp:anchor>
            </w:drawing>
          </mc:Choice>
          <mc:Fallback>
            <w:pict>
              <v:shape id="_x0000_s1102" type="#_x0000_t202" style="position:absolute;margin-left:70.850000000000009pt;margin-top:24.pt;width:130.80000000000001pt;height:12.5pt;z-index:-125829349;mso-wrap-distance-left:9.pt;mso-wrap-distance-right:9.pt;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left"/>
                      </w:pPr>
                      <w:bookmarkStart w:id="353" w:name="bookmark353"/>
                      <w:r>
                        <w:rPr>
                          <w:rFonts w:ascii="Times New Roman" w:eastAsia="Times New Roman" w:hAnsi="Times New Roman" w:cs="Times New Roman"/>
                          <w:b/>
                          <w:bCs/>
                          <w:color w:val="000000"/>
                          <w:spacing w:val="0"/>
                          <w:w w:val="100"/>
                          <w:position w:val="0"/>
                        </w:rPr>
                        <w:t>4</w:t>
                      </w:r>
                      <w:r>
                        <w:rPr>
                          <w:b/>
                          <w:bCs/>
                          <w:color w:val="000000"/>
                          <w:spacing w:val="0"/>
                          <w:w w:val="100"/>
                          <w:position w:val="0"/>
                        </w:rPr>
                        <w:t>、关联债权债务往来</w:t>
                      </w:r>
                      <w:bookmarkEnd w:id="353"/>
                    </w:p>
                  </w:txbxContent>
                </v:textbox>
                <w10:wrap type="square" anchorx="page"/>
              </v:shape>
            </w:pict>
          </mc:Fallback>
        </mc:AlternateConten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年年度报告全文</w:t>
        <w:br/>
      </w:r>
      <w:r>
        <w:rPr>
          <w:rFonts w:ascii="Times New Roman" w:eastAsia="Times New Roman" w:hAnsi="Times New Roman" w:cs="Times New Roman"/>
          <w:color w:val="000000"/>
          <w:spacing w:val="0"/>
          <w:w w:val="100"/>
          <w:position w:val="0"/>
          <w:sz w:val="20"/>
          <w:szCs w:val="20"/>
          <w:u w:val="none"/>
        </w:rPr>
        <w:t>q</w:t>
      </w:r>
      <w:r>
        <w:rPr>
          <w:color w:val="000000"/>
          <w:spacing w:val="0"/>
          <w:w w:val="100"/>
          <w:position w:val="0"/>
          <w:sz w:val="20"/>
          <w:szCs w:val="20"/>
          <w:u w:val="none"/>
        </w:rPr>
        <w:t>适用</w:t>
      </w:r>
      <w:r>
        <w:rPr>
          <w:color w:val="000000"/>
          <w:spacing w:val="0"/>
          <w:w w:val="100"/>
          <w:position w:val="0"/>
          <w:sz w:val="20"/>
          <w:szCs w:val="20"/>
          <w:u w:val="none"/>
        </w:rPr>
        <w:t>口</w:t>
      </w:r>
      <w:r>
        <w:rPr>
          <w:color w:val="000000"/>
          <w:spacing w:val="0"/>
          <w:w w:val="100"/>
          <w:position w:val="0"/>
          <w:sz w:val="20"/>
          <w:szCs w:val="20"/>
          <w:u w:val="none"/>
        </w:rPr>
        <w:t>不适用</w:t>
      </w:r>
    </w:p>
    <w:p>
      <w:pPr>
        <w:pStyle w:val="Style33"/>
        <w:keepNext w:val="0"/>
        <w:keepLines w:val="0"/>
        <w:widowControl w:val="0"/>
        <w:shd w:val="clear" w:color="auto" w:fill="auto"/>
        <w:tabs>
          <w:tab w:pos="12874" w:val="left"/>
        </w:tabs>
        <w:bidi w:val="0"/>
        <w:spacing w:before="0" w:after="0" w:line="317" w:lineRule="exact"/>
        <w:ind w:left="0" w:right="0" w:firstLine="0"/>
        <w:jc w:val="left"/>
      </w:pPr>
      <w:r>
        <w:rPr>
          <w:color w:val="000000"/>
          <w:spacing w:val="0"/>
          <w:w w:val="100"/>
          <w:position w:val="0"/>
        </w:rPr>
        <w:t>是否存在非经营性关联债权债务往来</w:t>
        <w:tab/>
      </w:r>
      <w:r>
        <w:rPr>
          <w:rFonts w:ascii="Times New Roman" w:eastAsia="Times New Roman" w:hAnsi="Times New Roman" w:cs="Times New Roman"/>
          <w:color w:val="000000"/>
          <w:spacing w:val="0"/>
          <w:w w:val="100"/>
          <w:position w:val="0"/>
        </w:rPr>
        <w:t>q</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33"/>
        <w:keepNext w:val="0"/>
        <w:keepLines w:val="0"/>
        <w:widowControl w:val="0"/>
        <w:shd w:val="clear" w:color="auto" w:fill="auto"/>
        <w:bidi w:val="0"/>
        <w:spacing w:before="0" w:after="280" w:line="317" w:lineRule="exact"/>
        <w:ind w:left="0" w:right="0" w:firstLine="440"/>
        <w:jc w:val="left"/>
      </w:pPr>
      <w:r>
        <w:rPr>
          <w:color w:val="000000"/>
          <w:spacing w:val="0"/>
          <w:w w:val="100"/>
          <w:position w:val="0"/>
        </w:rPr>
        <w:t>详见本节“</w:t>
      </w:r>
      <w:r>
        <w:rPr>
          <w:rFonts w:ascii="Times New Roman" w:eastAsia="Times New Roman" w:hAnsi="Times New Roman" w:cs="Times New Roman"/>
          <w:color w:val="000000"/>
          <w:spacing w:val="0"/>
          <w:w w:val="100"/>
          <w:position w:val="0"/>
        </w:rPr>
        <w:t>5</w:t>
      </w:r>
      <w:r>
        <w:rPr>
          <w:color w:val="000000"/>
          <w:spacing w:val="0"/>
          <w:w w:val="100"/>
          <w:position w:val="0"/>
        </w:rPr>
        <w:t>、其他重大关联交易”。</w:t>
      </w:r>
    </w:p>
    <w:p>
      <w:pPr>
        <w:pStyle w:val="Style33"/>
        <w:keepNext w:val="0"/>
        <w:keepLines w:val="0"/>
        <w:widowControl w:val="0"/>
        <w:shd w:val="clear" w:color="auto" w:fill="auto"/>
        <w:tabs>
          <w:tab w:pos="12288" w:val="left"/>
        </w:tabs>
        <w:bidi w:val="0"/>
        <w:spacing w:before="0" w:after="280" w:line="317" w:lineRule="exact"/>
        <w:ind w:left="0" w:right="0" w:firstLine="0"/>
        <w:jc w:val="both"/>
      </w:pPr>
      <w:bookmarkStart w:id="354" w:name="bookmark354"/>
      <w:r>
        <w:rPr>
          <w:rFonts w:ascii="Times New Roman" w:eastAsia="Times New Roman" w:hAnsi="Times New Roman" w:cs="Times New Roman"/>
          <w:b/>
          <w:bCs/>
          <w:color w:val="000000"/>
          <w:spacing w:val="0"/>
          <w:w w:val="100"/>
          <w:position w:val="0"/>
        </w:rPr>
        <w:t>5</w:t>
      </w:r>
      <w:r>
        <w:rPr>
          <w:b/>
          <w:bCs/>
          <w:color w:val="000000"/>
          <w:spacing w:val="0"/>
          <w:w w:val="100"/>
          <w:position w:val="0"/>
        </w:rPr>
        <w:t>、其他重大关联交易</w:t>
        <w:tab/>
      </w: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354"/>
    </w:p>
    <w:p>
      <w:pPr>
        <w:pStyle w:val="Style33"/>
        <w:keepNext w:val="0"/>
        <w:keepLines w:val="0"/>
        <w:widowControl w:val="0"/>
        <w:numPr>
          <w:ilvl w:val="0"/>
          <w:numId w:val="5"/>
        </w:numPr>
        <w:shd w:val="clear" w:color="auto" w:fill="auto"/>
        <w:tabs>
          <w:tab w:pos="1016" w:val="left"/>
        </w:tabs>
        <w:bidi w:val="0"/>
        <w:spacing w:before="0" w:after="0" w:line="317" w:lineRule="exact"/>
        <w:ind w:left="0" w:right="0" w:firstLine="440"/>
        <w:jc w:val="left"/>
      </w:pPr>
      <w:bookmarkStart w:id="355" w:name="bookmark355"/>
      <w:bookmarkStart w:id="356" w:name="bookmark356"/>
      <w:bookmarkEnd w:id="355"/>
      <w:r>
        <w:rPr>
          <w:color w:val="000000"/>
          <w:spacing w:val="0"/>
          <w:w w:val="100"/>
          <w:position w:val="0"/>
        </w:rPr>
        <w:t>报告期内，公司通过发行股份及支付现金方式以</w:t>
      </w:r>
      <w:r>
        <w:rPr>
          <w:color w:val="000000"/>
          <w:spacing w:val="0"/>
          <w:w w:val="100"/>
          <w:position w:val="0"/>
        </w:rPr>
        <w:t>69.3</w:t>
      </w:r>
      <w:r>
        <w:rPr>
          <w:color w:val="000000"/>
          <w:spacing w:val="0"/>
          <w:w w:val="100"/>
          <w:position w:val="0"/>
        </w:rPr>
        <w:t>亿元购买中江信托等</w:t>
      </w:r>
      <w:r>
        <w:rPr>
          <w:color w:val="000000"/>
          <w:spacing w:val="0"/>
          <w:w w:val="100"/>
          <w:position w:val="0"/>
        </w:rPr>
        <w:t>9</w:t>
      </w:r>
      <w:r>
        <w:rPr>
          <w:color w:val="000000"/>
          <w:spacing w:val="0"/>
          <w:w w:val="100"/>
          <w:position w:val="0"/>
        </w:rPr>
        <w:t>名出资人合计持有的国盛证券</w:t>
      </w:r>
      <w:r>
        <w:rPr>
          <w:rFonts w:ascii="Times New Roman" w:eastAsia="Times New Roman" w:hAnsi="Times New Roman" w:cs="Times New Roman"/>
          <w:color w:val="000000"/>
          <w:spacing w:val="0"/>
          <w:w w:val="100"/>
          <w:position w:val="0"/>
        </w:rPr>
        <w:t>100%</w:t>
      </w:r>
      <w:r>
        <w:rPr>
          <w:color w:val="000000"/>
          <w:spacing w:val="0"/>
          <w:w w:val="100"/>
          <w:position w:val="0"/>
        </w:rPr>
        <w:t>股权并募集配套资金。本次交易 已经公司</w:t>
      </w:r>
      <w:r>
        <w:rPr>
          <w:color w:val="000000"/>
          <w:spacing w:val="0"/>
          <w:w w:val="100"/>
          <w:position w:val="0"/>
        </w:rPr>
        <w:t>2015</w:t>
      </w:r>
      <w:r>
        <w:rPr>
          <w:color w:val="000000"/>
          <w:spacing w:val="0"/>
          <w:w w:val="100"/>
          <w:position w:val="0"/>
        </w:rPr>
        <w:t>年第二次临时股东大会审议通过，并经中国证监会证监许可</w:t>
      </w:r>
      <w:r>
        <w:rPr>
          <w:color w:val="000000"/>
          <w:spacing w:val="0"/>
          <w:w w:val="100"/>
          <w:position w:val="0"/>
        </w:rPr>
        <w:t>[2016]693</w:t>
      </w:r>
      <w:r>
        <w:rPr>
          <w:color w:val="000000"/>
          <w:spacing w:val="0"/>
          <w:w w:val="100"/>
          <w:position w:val="0"/>
        </w:rPr>
        <w:t>号核准。本次交易于</w:t>
      </w: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月实施完毕。由于交易完成后，前海发 展、前海远大、凤凰财鑫、中江信托、赣粤高速为公司</w:t>
      </w:r>
      <w:r>
        <w:rPr>
          <w:rFonts w:ascii="Times New Roman" w:eastAsia="Times New Roman" w:hAnsi="Times New Roman" w:cs="Times New Roman"/>
          <w:color w:val="000000"/>
          <w:spacing w:val="0"/>
          <w:w w:val="100"/>
          <w:position w:val="0"/>
        </w:rPr>
        <w:t>5%</w:t>
      </w:r>
      <w:r>
        <w:rPr>
          <w:color w:val="000000"/>
          <w:spacing w:val="0"/>
          <w:w w:val="100"/>
          <w:position w:val="0"/>
        </w:rPr>
        <w:t>以上股东，且前海发展、前海远大、凤凰财鑫为公司实际控制人控制的企业，故而本次交易构 成关联交易。</w:t>
      </w:r>
      <w:bookmarkEnd w:id="356"/>
    </w:p>
    <w:p>
      <w:pPr>
        <w:pStyle w:val="Style33"/>
        <w:keepNext w:val="0"/>
        <w:keepLines w:val="0"/>
        <w:widowControl w:val="0"/>
        <w:numPr>
          <w:ilvl w:val="0"/>
          <w:numId w:val="5"/>
        </w:numPr>
        <w:shd w:val="clear" w:color="auto" w:fill="auto"/>
        <w:tabs>
          <w:tab w:pos="1016" w:val="left"/>
        </w:tabs>
        <w:bidi w:val="0"/>
        <w:spacing w:before="0" w:after="0" w:line="317" w:lineRule="exact"/>
        <w:ind w:left="0" w:right="0" w:firstLine="440"/>
        <w:jc w:val="left"/>
      </w:pPr>
      <w:bookmarkStart w:id="357" w:name="bookmark357"/>
      <w:bookmarkEnd w:id="357"/>
      <w:r>
        <w:rPr>
          <w:color w:val="000000"/>
          <w:spacing w:val="0"/>
          <w:w w:val="100"/>
          <w:position w:val="0"/>
        </w:rPr>
        <w:t>报告期内，子公司深圳华声以</w:t>
      </w:r>
      <w:r>
        <w:rPr>
          <w:rFonts w:ascii="Times New Roman" w:eastAsia="Times New Roman" w:hAnsi="Times New Roman" w:cs="Times New Roman"/>
          <w:color w:val="000000"/>
          <w:spacing w:val="0"/>
          <w:w w:val="100"/>
          <w:position w:val="0"/>
        </w:rPr>
        <w:t>3.75</w:t>
      </w:r>
      <w:r>
        <w:rPr>
          <w:color w:val="000000"/>
          <w:spacing w:val="0"/>
          <w:w w:val="100"/>
          <w:position w:val="0"/>
        </w:rPr>
        <w:t>亿元的价格购买凤凰祥瑞持有的北京快乐时代</w:t>
      </w:r>
      <w:r>
        <w:rPr>
          <w:rFonts w:ascii="Times New Roman" w:eastAsia="Times New Roman" w:hAnsi="Times New Roman" w:cs="Times New Roman"/>
          <w:color w:val="000000"/>
          <w:spacing w:val="0"/>
          <w:w w:val="100"/>
          <w:position w:val="0"/>
        </w:rPr>
        <w:t>5%</w:t>
      </w:r>
      <w:r>
        <w:rPr>
          <w:color w:val="000000"/>
          <w:spacing w:val="0"/>
          <w:w w:val="100"/>
          <w:position w:val="0"/>
        </w:rPr>
        <w:t>股权。由于凤凰祥瑞与本公司同受杜力先生、张巍先生控制, 本次交易构成关联交易。截至报告期末，标的股权已完成过户，深圳华声尚未支付交易价款。</w:t>
      </w:r>
    </w:p>
    <w:p>
      <w:pPr>
        <w:pStyle w:val="Style33"/>
        <w:keepNext w:val="0"/>
        <w:keepLines w:val="0"/>
        <w:widowControl w:val="0"/>
        <w:numPr>
          <w:ilvl w:val="0"/>
          <w:numId w:val="5"/>
        </w:numPr>
        <w:shd w:val="clear" w:color="auto" w:fill="auto"/>
        <w:tabs>
          <w:tab w:pos="1021" w:val="left"/>
        </w:tabs>
        <w:bidi w:val="0"/>
        <w:spacing w:before="0" w:after="120" w:line="317" w:lineRule="exact"/>
        <w:ind w:left="0" w:right="0" w:firstLine="440"/>
        <w:jc w:val="left"/>
      </w:pPr>
      <w:bookmarkStart w:id="358" w:name="bookmark358"/>
      <w:bookmarkEnd w:id="358"/>
      <w:r>
        <w:rPr>
          <w:color w:val="000000"/>
          <w:spacing w:val="0"/>
          <w:w w:val="100"/>
          <w:position w:val="0"/>
        </w:rPr>
        <w:t>报告期内，子公司国盛证券存在向关联方中江信托推荐信托业务并收取服务费的活动。其中，</w:t>
      </w:r>
      <w:r>
        <w:rPr>
          <w:rFonts w:ascii="Times New Roman" w:eastAsia="Times New Roman" w:hAnsi="Times New Roman" w:cs="Times New Roman"/>
          <w:color w:val="000000"/>
          <w:spacing w:val="0"/>
          <w:w w:val="100"/>
          <w:position w:val="0"/>
        </w:rPr>
        <w:t>6,354.5</w:t>
      </w:r>
      <w:r>
        <w:rPr>
          <w:rFonts w:ascii="Times New Roman" w:eastAsia="Times New Roman" w:hAnsi="Times New Roman" w:cs="Times New Roman"/>
          <w:color w:val="000000"/>
          <w:spacing w:val="0"/>
          <w:w w:val="100"/>
          <w:position w:val="0"/>
        </w:rPr>
        <w:t>2</w:t>
      </w:r>
      <w:r>
        <w:rPr>
          <w:color w:val="000000"/>
          <w:spacing w:val="0"/>
          <w:w w:val="100"/>
          <w:position w:val="0"/>
        </w:rPr>
        <w:t xml:space="preserve">万元为中江信托多支付的服务费，已于 </w:t>
      </w:r>
      <w:r>
        <w:rPr>
          <w:color w:val="000000"/>
          <w:spacing w:val="0"/>
          <w:w w:val="100"/>
          <w:position w:val="0"/>
        </w:rPr>
        <w:t>2017</w:t>
      </w:r>
      <w:r>
        <w:rPr>
          <w:color w:val="000000"/>
          <w:spacing w:val="0"/>
          <w:w w:val="100"/>
          <w:position w:val="0"/>
        </w:rPr>
        <w:t>年</w:t>
      </w:r>
      <w:r>
        <w:rPr>
          <w:color w:val="000000"/>
          <w:spacing w:val="0"/>
          <w:w w:val="100"/>
          <w:position w:val="0"/>
        </w:rPr>
        <w:t>2</w:t>
      </w:r>
      <w:r>
        <w:rPr>
          <w:color w:val="000000"/>
          <w:spacing w:val="0"/>
          <w:w w:val="100"/>
          <w:position w:val="0"/>
        </w:rPr>
        <w:t>月退还。</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重大关联交易临时报告披露网站相关查询</w:t>
      </w:r>
    </w:p>
    <w:tbl>
      <w:tblPr>
        <w:tblOverlap w:val="never"/>
        <w:jc w:val="center"/>
        <w:tblLayout w:type="fixed"/>
      </w:tblPr>
      <w:tblGrid>
        <w:gridCol w:w="7378"/>
        <w:gridCol w:w="2976"/>
        <w:gridCol w:w="355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临时公告披露日期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临时公告披露网站名称</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《发行股份及支付现金购买资产并募集配套资金暨关联交易报告书》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www.cninfo.com.cn</w:t>
            </w:r>
            <w:r>
              <w:fldChar w:fldCharType="end"/>
            </w: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《发行股份及支付现金购买资产并募集配套资金暨关联交易实施情况暨新增股 份上市公告书》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www.cninfo.com.cn</w:t>
            </w:r>
            <w:r>
              <w:fldChar w:fldCharType="end"/>
            </w: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《关于购买北京快乐时代</w:t>
            </w:r>
            <w:r>
              <w:rPr>
                <w:rFonts w:ascii="Times New Roman" w:eastAsia="Times New Roman" w:hAnsi="Times New Roman" w:cs="Times New Roman"/>
                <w:color w:val="000000"/>
                <w:spacing w:val="0"/>
                <w:w w:val="100"/>
                <w:position w:val="0"/>
              </w:rPr>
              <w:t>5%</w:t>
            </w:r>
            <w:r>
              <w:rPr>
                <w:color w:val="000000"/>
                <w:spacing w:val="0"/>
                <w:w w:val="100"/>
                <w:position w:val="0"/>
              </w:rPr>
              <w:t>股权资产暨关联交易的公告》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www.cninfo.com.cn</w:t>
            </w:r>
            <w:r>
              <w:fldChar w:fldCharType="end"/>
            </w:r>
            <w:r>
              <w:rPr>
                <w:color w:val="000000"/>
                <w:spacing w:val="0"/>
                <w:w w:val="100"/>
                <w:position w:val="0"/>
              </w:rPr>
              <w:t>)</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《关于购买北京快乐时代</w:t>
            </w:r>
            <w:r>
              <w:rPr>
                <w:rFonts w:ascii="Times New Roman" w:eastAsia="Times New Roman" w:hAnsi="Times New Roman" w:cs="Times New Roman"/>
                <w:color w:val="000000"/>
                <w:spacing w:val="0"/>
                <w:w w:val="100"/>
                <w:position w:val="0"/>
              </w:rPr>
              <w:t>5%</w:t>
            </w:r>
            <w:r>
              <w:rPr>
                <w:color w:val="000000"/>
                <w:spacing w:val="0"/>
                <w:w w:val="100"/>
                <w:position w:val="0"/>
              </w:rPr>
              <w:t>股权交易完成工商变更登记的公告》</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www.cninfo.com.cn</w:t>
            </w:r>
            <w:r>
              <w:fldChar w:fldCharType="end"/>
            </w:r>
            <w:r>
              <w:rPr>
                <w:color w:val="000000"/>
                <w:spacing w:val="0"/>
                <w:w w:val="100"/>
                <w:position w:val="0"/>
              </w:rPr>
              <w:t>)</w:t>
            </w:r>
          </w:p>
        </w:tc>
      </w:tr>
    </w:tbl>
    <w:p>
      <w:pPr>
        <w:sectPr>
          <w:headerReference w:type="default" r:id="rId29"/>
          <w:footerReference w:type="default" r:id="rId30"/>
          <w:footnotePr>
            <w:pos w:val="pageBottom"/>
            <w:numFmt w:val="decimal"/>
            <w:numRestart w:val="continuous"/>
          </w:footnotePr>
          <w:pgSz w:w="16840" w:h="11900" w:orient="landscape"/>
          <w:pgMar w:top="721" w:right="1316" w:bottom="1156" w:left="1417" w:header="0" w:footer="3" w:gutter="0"/>
          <w:cols w:space="720"/>
          <w:noEndnote/>
          <w:rtlGutter w:val="0"/>
          <w:docGrid w:linePitch="360"/>
        </w:sectPr>
      </w:pPr>
    </w:p>
    <w:p>
      <w:pPr>
        <w:widowControl w:val="0"/>
        <w:spacing w:line="1" w:lineRule="exact"/>
      </w:pPr>
      <w:r>
        <mc:AlternateContent>
          <mc:Choice Requires="wps">
            <w:drawing>
              <wp:anchor distT="0" distB="149225" distL="0" distR="0" simplePos="0" relativeHeight="125829406" behindDoc="0" locked="0" layoutInCell="1" allowOverlap="1">
                <wp:simplePos x="0" y="0"/>
                <wp:positionH relativeFrom="page">
                  <wp:posOffset>899795</wp:posOffset>
                </wp:positionH>
                <wp:positionV relativeFrom="paragraph">
                  <wp:posOffset>0</wp:posOffset>
                </wp:positionV>
                <wp:extent cx="2026920" cy="3273425"/>
                <wp:wrapTopAndBottom/>
                <wp:docPr id="83" name="Shape 83"/>
                <a:graphic xmlns:a="http://schemas.openxmlformats.org/drawingml/2006/main">
                  <a:graphicData uri="http://schemas.microsoft.com/office/word/2010/wordprocessingShape">
                    <wps:wsp>
                      <wps:cNvSpPr txBox="1"/>
                      <wps:spPr>
                        <a:xfrm>
                          <a:ext cx="2026920" cy="3273425"/>
                        </a:xfrm>
                        <a:prstGeom prst="rect"/>
                        <a:noFill/>
                      </wps:spPr>
                      <wps:txbx>
                        <w:txbxContent>
                          <w:p>
                            <w:pPr>
                              <w:pStyle w:val="Style23"/>
                              <w:keepNext/>
                              <w:keepLines/>
                              <w:widowControl w:val="0"/>
                              <w:shd w:val="clear" w:color="auto" w:fill="auto"/>
                              <w:bidi w:val="0"/>
                              <w:spacing w:before="0" w:after="360" w:line="240" w:lineRule="auto"/>
                              <w:ind w:left="0" w:right="0" w:firstLine="0"/>
                              <w:jc w:val="left"/>
                              <w:rPr>
                                <w:sz w:val="22"/>
                                <w:szCs w:val="22"/>
                              </w:rPr>
                            </w:pPr>
                            <w:bookmarkStart w:id="359" w:name="bookmark359"/>
                            <w:bookmarkStart w:id="360" w:name="bookmark360"/>
                            <w:bookmarkStart w:id="361" w:name="bookmark361"/>
                            <w:r>
                              <w:rPr>
                                <w:b/>
                                <w:bCs/>
                                <w:color w:val="000000"/>
                                <w:spacing w:val="0"/>
                                <w:w w:val="100"/>
                                <w:position w:val="0"/>
                                <w:sz w:val="22"/>
                                <w:szCs w:val="22"/>
                              </w:rPr>
                              <w:t>十七、重大合同及其履行情况</w:t>
                            </w:r>
                            <w:bookmarkEnd w:id="359"/>
                            <w:bookmarkEnd w:id="360"/>
                            <w:bookmarkEnd w:id="361"/>
                          </w:p>
                          <w:p>
                            <w:pPr>
                              <w:pStyle w:val="Style30"/>
                              <w:keepNext/>
                              <w:keepLines/>
                              <w:widowControl w:val="0"/>
                              <w:shd w:val="clear" w:color="auto" w:fill="auto"/>
                              <w:tabs>
                                <w:tab w:pos="307" w:val="left"/>
                              </w:tabs>
                              <w:bidi w:val="0"/>
                              <w:spacing w:before="0" w:after="360" w:line="240" w:lineRule="auto"/>
                              <w:ind w:left="0" w:right="0" w:firstLine="0"/>
                              <w:jc w:val="left"/>
                            </w:pPr>
                            <w:bookmarkStart w:id="362" w:name="bookmark362"/>
                            <w:bookmarkStart w:id="363" w:name="bookmark363"/>
                            <w:bookmarkStart w:id="364" w:name="bookmark364"/>
                            <w:bookmarkStart w:id="365" w:name="bookmark365"/>
                            <w:r>
                              <w:rPr>
                                <w:rFonts w:ascii="Times New Roman" w:eastAsia="Times New Roman" w:hAnsi="Times New Roman" w:cs="Times New Roman"/>
                                <w:color w:val="000000"/>
                                <w:spacing w:val="0"/>
                                <w:w w:val="100"/>
                                <w:position w:val="0"/>
                              </w:rPr>
                              <w:t>1</w:t>
                            </w:r>
                            <w:bookmarkEnd w:id="364"/>
                            <w:r>
                              <w:rPr>
                                <w:color w:val="000000"/>
                                <w:spacing w:val="0"/>
                                <w:w w:val="100"/>
                                <w:position w:val="0"/>
                              </w:rPr>
                              <w:t>、</w:t>
                              <w:tab/>
                              <w:t>托管、承包、租赁事项情况</w:t>
                            </w:r>
                            <w:bookmarkEnd w:id="362"/>
                            <w:bookmarkEnd w:id="363"/>
                            <w:bookmarkEnd w:id="365"/>
                          </w:p>
                          <w:p>
                            <w:pPr>
                              <w:pStyle w:val="Style30"/>
                              <w:keepNext/>
                              <w:keepLines/>
                              <w:widowControl w:val="0"/>
                              <w:shd w:val="clear" w:color="auto" w:fill="auto"/>
                              <w:tabs>
                                <w:tab w:pos="413" w:val="left"/>
                              </w:tabs>
                              <w:bidi w:val="0"/>
                              <w:spacing w:before="0" w:after="360" w:line="240" w:lineRule="auto"/>
                              <w:ind w:left="0" w:right="0" w:firstLine="0"/>
                              <w:jc w:val="left"/>
                            </w:pPr>
                            <w:bookmarkStart w:id="362" w:name="bookmark362"/>
                            <w:bookmarkStart w:id="363" w:name="bookmark363"/>
                            <w:bookmarkStart w:id="366" w:name="bookmark366"/>
                            <w:bookmarkStart w:id="367" w:name="bookmark367"/>
                            <w:r>
                              <w:rPr>
                                <w:color w:val="000000"/>
                                <w:spacing w:val="0"/>
                                <w:w w:val="100"/>
                                <w:position w:val="0"/>
                              </w:rPr>
                              <w:t>（</w:t>
                            </w:r>
                            <w:bookmarkEnd w:id="366"/>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62"/>
                            <w:bookmarkEnd w:id="363"/>
                            <w:bookmarkEnd w:id="367"/>
                          </w:p>
                          <w:p>
                            <w:pPr>
                              <w:pStyle w:val="Style33"/>
                              <w:keepNext w:val="0"/>
                              <w:keepLines w:val="0"/>
                              <w:widowControl w:val="0"/>
                              <w:shd w:val="clear" w:color="auto" w:fill="auto"/>
                              <w:bidi w:val="0"/>
                              <w:spacing w:before="0" w:after="360" w:line="240" w:lineRule="auto"/>
                              <w:ind w:left="0" w:right="0" w:firstLine="440"/>
                              <w:jc w:val="left"/>
                            </w:pPr>
                            <w:bookmarkStart w:id="368" w:name="bookmark368"/>
                            <w:r>
                              <w:rPr>
                                <w:color w:val="000000"/>
                                <w:spacing w:val="0"/>
                                <w:w w:val="100"/>
                                <w:position w:val="0"/>
                              </w:rPr>
                              <w:t>公司报告期不存在托管情况。</w:t>
                            </w:r>
                            <w:bookmarkEnd w:id="368"/>
                          </w:p>
                          <w:p>
                            <w:pPr>
                              <w:pStyle w:val="Style33"/>
                              <w:keepNext w:val="0"/>
                              <w:keepLines w:val="0"/>
                              <w:widowControl w:val="0"/>
                              <w:shd w:val="clear" w:color="auto" w:fill="auto"/>
                              <w:tabs>
                                <w:tab w:pos="326" w:val="left"/>
                              </w:tabs>
                              <w:bidi w:val="0"/>
                              <w:spacing w:before="0" w:after="360" w:line="240" w:lineRule="auto"/>
                              <w:ind w:left="0" w:right="0" w:firstLine="0"/>
                              <w:jc w:val="left"/>
                            </w:pPr>
                            <w:bookmarkStart w:id="369" w:name="bookmark369"/>
                            <w:bookmarkStart w:id="370" w:name="bookmark370"/>
                            <w:bookmarkStart w:id="371" w:name="bookmark371"/>
                            <w:r>
                              <w:rPr>
                                <w:b/>
                                <w:bCs/>
                                <w:color w:val="000000"/>
                                <w:spacing w:val="0"/>
                                <w:w w:val="100"/>
                                <w:position w:val="0"/>
                              </w:rPr>
                              <w:t>（</w:t>
                            </w:r>
                            <w:bookmarkEnd w:id="369"/>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承包情况</w:t>
                            </w:r>
                            <w:bookmarkEnd w:id="370"/>
                            <w:bookmarkEnd w:id="371"/>
                          </w:p>
                          <w:p>
                            <w:pPr>
                              <w:pStyle w:val="Style33"/>
                              <w:keepNext w:val="0"/>
                              <w:keepLines w:val="0"/>
                              <w:widowControl w:val="0"/>
                              <w:shd w:val="clear" w:color="auto" w:fill="auto"/>
                              <w:bidi w:val="0"/>
                              <w:spacing w:before="0" w:after="360" w:line="240" w:lineRule="auto"/>
                              <w:ind w:left="0" w:right="0" w:firstLine="440"/>
                              <w:jc w:val="left"/>
                            </w:pPr>
                            <w:bookmarkStart w:id="372" w:name="bookmark372"/>
                            <w:bookmarkStart w:id="373" w:name="bookmark373"/>
                            <w:r>
                              <w:rPr>
                                <w:color w:val="000000"/>
                                <w:spacing w:val="0"/>
                                <w:w w:val="100"/>
                                <w:position w:val="0"/>
                              </w:rPr>
                              <w:t>公司报告期不存在承包情况。</w:t>
                            </w:r>
                            <w:bookmarkEnd w:id="372"/>
                            <w:bookmarkEnd w:id="373"/>
                          </w:p>
                          <w:p>
                            <w:pPr>
                              <w:pStyle w:val="Style33"/>
                              <w:keepNext w:val="0"/>
                              <w:keepLines w:val="0"/>
                              <w:widowControl w:val="0"/>
                              <w:shd w:val="clear" w:color="auto" w:fill="auto"/>
                              <w:tabs>
                                <w:tab w:pos="326" w:val="left"/>
                              </w:tabs>
                              <w:bidi w:val="0"/>
                              <w:spacing w:before="0" w:after="360" w:line="240" w:lineRule="auto"/>
                              <w:ind w:left="0" w:right="0" w:firstLine="0"/>
                              <w:jc w:val="left"/>
                            </w:pPr>
                            <w:bookmarkStart w:id="374" w:name="bookmark374"/>
                            <w:bookmarkStart w:id="375" w:name="bookmark375"/>
                            <w:bookmarkStart w:id="376" w:name="bookmark376"/>
                            <w:bookmarkStart w:id="377" w:name="bookmark377"/>
                            <w:r>
                              <w:rPr>
                                <w:b/>
                                <w:bCs/>
                                <w:color w:val="000000"/>
                                <w:spacing w:val="0"/>
                                <w:w w:val="100"/>
                                <w:position w:val="0"/>
                              </w:rPr>
                              <w:t>（</w:t>
                            </w:r>
                            <w:bookmarkEnd w:id="374"/>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租赁情况</w:t>
                            </w:r>
                            <w:bookmarkEnd w:id="375"/>
                            <w:bookmarkEnd w:id="376"/>
                            <w:bookmarkEnd w:id="377"/>
                          </w:p>
                          <w:p>
                            <w:pPr>
                              <w:pStyle w:val="Style33"/>
                              <w:keepNext w:val="0"/>
                              <w:keepLines w:val="0"/>
                              <w:widowControl w:val="0"/>
                              <w:shd w:val="clear" w:color="auto" w:fill="auto"/>
                              <w:bidi w:val="0"/>
                              <w:spacing w:before="0" w:after="360" w:line="240" w:lineRule="auto"/>
                              <w:ind w:left="0" w:right="0" w:firstLine="440"/>
                              <w:jc w:val="left"/>
                            </w:pPr>
                            <w:bookmarkStart w:id="378" w:name="bookmark378"/>
                            <w:bookmarkStart w:id="379" w:name="bookmark379"/>
                            <w:bookmarkStart w:id="380" w:name="bookmark380"/>
                            <w:r>
                              <w:rPr>
                                <w:color w:val="000000"/>
                                <w:spacing w:val="0"/>
                                <w:w w:val="100"/>
                                <w:position w:val="0"/>
                              </w:rPr>
                              <w:t>公司报告期不存在租赁情况。</w:t>
                            </w:r>
                            <w:bookmarkEnd w:id="378"/>
                            <w:bookmarkEnd w:id="379"/>
                            <w:bookmarkEnd w:id="380"/>
                          </w:p>
                          <w:p>
                            <w:pPr>
                              <w:pStyle w:val="Style33"/>
                              <w:keepNext w:val="0"/>
                              <w:keepLines w:val="0"/>
                              <w:widowControl w:val="0"/>
                              <w:shd w:val="clear" w:color="auto" w:fill="auto"/>
                              <w:tabs>
                                <w:tab w:pos="230" w:val="left"/>
                              </w:tabs>
                              <w:bidi w:val="0"/>
                              <w:spacing w:before="0" w:after="360" w:line="240" w:lineRule="auto"/>
                              <w:ind w:left="0" w:right="0" w:firstLine="0"/>
                              <w:jc w:val="left"/>
                            </w:pPr>
                            <w:bookmarkStart w:id="381" w:name="bookmark381"/>
                            <w:bookmarkStart w:id="382" w:name="bookmark382"/>
                            <w:bookmarkStart w:id="383" w:name="bookmark383"/>
                            <w:bookmarkStart w:id="384" w:name="bookmark384"/>
                            <w:bookmarkStart w:id="385" w:name="bookmark385"/>
                            <w:r>
                              <w:rPr>
                                <w:rFonts w:ascii="Times New Roman" w:eastAsia="Times New Roman" w:hAnsi="Times New Roman" w:cs="Times New Roman"/>
                                <w:b/>
                                <w:bCs/>
                                <w:color w:val="000000"/>
                                <w:spacing w:val="0"/>
                                <w:w w:val="100"/>
                                <w:position w:val="0"/>
                              </w:rPr>
                              <w:t>2</w:t>
                            </w:r>
                            <w:bookmarkEnd w:id="381"/>
                            <w:r>
                              <w:rPr>
                                <w:b/>
                                <w:bCs/>
                                <w:color w:val="000000"/>
                                <w:spacing w:val="0"/>
                                <w:w w:val="100"/>
                                <w:position w:val="0"/>
                              </w:rPr>
                              <w:t>、</w:t>
                              <w:tab/>
                              <w:t>重大担保</w:t>
                            </w:r>
                            <w:bookmarkEnd w:id="382"/>
                            <w:bookmarkEnd w:id="383"/>
                            <w:bookmarkEnd w:id="384"/>
                            <w:bookmarkEnd w:id="385"/>
                          </w:p>
                        </w:txbxContent>
                      </wps:txbx>
                      <wps:bodyPr lIns="0" tIns="0" rIns="0" bIns="0">
                        <a:noAutoFit/>
                      </wps:bodyPr>
                    </wps:wsp>
                  </a:graphicData>
                </a:graphic>
              </wp:anchor>
            </w:drawing>
          </mc:Choice>
          <mc:Fallback>
            <w:pict>
              <v:shape id="_x0000_s1109" type="#_x0000_t202" style="position:absolute;margin-left:70.850000000000009pt;margin-top:0;width:159.59999999999999pt;height:257.75pt;z-index:-125829347;mso-wrap-distance-left:0;mso-wrap-distance-right:0;mso-wrap-distance-bottom:11.75pt;mso-position-horizontal-relative:page" filled="f" stroked="f">
                <v:textbox inset="0,0,0,0">
                  <w:txbxContent>
                    <w:p>
                      <w:pPr>
                        <w:pStyle w:val="Style23"/>
                        <w:keepNext/>
                        <w:keepLines/>
                        <w:widowControl w:val="0"/>
                        <w:shd w:val="clear" w:color="auto" w:fill="auto"/>
                        <w:bidi w:val="0"/>
                        <w:spacing w:before="0" w:after="360" w:line="240" w:lineRule="auto"/>
                        <w:ind w:left="0" w:right="0" w:firstLine="0"/>
                        <w:jc w:val="left"/>
                        <w:rPr>
                          <w:sz w:val="22"/>
                          <w:szCs w:val="22"/>
                        </w:rPr>
                      </w:pPr>
                      <w:bookmarkStart w:id="359" w:name="bookmark359"/>
                      <w:bookmarkStart w:id="360" w:name="bookmark360"/>
                      <w:bookmarkStart w:id="361" w:name="bookmark361"/>
                      <w:r>
                        <w:rPr>
                          <w:b/>
                          <w:bCs/>
                          <w:color w:val="000000"/>
                          <w:spacing w:val="0"/>
                          <w:w w:val="100"/>
                          <w:position w:val="0"/>
                          <w:sz w:val="22"/>
                          <w:szCs w:val="22"/>
                        </w:rPr>
                        <w:t>十七、重大合同及其履行情况</w:t>
                      </w:r>
                      <w:bookmarkEnd w:id="359"/>
                      <w:bookmarkEnd w:id="360"/>
                      <w:bookmarkEnd w:id="361"/>
                    </w:p>
                    <w:p>
                      <w:pPr>
                        <w:pStyle w:val="Style30"/>
                        <w:keepNext/>
                        <w:keepLines/>
                        <w:widowControl w:val="0"/>
                        <w:shd w:val="clear" w:color="auto" w:fill="auto"/>
                        <w:tabs>
                          <w:tab w:pos="307" w:val="left"/>
                        </w:tabs>
                        <w:bidi w:val="0"/>
                        <w:spacing w:before="0" w:after="360" w:line="240" w:lineRule="auto"/>
                        <w:ind w:left="0" w:right="0" w:firstLine="0"/>
                        <w:jc w:val="left"/>
                      </w:pPr>
                      <w:bookmarkStart w:id="362" w:name="bookmark362"/>
                      <w:bookmarkStart w:id="363" w:name="bookmark363"/>
                      <w:bookmarkStart w:id="364" w:name="bookmark364"/>
                      <w:bookmarkStart w:id="365" w:name="bookmark365"/>
                      <w:r>
                        <w:rPr>
                          <w:rFonts w:ascii="Times New Roman" w:eastAsia="Times New Roman" w:hAnsi="Times New Roman" w:cs="Times New Roman"/>
                          <w:color w:val="000000"/>
                          <w:spacing w:val="0"/>
                          <w:w w:val="100"/>
                          <w:position w:val="0"/>
                        </w:rPr>
                        <w:t>1</w:t>
                      </w:r>
                      <w:bookmarkEnd w:id="364"/>
                      <w:r>
                        <w:rPr>
                          <w:color w:val="000000"/>
                          <w:spacing w:val="0"/>
                          <w:w w:val="100"/>
                          <w:position w:val="0"/>
                        </w:rPr>
                        <w:t>、</w:t>
                        <w:tab/>
                        <w:t>托管、承包、租赁事项情况</w:t>
                      </w:r>
                      <w:bookmarkEnd w:id="362"/>
                      <w:bookmarkEnd w:id="363"/>
                      <w:bookmarkEnd w:id="365"/>
                    </w:p>
                    <w:p>
                      <w:pPr>
                        <w:pStyle w:val="Style30"/>
                        <w:keepNext/>
                        <w:keepLines/>
                        <w:widowControl w:val="0"/>
                        <w:shd w:val="clear" w:color="auto" w:fill="auto"/>
                        <w:tabs>
                          <w:tab w:pos="413" w:val="left"/>
                        </w:tabs>
                        <w:bidi w:val="0"/>
                        <w:spacing w:before="0" w:after="360" w:line="240" w:lineRule="auto"/>
                        <w:ind w:left="0" w:right="0" w:firstLine="0"/>
                        <w:jc w:val="left"/>
                      </w:pPr>
                      <w:bookmarkStart w:id="362" w:name="bookmark362"/>
                      <w:bookmarkStart w:id="363" w:name="bookmark363"/>
                      <w:bookmarkStart w:id="366" w:name="bookmark366"/>
                      <w:bookmarkStart w:id="367" w:name="bookmark367"/>
                      <w:r>
                        <w:rPr>
                          <w:color w:val="000000"/>
                          <w:spacing w:val="0"/>
                          <w:w w:val="100"/>
                          <w:position w:val="0"/>
                        </w:rPr>
                        <w:t>（</w:t>
                      </w:r>
                      <w:bookmarkEnd w:id="366"/>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62"/>
                      <w:bookmarkEnd w:id="363"/>
                      <w:bookmarkEnd w:id="367"/>
                    </w:p>
                    <w:p>
                      <w:pPr>
                        <w:pStyle w:val="Style33"/>
                        <w:keepNext w:val="0"/>
                        <w:keepLines w:val="0"/>
                        <w:widowControl w:val="0"/>
                        <w:shd w:val="clear" w:color="auto" w:fill="auto"/>
                        <w:bidi w:val="0"/>
                        <w:spacing w:before="0" w:after="360" w:line="240" w:lineRule="auto"/>
                        <w:ind w:left="0" w:right="0" w:firstLine="440"/>
                        <w:jc w:val="left"/>
                      </w:pPr>
                      <w:bookmarkStart w:id="368" w:name="bookmark368"/>
                      <w:r>
                        <w:rPr>
                          <w:color w:val="000000"/>
                          <w:spacing w:val="0"/>
                          <w:w w:val="100"/>
                          <w:position w:val="0"/>
                        </w:rPr>
                        <w:t>公司报告期不存在托管情况。</w:t>
                      </w:r>
                      <w:bookmarkEnd w:id="368"/>
                    </w:p>
                    <w:p>
                      <w:pPr>
                        <w:pStyle w:val="Style33"/>
                        <w:keepNext w:val="0"/>
                        <w:keepLines w:val="0"/>
                        <w:widowControl w:val="0"/>
                        <w:shd w:val="clear" w:color="auto" w:fill="auto"/>
                        <w:tabs>
                          <w:tab w:pos="326" w:val="left"/>
                        </w:tabs>
                        <w:bidi w:val="0"/>
                        <w:spacing w:before="0" w:after="360" w:line="240" w:lineRule="auto"/>
                        <w:ind w:left="0" w:right="0" w:firstLine="0"/>
                        <w:jc w:val="left"/>
                      </w:pPr>
                      <w:bookmarkStart w:id="369" w:name="bookmark369"/>
                      <w:bookmarkStart w:id="370" w:name="bookmark370"/>
                      <w:bookmarkStart w:id="371" w:name="bookmark371"/>
                      <w:r>
                        <w:rPr>
                          <w:b/>
                          <w:bCs/>
                          <w:color w:val="000000"/>
                          <w:spacing w:val="0"/>
                          <w:w w:val="100"/>
                          <w:position w:val="0"/>
                        </w:rPr>
                        <w:t>（</w:t>
                      </w:r>
                      <w:bookmarkEnd w:id="369"/>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承包情况</w:t>
                      </w:r>
                      <w:bookmarkEnd w:id="370"/>
                      <w:bookmarkEnd w:id="371"/>
                    </w:p>
                    <w:p>
                      <w:pPr>
                        <w:pStyle w:val="Style33"/>
                        <w:keepNext w:val="0"/>
                        <w:keepLines w:val="0"/>
                        <w:widowControl w:val="0"/>
                        <w:shd w:val="clear" w:color="auto" w:fill="auto"/>
                        <w:bidi w:val="0"/>
                        <w:spacing w:before="0" w:after="360" w:line="240" w:lineRule="auto"/>
                        <w:ind w:left="0" w:right="0" w:firstLine="440"/>
                        <w:jc w:val="left"/>
                      </w:pPr>
                      <w:bookmarkStart w:id="372" w:name="bookmark372"/>
                      <w:bookmarkStart w:id="373" w:name="bookmark373"/>
                      <w:r>
                        <w:rPr>
                          <w:color w:val="000000"/>
                          <w:spacing w:val="0"/>
                          <w:w w:val="100"/>
                          <w:position w:val="0"/>
                        </w:rPr>
                        <w:t>公司报告期不存在承包情况。</w:t>
                      </w:r>
                      <w:bookmarkEnd w:id="372"/>
                      <w:bookmarkEnd w:id="373"/>
                    </w:p>
                    <w:p>
                      <w:pPr>
                        <w:pStyle w:val="Style33"/>
                        <w:keepNext w:val="0"/>
                        <w:keepLines w:val="0"/>
                        <w:widowControl w:val="0"/>
                        <w:shd w:val="clear" w:color="auto" w:fill="auto"/>
                        <w:tabs>
                          <w:tab w:pos="326" w:val="left"/>
                        </w:tabs>
                        <w:bidi w:val="0"/>
                        <w:spacing w:before="0" w:after="360" w:line="240" w:lineRule="auto"/>
                        <w:ind w:left="0" w:right="0" w:firstLine="0"/>
                        <w:jc w:val="left"/>
                      </w:pPr>
                      <w:bookmarkStart w:id="374" w:name="bookmark374"/>
                      <w:bookmarkStart w:id="375" w:name="bookmark375"/>
                      <w:bookmarkStart w:id="376" w:name="bookmark376"/>
                      <w:bookmarkStart w:id="377" w:name="bookmark377"/>
                      <w:r>
                        <w:rPr>
                          <w:b/>
                          <w:bCs/>
                          <w:color w:val="000000"/>
                          <w:spacing w:val="0"/>
                          <w:w w:val="100"/>
                          <w:position w:val="0"/>
                        </w:rPr>
                        <w:t>（</w:t>
                      </w:r>
                      <w:bookmarkEnd w:id="374"/>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租赁情况</w:t>
                      </w:r>
                      <w:bookmarkEnd w:id="375"/>
                      <w:bookmarkEnd w:id="376"/>
                      <w:bookmarkEnd w:id="377"/>
                    </w:p>
                    <w:p>
                      <w:pPr>
                        <w:pStyle w:val="Style33"/>
                        <w:keepNext w:val="0"/>
                        <w:keepLines w:val="0"/>
                        <w:widowControl w:val="0"/>
                        <w:shd w:val="clear" w:color="auto" w:fill="auto"/>
                        <w:bidi w:val="0"/>
                        <w:spacing w:before="0" w:after="360" w:line="240" w:lineRule="auto"/>
                        <w:ind w:left="0" w:right="0" w:firstLine="440"/>
                        <w:jc w:val="left"/>
                      </w:pPr>
                      <w:bookmarkStart w:id="378" w:name="bookmark378"/>
                      <w:bookmarkStart w:id="379" w:name="bookmark379"/>
                      <w:bookmarkStart w:id="380" w:name="bookmark380"/>
                      <w:r>
                        <w:rPr>
                          <w:color w:val="000000"/>
                          <w:spacing w:val="0"/>
                          <w:w w:val="100"/>
                          <w:position w:val="0"/>
                        </w:rPr>
                        <w:t>公司报告期不存在租赁情况。</w:t>
                      </w:r>
                      <w:bookmarkEnd w:id="378"/>
                      <w:bookmarkEnd w:id="379"/>
                      <w:bookmarkEnd w:id="380"/>
                    </w:p>
                    <w:p>
                      <w:pPr>
                        <w:pStyle w:val="Style33"/>
                        <w:keepNext w:val="0"/>
                        <w:keepLines w:val="0"/>
                        <w:widowControl w:val="0"/>
                        <w:shd w:val="clear" w:color="auto" w:fill="auto"/>
                        <w:tabs>
                          <w:tab w:pos="230" w:val="left"/>
                        </w:tabs>
                        <w:bidi w:val="0"/>
                        <w:spacing w:before="0" w:after="360" w:line="240" w:lineRule="auto"/>
                        <w:ind w:left="0" w:right="0" w:firstLine="0"/>
                        <w:jc w:val="left"/>
                      </w:pPr>
                      <w:bookmarkStart w:id="381" w:name="bookmark381"/>
                      <w:bookmarkStart w:id="382" w:name="bookmark382"/>
                      <w:bookmarkStart w:id="383" w:name="bookmark383"/>
                      <w:bookmarkStart w:id="384" w:name="bookmark384"/>
                      <w:bookmarkStart w:id="385" w:name="bookmark385"/>
                      <w:r>
                        <w:rPr>
                          <w:rFonts w:ascii="Times New Roman" w:eastAsia="Times New Roman" w:hAnsi="Times New Roman" w:cs="Times New Roman"/>
                          <w:b/>
                          <w:bCs/>
                          <w:color w:val="000000"/>
                          <w:spacing w:val="0"/>
                          <w:w w:val="100"/>
                          <w:position w:val="0"/>
                        </w:rPr>
                        <w:t>2</w:t>
                      </w:r>
                      <w:bookmarkEnd w:id="381"/>
                      <w:r>
                        <w:rPr>
                          <w:b/>
                          <w:bCs/>
                          <w:color w:val="000000"/>
                          <w:spacing w:val="0"/>
                          <w:w w:val="100"/>
                          <w:position w:val="0"/>
                        </w:rPr>
                        <w:t>、</w:t>
                        <w:tab/>
                        <w:t>重大担保</w:t>
                      </w:r>
                      <w:bookmarkEnd w:id="382"/>
                      <w:bookmarkEnd w:id="383"/>
                      <w:bookmarkEnd w:id="384"/>
                      <w:bookmarkEnd w:id="385"/>
                    </w:p>
                  </w:txbxContent>
                </v:textbox>
                <w10:wrap type="topAndBottom" anchorx="page"/>
              </v:shape>
            </w:pict>
          </mc:Fallback>
        </mc:AlternateContent>
      </w:r>
      <w:r>
        <mc:AlternateContent>
          <mc:Choice Requires="wps">
            <w:drawing>
              <wp:anchor distT="758825" distB="2474595" distL="0" distR="0" simplePos="0" relativeHeight="125829408" behindDoc="0" locked="0" layoutInCell="1" allowOverlap="1">
                <wp:simplePos x="0" y="0"/>
                <wp:positionH relativeFrom="page">
                  <wp:posOffset>8736330</wp:posOffset>
                </wp:positionH>
                <wp:positionV relativeFrom="paragraph">
                  <wp:posOffset>758825</wp:posOffset>
                </wp:positionV>
                <wp:extent cx="1042670" cy="189230"/>
                <wp:wrapTopAndBottom/>
                <wp:docPr id="85" name="Shape 85"/>
                <a:graphic xmlns:a="http://schemas.openxmlformats.org/drawingml/2006/main">
                  <a:graphicData uri="http://schemas.microsoft.com/office/word/2010/wordprocessingShape">
                    <wps:wsp>
                      <wps:cNvSpPr txBox="1"/>
                      <wps:spPr>
                        <a:xfrm>
                          <a:ext cx="1042670" cy="18923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txbxContent>
                      </wps:txbx>
                      <wps:bodyPr wrap="none" lIns="0" tIns="0" rIns="0" bIns="0">
                        <a:noAutoFit/>
                      </wps:bodyPr>
                    </wps:wsp>
                  </a:graphicData>
                </a:graphic>
              </wp:anchor>
            </w:drawing>
          </mc:Choice>
          <mc:Fallback>
            <w:pict>
              <v:shape id="_x0000_s1111" type="#_x0000_t202" style="position:absolute;margin-left:687.89999999999998pt;margin-top:59.75pt;width:82.100000000000009pt;height:14.9pt;z-index:-125829345;mso-wrap-distance-left:0;mso-wrap-distance-top:59.75pt;mso-wrap-distance-right:0;mso-wrap-distance-bottom:194.84999999999999pt;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txbxContent>
                </v:textbox>
                <w10:wrap type="topAndBottom" anchorx="page"/>
              </v:shape>
            </w:pict>
          </mc:Fallback>
        </mc:AlternateContent>
      </w:r>
      <w:r>
        <mc:AlternateContent>
          <mc:Choice Requires="wps">
            <w:drawing>
              <wp:anchor distT="1536065" distB="1697355" distL="0" distR="0" simplePos="0" relativeHeight="125829410" behindDoc="0" locked="0" layoutInCell="1" allowOverlap="1">
                <wp:simplePos x="0" y="0"/>
                <wp:positionH relativeFrom="page">
                  <wp:posOffset>8748395</wp:posOffset>
                </wp:positionH>
                <wp:positionV relativeFrom="paragraph">
                  <wp:posOffset>1536065</wp:posOffset>
                </wp:positionV>
                <wp:extent cx="1042670" cy="189230"/>
                <wp:wrapTopAndBottom/>
                <wp:docPr id="87" name="Shape 87"/>
                <a:graphic xmlns:a="http://schemas.openxmlformats.org/drawingml/2006/main">
                  <a:graphicData uri="http://schemas.microsoft.com/office/word/2010/wordprocessingShape">
                    <wps:wsp>
                      <wps:cNvSpPr txBox="1"/>
                      <wps:spPr>
                        <a:xfrm>
                          <a:ext cx="1042670" cy="18923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txbxContent>
                      </wps:txbx>
                      <wps:bodyPr wrap="none" lIns="0" tIns="0" rIns="0" bIns="0">
                        <a:noAutoFit/>
                      </wps:bodyPr>
                    </wps:wsp>
                  </a:graphicData>
                </a:graphic>
              </wp:anchor>
            </w:drawing>
          </mc:Choice>
          <mc:Fallback>
            <w:pict>
              <v:shape id="_x0000_s1113" type="#_x0000_t202" style="position:absolute;margin-left:688.85000000000002pt;margin-top:120.95pt;width:82.100000000000009pt;height:14.9pt;z-index:-125829343;mso-wrap-distance-left:0;mso-wrap-distance-top:120.95pt;mso-wrap-distance-right:0;mso-wrap-distance-bottom:133.65000000000001pt;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txbxContent>
                </v:textbox>
                <w10:wrap type="topAndBottom" anchorx="page"/>
              </v:shape>
            </w:pict>
          </mc:Fallback>
        </mc:AlternateContent>
      </w:r>
      <w:r>
        <mc:AlternateContent>
          <mc:Choice Requires="wps">
            <w:drawing>
              <wp:anchor distT="2316480" distB="916940" distL="0" distR="0" simplePos="0" relativeHeight="125829412" behindDoc="0" locked="0" layoutInCell="1" allowOverlap="1">
                <wp:simplePos x="0" y="0"/>
                <wp:positionH relativeFrom="page">
                  <wp:posOffset>8748395</wp:posOffset>
                </wp:positionH>
                <wp:positionV relativeFrom="paragraph">
                  <wp:posOffset>2316480</wp:posOffset>
                </wp:positionV>
                <wp:extent cx="1042670" cy="189230"/>
                <wp:wrapTopAndBottom/>
                <wp:docPr id="89" name="Shape 89"/>
                <a:graphic xmlns:a="http://schemas.openxmlformats.org/drawingml/2006/main">
                  <a:graphicData uri="http://schemas.microsoft.com/office/word/2010/wordprocessingShape">
                    <wps:wsp>
                      <wps:cNvSpPr txBox="1"/>
                      <wps:spPr>
                        <a:xfrm>
                          <a:ext cx="1042670" cy="18923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txbxContent>
                      </wps:txbx>
                      <wps:bodyPr wrap="none" lIns="0" tIns="0" rIns="0" bIns="0">
                        <a:noAutoFit/>
                      </wps:bodyPr>
                    </wps:wsp>
                  </a:graphicData>
                </a:graphic>
              </wp:anchor>
            </w:drawing>
          </mc:Choice>
          <mc:Fallback>
            <w:pict>
              <v:shape id="_x0000_s1115" type="#_x0000_t202" style="position:absolute;margin-left:688.85000000000002pt;margin-top:182.40000000000001pt;width:82.100000000000009pt;height:14.9pt;z-index:-125829341;mso-wrap-distance-left:0;mso-wrap-distance-top:182.40000000000001pt;mso-wrap-distance-right:0;mso-wrap-distance-bottom:72.200000000000003pt;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txbxContent>
                </v:textbox>
                <w10:wrap type="topAndBottom" anchorx="page"/>
              </v:shape>
            </w:pict>
          </mc:Fallback>
        </mc:AlternateContent>
      </w:r>
      <w:r>
        <mc:AlternateContent>
          <mc:Choice Requires="wps">
            <w:drawing>
              <wp:anchor distT="3093720" distB="139700" distL="0" distR="0" simplePos="0" relativeHeight="125829414" behindDoc="0" locked="0" layoutInCell="1" allowOverlap="1">
                <wp:simplePos x="0" y="0"/>
                <wp:positionH relativeFrom="page">
                  <wp:posOffset>8742045</wp:posOffset>
                </wp:positionH>
                <wp:positionV relativeFrom="paragraph">
                  <wp:posOffset>3093720</wp:posOffset>
                </wp:positionV>
                <wp:extent cx="1048385" cy="189230"/>
                <wp:wrapTopAndBottom/>
                <wp:docPr id="91" name="Shape 91"/>
                <a:graphic xmlns:a="http://schemas.openxmlformats.org/drawingml/2006/main">
                  <a:graphicData uri="http://schemas.microsoft.com/office/word/2010/wordprocessingShape">
                    <wps:wsp>
                      <wps:cNvSpPr txBox="1"/>
                      <wps:spPr>
                        <a:xfrm>
                          <a:ext cx="1048385" cy="18923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txbxContent>
                      </wps:txbx>
                      <wps:bodyPr wrap="none" lIns="0" tIns="0" rIns="0" bIns="0">
                        <a:noAutoFit/>
                      </wps:bodyPr>
                    </wps:wsp>
                  </a:graphicData>
                </a:graphic>
              </wp:anchor>
            </w:drawing>
          </mc:Choice>
          <mc:Fallback>
            <w:pict>
              <v:shape id="_x0000_s1117" type="#_x0000_t202" style="position:absolute;margin-left:688.35000000000002pt;margin-top:243.59999999999999pt;width:82.549999999999997pt;height:14.9pt;z-index:-125829339;mso-wrap-distance-left:0;mso-wrap-distance-top:243.59999999999999pt;mso-wrap-distance-right:0;mso-wrap-distance-bottom:11.pt;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txbxContent>
                </v:textbox>
                <w10:wrap type="topAndBottom" anchorx="page"/>
              </v:shape>
            </w:pict>
          </mc:Fallback>
        </mc:AlternateContent>
      </w:r>
    </w:p>
    <w:p>
      <w:pPr>
        <w:pStyle w:val="Style47"/>
        <w:keepNext/>
        <w:keepLines/>
        <w:widowControl w:val="0"/>
        <w:shd w:val="clear" w:color="auto" w:fill="auto"/>
        <w:bidi w:val="0"/>
        <w:spacing w:before="0" w:line="240" w:lineRule="auto"/>
        <w:ind w:left="0" w:right="0" w:firstLine="220"/>
        <w:jc w:val="left"/>
      </w:pPr>
      <w:bookmarkStart w:id="386" w:name="bookmark386"/>
      <w:bookmarkStart w:id="387" w:name="bookmark387"/>
      <w:bookmarkStart w:id="388" w:name="bookmark388"/>
      <w:bookmarkStart w:id="389" w:name="bookmark389"/>
      <w:r>
        <w:rPr>
          <w:rFonts w:ascii="Times New Roman" w:eastAsia="Times New Roman" w:hAnsi="Times New Roman" w:cs="Times New Roman"/>
          <w:color w:val="000000"/>
          <w:spacing w:val="0"/>
          <w:w w:val="100"/>
          <w:position w:val="0"/>
        </w:rPr>
        <w:t>1</w:t>
      </w:r>
      <w:bookmarkEnd w:id="388"/>
      <w:r>
        <w:rPr>
          <w:color w:val="000000"/>
          <w:spacing w:val="0"/>
          <w:w w:val="100"/>
          <w:position w:val="0"/>
        </w:rPr>
        <w:t>）担保情况</w:t>
      </w:r>
      <w:bookmarkEnd w:id="386"/>
      <w:bookmarkEnd w:id="387"/>
      <w:bookmarkEnd w:id="389"/>
    </w:p>
    <w:p>
      <w:pPr>
        <w:pStyle w:val="Style26"/>
        <w:keepNext w:val="0"/>
        <w:keepLines w:val="0"/>
        <w:widowControl w:val="0"/>
        <w:shd w:val="clear" w:color="auto" w:fill="auto"/>
        <w:bidi w:val="0"/>
        <w:spacing w:before="0" w:after="0" w:line="240" w:lineRule="auto"/>
        <w:ind w:left="12902" w:right="0" w:firstLine="0"/>
        <w:jc w:val="left"/>
      </w:pPr>
      <w:r>
        <w:rPr>
          <w:color w:val="000000"/>
          <w:spacing w:val="0"/>
          <w:w w:val="100"/>
          <w:position w:val="0"/>
        </w:rPr>
        <w:t>单位：万元</w:t>
      </w:r>
    </w:p>
    <w:tbl>
      <w:tblPr>
        <w:tblOverlap w:val="never"/>
        <w:jc w:val="center"/>
        <w:tblLayout w:type="fixed"/>
      </w:tblPr>
      <w:tblGrid>
        <w:gridCol w:w="1718"/>
        <w:gridCol w:w="1406"/>
        <w:gridCol w:w="1277"/>
        <w:gridCol w:w="2410"/>
        <w:gridCol w:w="1421"/>
        <w:gridCol w:w="1272"/>
        <w:gridCol w:w="1421"/>
        <w:gridCol w:w="1555"/>
        <w:gridCol w:w="1570"/>
      </w:tblGrid>
      <w:tr>
        <w:trPr>
          <w:trHeight w:val="408" w:hRule="exact"/>
        </w:trPr>
        <w:tc>
          <w:tcPr>
            <w:gridSpan w:val="9"/>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担保对象名称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left"/>
            </w:pPr>
            <w:r>
              <w:rPr>
                <w:color w:val="000000"/>
                <w:spacing w:val="0"/>
                <w:w w:val="100"/>
                <w:position w:val="0"/>
              </w:rPr>
              <w:t>担保额度相关 公告披露日期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担保额度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实际发生日期（协议签署 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实际担保金额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是否履行完毕</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是否为关联方担 保</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国盛证券资产管 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一般保证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报告期内审批对子公司担保额度合计（</w:t>
            </w:r>
            <w:r>
              <w:rPr>
                <w:rFonts w:ascii="Times New Roman" w:eastAsia="Times New Roman" w:hAnsi="Times New Roman" w:cs="Times New Roman"/>
                <w:color w:val="000000"/>
                <w:spacing w:val="0"/>
                <w:w w:val="100"/>
                <w:position w:val="0"/>
              </w:rPr>
              <w:t>C1</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20,000</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报告期内对子公司担保实际发生额合计</w:t>
            </w:r>
            <w:r>
              <w:rPr>
                <w:color w:val="000000"/>
                <w:spacing w:val="0"/>
                <w:w w:val="100"/>
                <w:position w:val="0"/>
              </w:rPr>
              <w:t>（</w:t>
            </w:r>
            <w:r>
              <w:rPr>
                <w:rFonts w:ascii="Times New Roman" w:eastAsia="Times New Roman" w:hAnsi="Times New Roman" w:cs="Times New Roman"/>
                <w:color w:val="000000"/>
                <w:spacing w:val="0"/>
                <w:w w:val="100"/>
                <w:position w:val="0"/>
              </w:rPr>
              <w:t>C2</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w:t>
            </w:r>
          </w:p>
        </w:tc>
      </w:tr>
      <w:tr>
        <w:trPr>
          <w:trHeight w:val="403" w:hRule="exact"/>
        </w:trPr>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报告期末已审批的对子公司担保额度合计</w:t>
            </w:r>
            <w:r>
              <w:rPr>
                <w:color w:val="000000"/>
                <w:spacing w:val="0"/>
                <w:w w:val="100"/>
                <w:position w:val="0"/>
              </w:rPr>
              <w:t>（</w:t>
            </w:r>
            <w:r>
              <w:rPr>
                <w:rFonts w:ascii="Times New Roman" w:eastAsia="Times New Roman" w:hAnsi="Times New Roman" w:cs="Times New Roman"/>
                <w:color w:val="000000"/>
                <w:spacing w:val="0"/>
                <w:w w:val="100"/>
                <w:position w:val="0"/>
              </w:rPr>
              <w:t>C3</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20,000</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报告期末对子公司实际担保余额合计（</w:t>
            </w:r>
            <w:r>
              <w:rPr>
                <w:rFonts w:ascii="Times New Roman" w:eastAsia="Times New Roman" w:hAnsi="Times New Roman" w:cs="Times New Roman"/>
                <w:color w:val="000000"/>
                <w:spacing w:val="0"/>
                <w:w w:val="100"/>
                <w:position w:val="0"/>
              </w:rPr>
              <w:t>C4</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w:t>
            </w:r>
          </w:p>
        </w:tc>
      </w:tr>
      <w:tr>
        <w:trPr>
          <w:trHeight w:val="413" w:hRule="exact"/>
        </w:trPr>
        <w:tc>
          <w:tcPr>
            <w:gridSpan w:val="9"/>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w:t>
            </w:r>
          </w:p>
        </w:tc>
      </w:tr>
    </w:tbl>
    <w:p>
      <w:pPr>
        <w:widowControl w:val="0"/>
        <w:spacing w:line="1" w:lineRule="exact"/>
      </w:pPr>
      <w:r>
        <w:br w:type="page"/>
      </w:r>
    </w:p>
    <w:tbl>
      <w:tblPr>
        <w:tblOverlap w:val="never"/>
        <w:jc w:val="left"/>
        <w:tblLayout w:type="fixed"/>
      </w:tblPr>
      <w:tblGrid>
        <w:gridCol w:w="4402"/>
        <w:gridCol w:w="2410"/>
        <w:gridCol w:w="4114"/>
        <w:gridCol w:w="3125"/>
      </w:tblGrid>
      <w:tr>
        <w:trPr>
          <w:trHeight w:val="437" w:hRule="exact"/>
        </w:trPr>
        <w:tc>
          <w:tcPr>
            <w:tcBorders>
              <w:top w:val="single" w:sz="4"/>
              <w:left w:val="single" w:sz="4"/>
            </w:tcBorders>
            <w:shd w:val="clear" w:color="auto" w:fill="D3D3D3"/>
            <w:vAlign w:val="center"/>
          </w:tcPr>
          <w:p>
            <w:pPr>
              <w:pStyle w:val="Style20"/>
              <w:keepNext w:val="0"/>
              <w:keepLines w:val="0"/>
              <w:framePr w:w="14050" w:h="4373" w:vSpace="610"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报告期内审批担保额度合计（</w:t>
            </w:r>
            <w:r>
              <w:rPr>
                <w:rFonts w:ascii="Times New Roman" w:eastAsia="Times New Roman" w:hAnsi="Times New Roman" w:cs="Times New Roman"/>
                <w:color w:val="000000"/>
                <w:spacing w:val="0"/>
                <w:w w:val="100"/>
                <w:position w:val="0"/>
              </w:rPr>
              <w:t>A1+B1+C1</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framePr w:w="14050" w:h="4373" w:vSpace="610" w:wrap="notBeside" w:vAnchor="text" w:hAnchor="text" w:y="1"/>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D3D3D3"/>
            <w:vAlign w:val="center"/>
          </w:tcPr>
          <w:p>
            <w:pPr>
              <w:pStyle w:val="Style20"/>
              <w:keepNext w:val="0"/>
              <w:keepLines w:val="0"/>
              <w:framePr w:w="14050" w:h="4373" w:vSpace="610"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报告期内担保实际发生额合计（</w:t>
            </w:r>
            <w:r>
              <w:rPr>
                <w:rFonts w:ascii="Times New Roman" w:eastAsia="Times New Roman" w:hAnsi="Times New Roman" w:cs="Times New Roman"/>
                <w:color w:val="000000"/>
                <w:spacing w:val="0"/>
                <w:w w:val="100"/>
                <w:position w:val="0"/>
              </w:rPr>
              <w:t>A2+B2+C2</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framePr w:w="14050" w:h="4373" w:vSpace="610" w:wrap="notBeside" w:vAnchor="text" w:hAnchor="text"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w:t>
            </w:r>
          </w:p>
        </w:tc>
      </w:tr>
      <w:tr>
        <w:trPr>
          <w:trHeight w:val="398" w:hRule="exact"/>
        </w:trPr>
        <w:tc>
          <w:tcPr>
            <w:tcBorders>
              <w:top w:val="single" w:sz="4"/>
              <w:left w:val="single" w:sz="4"/>
            </w:tcBorders>
            <w:shd w:val="clear" w:color="auto" w:fill="D3D3D3"/>
            <w:vAlign w:val="center"/>
          </w:tcPr>
          <w:p>
            <w:pPr>
              <w:pStyle w:val="Style20"/>
              <w:keepNext w:val="0"/>
              <w:keepLines w:val="0"/>
              <w:framePr w:w="14050" w:h="4373" w:vSpace="610"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报告期末已审批的担保额度合计（</w:t>
            </w:r>
            <w:r>
              <w:rPr>
                <w:rFonts w:ascii="Times New Roman" w:eastAsia="Times New Roman" w:hAnsi="Times New Roman" w:cs="Times New Roman"/>
                <w:color w:val="000000"/>
                <w:spacing w:val="0"/>
                <w:w w:val="100"/>
                <w:position w:val="0"/>
              </w:rPr>
              <w:t>A3+B3+C3</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framePr w:w="14050" w:h="4373" w:vSpace="610" w:wrap="notBeside" w:vAnchor="text" w:hAnchor="text" w:y="1"/>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D3D3D3"/>
            <w:vAlign w:val="center"/>
          </w:tcPr>
          <w:p>
            <w:pPr>
              <w:pStyle w:val="Style20"/>
              <w:keepNext w:val="0"/>
              <w:keepLines w:val="0"/>
              <w:framePr w:w="14050" w:h="4373" w:vSpace="610"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报告期末实际担保余额合计（</w:t>
            </w:r>
            <w:r>
              <w:rPr>
                <w:rFonts w:ascii="Times New Roman" w:eastAsia="Times New Roman" w:hAnsi="Times New Roman" w:cs="Times New Roman"/>
                <w:color w:val="000000"/>
                <w:spacing w:val="0"/>
                <w:w w:val="100"/>
                <w:position w:val="0"/>
              </w:rPr>
              <w:t>A4+B4+C4</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framePr w:w="14050" w:h="4373" w:vSpace="610" w:wrap="notBeside" w:vAnchor="text" w:hAnchor="text"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w:t>
            </w:r>
          </w:p>
        </w:tc>
      </w:tr>
      <w:tr>
        <w:trPr>
          <w:trHeight w:val="403" w:hRule="exact"/>
        </w:trPr>
        <w:tc>
          <w:tcPr>
            <w:gridSpan w:val="2"/>
            <w:tcBorders>
              <w:top w:val="single" w:sz="4"/>
              <w:left w:val="single" w:sz="4"/>
            </w:tcBorders>
            <w:shd w:val="clear" w:color="auto" w:fill="D3D3D3"/>
            <w:vAlign w:val="center"/>
          </w:tcPr>
          <w:p>
            <w:pPr>
              <w:pStyle w:val="Style20"/>
              <w:keepNext w:val="0"/>
              <w:keepLines w:val="0"/>
              <w:framePr w:w="14050" w:h="4373" w:vSpace="610"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rPr>
              <w:t>A4+B4+C4</w:t>
            </w:r>
            <w:r>
              <w:rPr>
                <w:color w:val="000000"/>
                <w:spacing w:val="0"/>
                <w:w w:val="100"/>
                <w:position w:val="0"/>
              </w:rPr>
              <w:t>）占公司净资产的比例</w:t>
            </w:r>
          </w:p>
        </w:tc>
        <w:tc>
          <w:tcPr>
            <w:gridSpan w:val="2"/>
            <w:tcBorders>
              <w:top w:val="single" w:sz="4"/>
              <w:left w:val="single" w:sz="4"/>
              <w:right w:val="single" w:sz="4"/>
            </w:tcBorders>
            <w:shd w:val="clear" w:color="auto" w:fill="FFFFFF"/>
            <w:vAlign w:val="center"/>
          </w:tcPr>
          <w:p>
            <w:pPr>
              <w:pStyle w:val="Style20"/>
              <w:keepNext w:val="0"/>
              <w:keepLines w:val="0"/>
              <w:framePr w:w="14050" w:h="4373" w:vSpace="610" w:wrap="notBeside" w:vAnchor="text" w:hAnchor="text"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w:t>
            </w:r>
          </w:p>
        </w:tc>
      </w:tr>
      <w:tr>
        <w:trPr>
          <w:trHeight w:val="403" w:hRule="exact"/>
        </w:trPr>
        <w:tc>
          <w:tcPr>
            <w:gridSpan w:val="4"/>
            <w:tcBorders>
              <w:top w:val="single" w:sz="4"/>
              <w:left w:val="single" w:sz="4"/>
              <w:right w:val="single" w:sz="4"/>
            </w:tcBorders>
            <w:shd w:val="clear" w:color="auto" w:fill="D3D3D3"/>
            <w:vAlign w:val="center"/>
          </w:tcPr>
          <w:p>
            <w:pPr>
              <w:pStyle w:val="Style20"/>
              <w:keepNext w:val="0"/>
              <w:keepLines w:val="0"/>
              <w:framePr w:w="14050" w:h="4373" w:vSpace="610"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403" w:hRule="exact"/>
        </w:trPr>
        <w:tc>
          <w:tcPr>
            <w:gridSpan w:val="2"/>
            <w:tcBorders>
              <w:top w:val="single" w:sz="4"/>
              <w:left w:val="single" w:sz="4"/>
            </w:tcBorders>
            <w:shd w:val="clear" w:color="auto" w:fill="D3D3D3"/>
            <w:vAlign w:val="center"/>
          </w:tcPr>
          <w:p>
            <w:pPr>
              <w:pStyle w:val="Style20"/>
              <w:keepNext w:val="0"/>
              <w:keepLines w:val="0"/>
              <w:framePr w:w="14050" w:h="4373" w:vSpace="610"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为股东、实际控制人及其关联方提供担保的余额</w:t>
            </w:r>
            <w:r>
              <w:rPr>
                <w:color w:val="000000"/>
                <w:spacing w:val="0"/>
                <w:w w:val="100"/>
                <w:position w:val="0"/>
              </w:rPr>
              <w:t>（</w:t>
            </w:r>
            <w:r>
              <w:rPr>
                <w:rFonts w:ascii="Times New Roman" w:eastAsia="Times New Roman" w:hAnsi="Times New Roman" w:cs="Times New Roman"/>
                <w:color w:val="000000"/>
                <w:spacing w:val="0"/>
                <w:w w:val="100"/>
                <w:position w:val="0"/>
              </w:rPr>
              <w:t>D</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0"/>
              <w:keepNext w:val="0"/>
              <w:keepLines w:val="0"/>
              <w:framePr w:w="14050" w:h="4373" w:vSpace="610" w:wrap="notBeside" w:vAnchor="text" w:hAnchor="text"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gridSpan w:val="2"/>
            <w:tcBorders>
              <w:top w:val="single" w:sz="4"/>
              <w:left w:val="single" w:sz="4"/>
            </w:tcBorders>
            <w:shd w:val="clear" w:color="auto" w:fill="D3D3D3"/>
            <w:vAlign w:val="center"/>
          </w:tcPr>
          <w:p>
            <w:pPr>
              <w:pStyle w:val="Style20"/>
              <w:keepNext w:val="0"/>
              <w:keepLines w:val="0"/>
              <w:framePr w:w="14050" w:h="4373" w:vSpace="610"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rPr>
              <w:t>70%</w:t>
            </w:r>
            <w:r>
              <w:rPr>
                <w:color w:val="000000"/>
                <w:spacing w:val="0"/>
                <w:w w:val="100"/>
                <w:position w:val="0"/>
              </w:rPr>
              <w:t>的被担保对象提供的债务担保余额</w:t>
            </w:r>
            <w:r>
              <w:rPr>
                <w:color w:val="000000"/>
                <w:spacing w:val="0"/>
                <w:w w:val="100"/>
                <w:position w:val="0"/>
              </w:rPr>
              <w:t>（</w:t>
            </w:r>
            <w:r>
              <w:rPr>
                <w:rFonts w:ascii="Times New Roman" w:eastAsia="Times New Roman" w:hAnsi="Times New Roman" w:cs="Times New Roman"/>
                <w:color w:val="000000"/>
                <w:spacing w:val="0"/>
                <w:w w:val="100"/>
                <w:position w:val="0"/>
              </w:rPr>
              <w:t>E</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0"/>
              <w:keepNext w:val="0"/>
              <w:keepLines w:val="0"/>
              <w:framePr w:w="14050" w:h="4373" w:vSpace="610" w:wrap="notBeside" w:vAnchor="text" w:hAnchor="text"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2"/>
            <w:tcBorders>
              <w:top w:val="single" w:sz="4"/>
              <w:left w:val="single" w:sz="4"/>
            </w:tcBorders>
            <w:shd w:val="clear" w:color="auto" w:fill="D3D3D3"/>
            <w:vAlign w:val="center"/>
          </w:tcPr>
          <w:p>
            <w:pPr>
              <w:pStyle w:val="Style20"/>
              <w:keepNext w:val="0"/>
              <w:keepLines w:val="0"/>
              <w:framePr w:w="14050" w:h="4373" w:vSpace="610"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rPr>
              <w:t>F</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0"/>
              <w:keepNext w:val="0"/>
              <w:keepLines w:val="0"/>
              <w:framePr w:w="14050" w:h="4373" w:vSpace="610" w:wrap="notBeside" w:vAnchor="text" w:hAnchor="text"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2"/>
            <w:tcBorders>
              <w:top w:val="single" w:sz="4"/>
              <w:left w:val="single" w:sz="4"/>
            </w:tcBorders>
            <w:shd w:val="clear" w:color="auto" w:fill="D3D3D3"/>
            <w:vAlign w:val="center"/>
          </w:tcPr>
          <w:p>
            <w:pPr>
              <w:pStyle w:val="Style20"/>
              <w:keepNext w:val="0"/>
              <w:keepLines w:val="0"/>
              <w:framePr w:w="14050" w:h="4373" w:vSpace="610"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color w:val="000000"/>
                <w:spacing w:val="0"/>
                <w:w w:val="100"/>
                <w:position w:val="0"/>
              </w:rPr>
              <w:t>（</w:t>
            </w:r>
            <w:r>
              <w:rPr>
                <w:rFonts w:ascii="Times New Roman" w:eastAsia="Times New Roman" w:hAnsi="Times New Roman" w:cs="Times New Roman"/>
                <w:color w:val="000000"/>
                <w:spacing w:val="0"/>
                <w:w w:val="100"/>
                <w:position w:val="0"/>
              </w:rPr>
              <w:t>D+E+F</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0"/>
              <w:keepNext w:val="0"/>
              <w:keepLines w:val="0"/>
              <w:framePr w:w="14050" w:h="4373" w:vSpace="610" w:wrap="notBeside" w:vAnchor="text" w:hAnchor="text"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5" w:hRule="exact"/>
        </w:trPr>
        <w:tc>
          <w:tcPr>
            <w:gridSpan w:val="2"/>
            <w:tcBorders>
              <w:top w:val="single" w:sz="4"/>
              <w:left w:val="single" w:sz="4"/>
            </w:tcBorders>
            <w:shd w:val="clear" w:color="auto" w:fill="D3D3D3"/>
            <w:vAlign w:val="center"/>
          </w:tcPr>
          <w:p>
            <w:pPr>
              <w:pStyle w:val="Style20"/>
              <w:keepNext w:val="0"/>
              <w:keepLines w:val="0"/>
              <w:framePr w:w="14050" w:h="4373" w:vSpace="610" w:wrap="notBeside" w:vAnchor="text" w:hAnchor="text" w:y="1"/>
              <w:widowControl w:val="0"/>
              <w:shd w:val="clear" w:color="auto" w:fill="auto"/>
              <w:bidi w:val="0"/>
              <w:spacing w:before="0" w:after="0" w:line="317" w:lineRule="exact"/>
              <w:ind w:left="0" w:right="0" w:firstLine="0"/>
              <w:jc w:val="left"/>
            </w:pPr>
            <w:r>
              <w:rPr>
                <w:color w:val="000000"/>
                <w:spacing w:val="0"/>
                <w:w w:val="100"/>
                <w:position w:val="0"/>
              </w:rPr>
              <w:t>对未到期担保，报告期内已发生担保责任或可能承担连带清偿责任的情况 说明（如有）</w:t>
            </w:r>
          </w:p>
        </w:tc>
        <w:tc>
          <w:tcPr>
            <w:gridSpan w:val="2"/>
            <w:tcBorders>
              <w:top w:val="single" w:sz="4"/>
              <w:left w:val="single" w:sz="4"/>
              <w:right w:val="single" w:sz="4"/>
            </w:tcBorders>
            <w:shd w:val="clear" w:color="auto" w:fill="FFFFFF"/>
            <w:vAlign w:val="center"/>
          </w:tcPr>
          <w:p>
            <w:pPr>
              <w:pStyle w:val="Style20"/>
              <w:keepNext w:val="0"/>
              <w:keepLines w:val="0"/>
              <w:framePr w:w="14050" w:h="4373" w:vSpace="610"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8" w:hRule="exact"/>
        </w:trPr>
        <w:tc>
          <w:tcPr>
            <w:gridSpan w:val="2"/>
            <w:tcBorders>
              <w:top w:val="single" w:sz="4"/>
              <w:left w:val="single" w:sz="4"/>
              <w:bottom w:val="single" w:sz="4"/>
            </w:tcBorders>
            <w:shd w:val="clear" w:color="auto" w:fill="D3D3D3"/>
            <w:vAlign w:val="center"/>
          </w:tcPr>
          <w:p>
            <w:pPr>
              <w:pStyle w:val="Style20"/>
              <w:keepNext w:val="0"/>
              <w:keepLines w:val="0"/>
              <w:framePr w:w="14050" w:h="4373" w:vSpace="610"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违反规定程序对外提供担保的说明（如有）</w:t>
            </w:r>
          </w:p>
        </w:tc>
        <w:tc>
          <w:tcPr>
            <w:gridSpan w:val="2"/>
            <w:tcBorders>
              <w:top w:val="single" w:sz="4"/>
              <w:left w:val="single" w:sz="4"/>
              <w:bottom w:val="single" w:sz="4"/>
              <w:right w:val="single" w:sz="4"/>
            </w:tcBorders>
            <w:shd w:val="clear" w:color="auto" w:fill="FFFFFF"/>
            <w:vAlign w:val="center"/>
          </w:tcPr>
          <w:p>
            <w:pPr>
              <w:pStyle w:val="Style20"/>
              <w:keepNext w:val="0"/>
              <w:keepLines w:val="0"/>
              <w:framePr w:w="14050" w:h="4373" w:vSpace="610"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6"/>
        <w:keepNext w:val="0"/>
        <w:keepLines w:val="0"/>
        <w:framePr w:w="2059" w:h="269" w:hSpace="11991" w:wrap="notBeside" w:vAnchor="text" w:hAnchor="text" w:x="102" w:y="4700"/>
        <w:widowControl w:val="0"/>
        <w:shd w:val="clear" w:color="auto" w:fill="auto"/>
        <w:bidi w:val="0"/>
        <w:spacing w:before="0" w:after="0" w:line="240" w:lineRule="auto"/>
        <w:ind w:left="0" w:right="0" w:firstLine="0"/>
        <w:jc w:val="left"/>
      </w:pPr>
      <w:bookmarkStart w:id="390" w:name="bookmark390"/>
      <w:r>
        <w:rPr>
          <w:rFonts w:ascii="Times New Roman" w:eastAsia="Times New Roman" w:hAnsi="Times New Roman" w:cs="Times New Roman"/>
          <w:b/>
          <w:bCs/>
          <w:color w:val="000000"/>
          <w:spacing w:val="0"/>
          <w:w w:val="100"/>
          <w:position w:val="0"/>
        </w:rPr>
        <w:t>（2</w:t>
      </w:r>
      <w:r>
        <w:rPr>
          <w:b/>
          <w:bCs/>
          <w:color w:val="000000"/>
          <w:spacing w:val="0"/>
          <w:w w:val="100"/>
          <w:position w:val="0"/>
        </w:rPr>
        <w:t>）违规对外担保情况</w:t>
      </w:r>
      <w:bookmarkEnd w:id="390"/>
    </w:p>
    <w:p>
      <w:pPr>
        <w:pStyle w:val="Style26"/>
        <w:keepNext w:val="0"/>
        <w:keepLines w:val="0"/>
        <w:framePr w:w="1642" w:h="298" w:hSpace="12408" w:wrap="notBeside" w:vAnchor="text" w:hAnchor="text" w:x="12347" w:y="4686"/>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widowControl w:val="0"/>
        <w:spacing w:line="1" w:lineRule="exact"/>
      </w:pPr>
    </w:p>
    <w:p>
      <w:pPr>
        <w:pStyle w:val="Style33"/>
        <w:keepNext w:val="0"/>
        <w:keepLines w:val="0"/>
        <w:widowControl w:val="0"/>
        <w:shd w:val="clear" w:color="auto" w:fill="auto"/>
        <w:bidi w:val="0"/>
        <w:spacing w:before="0" w:after="0" w:line="240" w:lineRule="auto"/>
        <w:ind w:left="0" w:right="0" w:firstLine="420"/>
        <w:jc w:val="left"/>
        <w:sectPr>
          <w:headerReference w:type="default" r:id="rId31"/>
          <w:footerReference w:type="default" r:id="rId32"/>
          <w:footnotePr>
            <w:pos w:val="pageBottom"/>
            <w:numFmt w:val="decimal"/>
            <w:numRestart w:val="continuous"/>
          </w:footnotePr>
          <w:pgSz w:w="16840" w:h="11900" w:orient="landscape"/>
          <w:pgMar w:top="1107" w:right="1359" w:bottom="1231" w:left="1431" w:header="0" w:footer="3" w:gutter="0"/>
          <w:cols w:space="720"/>
          <w:noEndnote/>
          <w:rtlGutter w:val="0"/>
          <w:docGrid w:linePitch="360"/>
        </w:sectPr>
      </w:pPr>
      <w:r>
        <w:rPr>
          <w:color w:val="000000"/>
          <w:spacing w:val="0"/>
          <w:w w:val="100"/>
          <w:position w:val="0"/>
        </w:rPr>
        <w:t>公司报告期无违规对外担保情况。</w:t>
      </w:r>
    </w:p>
    <w:p>
      <w:pPr>
        <w:widowControl w:val="0"/>
        <w:spacing w:line="235" w:lineRule="exact"/>
        <w:rPr>
          <w:sz w:val="19"/>
          <w:szCs w:val="19"/>
        </w:rPr>
      </w:pPr>
    </w:p>
    <w:p>
      <w:pPr>
        <w:widowControl w:val="0"/>
        <w:spacing w:line="1" w:lineRule="exact"/>
        <w:sectPr>
          <w:headerReference w:type="default" r:id="rId33"/>
          <w:footerReference w:type="default" r:id="rId34"/>
          <w:footnotePr>
            <w:pos w:val="pageBottom"/>
            <w:numFmt w:val="decimal"/>
            <w:numRestart w:val="continuous"/>
          </w:footnotePr>
          <w:pgSz w:w="11900" w:h="16840"/>
          <w:pgMar w:top="1402" w:right="1040" w:bottom="1479" w:left="1072" w:header="0" w:footer="3" w:gutter="0"/>
          <w:cols w:space="720"/>
          <w:noEndnote/>
          <w:rtlGutter w:val="0"/>
          <w:docGrid w:linePitch="360"/>
        </w:sectPr>
      </w:pPr>
    </w:p>
    <w:p>
      <w:pPr>
        <w:pStyle w:val="Style30"/>
        <w:keepNext/>
        <w:keepLines/>
        <w:widowControl w:val="0"/>
        <w:shd w:val="clear" w:color="auto" w:fill="auto"/>
        <w:bidi w:val="0"/>
        <w:spacing w:before="0" w:after="360" w:line="240" w:lineRule="auto"/>
        <w:ind w:left="0" w:right="0" w:firstLine="0"/>
        <w:jc w:val="left"/>
      </w:pPr>
      <w:bookmarkStart w:id="394" w:name="bookmark394"/>
      <w:bookmarkStart w:id="395" w:name="bookmark395"/>
      <w:bookmarkStart w:id="396" w:name="bookmark396"/>
      <w:bookmarkStart w:id="397" w:name="bookmark397"/>
      <w:r>
        <w:rPr>
          <w:rFonts w:ascii="Times New Roman" w:eastAsia="Times New Roman" w:hAnsi="Times New Roman" w:cs="Times New Roman"/>
          <w:color w:val="000000"/>
          <w:spacing w:val="0"/>
          <w:w w:val="100"/>
          <w:position w:val="0"/>
        </w:rPr>
        <w:t>3</w:t>
      </w:r>
      <w:bookmarkEnd w:id="396"/>
      <w:r>
        <w:rPr>
          <w:color w:val="000000"/>
          <w:spacing w:val="0"/>
          <w:w w:val="100"/>
          <w:position w:val="0"/>
        </w:rPr>
        <w:t>、委托他人进行现金资产管理情况</w:t>
      </w:r>
      <w:bookmarkEnd w:id="394"/>
      <w:bookmarkEnd w:id="395"/>
      <w:bookmarkEnd w:id="397"/>
    </w:p>
    <w:p>
      <w:pPr>
        <w:pStyle w:val="Style30"/>
        <w:keepNext/>
        <w:keepLines/>
        <w:widowControl w:val="0"/>
        <w:shd w:val="clear" w:color="auto" w:fill="auto"/>
        <w:bidi w:val="0"/>
        <w:spacing w:before="0" w:after="360" w:line="240" w:lineRule="auto"/>
        <w:ind w:left="0" w:right="0" w:firstLine="0"/>
        <w:jc w:val="left"/>
      </w:pPr>
      <w:r>
        <mc:AlternateContent>
          <mc:Choice Requires="wps">
            <w:drawing>
              <wp:anchor distT="0" distB="0" distL="114300" distR="114300" simplePos="0" relativeHeight="125829416" behindDoc="0" locked="0" layoutInCell="1" allowOverlap="1">
                <wp:simplePos x="0" y="0"/>
                <wp:positionH relativeFrom="page">
                  <wp:posOffset>5807710</wp:posOffset>
                </wp:positionH>
                <wp:positionV relativeFrom="paragraph">
                  <wp:posOffset>12700</wp:posOffset>
                </wp:positionV>
                <wp:extent cx="1048385" cy="189230"/>
                <wp:wrapSquare wrapText="bothSides"/>
                <wp:docPr id="102" name="Shape 102"/>
                <a:graphic xmlns:a="http://schemas.openxmlformats.org/drawingml/2006/main">
                  <a:graphicData uri="http://schemas.microsoft.com/office/word/2010/wordprocessingShape">
                    <wps:wsp>
                      <wps:cNvSpPr txBox="1"/>
                      <wps:spPr>
                        <a:xfrm>
                          <a:ext cx="1048385" cy="18923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txbxContent>
                      </wps:txbx>
                      <wps:bodyPr wrap="none" lIns="0" tIns="0" rIns="0" bIns="0">
                        <a:noAutoFit/>
                      </wps:bodyPr>
                    </wps:wsp>
                  </a:graphicData>
                </a:graphic>
              </wp:anchor>
            </w:drawing>
          </mc:Choice>
          <mc:Fallback>
            <w:pict>
              <v:shape id="_x0000_s1128" type="#_x0000_t202" style="position:absolute;margin-left:457.30000000000001pt;margin-top:1.pt;width:82.549999999999997pt;height:14.9pt;z-index:-125829337;mso-wrap-distance-left:9.pt;mso-wrap-distance-right:9.pt;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txbxContent>
                </v:textbox>
                <w10:wrap type="square" anchorx="page"/>
              </v:shape>
            </w:pict>
          </mc:Fallback>
        </mc:AlternateContent>
      </w:r>
      <w:r>
        <mc:AlternateContent>
          <mc:Choice Requires="wps">
            <w:drawing>
              <wp:anchor distT="0" distB="0" distL="0" distR="0" simplePos="0" relativeHeight="125829418" behindDoc="0" locked="0" layoutInCell="1" allowOverlap="1">
                <wp:simplePos x="0" y="0"/>
                <wp:positionH relativeFrom="page">
                  <wp:posOffset>793750</wp:posOffset>
                </wp:positionH>
                <wp:positionV relativeFrom="paragraph">
                  <wp:posOffset>7175500</wp:posOffset>
                </wp:positionV>
                <wp:extent cx="1953895" cy="560705"/>
                <wp:wrapSquare wrapText="bothSides"/>
                <wp:docPr id="104" name="Shape 104"/>
                <a:graphic xmlns:a="http://schemas.openxmlformats.org/drawingml/2006/main">
                  <a:graphicData uri="http://schemas.microsoft.com/office/word/2010/wordprocessingShape">
                    <wps:wsp>
                      <wps:cNvSpPr txBox="1"/>
                      <wps:spPr>
                        <a:xfrm>
                          <a:ext cx="1953895" cy="560705"/>
                        </a:xfrm>
                        <a:prstGeom prst="rect"/>
                        <a:noFill/>
                      </wps:spPr>
                      <wps:txbx>
                        <w:txbxContent>
                          <w:p>
                            <w:pPr>
                              <w:pStyle w:val="Style33"/>
                              <w:keepNext w:val="0"/>
                              <w:keepLines w:val="0"/>
                              <w:widowControl w:val="0"/>
                              <w:shd w:val="clear" w:color="auto" w:fill="auto"/>
                              <w:bidi w:val="0"/>
                              <w:spacing w:before="0" w:after="380" w:line="240" w:lineRule="auto"/>
                              <w:ind w:left="0" w:right="0" w:firstLine="0"/>
                              <w:jc w:val="left"/>
                            </w:pPr>
                            <w:bookmarkStart w:id="391" w:name="bookmark391"/>
                            <w:r>
                              <w:rPr>
                                <w:rFonts w:ascii="Times New Roman" w:eastAsia="Times New Roman" w:hAnsi="Times New Roman" w:cs="Times New Roman"/>
                                <w:b/>
                                <w:bCs/>
                                <w:color w:val="000000"/>
                                <w:spacing w:val="0"/>
                                <w:w w:val="100"/>
                                <w:position w:val="0"/>
                              </w:rPr>
                              <w:t>（2</w:t>
                            </w:r>
                            <w:r>
                              <w:rPr>
                                <w:b/>
                                <w:bCs/>
                                <w:color w:val="000000"/>
                                <w:spacing w:val="0"/>
                                <w:w w:val="100"/>
                                <w:position w:val="0"/>
                              </w:rPr>
                              <w:t>）委托贷款情况</w:t>
                            </w:r>
                            <w:bookmarkEnd w:id="391"/>
                          </w:p>
                          <w:p>
                            <w:pPr>
                              <w:pStyle w:val="Style33"/>
                              <w:keepNext w:val="0"/>
                              <w:keepLines w:val="0"/>
                              <w:widowControl w:val="0"/>
                              <w:shd w:val="clear" w:color="auto" w:fill="auto"/>
                              <w:bidi w:val="0"/>
                              <w:spacing w:before="0" w:after="0" w:line="240" w:lineRule="auto"/>
                              <w:ind w:left="0" w:right="0" w:firstLine="320"/>
                              <w:jc w:val="left"/>
                            </w:pPr>
                            <w:bookmarkStart w:id="392" w:name="bookmark392"/>
                            <w:r>
                              <w:rPr>
                                <w:color w:val="000000"/>
                                <w:spacing w:val="0"/>
                                <w:w w:val="100"/>
                                <w:position w:val="0"/>
                              </w:rPr>
                              <w:t>公司报告期不存在委托贷款。</w:t>
                            </w:r>
                            <w:bookmarkEnd w:id="392"/>
                          </w:p>
                        </w:txbxContent>
                      </wps:txbx>
                      <wps:bodyPr lIns="0" tIns="0" rIns="0" bIns="0">
                        <a:noAutoFit/>
                      </wps:bodyPr>
                    </wps:wsp>
                  </a:graphicData>
                </a:graphic>
              </wp:anchor>
            </w:drawing>
          </mc:Choice>
          <mc:Fallback>
            <w:pict>
              <v:shape id="_x0000_s1130" type="#_x0000_t202" style="position:absolute;margin-left:62.5pt;margin-top:565.pt;width:153.84999999999999pt;height:44.149999999999999pt;z-index:-125829335;mso-wrap-distance-left:0;mso-wrap-distance-right:0;mso-position-horizontal-relative:page" filled="f" stroked="f">
                <v:textbox inset="0,0,0,0">
                  <w:txbxContent>
                    <w:p>
                      <w:pPr>
                        <w:pStyle w:val="Style33"/>
                        <w:keepNext w:val="0"/>
                        <w:keepLines w:val="0"/>
                        <w:widowControl w:val="0"/>
                        <w:shd w:val="clear" w:color="auto" w:fill="auto"/>
                        <w:bidi w:val="0"/>
                        <w:spacing w:before="0" w:after="380" w:line="240" w:lineRule="auto"/>
                        <w:ind w:left="0" w:right="0" w:firstLine="0"/>
                        <w:jc w:val="left"/>
                      </w:pPr>
                      <w:bookmarkStart w:id="391" w:name="bookmark391"/>
                      <w:r>
                        <w:rPr>
                          <w:rFonts w:ascii="Times New Roman" w:eastAsia="Times New Roman" w:hAnsi="Times New Roman" w:cs="Times New Roman"/>
                          <w:b/>
                          <w:bCs/>
                          <w:color w:val="000000"/>
                          <w:spacing w:val="0"/>
                          <w:w w:val="100"/>
                          <w:position w:val="0"/>
                        </w:rPr>
                        <w:t>（2</w:t>
                      </w:r>
                      <w:r>
                        <w:rPr>
                          <w:b/>
                          <w:bCs/>
                          <w:color w:val="000000"/>
                          <w:spacing w:val="0"/>
                          <w:w w:val="100"/>
                          <w:position w:val="0"/>
                        </w:rPr>
                        <w:t>）委托贷款情况</w:t>
                      </w:r>
                      <w:bookmarkEnd w:id="391"/>
                    </w:p>
                    <w:p>
                      <w:pPr>
                        <w:pStyle w:val="Style33"/>
                        <w:keepNext w:val="0"/>
                        <w:keepLines w:val="0"/>
                        <w:widowControl w:val="0"/>
                        <w:shd w:val="clear" w:color="auto" w:fill="auto"/>
                        <w:bidi w:val="0"/>
                        <w:spacing w:before="0" w:after="0" w:line="240" w:lineRule="auto"/>
                        <w:ind w:left="0" w:right="0" w:firstLine="320"/>
                        <w:jc w:val="left"/>
                      </w:pPr>
                      <w:bookmarkStart w:id="392" w:name="bookmark392"/>
                      <w:r>
                        <w:rPr>
                          <w:color w:val="000000"/>
                          <w:spacing w:val="0"/>
                          <w:w w:val="100"/>
                          <w:position w:val="0"/>
                        </w:rPr>
                        <w:t>公司报告期不存在委托贷款。</w:t>
                      </w:r>
                      <w:bookmarkEnd w:id="392"/>
                    </w:p>
                  </w:txbxContent>
                </v:textbox>
                <w10:wrap type="square" anchorx="page"/>
              </v:shape>
            </w:pict>
          </mc:Fallback>
        </mc:AlternateContent>
      </w:r>
      <w:bookmarkStart w:id="394" w:name="bookmark394"/>
      <w:bookmarkStart w:id="395" w:name="bookmark395"/>
      <w:bookmarkStart w:id="398" w:name="bookmark398"/>
      <w:bookmarkStart w:id="399" w:name="bookmark399"/>
      <w:r>
        <w:rPr>
          <w:color w:val="000000"/>
          <w:spacing w:val="0"/>
          <w:w w:val="100"/>
          <w:position w:val="0"/>
        </w:rPr>
        <w:t>（</w:t>
      </w:r>
      <w:bookmarkEnd w:id="398"/>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394"/>
      <w:bookmarkEnd w:id="395"/>
      <w:bookmarkEnd w:id="399"/>
    </w:p>
    <w:tbl>
      <w:tblPr>
        <w:tblOverlap w:val="never"/>
        <w:jc w:val="left"/>
        <w:tblLayout w:type="fixed"/>
      </w:tblPr>
      <w:tblGrid>
        <w:gridCol w:w="806"/>
        <w:gridCol w:w="614"/>
        <w:gridCol w:w="710"/>
        <w:gridCol w:w="850"/>
        <w:gridCol w:w="994"/>
        <w:gridCol w:w="984"/>
        <w:gridCol w:w="802"/>
        <w:gridCol w:w="763"/>
        <w:gridCol w:w="710"/>
        <w:gridCol w:w="710"/>
        <w:gridCol w:w="566"/>
        <w:gridCol w:w="1070"/>
      </w:tblGrid>
      <w:tr>
        <w:trPr>
          <w:trHeight w:val="1651" w:hRule="exact"/>
        </w:trPr>
        <w:tc>
          <w:tcPr>
            <w:tcBorders>
              <w:top w:val="single" w:sz="4"/>
              <w:left w:val="single" w:sz="4"/>
            </w:tcBorders>
            <w:shd w:val="clear" w:color="auto" w:fill="D3D3D3"/>
            <w:vAlign w:val="center"/>
          </w:tcPr>
          <w:p>
            <w:pPr>
              <w:pStyle w:val="Style20"/>
              <w:keepNext w:val="0"/>
              <w:keepLines w:val="0"/>
              <w:framePr w:w="9581" w:h="10051" w:vSpace="322" w:wrap="notBeside" w:vAnchor="text" w:hAnchor="text" w:x="104" w:y="323"/>
              <w:widowControl w:val="0"/>
              <w:shd w:val="clear" w:color="auto" w:fill="auto"/>
              <w:bidi w:val="0"/>
              <w:spacing w:before="0" w:after="0" w:line="312" w:lineRule="exact"/>
              <w:ind w:left="0" w:right="0" w:firstLine="0"/>
              <w:jc w:val="center"/>
            </w:pPr>
            <w:r>
              <w:rPr>
                <w:color w:val="000000"/>
                <w:spacing w:val="0"/>
                <w:w w:val="100"/>
                <w:position w:val="0"/>
              </w:rPr>
              <w:t>受托人 名称</w:t>
            </w:r>
          </w:p>
        </w:tc>
        <w:tc>
          <w:tcPr>
            <w:tcBorders>
              <w:top w:val="single" w:sz="4"/>
              <w:left w:val="single" w:sz="4"/>
            </w:tcBorders>
            <w:shd w:val="clear" w:color="auto" w:fill="D3D3D3"/>
            <w:vAlign w:val="center"/>
          </w:tcPr>
          <w:p>
            <w:pPr>
              <w:pStyle w:val="Style20"/>
              <w:keepNext w:val="0"/>
              <w:keepLines w:val="0"/>
              <w:framePr w:w="9581" w:h="10051" w:vSpace="322" w:wrap="notBeside" w:vAnchor="text" w:hAnchor="text" w:x="104" w:y="323"/>
              <w:widowControl w:val="0"/>
              <w:shd w:val="clear" w:color="auto" w:fill="auto"/>
              <w:bidi w:val="0"/>
              <w:spacing w:before="0" w:after="0" w:line="312" w:lineRule="exact"/>
              <w:ind w:left="0" w:right="0" w:firstLine="0"/>
              <w:jc w:val="left"/>
            </w:pPr>
            <w:r>
              <w:rPr>
                <w:color w:val="000000"/>
                <w:spacing w:val="0"/>
                <w:w w:val="100"/>
                <w:position w:val="0"/>
              </w:rPr>
              <w:t>是否 关联 交易</w:t>
            </w:r>
          </w:p>
        </w:tc>
        <w:tc>
          <w:tcPr>
            <w:tcBorders>
              <w:top w:val="single" w:sz="4"/>
              <w:left w:val="single" w:sz="4"/>
            </w:tcBorders>
            <w:shd w:val="clear" w:color="auto" w:fill="D3D3D3"/>
            <w:vAlign w:val="center"/>
          </w:tcPr>
          <w:p>
            <w:pPr>
              <w:pStyle w:val="Style20"/>
              <w:keepNext w:val="0"/>
              <w:keepLines w:val="0"/>
              <w:framePr w:w="9581" w:h="10051" w:vSpace="322" w:wrap="notBeside" w:vAnchor="text" w:hAnchor="text" w:x="104" w:y="323"/>
              <w:widowControl w:val="0"/>
              <w:shd w:val="clear" w:color="auto" w:fill="auto"/>
              <w:bidi w:val="0"/>
              <w:spacing w:before="0" w:after="0" w:line="298" w:lineRule="exact"/>
              <w:ind w:left="0" w:right="0" w:firstLine="0"/>
              <w:jc w:val="center"/>
            </w:pPr>
            <w:r>
              <w:rPr>
                <w:color w:val="000000"/>
                <w:spacing w:val="0"/>
                <w:w w:val="100"/>
                <w:position w:val="0"/>
              </w:rPr>
              <w:t>产品类 型</w:t>
            </w:r>
          </w:p>
        </w:tc>
        <w:tc>
          <w:tcPr>
            <w:tcBorders>
              <w:top w:val="single" w:sz="4"/>
              <w:left w:val="single" w:sz="4"/>
            </w:tcBorders>
            <w:shd w:val="clear" w:color="auto" w:fill="D3D3D3"/>
            <w:vAlign w:val="center"/>
          </w:tcPr>
          <w:p>
            <w:pPr>
              <w:pStyle w:val="Style20"/>
              <w:keepNext w:val="0"/>
              <w:keepLines w:val="0"/>
              <w:framePr w:w="9581" w:h="10051" w:vSpace="322" w:wrap="notBeside" w:vAnchor="text" w:hAnchor="text" w:x="104" w:y="323"/>
              <w:widowControl w:val="0"/>
              <w:shd w:val="clear" w:color="auto" w:fill="auto"/>
              <w:bidi w:val="0"/>
              <w:spacing w:before="0" w:after="0" w:line="312" w:lineRule="exact"/>
              <w:ind w:left="0" w:right="0" w:firstLine="0"/>
              <w:jc w:val="center"/>
            </w:pPr>
            <w:r>
              <w:rPr>
                <w:color w:val="000000"/>
                <w:spacing w:val="0"/>
                <w:w w:val="100"/>
                <w:position w:val="0"/>
              </w:rPr>
              <w:t>委托理 财金额</w:t>
            </w:r>
          </w:p>
        </w:tc>
        <w:tc>
          <w:tcPr>
            <w:tcBorders>
              <w:top w:val="single" w:sz="4"/>
              <w:left w:val="single" w:sz="4"/>
            </w:tcBorders>
            <w:shd w:val="clear" w:color="auto" w:fill="D3D3D3"/>
            <w:vAlign w:val="center"/>
          </w:tcPr>
          <w:p>
            <w:pPr>
              <w:pStyle w:val="Style20"/>
              <w:keepNext w:val="0"/>
              <w:keepLines w:val="0"/>
              <w:framePr w:w="9581" w:h="10051" w:vSpace="322" w:wrap="notBeside" w:vAnchor="text" w:hAnchor="text" w:x="104" w:y="323"/>
              <w:widowControl w:val="0"/>
              <w:shd w:val="clear" w:color="auto" w:fill="auto"/>
              <w:bidi w:val="0"/>
              <w:spacing w:before="0" w:after="0" w:line="240" w:lineRule="auto"/>
              <w:ind w:left="0" w:right="0" w:firstLine="0"/>
              <w:jc w:val="left"/>
            </w:pPr>
            <w:r>
              <w:rPr>
                <w:color w:val="000000"/>
                <w:spacing w:val="0"/>
                <w:w w:val="100"/>
                <w:position w:val="0"/>
              </w:rPr>
              <w:t>起始日期</w:t>
            </w:r>
          </w:p>
        </w:tc>
        <w:tc>
          <w:tcPr>
            <w:tcBorders>
              <w:top w:val="single" w:sz="4"/>
              <w:left w:val="single" w:sz="4"/>
            </w:tcBorders>
            <w:shd w:val="clear" w:color="auto" w:fill="D3D3D3"/>
            <w:vAlign w:val="center"/>
          </w:tcPr>
          <w:p>
            <w:pPr>
              <w:pStyle w:val="Style20"/>
              <w:keepNext w:val="0"/>
              <w:keepLines w:val="0"/>
              <w:framePr w:w="9581" w:h="10051" w:vSpace="322" w:wrap="notBeside" w:vAnchor="text" w:hAnchor="text" w:x="104" w:y="323"/>
              <w:widowControl w:val="0"/>
              <w:shd w:val="clear" w:color="auto" w:fill="auto"/>
              <w:bidi w:val="0"/>
              <w:spacing w:before="0" w:after="0" w:line="240" w:lineRule="auto"/>
              <w:ind w:left="0" w:right="0" w:firstLine="0"/>
              <w:jc w:val="center"/>
            </w:pPr>
            <w:r>
              <w:rPr>
                <w:color w:val="000000"/>
                <w:spacing w:val="0"/>
                <w:w w:val="100"/>
                <w:position w:val="0"/>
              </w:rPr>
              <w:t>终止日期</w:t>
            </w:r>
          </w:p>
        </w:tc>
        <w:tc>
          <w:tcPr>
            <w:tcBorders>
              <w:top w:val="single" w:sz="4"/>
              <w:left w:val="single" w:sz="4"/>
            </w:tcBorders>
            <w:shd w:val="clear" w:color="auto" w:fill="D3D3D3"/>
            <w:vAlign w:val="center"/>
          </w:tcPr>
          <w:p>
            <w:pPr>
              <w:pStyle w:val="Style20"/>
              <w:keepNext w:val="0"/>
              <w:keepLines w:val="0"/>
              <w:framePr w:w="9581" w:h="10051" w:vSpace="322" w:wrap="notBeside" w:vAnchor="text" w:hAnchor="text" w:x="104" w:y="323"/>
              <w:widowControl w:val="0"/>
              <w:shd w:val="clear" w:color="auto" w:fill="auto"/>
              <w:bidi w:val="0"/>
              <w:spacing w:before="0" w:after="0" w:line="317" w:lineRule="exact"/>
              <w:ind w:left="0" w:right="0" w:firstLine="0"/>
              <w:jc w:val="center"/>
            </w:pPr>
            <w:r>
              <w:rPr>
                <w:color w:val="000000"/>
                <w:spacing w:val="0"/>
                <w:w w:val="100"/>
                <w:position w:val="0"/>
              </w:rPr>
              <w:t>报酬确 定方式</w:t>
            </w:r>
          </w:p>
        </w:tc>
        <w:tc>
          <w:tcPr>
            <w:tcBorders>
              <w:top w:val="single" w:sz="4"/>
              <w:left w:val="single" w:sz="4"/>
            </w:tcBorders>
            <w:shd w:val="clear" w:color="auto" w:fill="D3D3D3"/>
            <w:vAlign w:val="center"/>
          </w:tcPr>
          <w:p>
            <w:pPr>
              <w:pStyle w:val="Style20"/>
              <w:keepNext w:val="0"/>
              <w:keepLines w:val="0"/>
              <w:framePr w:w="9581" w:h="10051" w:vSpace="322" w:wrap="notBeside" w:vAnchor="text" w:hAnchor="text" w:x="104" w:y="323"/>
              <w:widowControl w:val="0"/>
              <w:shd w:val="clear" w:color="auto" w:fill="auto"/>
              <w:bidi w:val="0"/>
              <w:spacing w:before="0" w:after="0" w:line="312" w:lineRule="exact"/>
              <w:ind w:left="0" w:right="0" w:firstLine="0"/>
              <w:jc w:val="center"/>
            </w:pPr>
            <w:r>
              <w:rPr>
                <w:color w:val="000000"/>
                <w:spacing w:val="0"/>
                <w:w w:val="100"/>
                <w:position w:val="0"/>
              </w:rPr>
              <w:t>本期实 际收回 本金金 额</w:t>
            </w:r>
          </w:p>
        </w:tc>
        <w:tc>
          <w:tcPr>
            <w:tcBorders>
              <w:top w:val="single" w:sz="4"/>
              <w:left w:val="single" w:sz="4"/>
            </w:tcBorders>
            <w:shd w:val="clear" w:color="auto" w:fill="D3D3D3"/>
            <w:vAlign w:val="center"/>
          </w:tcPr>
          <w:p>
            <w:pPr>
              <w:pStyle w:val="Style20"/>
              <w:keepNext w:val="0"/>
              <w:keepLines w:val="0"/>
              <w:framePr w:w="9581" w:h="10051" w:vSpace="322" w:wrap="notBeside" w:vAnchor="text" w:hAnchor="text" w:x="104" w:y="323"/>
              <w:widowControl w:val="0"/>
              <w:shd w:val="clear" w:color="auto" w:fill="auto"/>
              <w:bidi w:val="0"/>
              <w:spacing w:before="0" w:after="0" w:line="314" w:lineRule="exact"/>
              <w:ind w:left="0" w:right="0" w:firstLine="0"/>
              <w:jc w:val="center"/>
            </w:pPr>
            <w:r>
              <w:rPr>
                <w:color w:val="000000"/>
                <w:spacing w:val="0"/>
                <w:w w:val="100"/>
                <w:position w:val="0"/>
              </w:rPr>
              <w:t>计提减 值准备 金额</w:t>
            </w:r>
          </w:p>
          <w:p>
            <w:pPr>
              <w:pStyle w:val="Style20"/>
              <w:keepNext w:val="0"/>
              <w:keepLines w:val="0"/>
              <w:framePr w:w="9581" w:h="10051" w:vSpace="322" w:wrap="notBeside" w:vAnchor="text" w:hAnchor="text" w:x="104" w:y="323"/>
              <w:widowControl w:val="0"/>
              <w:shd w:val="clear" w:color="auto" w:fill="auto"/>
              <w:bidi w:val="0"/>
              <w:spacing w:before="0" w:after="0" w:line="314" w:lineRule="exact"/>
              <w:ind w:left="0" w:right="0" w:firstLine="0"/>
              <w:jc w:val="center"/>
            </w:pPr>
            <w:r>
              <w:rPr>
                <w:color w:val="000000"/>
                <w:spacing w:val="0"/>
                <w:w w:val="100"/>
                <w:position w:val="0"/>
              </w:rPr>
              <w:t>（如 有）</w:t>
            </w:r>
          </w:p>
        </w:tc>
        <w:tc>
          <w:tcPr>
            <w:tcBorders>
              <w:top w:val="single" w:sz="4"/>
              <w:left w:val="single" w:sz="4"/>
            </w:tcBorders>
            <w:shd w:val="clear" w:color="auto" w:fill="D3D3D3"/>
            <w:vAlign w:val="center"/>
          </w:tcPr>
          <w:p>
            <w:pPr>
              <w:pStyle w:val="Style20"/>
              <w:keepNext w:val="0"/>
              <w:keepLines w:val="0"/>
              <w:framePr w:w="9581" w:h="10051" w:vSpace="322" w:wrap="notBeside" w:vAnchor="text" w:hAnchor="text" w:x="104" w:y="323"/>
              <w:widowControl w:val="0"/>
              <w:shd w:val="clear" w:color="auto" w:fill="auto"/>
              <w:bidi w:val="0"/>
              <w:spacing w:before="0" w:after="40" w:line="125" w:lineRule="exact"/>
              <w:ind w:left="0" w:right="0" w:firstLine="0"/>
              <w:jc w:val="right"/>
            </w:pPr>
            <w:r>
              <w:rPr>
                <w:color w:val="000000"/>
                <w:spacing w:val="0"/>
                <w:w w:val="100"/>
                <w:position w:val="0"/>
              </w:rPr>
              <w:t>预计收</w:t>
            </w:r>
          </w:p>
          <w:p>
            <w:pPr>
              <w:pStyle w:val="Style20"/>
              <w:keepNext w:val="0"/>
              <w:keepLines w:val="0"/>
              <w:framePr w:w="9581" w:h="10051" w:vSpace="322" w:wrap="notBeside" w:vAnchor="text" w:hAnchor="text" w:x="104" w:y="323"/>
              <w:widowControl w:val="0"/>
              <w:shd w:val="clear" w:color="auto" w:fill="auto"/>
              <w:bidi w:val="0"/>
              <w:spacing w:before="0" w:after="0" w:line="125" w:lineRule="exact"/>
              <w:ind w:left="0" w:right="0" w:firstLine="0"/>
              <w:jc w:val="center"/>
            </w:pPr>
            <w:r>
              <w:rPr>
                <w:color w:val="000000"/>
                <w:spacing w:val="0"/>
                <w:w w:val="100"/>
                <w:position w:val="0"/>
                <w:u w:val="single"/>
              </w:rPr>
              <w:t>、</w:t>
            </w:r>
            <w:r>
              <w:rPr>
                <w:i/>
                <w:iCs/>
                <w:color w:val="000000"/>
                <w:spacing w:val="0"/>
                <w:w w:val="100"/>
                <w:position w:val="0"/>
                <w:sz w:val="13"/>
                <w:szCs w:val="13"/>
                <w:u w:val="single"/>
              </w:rPr>
              <w:t xml:space="preserve">八 </w:t>
            </w:r>
            <w:r>
              <w:rPr>
                <w:color w:val="000000"/>
                <w:spacing w:val="0"/>
                <w:w w:val="100"/>
                <w:position w:val="0"/>
              </w:rPr>
              <w:t>益</w:t>
            </w:r>
          </w:p>
        </w:tc>
        <w:tc>
          <w:tcPr>
            <w:tcBorders>
              <w:top w:val="single" w:sz="4"/>
              <w:left w:val="single" w:sz="4"/>
            </w:tcBorders>
            <w:shd w:val="clear" w:color="auto" w:fill="D3D3D3"/>
            <w:vAlign w:val="center"/>
          </w:tcPr>
          <w:p>
            <w:pPr>
              <w:pStyle w:val="Style20"/>
              <w:keepNext w:val="0"/>
              <w:keepLines w:val="0"/>
              <w:framePr w:w="9581" w:h="10051" w:vSpace="322" w:wrap="notBeside" w:vAnchor="text" w:hAnchor="text" w:x="104" w:y="323"/>
              <w:widowControl w:val="0"/>
              <w:shd w:val="clear" w:color="auto" w:fill="auto"/>
              <w:bidi w:val="0"/>
              <w:spacing w:before="0" w:after="0" w:line="312" w:lineRule="exact"/>
              <w:ind w:left="0" w:right="0" w:firstLine="0"/>
              <w:jc w:val="center"/>
            </w:pPr>
            <w:r>
              <w:rPr>
                <w:color w:val="000000"/>
                <w:spacing w:val="0"/>
                <w:w w:val="100"/>
                <w:position w:val="0"/>
              </w:rPr>
              <w:t>报告 期实 际损 益金 额</w:t>
            </w:r>
          </w:p>
        </w:tc>
        <w:tc>
          <w:tcPr>
            <w:tcBorders>
              <w:top w:val="single" w:sz="4"/>
              <w:left w:val="single" w:sz="4"/>
              <w:right w:val="single" w:sz="4"/>
            </w:tcBorders>
            <w:shd w:val="clear" w:color="auto" w:fill="D3D3D3"/>
            <w:vAlign w:val="center"/>
          </w:tcPr>
          <w:p>
            <w:pPr>
              <w:pStyle w:val="Style20"/>
              <w:keepNext w:val="0"/>
              <w:keepLines w:val="0"/>
              <w:framePr w:w="9581" w:h="10051" w:vSpace="322" w:wrap="notBeside" w:vAnchor="text" w:hAnchor="text" w:x="104" w:y="323"/>
              <w:widowControl w:val="0"/>
              <w:shd w:val="clear" w:color="auto" w:fill="auto"/>
              <w:bidi w:val="0"/>
              <w:spacing w:before="0" w:after="0" w:line="314" w:lineRule="exact"/>
              <w:ind w:left="0" w:right="0" w:firstLine="0"/>
              <w:jc w:val="center"/>
            </w:pPr>
            <w:r>
              <w:rPr>
                <w:color w:val="000000"/>
                <w:spacing w:val="0"/>
                <w:w w:val="100"/>
                <w:position w:val="0"/>
              </w:rPr>
              <w:t>报告期损 益实际收 回情况</w:t>
            </w:r>
          </w:p>
        </w:tc>
      </w:tr>
      <w:tr>
        <w:trPr>
          <w:trHeight w:val="1339" w:hRule="exact"/>
        </w:trPr>
        <w:tc>
          <w:tcPr>
            <w:tcBorders>
              <w:top w:val="single" w:sz="4"/>
              <w:left w:val="single" w:sz="4"/>
            </w:tcBorders>
            <w:shd w:val="clear" w:color="auto" w:fill="FFFFFF"/>
            <w:vAlign w:val="center"/>
          </w:tcPr>
          <w:p>
            <w:pPr>
              <w:pStyle w:val="Style20"/>
              <w:keepNext w:val="0"/>
              <w:keepLines w:val="0"/>
              <w:framePr w:w="9581" w:h="10051" w:vSpace="322" w:wrap="notBeside" w:vAnchor="text" w:hAnchor="text" w:x="104" w:y="323"/>
              <w:widowControl w:val="0"/>
              <w:shd w:val="clear" w:color="auto" w:fill="auto"/>
              <w:bidi w:val="0"/>
              <w:spacing w:before="0" w:after="0" w:line="315" w:lineRule="exact"/>
              <w:ind w:left="0" w:right="0" w:firstLine="0"/>
              <w:jc w:val="both"/>
            </w:pPr>
            <w:r>
              <w:rPr>
                <w:color w:val="000000"/>
                <w:spacing w:val="0"/>
                <w:w w:val="100"/>
                <w:position w:val="0"/>
              </w:rPr>
              <w:t>中信银 行佛山 北涪支 行</w:t>
            </w:r>
          </w:p>
        </w:tc>
        <w:tc>
          <w:tcPr>
            <w:tcBorders>
              <w:top w:val="single" w:sz="4"/>
              <w:left w:val="single" w:sz="4"/>
            </w:tcBorders>
            <w:shd w:val="clear" w:color="auto" w:fill="FFFFFF"/>
            <w:vAlign w:val="center"/>
          </w:tcPr>
          <w:p>
            <w:pPr>
              <w:pStyle w:val="Style20"/>
              <w:keepNext w:val="0"/>
              <w:keepLines w:val="0"/>
              <w:framePr w:w="9581" w:h="10051" w:vSpace="322" w:wrap="notBeside" w:vAnchor="text" w:hAnchor="text" w:x="104" w:y="323"/>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framePr w:w="9581" w:h="10051" w:vSpace="322" w:wrap="notBeside" w:vAnchor="text" w:hAnchor="text" w:x="104" w:y="323"/>
              <w:widowControl w:val="0"/>
              <w:shd w:val="clear" w:color="auto" w:fill="auto"/>
              <w:bidi w:val="0"/>
              <w:spacing w:before="0" w:after="0" w:line="317" w:lineRule="exact"/>
              <w:ind w:left="0" w:right="0" w:firstLine="0"/>
              <w:jc w:val="both"/>
            </w:pPr>
            <w:r>
              <w:rPr>
                <w:color w:val="000000"/>
                <w:spacing w:val="0"/>
                <w:w w:val="100"/>
                <w:position w:val="0"/>
              </w:rPr>
              <w:t>保本理 财产品</w:t>
            </w:r>
          </w:p>
        </w:tc>
        <w:tc>
          <w:tcPr>
            <w:tcBorders>
              <w:top w:val="single" w:sz="4"/>
              <w:left w:val="single" w:sz="4"/>
            </w:tcBorders>
            <w:shd w:val="clear" w:color="auto" w:fill="FFFFFF"/>
            <w:vAlign w:val="center"/>
          </w:tcPr>
          <w:p>
            <w:pPr>
              <w:pStyle w:val="Style20"/>
              <w:keepNext w:val="0"/>
              <w:keepLines w:val="0"/>
              <w:framePr w:w="9581" w:h="10051" w:vSpace="322" w:wrap="notBeside" w:vAnchor="text" w:hAnchor="text" w:x="104" w:y="323"/>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39,500</w:t>
            </w:r>
          </w:p>
        </w:tc>
        <w:tc>
          <w:tcPr>
            <w:tcBorders>
              <w:top w:val="single" w:sz="4"/>
              <w:left w:val="single" w:sz="4"/>
            </w:tcBorders>
            <w:shd w:val="clear" w:color="auto" w:fill="FFFFFF"/>
            <w:vAlign w:val="center"/>
          </w:tcPr>
          <w:p>
            <w:pPr>
              <w:pStyle w:val="Style20"/>
              <w:keepNext w:val="0"/>
              <w:keepLines w:val="0"/>
              <w:framePr w:w="9581" w:h="10051" w:vSpace="322" w:wrap="notBeside" w:vAnchor="text" w:hAnchor="text" w:x="104" w:y="323"/>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0"/>
              <w:keepNext w:val="0"/>
              <w:keepLines w:val="0"/>
              <w:framePr w:w="9581" w:h="10051" w:vSpace="322" w:wrap="notBeside" w:vAnchor="text" w:hAnchor="text" w:x="104" w:y="323"/>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framePr w:w="9581" w:h="10051" w:vSpace="322" w:wrap="notBeside" w:vAnchor="text" w:hAnchor="text" w:x="104" w:y="323"/>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02</w:t>
            </w:r>
          </w:p>
          <w:p>
            <w:pPr>
              <w:pStyle w:val="Style20"/>
              <w:keepNext w:val="0"/>
              <w:keepLines w:val="0"/>
              <w:framePr w:w="9581" w:h="10051" w:vSpace="322" w:wrap="notBeside" w:vAnchor="text" w:hAnchor="text" w:x="104" w:y="323"/>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framePr w:w="9581" w:h="10051" w:vSpace="322" w:wrap="notBeside" w:vAnchor="text" w:hAnchor="text" w:x="104" w:y="323"/>
              <w:widowControl w:val="0"/>
              <w:shd w:val="clear" w:color="auto" w:fill="auto"/>
              <w:bidi w:val="0"/>
              <w:spacing w:before="0" w:after="0" w:line="317" w:lineRule="exact"/>
              <w:ind w:left="0" w:right="0" w:firstLine="0"/>
              <w:jc w:val="both"/>
            </w:pPr>
            <w:r>
              <w:rPr>
                <w:color w:val="000000"/>
                <w:spacing w:val="0"/>
                <w:w w:val="100"/>
                <w:position w:val="0"/>
              </w:rPr>
              <w:t>到期还 本付息</w:t>
            </w:r>
          </w:p>
        </w:tc>
        <w:tc>
          <w:tcPr>
            <w:tcBorders>
              <w:top w:val="single" w:sz="4"/>
              <w:left w:val="single" w:sz="4"/>
            </w:tcBorders>
            <w:shd w:val="clear" w:color="auto" w:fill="FFFFFF"/>
            <w:vAlign w:val="center"/>
          </w:tcPr>
          <w:p>
            <w:pPr>
              <w:pStyle w:val="Style20"/>
              <w:keepNext w:val="0"/>
              <w:keepLines w:val="0"/>
              <w:framePr w:w="9581" w:h="10051" w:vSpace="322" w:wrap="notBeside" w:vAnchor="text" w:hAnchor="text" w:x="104" w:y="323"/>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framePr w:w="9581" w:h="10051" w:vSpace="322" w:wrap="notBeside" w:vAnchor="text" w:hAnchor="text" w:x="104" w:y="323"/>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framePr w:w="9581" w:h="10051" w:vSpace="322" w:wrap="notBeside" w:vAnchor="text" w:hAnchor="text" w:x="104" w:y="323"/>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138.25</w:t>
            </w:r>
          </w:p>
        </w:tc>
        <w:tc>
          <w:tcPr>
            <w:tcBorders>
              <w:top w:val="single" w:sz="4"/>
              <w:left w:val="single" w:sz="4"/>
            </w:tcBorders>
            <w:shd w:val="clear" w:color="auto" w:fill="FFFFFF"/>
            <w:vAlign w:val="center"/>
          </w:tcPr>
          <w:p>
            <w:pPr>
              <w:pStyle w:val="Style20"/>
              <w:keepNext w:val="0"/>
              <w:keepLines w:val="0"/>
              <w:framePr w:w="9581" w:h="10051" w:vSpace="322" w:wrap="notBeside" w:vAnchor="text" w:hAnchor="text" w:x="104" w:y="323"/>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framePr w:w="9581" w:h="10051" w:vSpace="322" w:wrap="notBeside" w:vAnchor="text" w:hAnchor="text" w:x="104" w:y="323"/>
              <w:widowControl w:val="0"/>
              <w:shd w:val="clear" w:color="auto" w:fill="auto"/>
              <w:bidi w:val="0"/>
              <w:spacing w:before="0" w:after="0" w:line="314" w:lineRule="exact"/>
              <w:ind w:left="0" w:right="0" w:firstLine="0"/>
              <w:jc w:val="left"/>
            </w:pPr>
            <w:r>
              <w:rPr>
                <w:color w:val="000000"/>
                <w:spacing w:val="0"/>
                <w:w w:val="100"/>
                <w:position w:val="0"/>
              </w:rPr>
              <w:t>截至报告 期末，该理 财计划尚 未到期。</w:t>
            </w:r>
          </w:p>
        </w:tc>
      </w:tr>
      <w:tr>
        <w:trPr>
          <w:trHeight w:val="1339" w:hRule="exact"/>
        </w:trPr>
        <w:tc>
          <w:tcPr>
            <w:tcBorders>
              <w:top w:val="single" w:sz="4"/>
              <w:left w:val="single" w:sz="4"/>
            </w:tcBorders>
            <w:shd w:val="clear" w:color="auto" w:fill="FFFFFF"/>
            <w:vAlign w:val="center"/>
          </w:tcPr>
          <w:p>
            <w:pPr>
              <w:pStyle w:val="Style20"/>
              <w:keepNext w:val="0"/>
              <w:keepLines w:val="0"/>
              <w:framePr w:w="9581" w:h="10051" w:vSpace="322" w:wrap="notBeside" w:vAnchor="text" w:hAnchor="text" w:x="104" w:y="323"/>
              <w:widowControl w:val="0"/>
              <w:shd w:val="clear" w:color="auto" w:fill="auto"/>
              <w:bidi w:val="0"/>
              <w:spacing w:before="0" w:after="0" w:line="314" w:lineRule="exact"/>
              <w:ind w:left="0" w:right="0" w:firstLine="0"/>
              <w:jc w:val="both"/>
            </w:pPr>
            <w:r>
              <w:rPr>
                <w:color w:val="000000"/>
                <w:spacing w:val="0"/>
                <w:w w:val="100"/>
                <w:position w:val="0"/>
              </w:rPr>
              <w:t>顺德农 商银行 容桂支 行</w:t>
            </w:r>
          </w:p>
        </w:tc>
        <w:tc>
          <w:tcPr>
            <w:tcBorders>
              <w:top w:val="single" w:sz="4"/>
              <w:left w:val="single" w:sz="4"/>
            </w:tcBorders>
            <w:shd w:val="clear" w:color="auto" w:fill="FFFFFF"/>
            <w:vAlign w:val="center"/>
          </w:tcPr>
          <w:p>
            <w:pPr>
              <w:pStyle w:val="Style20"/>
              <w:keepNext w:val="0"/>
              <w:keepLines w:val="0"/>
              <w:framePr w:w="9581" w:h="10051" w:vSpace="322" w:wrap="notBeside" w:vAnchor="text" w:hAnchor="text" w:x="104" w:y="323"/>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framePr w:w="9581" w:h="10051" w:vSpace="322" w:wrap="notBeside" w:vAnchor="text" w:hAnchor="text" w:x="104" w:y="323"/>
              <w:widowControl w:val="0"/>
              <w:shd w:val="clear" w:color="auto" w:fill="auto"/>
              <w:bidi w:val="0"/>
              <w:spacing w:before="0" w:after="0" w:line="312" w:lineRule="exact"/>
              <w:ind w:left="0" w:right="0" w:firstLine="0"/>
              <w:jc w:val="both"/>
            </w:pPr>
            <w:r>
              <w:rPr>
                <w:color w:val="000000"/>
                <w:spacing w:val="0"/>
                <w:w w:val="100"/>
                <w:position w:val="0"/>
              </w:rPr>
              <w:t>保本理 财产品</w:t>
            </w:r>
          </w:p>
        </w:tc>
        <w:tc>
          <w:tcPr>
            <w:tcBorders>
              <w:top w:val="single" w:sz="4"/>
              <w:left w:val="single" w:sz="4"/>
            </w:tcBorders>
            <w:shd w:val="clear" w:color="auto" w:fill="FFFFFF"/>
            <w:vAlign w:val="center"/>
          </w:tcPr>
          <w:p>
            <w:pPr>
              <w:pStyle w:val="Style20"/>
              <w:keepNext w:val="0"/>
              <w:keepLines w:val="0"/>
              <w:framePr w:w="9581" w:h="10051" w:vSpace="322" w:wrap="notBeside" w:vAnchor="text" w:hAnchor="text" w:x="104" w:y="323"/>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w:t>
            </w:r>
          </w:p>
        </w:tc>
        <w:tc>
          <w:tcPr>
            <w:tcBorders>
              <w:top w:val="single" w:sz="4"/>
              <w:left w:val="single" w:sz="4"/>
            </w:tcBorders>
            <w:shd w:val="clear" w:color="auto" w:fill="FFFFFF"/>
            <w:vAlign w:val="center"/>
          </w:tcPr>
          <w:p>
            <w:pPr>
              <w:pStyle w:val="Style20"/>
              <w:keepNext w:val="0"/>
              <w:keepLines w:val="0"/>
              <w:framePr w:w="9581" w:h="10051" w:vSpace="322" w:wrap="notBeside" w:vAnchor="text" w:hAnchor="text" w:x="104" w:y="323"/>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09</w:t>
            </w:r>
          </w:p>
          <w:p>
            <w:pPr>
              <w:pStyle w:val="Style20"/>
              <w:keepNext w:val="0"/>
              <w:keepLines w:val="0"/>
              <w:framePr w:w="9581" w:h="10051" w:vSpace="322" w:wrap="notBeside" w:vAnchor="text" w:hAnchor="text" w:x="104" w:y="323"/>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framePr w:w="9581" w:h="10051" w:vSpace="322" w:wrap="notBeside" w:vAnchor="text" w:hAnchor="text" w:x="104" w:y="323"/>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framePr w:w="9581" w:h="10051" w:vSpace="322" w:wrap="notBeside" w:vAnchor="text" w:hAnchor="text" w:x="104" w:y="323"/>
              <w:widowControl w:val="0"/>
              <w:shd w:val="clear" w:color="auto" w:fill="auto"/>
              <w:bidi w:val="0"/>
              <w:spacing w:before="0" w:after="0" w:line="312" w:lineRule="exact"/>
              <w:ind w:left="0" w:right="0" w:firstLine="0"/>
              <w:jc w:val="both"/>
            </w:pPr>
            <w:r>
              <w:rPr>
                <w:color w:val="000000"/>
                <w:spacing w:val="0"/>
                <w:w w:val="100"/>
                <w:position w:val="0"/>
              </w:rPr>
              <w:t>到期还 本付息</w:t>
            </w:r>
          </w:p>
        </w:tc>
        <w:tc>
          <w:tcPr>
            <w:tcBorders>
              <w:top w:val="single" w:sz="4"/>
              <w:left w:val="single" w:sz="4"/>
            </w:tcBorders>
            <w:shd w:val="clear" w:color="auto" w:fill="FFFFFF"/>
            <w:vAlign w:val="center"/>
          </w:tcPr>
          <w:p>
            <w:pPr>
              <w:pStyle w:val="Style20"/>
              <w:keepNext w:val="0"/>
              <w:keepLines w:val="0"/>
              <w:framePr w:w="9581" w:h="10051" w:vSpace="322" w:wrap="notBeside" w:vAnchor="text" w:hAnchor="text" w:x="104" w:y="323"/>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w:t>
            </w:r>
          </w:p>
        </w:tc>
        <w:tc>
          <w:tcPr>
            <w:tcBorders>
              <w:top w:val="single" w:sz="4"/>
              <w:left w:val="single" w:sz="4"/>
            </w:tcBorders>
            <w:shd w:val="clear" w:color="auto" w:fill="FFFFFF"/>
            <w:vAlign w:val="top"/>
          </w:tcPr>
          <w:p>
            <w:pPr>
              <w:framePr w:w="9581" w:h="10051" w:vSpace="322" w:wrap="notBeside" w:vAnchor="text" w:hAnchor="text" w:x="104" w:y="323"/>
              <w:widowControl w:val="0"/>
              <w:rPr>
                <w:sz w:val="10"/>
                <w:szCs w:val="10"/>
              </w:rPr>
            </w:pPr>
          </w:p>
        </w:tc>
        <w:tc>
          <w:tcPr>
            <w:tcBorders>
              <w:top w:val="single" w:sz="4"/>
              <w:left w:val="single" w:sz="4"/>
            </w:tcBorders>
            <w:shd w:val="clear" w:color="auto" w:fill="FFFFFF"/>
            <w:vAlign w:val="center"/>
          </w:tcPr>
          <w:p>
            <w:pPr>
              <w:pStyle w:val="Style20"/>
              <w:keepNext w:val="0"/>
              <w:keepLines w:val="0"/>
              <w:framePr w:w="9581" w:h="10051" w:vSpace="322" w:wrap="notBeside" w:vAnchor="text" w:hAnchor="text" w:x="104" w:y="323"/>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w:t>
            </w:r>
          </w:p>
        </w:tc>
        <w:tc>
          <w:tcPr>
            <w:tcBorders>
              <w:top w:val="single" w:sz="4"/>
              <w:left w:val="single" w:sz="4"/>
            </w:tcBorders>
            <w:shd w:val="clear" w:color="auto" w:fill="FFFFFF"/>
            <w:vAlign w:val="center"/>
          </w:tcPr>
          <w:p>
            <w:pPr>
              <w:pStyle w:val="Style20"/>
              <w:keepNext w:val="0"/>
              <w:keepLines w:val="0"/>
              <w:framePr w:w="9581" w:h="10051" w:vSpace="322" w:wrap="notBeside" w:vAnchor="text" w:hAnchor="text" w:x="104" w:y="323"/>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3.94</w:t>
            </w:r>
          </w:p>
        </w:tc>
        <w:tc>
          <w:tcPr>
            <w:tcBorders>
              <w:top w:val="single" w:sz="4"/>
              <w:left w:val="single" w:sz="4"/>
              <w:right w:val="single" w:sz="4"/>
            </w:tcBorders>
            <w:shd w:val="clear" w:color="auto" w:fill="FFFFFF"/>
            <w:vAlign w:val="center"/>
          </w:tcPr>
          <w:p>
            <w:pPr>
              <w:pStyle w:val="Style20"/>
              <w:keepNext w:val="0"/>
              <w:keepLines w:val="0"/>
              <w:framePr w:w="9581" w:h="10051" w:vSpace="322" w:wrap="notBeside" w:vAnchor="text" w:hAnchor="text" w:x="104" w:y="323"/>
              <w:widowControl w:val="0"/>
              <w:shd w:val="clear" w:color="auto" w:fill="auto"/>
              <w:bidi w:val="0"/>
              <w:spacing w:before="0" w:after="0" w:line="240" w:lineRule="auto"/>
              <w:ind w:left="0" w:right="0" w:firstLine="0"/>
              <w:jc w:val="left"/>
            </w:pPr>
            <w:r>
              <w:rPr>
                <w:color w:val="000000"/>
                <w:spacing w:val="0"/>
                <w:w w:val="100"/>
                <w:position w:val="0"/>
              </w:rPr>
              <w:t>已收回</w:t>
            </w:r>
          </w:p>
        </w:tc>
      </w:tr>
      <w:tr>
        <w:trPr>
          <w:trHeight w:val="1339" w:hRule="exact"/>
        </w:trPr>
        <w:tc>
          <w:tcPr>
            <w:tcBorders>
              <w:top w:val="single" w:sz="4"/>
              <w:left w:val="single" w:sz="4"/>
            </w:tcBorders>
            <w:shd w:val="clear" w:color="auto" w:fill="FFFFFF"/>
            <w:vAlign w:val="center"/>
          </w:tcPr>
          <w:p>
            <w:pPr>
              <w:pStyle w:val="Style20"/>
              <w:keepNext w:val="0"/>
              <w:keepLines w:val="0"/>
              <w:framePr w:w="9581" w:h="10051" w:vSpace="322" w:wrap="notBeside" w:vAnchor="text" w:hAnchor="text" w:x="104" w:y="323"/>
              <w:widowControl w:val="0"/>
              <w:shd w:val="clear" w:color="auto" w:fill="auto"/>
              <w:bidi w:val="0"/>
              <w:spacing w:before="0" w:after="0" w:line="314" w:lineRule="exact"/>
              <w:ind w:left="0" w:right="0" w:firstLine="0"/>
              <w:jc w:val="both"/>
            </w:pPr>
            <w:r>
              <w:rPr>
                <w:color w:val="000000"/>
                <w:spacing w:val="0"/>
                <w:w w:val="100"/>
                <w:position w:val="0"/>
              </w:rPr>
              <w:t>顺德农 商银行 容桂华 口支行</w:t>
            </w:r>
          </w:p>
        </w:tc>
        <w:tc>
          <w:tcPr>
            <w:tcBorders>
              <w:top w:val="single" w:sz="4"/>
              <w:left w:val="single" w:sz="4"/>
            </w:tcBorders>
            <w:shd w:val="clear" w:color="auto" w:fill="FFFFFF"/>
            <w:vAlign w:val="center"/>
          </w:tcPr>
          <w:p>
            <w:pPr>
              <w:pStyle w:val="Style20"/>
              <w:keepNext w:val="0"/>
              <w:keepLines w:val="0"/>
              <w:framePr w:w="9581" w:h="10051" w:vSpace="322" w:wrap="notBeside" w:vAnchor="text" w:hAnchor="text" w:x="104" w:y="323"/>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framePr w:w="9581" w:h="10051" w:vSpace="322" w:wrap="notBeside" w:vAnchor="text" w:hAnchor="text" w:x="104" w:y="323"/>
              <w:widowControl w:val="0"/>
              <w:shd w:val="clear" w:color="auto" w:fill="auto"/>
              <w:bidi w:val="0"/>
              <w:spacing w:before="0" w:after="0" w:line="312" w:lineRule="exact"/>
              <w:ind w:left="0" w:right="0" w:firstLine="0"/>
              <w:jc w:val="both"/>
            </w:pPr>
            <w:r>
              <w:rPr>
                <w:color w:val="000000"/>
                <w:spacing w:val="0"/>
                <w:w w:val="100"/>
                <w:position w:val="0"/>
              </w:rPr>
              <w:t>保本理 财产品</w:t>
            </w:r>
          </w:p>
        </w:tc>
        <w:tc>
          <w:tcPr>
            <w:tcBorders>
              <w:top w:val="single" w:sz="4"/>
              <w:left w:val="single" w:sz="4"/>
            </w:tcBorders>
            <w:shd w:val="clear" w:color="auto" w:fill="FFFFFF"/>
            <w:vAlign w:val="center"/>
          </w:tcPr>
          <w:p>
            <w:pPr>
              <w:pStyle w:val="Style20"/>
              <w:keepNext w:val="0"/>
              <w:keepLines w:val="0"/>
              <w:framePr w:w="9581" w:h="10051" w:vSpace="322" w:wrap="notBeside" w:vAnchor="text" w:hAnchor="text" w:x="104" w:y="323"/>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center"/>
          </w:tcPr>
          <w:p>
            <w:pPr>
              <w:pStyle w:val="Style20"/>
              <w:keepNext w:val="0"/>
              <w:keepLines w:val="0"/>
              <w:framePr w:w="9581" w:h="10051" w:vSpace="322" w:wrap="notBeside" w:vAnchor="text" w:hAnchor="text" w:x="104" w:y="323"/>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07</w:t>
            </w:r>
          </w:p>
          <w:p>
            <w:pPr>
              <w:pStyle w:val="Style20"/>
              <w:keepNext w:val="0"/>
              <w:keepLines w:val="0"/>
              <w:framePr w:w="9581" w:h="10051" w:vSpace="322" w:wrap="notBeside" w:vAnchor="text" w:hAnchor="text" w:x="104" w:y="323"/>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framePr w:w="9581" w:h="10051" w:vSpace="322" w:wrap="notBeside" w:vAnchor="text" w:hAnchor="text" w:x="104" w:y="323"/>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01</w:t>
            </w:r>
          </w:p>
          <w:p>
            <w:pPr>
              <w:pStyle w:val="Style20"/>
              <w:keepNext w:val="0"/>
              <w:keepLines w:val="0"/>
              <w:framePr w:w="9581" w:h="10051" w:vSpace="322" w:wrap="notBeside" w:vAnchor="text" w:hAnchor="text" w:x="104" w:y="323"/>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framePr w:w="9581" w:h="10051" w:vSpace="322" w:wrap="notBeside" w:vAnchor="text" w:hAnchor="text" w:x="104" w:y="323"/>
              <w:widowControl w:val="0"/>
              <w:shd w:val="clear" w:color="auto" w:fill="auto"/>
              <w:bidi w:val="0"/>
              <w:spacing w:before="0" w:after="0" w:line="312" w:lineRule="exact"/>
              <w:ind w:left="0" w:right="0" w:firstLine="0"/>
              <w:jc w:val="both"/>
            </w:pPr>
            <w:r>
              <w:rPr>
                <w:color w:val="000000"/>
                <w:spacing w:val="0"/>
                <w:w w:val="100"/>
                <w:position w:val="0"/>
              </w:rPr>
              <w:t>到期还 本付息</w:t>
            </w:r>
          </w:p>
        </w:tc>
        <w:tc>
          <w:tcPr>
            <w:tcBorders>
              <w:top w:val="single" w:sz="4"/>
              <w:left w:val="single" w:sz="4"/>
            </w:tcBorders>
            <w:shd w:val="clear" w:color="auto" w:fill="FFFFFF"/>
            <w:vAlign w:val="center"/>
          </w:tcPr>
          <w:p>
            <w:pPr>
              <w:pStyle w:val="Style20"/>
              <w:keepNext w:val="0"/>
              <w:keepLines w:val="0"/>
              <w:framePr w:w="9581" w:h="10051" w:vSpace="322" w:wrap="notBeside" w:vAnchor="text" w:hAnchor="text" w:x="104" w:y="323"/>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framePr w:w="9581" w:h="10051" w:vSpace="322" w:wrap="notBeside" w:vAnchor="text" w:hAnchor="text" w:x="104" w:y="323"/>
              <w:widowControl w:val="0"/>
              <w:rPr>
                <w:sz w:val="10"/>
                <w:szCs w:val="10"/>
              </w:rPr>
            </w:pPr>
          </w:p>
        </w:tc>
        <w:tc>
          <w:tcPr>
            <w:tcBorders>
              <w:top w:val="single" w:sz="4"/>
              <w:left w:val="single" w:sz="4"/>
            </w:tcBorders>
            <w:shd w:val="clear" w:color="auto" w:fill="FFFFFF"/>
            <w:vAlign w:val="center"/>
          </w:tcPr>
          <w:p>
            <w:pPr>
              <w:pStyle w:val="Style20"/>
              <w:keepNext w:val="0"/>
              <w:keepLines w:val="0"/>
              <w:framePr w:w="9581" w:h="10051" w:vSpace="322" w:wrap="notBeside" w:vAnchor="text" w:hAnchor="text" w:x="104" w:y="323"/>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16.24</w:t>
            </w:r>
          </w:p>
        </w:tc>
        <w:tc>
          <w:tcPr>
            <w:tcBorders>
              <w:top w:val="single" w:sz="4"/>
              <w:left w:val="single" w:sz="4"/>
            </w:tcBorders>
            <w:shd w:val="clear" w:color="auto" w:fill="FFFFFF"/>
            <w:vAlign w:val="center"/>
          </w:tcPr>
          <w:p>
            <w:pPr>
              <w:pStyle w:val="Style20"/>
              <w:keepNext w:val="0"/>
              <w:keepLines w:val="0"/>
              <w:framePr w:w="9581" w:h="10051" w:vSpace="322" w:wrap="notBeside" w:vAnchor="text" w:hAnchor="text" w:x="104" w:y="323"/>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framePr w:w="9581" w:h="10051" w:vSpace="322" w:wrap="notBeside" w:vAnchor="text" w:hAnchor="text" w:x="104" w:y="323"/>
              <w:widowControl w:val="0"/>
              <w:shd w:val="clear" w:color="auto" w:fill="auto"/>
              <w:bidi w:val="0"/>
              <w:spacing w:before="0" w:after="0" w:line="312" w:lineRule="exact"/>
              <w:ind w:left="0" w:right="0" w:firstLine="0"/>
              <w:jc w:val="left"/>
            </w:pPr>
            <w:r>
              <w:rPr>
                <w:color w:val="000000"/>
                <w:spacing w:val="0"/>
                <w:w w:val="100"/>
                <w:position w:val="0"/>
              </w:rPr>
              <w:t>截至报告 期末，该理 财计划尚 未到期。</w:t>
            </w:r>
          </w:p>
        </w:tc>
      </w:tr>
      <w:tr>
        <w:trPr>
          <w:trHeight w:val="398" w:hRule="exact"/>
        </w:trPr>
        <w:tc>
          <w:tcPr>
            <w:gridSpan w:val="3"/>
            <w:tcBorders>
              <w:top w:val="single" w:sz="4"/>
              <w:left w:val="single" w:sz="4"/>
            </w:tcBorders>
            <w:shd w:val="clear" w:color="auto" w:fill="D3D3D3"/>
            <w:vAlign w:val="center"/>
          </w:tcPr>
          <w:p>
            <w:pPr>
              <w:pStyle w:val="Style20"/>
              <w:keepNext w:val="0"/>
              <w:keepLines w:val="0"/>
              <w:framePr w:w="9581" w:h="10051" w:vSpace="322" w:wrap="notBeside" w:vAnchor="text" w:hAnchor="text" w:x="104" w:y="323"/>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0"/>
              <w:keepNext w:val="0"/>
              <w:keepLines w:val="0"/>
              <w:framePr w:w="9581" w:h="10051" w:vSpace="322" w:wrap="notBeside" w:vAnchor="text" w:hAnchor="text" w:x="104" w:y="323"/>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41,300</w:t>
            </w:r>
          </w:p>
        </w:tc>
        <w:tc>
          <w:tcPr>
            <w:tcBorders>
              <w:top w:val="single" w:sz="4"/>
              <w:left w:val="single" w:sz="4"/>
            </w:tcBorders>
            <w:shd w:val="clear" w:color="auto" w:fill="D3D3D3"/>
            <w:vAlign w:val="center"/>
          </w:tcPr>
          <w:p>
            <w:pPr>
              <w:pStyle w:val="Style20"/>
              <w:keepNext w:val="0"/>
              <w:keepLines w:val="0"/>
              <w:framePr w:w="9581" w:h="10051" w:vSpace="322" w:wrap="notBeside" w:vAnchor="text" w:hAnchor="text" w:x="104" w:y="323"/>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framePr w:w="9581" w:h="10051" w:vSpace="322" w:wrap="notBeside" w:vAnchor="text" w:hAnchor="text" w:x="104" w:y="323"/>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framePr w:w="9581" w:h="10051" w:vSpace="322" w:wrap="notBeside" w:vAnchor="text" w:hAnchor="text" w:x="104" w:y="323"/>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framePr w:w="9581" w:h="10051" w:vSpace="322" w:wrap="notBeside" w:vAnchor="text" w:hAnchor="text" w:x="104" w:y="323"/>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w:t>
            </w:r>
          </w:p>
        </w:tc>
        <w:tc>
          <w:tcPr>
            <w:tcBorders>
              <w:top w:val="single" w:sz="4"/>
              <w:left w:val="single" w:sz="4"/>
            </w:tcBorders>
            <w:shd w:val="clear" w:color="auto" w:fill="FFFFFF"/>
            <w:vAlign w:val="top"/>
          </w:tcPr>
          <w:p>
            <w:pPr>
              <w:framePr w:w="9581" w:h="10051" w:vSpace="322" w:wrap="notBeside" w:vAnchor="text" w:hAnchor="text" w:x="104" w:y="323"/>
              <w:widowControl w:val="0"/>
              <w:rPr>
                <w:sz w:val="10"/>
                <w:szCs w:val="10"/>
              </w:rPr>
            </w:pPr>
          </w:p>
        </w:tc>
        <w:tc>
          <w:tcPr>
            <w:tcBorders>
              <w:top w:val="single" w:sz="4"/>
              <w:left w:val="single" w:sz="4"/>
            </w:tcBorders>
            <w:shd w:val="clear" w:color="auto" w:fill="FFFFFF"/>
            <w:vAlign w:val="center"/>
          </w:tcPr>
          <w:p>
            <w:pPr>
              <w:pStyle w:val="Style20"/>
              <w:keepNext w:val="0"/>
              <w:keepLines w:val="0"/>
              <w:framePr w:w="9581" w:h="10051" w:vSpace="322" w:wrap="notBeside" w:vAnchor="text" w:hAnchor="text" w:x="104" w:y="323"/>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158.24</w:t>
            </w:r>
          </w:p>
        </w:tc>
        <w:tc>
          <w:tcPr>
            <w:tcBorders>
              <w:top w:val="single" w:sz="4"/>
              <w:left w:val="single" w:sz="4"/>
            </w:tcBorders>
            <w:shd w:val="clear" w:color="auto" w:fill="FFFFFF"/>
            <w:vAlign w:val="center"/>
          </w:tcPr>
          <w:p>
            <w:pPr>
              <w:pStyle w:val="Style20"/>
              <w:keepNext w:val="0"/>
              <w:keepLines w:val="0"/>
              <w:framePr w:w="9581" w:h="10051" w:vSpace="322" w:wrap="notBeside" w:vAnchor="text" w:hAnchor="text" w:x="104" w:y="323"/>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3.94</w:t>
            </w:r>
          </w:p>
        </w:tc>
        <w:tc>
          <w:tcPr>
            <w:tcBorders>
              <w:top w:val="single" w:sz="4"/>
              <w:left w:val="single" w:sz="4"/>
              <w:right w:val="single" w:sz="4"/>
            </w:tcBorders>
            <w:shd w:val="clear" w:color="auto" w:fill="D3D3D3"/>
            <w:vAlign w:val="center"/>
          </w:tcPr>
          <w:p>
            <w:pPr>
              <w:pStyle w:val="Style20"/>
              <w:keepNext w:val="0"/>
              <w:keepLines w:val="0"/>
              <w:framePr w:w="9581" w:h="10051" w:vSpace="322" w:wrap="notBeside" w:vAnchor="text" w:hAnchor="text" w:x="104" w:y="323"/>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gridSpan w:val="3"/>
            <w:tcBorders>
              <w:top w:val="single" w:sz="4"/>
              <w:left w:val="single" w:sz="4"/>
            </w:tcBorders>
            <w:shd w:val="clear" w:color="auto" w:fill="D3D3D3"/>
            <w:vAlign w:val="center"/>
          </w:tcPr>
          <w:p>
            <w:pPr>
              <w:pStyle w:val="Style20"/>
              <w:keepNext w:val="0"/>
              <w:keepLines w:val="0"/>
              <w:framePr w:w="9581" w:h="10051" w:vSpace="322" w:wrap="notBeside" w:vAnchor="text" w:hAnchor="text" w:x="104" w:y="323"/>
              <w:widowControl w:val="0"/>
              <w:shd w:val="clear" w:color="auto" w:fill="auto"/>
              <w:bidi w:val="0"/>
              <w:spacing w:before="0" w:after="0" w:line="240" w:lineRule="auto"/>
              <w:ind w:left="0" w:right="0" w:firstLine="0"/>
              <w:jc w:val="left"/>
            </w:pPr>
            <w:r>
              <w:rPr>
                <w:color w:val="000000"/>
                <w:spacing w:val="0"/>
                <w:w w:val="100"/>
                <w:position w:val="0"/>
              </w:rPr>
              <w:t>委托理财资金来源</w:t>
            </w:r>
          </w:p>
        </w:tc>
        <w:tc>
          <w:tcPr>
            <w:gridSpan w:val="9"/>
            <w:tcBorders>
              <w:top w:val="single" w:sz="4"/>
              <w:left w:val="single" w:sz="4"/>
              <w:right w:val="single" w:sz="4"/>
            </w:tcBorders>
            <w:shd w:val="clear" w:color="auto" w:fill="FFFFFF"/>
            <w:vAlign w:val="center"/>
          </w:tcPr>
          <w:p>
            <w:pPr>
              <w:pStyle w:val="Style20"/>
              <w:keepNext w:val="0"/>
              <w:keepLines w:val="0"/>
              <w:framePr w:w="9581" w:h="10051" w:vSpace="322" w:wrap="notBeside" w:vAnchor="text" w:hAnchor="text" w:x="104" w:y="323"/>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715" w:hRule="exact"/>
        </w:trPr>
        <w:tc>
          <w:tcPr>
            <w:gridSpan w:val="3"/>
            <w:tcBorders>
              <w:top w:val="single" w:sz="4"/>
              <w:left w:val="single" w:sz="4"/>
            </w:tcBorders>
            <w:shd w:val="clear" w:color="auto" w:fill="D3D3D3"/>
            <w:vAlign w:val="center"/>
          </w:tcPr>
          <w:p>
            <w:pPr>
              <w:pStyle w:val="Style20"/>
              <w:keepNext w:val="0"/>
              <w:keepLines w:val="0"/>
              <w:framePr w:w="9581" w:h="10051" w:vSpace="322" w:wrap="notBeside" w:vAnchor="text" w:hAnchor="text" w:x="104" w:y="323"/>
              <w:widowControl w:val="0"/>
              <w:shd w:val="clear" w:color="auto" w:fill="auto"/>
              <w:bidi w:val="0"/>
              <w:spacing w:before="0" w:after="0" w:line="312" w:lineRule="exact"/>
              <w:ind w:left="0" w:right="0" w:firstLine="0"/>
              <w:jc w:val="left"/>
            </w:pPr>
            <w:r>
              <w:rPr>
                <w:color w:val="000000"/>
                <w:spacing w:val="0"/>
                <w:w w:val="100"/>
                <w:position w:val="0"/>
              </w:rPr>
              <w:t>逾期未收回的本金和 收益累计金额</w:t>
            </w:r>
          </w:p>
        </w:tc>
        <w:tc>
          <w:tcPr>
            <w:gridSpan w:val="9"/>
            <w:tcBorders>
              <w:top w:val="single" w:sz="4"/>
              <w:left w:val="single" w:sz="4"/>
              <w:right w:val="single" w:sz="4"/>
            </w:tcBorders>
            <w:shd w:val="clear" w:color="auto" w:fill="FFFFFF"/>
            <w:vAlign w:val="center"/>
          </w:tcPr>
          <w:p>
            <w:pPr>
              <w:pStyle w:val="Style20"/>
              <w:keepNext w:val="0"/>
              <w:keepLines w:val="0"/>
              <w:framePr w:w="9581" w:h="10051" w:vSpace="322" w:wrap="notBeside" w:vAnchor="text" w:hAnchor="text" w:x="104" w:y="323"/>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3"/>
            <w:tcBorders>
              <w:top w:val="single" w:sz="4"/>
              <w:left w:val="single" w:sz="4"/>
            </w:tcBorders>
            <w:shd w:val="clear" w:color="auto" w:fill="D3D3D3"/>
            <w:vAlign w:val="center"/>
          </w:tcPr>
          <w:p>
            <w:pPr>
              <w:pStyle w:val="Style20"/>
              <w:keepNext w:val="0"/>
              <w:keepLines w:val="0"/>
              <w:framePr w:w="9581" w:h="10051" w:vSpace="322" w:wrap="notBeside" w:vAnchor="text" w:hAnchor="text" w:x="104" w:y="323"/>
              <w:widowControl w:val="0"/>
              <w:shd w:val="clear" w:color="auto" w:fill="auto"/>
              <w:bidi w:val="0"/>
              <w:spacing w:before="0" w:after="0" w:line="240" w:lineRule="auto"/>
              <w:ind w:left="0" w:right="0" w:firstLine="0"/>
              <w:jc w:val="left"/>
            </w:pPr>
            <w:r>
              <w:rPr>
                <w:color w:val="000000"/>
                <w:spacing w:val="0"/>
                <w:w w:val="100"/>
                <w:position w:val="0"/>
              </w:rPr>
              <w:t>涉诉情况（如适用）</w:t>
            </w:r>
          </w:p>
        </w:tc>
        <w:tc>
          <w:tcPr>
            <w:gridSpan w:val="9"/>
            <w:tcBorders>
              <w:top w:val="single" w:sz="4"/>
              <w:left w:val="single" w:sz="4"/>
              <w:right w:val="single" w:sz="4"/>
            </w:tcBorders>
            <w:shd w:val="clear" w:color="auto" w:fill="FFFFFF"/>
            <w:vAlign w:val="center"/>
          </w:tcPr>
          <w:p>
            <w:pPr>
              <w:pStyle w:val="Style20"/>
              <w:keepNext w:val="0"/>
              <w:keepLines w:val="0"/>
              <w:framePr w:w="9581" w:h="10051" w:vSpace="322" w:wrap="notBeside" w:vAnchor="text" w:hAnchor="text" w:x="104" w:y="323"/>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0" w:hRule="exact"/>
        </w:trPr>
        <w:tc>
          <w:tcPr>
            <w:gridSpan w:val="3"/>
            <w:tcBorders>
              <w:top w:val="single" w:sz="4"/>
              <w:left w:val="single" w:sz="4"/>
            </w:tcBorders>
            <w:shd w:val="clear" w:color="auto" w:fill="D3D3D3"/>
            <w:vAlign w:val="center"/>
          </w:tcPr>
          <w:p>
            <w:pPr>
              <w:pStyle w:val="Style20"/>
              <w:keepNext w:val="0"/>
              <w:keepLines w:val="0"/>
              <w:framePr w:w="9581" w:h="10051" w:vSpace="322" w:wrap="notBeside" w:vAnchor="text" w:hAnchor="text" w:x="104" w:y="323"/>
              <w:widowControl w:val="0"/>
              <w:shd w:val="clear" w:color="auto" w:fill="auto"/>
              <w:bidi w:val="0"/>
              <w:spacing w:before="0" w:after="0" w:line="312" w:lineRule="exact"/>
              <w:ind w:left="0" w:right="0" w:firstLine="0"/>
              <w:jc w:val="left"/>
            </w:pPr>
            <w:r>
              <w:rPr>
                <w:color w:val="000000"/>
                <w:spacing w:val="0"/>
                <w:w w:val="100"/>
                <w:position w:val="0"/>
              </w:rPr>
              <w:t>委托理财审批董事会 公告披露日期（如有</w:t>
            </w:r>
            <w:r>
              <w:rPr>
                <w:color w:val="000000"/>
                <w:spacing w:val="0"/>
                <w:w w:val="100"/>
                <w:position w:val="0"/>
              </w:rPr>
              <w:t>）</w:t>
            </w:r>
          </w:p>
        </w:tc>
        <w:tc>
          <w:tcPr>
            <w:gridSpan w:val="9"/>
            <w:tcBorders>
              <w:top w:val="single" w:sz="4"/>
              <w:left w:val="single" w:sz="4"/>
              <w:right w:val="single" w:sz="4"/>
            </w:tcBorders>
            <w:shd w:val="clear" w:color="auto" w:fill="FFFFFF"/>
            <w:vAlign w:val="center"/>
          </w:tcPr>
          <w:p>
            <w:pPr>
              <w:pStyle w:val="Style20"/>
              <w:keepNext w:val="0"/>
              <w:keepLines w:val="0"/>
              <w:framePr w:w="9581" w:h="10051" w:vSpace="322" w:wrap="notBeside" w:vAnchor="text" w:hAnchor="text" w:x="104" w:y="323"/>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r>
      <w:tr>
        <w:trPr>
          <w:trHeight w:val="715" w:hRule="exact"/>
        </w:trPr>
        <w:tc>
          <w:tcPr>
            <w:gridSpan w:val="3"/>
            <w:tcBorders>
              <w:top w:val="single" w:sz="4"/>
              <w:left w:val="single" w:sz="4"/>
            </w:tcBorders>
            <w:shd w:val="clear" w:color="auto" w:fill="D3D3D3"/>
            <w:vAlign w:val="center"/>
          </w:tcPr>
          <w:p>
            <w:pPr>
              <w:pStyle w:val="Style20"/>
              <w:keepNext w:val="0"/>
              <w:keepLines w:val="0"/>
              <w:framePr w:w="9581" w:h="10051" w:vSpace="322" w:wrap="notBeside" w:vAnchor="text" w:hAnchor="text" w:x="104" w:y="323"/>
              <w:widowControl w:val="0"/>
              <w:shd w:val="clear" w:color="auto" w:fill="auto"/>
              <w:bidi w:val="0"/>
              <w:spacing w:before="0" w:after="0" w:line="317" w:lineRule="exact"/>
              <w:ind w:left="0" w:right="0" w:firstLine="0"/>
              <w:jc w:val="left"/>
            </w:pPr>
            <w:r>
              <w:rPr>
                <w:color w:val="000000"/>
                <w:spacing w:val="0"/>
                <w:w w:val="100"/>
                <w:position w:val="0"/>
              </w:rPr>
              <w:t>委托理财审批股东会 公告披露日期（如有</w:t>
            </w:r>
            <w:r>
              <w:rPr>
                <w:color w:val="000000"/>
                <w:spacing w:val="0"/>
                <w:w w:val="100"/>
                <w:position w:val="0"/>
              </w:rPr>
              <w:t>）</w:t>
            </w:r>
          </w:p>
        </w:tc>
        <w:tc>
          <w:tcPr>
            <w:gridSpan w:val="9"/>
            <w:tcBorders>
              <w:top w:val="single" w:sz="4"/>
              <w:left w:val="single" w:sz="4"/>
              <w:right w:val="single" w:sz="4"/>
            </w:tcBorders>
            <w:shd w:val="clear" w:color="auto" w:fill="FFFFFF"/>
            <w:vAlign w:val="center"/>
          </w:tcPr>
          <w:p>
            <w:pPr>
              <w:pStyle w:val="Style20"/>
              <w:keepNext w:val="0"/>
              <w:keepLines w:val="0"/>
              <w:framePr w:w="9581" w:h="10051" w:vSpace="322" w:wrap="notBeside" w:vAnchor="text" w:hAnchor="text" w:x="104" w:y="323"/>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r>
      <w:tr>
        <w:trPr>
          <w:trHeight w:val="1037" w:hRule="exact"/>
        </w:trPr>
        <w:tc>
          <w:tcPr>
            <w:gridSpan w:val="3"/>
            <w:tcBorders>
              <w:top w:val="single" w:sz="4"/>
              <w:left w:val="single" w:sz="4"/>
              <w:bottom w:val="single" w:sz="4"/>
            </w:tcBorders>
            <w:shd w:val="clear" w:color="auto" w:fill="D3D3D3"/>
            <w:vAlign w:val="center"/>
          </w:tcPr>
          <w:p>
            <w:pPr>
              <w:pStyle w:val="Style20"/>
              <w:keepNext w:val="0"/>
              <w:keepLines w:val="0"/>
              <w:framePr w:w="9581" w:h="10051" w:vSpace="322" w:wrap="notBeside" w:vAnchor="text" w:hAnchor="text" w:x="104" w:y="323"/>
              <w:widowControl w:val="0"/>
              <w:shd w:val="clear" w:color="auto" w:fill="auto"/>
              <w:bidi w:val="0"/>
              <w:spacing w:before="0" w:after="80" w:line="240" w:lineRule="auto"/>
              <w:ind w:left="0" w:right="0" w:firstLine="0"/>
              <w:jc w:val="left"/>
            </w:pPr>
            <w:r>
              <w:rPr>
                <w:color w:val="000000"/>
                <w:spacing w:val="0"/>
                <w:w w:val="100"/>
                <w:position w:val="0"/>
              </w:rPr>
              <w:t>未来是否还有委托理</w:t>
            </w:r>
          </w:p>
          <w:p>
            <w:pPr>
              <w:pStyle w:val="Style20"/>
              <w:keepNext w:val="0"/>
              <w:keepLines w:val="0"/>
              <w:framePr w:w="9581" w:h="10051" w:vSpace="322" w:wrap="notBeside" w:vAnchor="text" w:hAnchor="text" w:x="104" w:y="323"/>
              <w:widowControl w:val="0"/>
              <w:shd w:val="clear" w:color="auto" w:fill="auto"/>
              <w:bidi w:val="0"/>
              <w:spacing w:before="0" w:after="0" w:line="240" w:lineRule="auto"/>
              <w:ind w:left="0" w:right="0" w:firstLine="0"/>
              <w:jc w:val="left"/>
            </w:pPr>
            <w:r>
              <w:rPr>
                <w:color w:val="000000"/>
                <w:spacing w:val="0"/>
                <w:w w:val="100"/>
                <w:position w:val="0"/>
              </w:rPr>
              <w:t>财计划</w:t>
            </w:r>
          </w:p>
        </w:tc>
        <w:tc>
          <w:tcPr>
            <w:gridSpan w:val="9"/>
            <w:tcBorders>
              <w:top w:val="single" w:sz="4"/>
              <w:left w:val="single" w:sz="4"/>
              <w:bottom w:val="single" w:sz="4"/>
              <w:right w:val="single" w:sz="4"/>
            </w:tcBorders>
            <w:shd w:val="clear" w:color="auto" w:fill="FFFFFF"/>
            <w:vAlign w:val="center"/>
          </w:tcPr>
          <w:p>
            <w:pPr>
              <w:pStyle w:val="Style20"/>
              <w:keepNext w:val="0"/>
              <w:keepLines w:val="0"/>
              <w:framePr w:w="9581" w:h="10051" w:vSpace="322" w:wrap="notBeside" w:vAnchor="text" w:hAnchor="text" w:x="104" w:y="323"/>
              <w:widowControl w:val="0"/>
              <w:shd w:val="clear" w:color="auto" w:fill="auto"/>
              <w:bidi w:val="0"/>
              <w:spacing w:before="0" w:after="0" w:line="319" w:lineRule="exact"/>
              <w:ind w:left="0" w:right="0" w:firstLine="0"/>
              <w:jc w:val="left"/>
            </w:pPr>
            <w:r>
              <w:rPr>
                <w:color w:val="000000"/>
                <w:spacing w:val="0"/>
                <w:w w:val="100"/>
                <w:position w:val="0"/>
              </w:rPr>
              <w:t>是。经第二届董事会第二十九次会议审议通过，</w:t>
            </w:r>
            <w:r>
              <w:rPr>
                <w:rFonts w:ascii="Times New Roman" w:eastAsia="Times New Roman" w:hAnsi="Times New Roman" w:cs="Times New Roman"/>
                <w:color w:val="000000"/>
                <w:spacing w:val="0"/>
                <w:w w:val="100"/>
                <w:position w:val="0"/>
              </w:rPr>
              <w:t>2017</w:t>
            </w:r>
            <w:r>
              <w:rPr>
                <w:color w:val="000000"/>
                <w:spacing w:val="0"/>
                <w:w w:val="100"/>
                <w:position w:val="0"/>
              </w:rPr>
              <w:t>年公司及控股子公司拟使用 不超过人民币</w:t>
            </w:r>
            <w:r>
              <w:rPr>
                <w:rFonts w:ascii="Times New Roman" w:eastAsia="Times New Roman" w:hAnsi="Times New Roman" w:cs="Times New Roman"/>
                <w:color w:val="000000"/>
                <w:spacing w:val="0"/>
                <w:w w:val="100"/>
                <w:position w:val="0"/>
              </w:rPr>
              <w:t>100,000</w:t>
            </w:r>
            <w:r>
              <w:rPr>
                <w:color w:val="000000"/>
                <w:spacing w:val="0"/>
                <w:w w:val="100"/>
                <w:position w:val="0"/>
              </w:rPr>
              <w:t>万元自有闲置资金进行投资理财。该议案尚需公司</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年度股东大会批准。</w:t>
            </w:r>
          </w:p>
        </w:tc>
      </w:tr>
    </w:tbl>
    <w:p>
      <w:pPr>
        <w:pStyle w:val="Style26"/>
        <w:keepNext w:val="0"/>
        <w:keepLines w:val="0"/>
        <w:framePr w:w="1085" w:h="259" w:hSpace="103" w:wrap="notBeside" w:vAnchor="text" w:hAnchor="text" w:x="8581" w:y="1"/>
        <w:widowControl w:val="0"/>
        <w:shd w:val="clear" w:color="auto" w:fill="auto"/>
        <w:bidi w:val="0"/>
        <w:spacing w:before="0" w:after="0" w:line="240" w:lineRule="auto"/>
        <w:ind w:left="0" w:right="0" w:firstLine="0"/>
        <w:jc w:val="left"/>
      </w:pPr>
      <w:r>
        <w:rPr>
          <w:color w:val="000000"/>
          <w:spacing w:val="0"/>
          <w:w w:val="100"/>
          <w:position w:val="0"/>
        </w:rPr>
        <w:t>单位：万元</w:t>
      </w:r>
    </w:p>
    <w:p>
      <w:pPr>
        <w:pStyle w:val="Style26"/>
        <w:keepNext w:val="0"/>
        <w:keepLines w:val="0"/>
        <w:framePr w:w="1642" w:h="298" w:hSpace="103" w:wrap="notBeside" w:vAnchor="text" w:hAnchor="text" w:x="8000" w:y="1068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widowControl w:val="0"/>
        <w:spacing w:line="1" w:lineRule="exact"/>
      </w:pPr>
    </w:p>
    <w:p>
      <w:pPr>
        <w:pStyle w:val="Style33"/>
        <w:keepNext w:val="0"/>
        <w:keepLines w:val="0"/>
        <w:widowControl w:val="0"/>
        <w:shd w:val="clear" w:color="auto" w:fill="auto"/>
        <w:bidi w:val="0"/>
        <w:spacing w:before="0" w:after="0" w:line="240" w:lineRule="auto"/>
        <w:ind w:left="6460" w:right="0" w:firstLine="0"/>
        <w:jc w:val="left"/>
      </w:pPr>
      <w:r>
        <mc:AlternateContent>
          <mc:Choice Requires="wps">
            <w:drawing>
              <wp:anchor distT="0" distB="0" distL="114300" distR="114300" simplePos="0" relativeHeight="125829420" behindDoc="0" locked="0" layoutInCell="1" allowOverlap="1">
                <wp:simplePos x="0" y="0"/>
                <wp:positionH relativeFrom="page">
                  <wp:posOffset>720725</wp:posOffset>
                </wp:positionH>
                <wp:positionV relativeFrom="paragraph">
                  <wp:posOffset>12700</wp:posOffset>
                </wp:positionV>
                <wp:extent cx="1029970" cy="170815"/>
                <wp:wrapSquare wrapText="bothSides"/>
                <wp:docPr id="106" name="Shape 106"/>
                <a:graphic xmlns:a="http://schemas.openxmlformats.org/drawingml/2006/main">
                  <a:graphicData uri="http://schemas.microsoft.com/office/word/2010/wordprocessingShape">
                    <wps:wsp>
                      <wps:cNvSpPr txBox="1"/>
                      <wps:spPr>
                        <a:xfrm>
                          <a:ext cx="1029970" cy="17081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bookmarkStart w:id="393" w:name="bookmark393"/>
                            <w:r>
                              <w:rPr>
                                <w:rFonts w:ascii="Times New Roman" w:eastAsia="Times New Roman" w:hAnsi="Times New Roman" w:cs="Times New Roman"/>
                                <w:b/>
                                <w:bCs/>
                                <w:color w:val="000000"/>
                                <w:spacing w:val="0"/>
                                <w:w w:val="100"/>
                                <w:position w:val="0"/>
                              </w:rPr>
                              <w:t>4</w:t>
                            </w:r>
                            <w:r>
                              <w:rPr>
                                <w:b/>
                                <w:bCs/>
                                <w:color w:val="000000"/>
                                <w:spacing w:val="0"/>
                                <w:w w:val="100"/>
                                <w:position w:val="0"/>
                              </w:rPr>
                              <w:t>、其他重大合同</w:t>
                            </w:r>
                            <w:bookmarkEnd w:id="393"/>
                          </w:p>
                        </w:txbxContent>
                      </wps:txbx>
                      <wps:bodyPr wrap="none" lIns="0" tIns="0" rIns="0" bIns="0">
                        <a:noAutoFit/>
                      </wps:bodyPr>
                    </wps:wsp>
                  </a:graphicData>
                </a:graphic>
              </wp:anchor>
            </w:drawing>
          </mc:Choice>
          <mc:Fallback>
            <w:pict>
              <v:shape id="_x0000_s1132" type="#_x0000_t202" style="position:absolute;margin-left:56.75pt;margin-top:1.pt;width:81.100000000000009pt;height:13.450000000000001pt;z-index:-125829333;mso-wrap-distance-left:9.pt;mso-wrap-distance-right:9.pt;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left"/>
                      </w:pPr>
                      <w:bookmarkStart w:id="393" w:name="bookmark393"/>
                      <w:r>
                        <w:rPr>
                          <w:rFonts w:ascii="Times New Roman" w:eastAsia="Times New Roman" w:hAnsi="Times New Roman" w:cs="Times New Roman"/>
                          <w:b/>
                          <w:bCs/>
                          <w:color w:val="000000"/>
                          <w:spacing w:val="0"/>
                          <w:w w:val="100"/>
                          <w:position w:val="0"/>
                        </w:rPr>
                        <w:t>4</w:t>
                      </w:r>
                      <w:r>
                        <w:rPr>
                          <w:b/>
                          <w:bCs/>
                          <w:color w:val="000000"/>
                          <w:spacing w:val="0"/>
                          <w:w w:val="100"/>
                          <w:position w:val="0"/>
                        </w:rPr>
                        <w:t>、其他重大合同</w:t>
                      </w:r>
                      <w:bookmarkEnd w:id="393"/>
                    </w:p>
                  </w:txbxContent>
                </v:textbox>
                <w10:wrap type="square" anchorx="page"/>
              </v:shape>
            </w:pict>
          </mc:Fallback>
        </mc:AlternateConten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3"/>
        <w:keepNext w:val="0"/>
        <w:keepLines w:val="0"/>
        <w:widowControl w:val="0"/>
        <w:shd w:val="clear" w:color="auto" w:fill="auto"/>
        <w:bidi w:val="0"/>
        <w:spacing w:before="0" w:after="360" w:line="316" w:lineRule="exact"/>
        <w:ind w:left="0" w:right="0" w:firstLine="440"/>
        <w:jc w:val="left"/>
      </w:pPr>
      <w:r>
        <w:rPr>
          <w:color w:val="000000"/>
          <w:spacing w:val="0"/>
          <w:w w:val="100"/>
          <w:position w:val="0"/>
        </w:rPr>
        <w:t>公司报告期不存在其他重大合同。</w:t>
      </w:r>
    </w:p>
    <w:p>
      <w:pPr>
        <w:pStyle w:val="Style23"/>
        <w:keepNext/>
        <w:keepLines/>
        <w:widowControl w:val="0"/>
        <w:shd w:val="clear" w:color="auto" w:fill="auto"/>
        <w:bidi w:val="0"/>
        <w:spacing w:before="0" w:after="280" w:line="240" w:lineRule="auto"/>
        <w:ind w:left="0" w:right="0" w:firstLine="0"/>
        <w:jc w:val="left"/>
        <w:rPr>
          <w:sz w:val="22"/>
          <w:szCs w:val="22"/>
        </w:rPr>
      </w:pPr>
      <w:bookmarkStart w:id="400" w:name="bookmark400"/>
      <w:bookmarkStart w:id="401" w:name="bookmark401"/>
      <w:bookmarkStart w:id="402" w:name="bookmark402"/>
      <w:r>
        <w:rPr>
          <w:b/>
          <w:bCs/>
          <w:color w:val="000000"/>
          <w:spacing w:val="0"/>
          <w:w w:val="100"/>
          <w:position w:val="0"/>
          <w:sz w:val="22"/>
          <w:szCs w:val="22"/>
        </w:rPr>
        <w:t>十八、社会责任情况</w:t>
      </w:r>
      <w:bookmarkEnd w:id="400"/>
      <w:bookmarkEnd w:id="401"/>
      <w:bookmarkEnd w:id="402"/>
    </w:p>
    <w:p>
      <w:pPr>
        <w:pStyle w:val="Style33"/>
        <w:keepNext w:val="0"/>
        <w:keepLines w:val="0"/>
        <w:widowControl w:val="0"/>
        <w:shd w:val="clear" w:color="auto" w:fill="auto"/>
        <w:tabs>
          <w:tab w:pos="7978" w:val="left"/>
        </w:tabs>
        <w:bidi w:val="0"/>
        <w:spacing w:before="0" w:after="280" w:line="316" w:lineRule="exact"/>
        <w:ind w:left="0" w:right="0" w:firstLine="0"/>
        <w:jc w:val="left"/>
      </w:pPr>
      <w:bookmarkStart w:id="403" w:name="bookmark403"/>
      <w:r>
        <w:rPr>
          <w:rFonts w:ascii="Times New Roman" w:eastAsia="Times New Roman" w:hAnsi="Times New Roman" w:cs="Times New Roman"/>
          <w:b/>
          <w:bCs/>
          <w:color w:val="000000"/>
          <w:spacing w:val="0"/>
          <w:w w:val="100"/>
          <w:position w:val="0"/>
        </w:rPr>
        <w:t>1</w:t>
      </w:r>
      <w:r>
        <w:rPr>
          <w:b/>
          <w:bCs/>
          <w:color w:val="000000"/>
          <w:spacing w:val="0"/>
          <w:w w:val="100"/>
          <w:position w:val="0"/>
        </w:rPr>
        <w:t>、履行精准扶贫社会责任情况</w:t>
        <w:tab/>
      </w: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403"/>
    </w:p>
    <w:p>
      <w:pPr>
        <w:pStyle w:val="Style47"/>
        <w:keepNext/>
        <w:keepLines/>
        <w:widowControl w:val="0"/>
        <w:shd w:val="clear" w:color="auto" w:fill="auto"/>
        <w:bidi w:val="0"/>
        <w:spacing w:before="0" w:after="280" w:line="316" w:lineRule="exact"/>
        <w:ind w:left="0" w:right="0" w:firstLine="0"/>
        <w:jc w:val="left"/>
      </w:pPr>
      <w:bookmarkStart w:id="404" w:name="bookmark404"/>
      <w:bookmarkStart w:id="405" w:name="bookmark405"/>
      <w:bookmarkStart w:id="406" w:name="bookmark406"/>
      <w:bookmarkStart w:id="407" w:name="bookmark407"/>
      <w:bookmarkStart w:id="408" w:name="bookmark408"/>
      <w:r>
        <w:rPr>
          <w:color w:val="000000"/>
          <w:spacing w:val="0"/>
          <w:w w:val="100"/>
          <w:position w:val="0"/>
        </w:rPr>
        <w:t>（</w:t>
      </w:r>
      <w:bookmarkEnd w:id="406"/>
      <w:r>
        <w:rPr>
          <w:rFonts w:ascii="Times New Roman" w:eastAsia="Times New Roman" w:hAnsi="Times New Roman" w:cs="Times New Roman"/>
          <w:color w:val="000000"/>
          <w:spacing w:val="0"/>
          <w:w w:val="100"/>
          <w:position w:val="0"/>
        </w:rPr>
        <w:t>1</w:t>
      </w:r>
      <w:r>
        <w:rPr>
          <w:color w:val="000000"/>
          <w:spacing w:val="0"/>
          <w:w w:val="100"/>
          <w:position w:val="0"/>
        </w:rPr>
        <w:t>）年度精准扶贫概要</w:t>
      </w:r>
      <w:bookmarkEnd w:id="404"/>
      <w:bookmarkEnd w:id="405"/>
      <w:bookmarkEnd w:id="407"/>
      <w:bookmarkEnd w:id="408"/>
    </w:p>
    <w:p>
      <w:pPr>
        <w:pStyle w:val="Style33"/>
        <w:keepNext w:val="0"/>
        <w:keepLines w:val="0"/>
        <w:widowControl w:val="0"/>
        <w:shd w:val="clear" w:color="auto" w:fill="auto"/>
        <w:tabs>
          <w:tab w:pos="776" w:val="left"/>
        </w:tabs>
        <w:bidi w:val="0"/>
        <w:spacing w:before="0" w:after="0" w:line="316" w:lineRule="exact"/>
        <w:ind w:left="0" w:right="0" w:firstLine="440"/>
        <w:jc w:val="left"/>
      </w:pPr>
      <w:bookmarkStart w:id="409" w:name="bookmark409"/>
      <w:bookmarkStart w:id="410" w:name="bookmark410"/>
      <w:r>
        <w:rPr>
          <w:rFonts w:ascii="Times New Roman" w:eastAsia="Times New Roman" w:hAnsi="Times New Roman" w:cs="Times New Roman"/>
          <w:color w:val="000000"/>
          <w:spacing w:val="0"/>
          <w:w w:val="100"/>
          <w:position w:val="0"/>
        </w:rPr>
        <w:t>a</w:t>
      </w:r>
      <w:bookmarkEnd w:id="409"/>
      <w:r>
        <w:rPr>
          <w:color w:val="000000"/>
          <w:spacing w:val="0"/>
          <w:w w:val="100"/>
          <w:position w:val="0"/>
        </w:rPr>
        <w:t>、</w:t>
        <w:tab/>
      </w:r>
      <w:r>
        <w:rPr>
          <w:color w:val="000000"/>
          <w:spacing w:val="0"/>
          <w:w w:val="100"/>
          <w:position w:val="0"/>
        </w:rPr>
        <w:t>子公司国盛证券积极推荐国家级贫困县江西省寻乌县企业恒源科技新三板挂牌，</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日恒 源科技正式挂牌新三板。截至报告期末，国盛证券已为恒源科技融资</w:t>
      </w:r>
      <w:r>
        <w:rPr>
          <w:rFonts w:ascii="Times New Roman" w:eastAsia="Times New Roman" w:hAnsi="Times New Roman" w:cs="Times New Roman"/>
          <w:color w:val="000000"/>
          <w:spacing w:val="0"/>
          <w:w w:val="100"/>
          <w:position w:val="0"/>
        </w:rPr>
        <w:t>1560</w:t>
      </w:r>
      <w:r>
        <w:rPr>
          <w:color w:val="000000"/>
          <w:spacing w:val="0"/>
          <w:w w:val="100"/>
          <w:position w:val="0"/>
        </w:rPr>
        <w:t>万元。</w:t>
      </w:r>
      <w:bookmarkEnd w:id="410"/>
    </w:p>
    <w:p>
      <w:pPr>
        <w:pStyle w:val="Style33"/>
        <w:keepNext w:val="0"/>
        <w:keepLines w:val="0"/>
        <w:widowControl w:val="0"/>
        <w:shd w:val="clear" w:color="auto" w:fill="auto"/>
        <w:tabs>
          <w:tab w:pos="790" w:val="left"/>
        </w:tabs>
        <w:bidi w:val="0"/>
        <w:spacing w:before="0" w:after="0" w:line="316" w:lineRule="exact"/>
        <w:ind w:left="0" w:right="0" w:firstLine="440"/>
        <w:jc w:val="left"/>
      </w:pPr>
      <w:bookmarkStart w:id="411" w:name="bookmark411"/>
      <w:r>
        <w:rPr>
          <w:rFonts w:ascii="Times New Roman" w:eastAsia="Times New Roman" w:hAnsi="Times New Roman" w:cs="Times New Roman"/>
          <w:color w:val="000000"/>
          <w:spacing w:val="0"/>
          <w:w w:val="100"/>
          <w:position w:val="0"/>
        </w:rPr>
        <w:t>b</w:t>
      </w:r>
      <w:bookmarkEnd w:id="411"/>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月，子公司国盛证券帮助江西省寻乌县果农销售农产品，项目金额</w:t>
      </w:r>
      <w:r>
        <w:rPr>
          <w:rFonts w:ascii="Times New Roman" w:eastAsia="Times New Roman" w:hAnsi="Times New Roman" w:cs="Times New Roman"/>
          <w:color w:val="000000"/>
          <w:spacing w:val="0"/>
          <w:w w:val="100"/>
          <w:position w:val="0"/>
        </w:rPr>
        <w:t>7.56</w:t>
      </w:r>
      <w:r>
        <w:rPr>
          <w:color w:val="000000"/>
          <w:spacing w:val="0"/>
          <w:w w:val="100"/>
          <w:position w:val="0"/>
        </w:rPr>
        <w:t>万元。</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0，</w:t>
      </w:r>
      <w:r>
        <w:rPr>
          <w:color w:val="000000"/>
          <w:spacing w:val="0"/>
          <w:w w:val="100"/>
          <w:position w:val="0"/>
        </w:rPr>
        <w:t>国盛证券与江西省寻乌县、横峰县分别签订了《结对帮扶战略合作协议》，通过结对帮扶对接帮 扶县的产业发展和金融需求，着力促进帮扶县的经济社会发展。</w:t>
      </w:r>
    </w:p>
    <w:p>
      <w:pPr>
        <w:pStyle w:val="Style33"/>
        <w:keepNext w:val="0"/>
        <w:keepLines w:val="0"/>
        <w:widowControl w:val="0"/>
        <w:shd w:val="clear" w:color="auto" w:fill="auto"/>
        <w:tabs>
          <w:tab w:pos="795" w:val="left"/>
        </w:tabs>
        <w:bidi w:val="0"/>
        <w:spacing w:before="0" w:after="360" w:line="316" w:lineRule="exact"/>
        <w:ind w:left="0" w:right="0" w:firstLine="440"/>
        <w:jc w:val="left"/>
      </w:pPr>
      <w:bookmarkStart w:id="412" w:name="bookmark412"/>
      <w:r>
        <w:rPr>
          <w:rFonts w:ascii="Times New Roman" w:eastAsia="Times New Roman" w:hAnsi="Times New Roman" w:cs="Times New Roman"/>
          <w:color w:val="000000"/>
          <w:spacing w:val="0"/>
          <w:w w:val="100"/>
          <w:position w:val="0"/>
        </w:rPr>
        <w:t>c</w:t>
      </w:r>
      <w:bookmarkEnd w:id="412"/>
      <w:r>
        <w:rPr>
          <w:color w:val="000000"/>
          <w:spacing w:val="0"/>
          <w:w w:val="100"/>
          <w:position w:val="0"/>
        </w:rPr>
        <w:t>、</w:t>
        <w:tab/>
      </w:r>
      <w:r>
        <w:rPr>
          <w:color w:val="000000"/>
          <w:spacing w:val="0"/>
          <w:w w:val="100"/>
          <w:position w:val="0"/>
        </w:rPr>
        <w:t>国盛证券通过下属全钰投资募集并设立规模不超过</w:t>
      </w:r>
      <w:r>
        <w:rPr>
          <w:rFonts w:ascii="Times New Roman" w:eastAsia="Times New Roman" w:hAnsi="Times New Roman" w:cs="Times New Roman"/>
          <w:color w:val="000000"/>
          <w:spacing w:val="0"/>
          <w:w w:val="100"/>
          <w:position w:val="0"/>
        </w:rPr>
        <w:t>11</w:t>
      </w:r>
      <w:r>
        <w:rPr>
          <w:color w:val="000000"/>
          <w:spacing w:val="0"/>
          <w:w w:val="100"/>
          <w:position w:val="0"/>
        </w:rPr>
        <w:t>亿元人民币（首期已成立规模</w:t>
      </w:r>
      <w:r>
        <w:rPr>
          <w:rFonts w:ascii="Times New Roman" w:eastAsia="Times New Roman" w:hAnsi="Times New Roman" w:cs="Times New Roman"/>
          <w:color w:val="000000"/>
          <w:spacing w:val="0"/>
          <w:w w:val="100"/>
          <w:position w:val="0"/>
        </w:rPr>
        <w:t>5.5</w:t>
      </w:r>
      <w:r>
        <w:rPr>
          <w:color w:val="000000"/>
          <w:spacing w:val="0"/>
          <w:w w:val="100"/>
          <w:position w:val="0"/>
        </w:rPr>
        <w:t>亿元人民币）、 存续期</w:t>
      </w:r>
      <w:r>
        <w:rPr>
          <w:rFonts w:ascii="Times New Roman" w:eastAsia="Times New Roman" w:hAnsi="Times New Roman" w:cs="Times New Roman"/>
          <w:color w:val="000000"/>
          <w:spacing w:val="0"/>
          <w:w w:val="100"/>
          <w:position w:val="0"/>
        </w:rPr>
        <w:t>7</w:t>
      </w:r>
      <w:r>
        <w:rPr>
          <w:color w:val="000000"/>
          <w:spacing w:val="0"/>
          <w:w w:val="100"/>
          <w:position w:val="0"/>
        </w:rPr>
        <w:t>年的江西振兴发展（于都产业）基金，并依托政府有关的扶贫政策导向，将基金用于股权投资于 都县当地服饰服装产业等项目，支持贫困地区产业发展，帮助贫困群众稳定脱贫。</w:t>
      </w:r>
    </w:p>
    <w:p>
      <w:pPr>
        <w:pStyle w:val="Style26"/>
        <w:keepNext w:val="0"/>
        <w:keepLines w:val="0"/>
        <w:widowControl w:val="0"/>
        <w:shd w:val="clear" w:color="auto" w:fill="auto"/>
        <w:bidi w:val="0"/>
        <w:spacing w:before="0" w:after="0" w:line="240" w:lineRule="auto"/>
        <w:ind w:left="96" w:right="0" w:firstLine="0"/>
        <w:jc w:val="left"/>
      </w:pPr>
      <w:bookmarkStart w:id="413" w:name="bookmark413"/>
      <w:r>
        <w:rPr>
          <w:rFonts w:ascii="Times New Roman" w:eastAsia="Times New Roman" w:hAnsi="Times New Roman" w:cs="Times New Roman"/>
          <w:b/>
          <w:bCs/>
          <w:color w:val="000000"/>
          <w:spacing w:val="0"/>
          <w:w w:val="100"/>
          <w:position w:val="0"/>
        </w:rPr>
        <w:t>（2</w:t>
      </w:r>
      <w:r>
        <w:rPr>
          <w:b/>
          <w:bCs/>
          <w:color w:val="000000"/>
          <w:spacing w:val="0"/>
          <w:w w:val="100"/>
          <w:position w:val="0"/>
        </w:rPr>
        <w:t>）上市公司年度精准扶贫工作情况</w:t>
      </w:r>
      <w:bookmarkEnd w:id="413"/>
    </w:p>
    <w:tbl>
      <w:tblPr>
        <w:tblOverlap w:val="never"/>
        <w:jc w:val="center"/>
        <w:tblLayout w:type="fixed"/>
      </w:tblPr>
      <w:tblGrid>
        <w:gridCol w:w="3974"/>
        <w:gridCol w:w="1085"/>
        <w:gridCol w:w="452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计量单位</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r>
              <w:rPr>
                <w:rFonts w:ascii="Times New Roman" w:eastAsia="Times New Roman" w:hAnsi="Times New Roman" w:cs="Times New Roman"/>
                <w:color w:val="000000"/>
                <w:spacing w:val="0"/>
                <w:w w:val="100"/>
                <w:position w:val="0"/>
              </w:rPr>
              <w:t>/</w:t>
            </w:r>
            <w:r>
              <w:rPr>
                <w:color w:val="000000"/>
                <w:spacing w:val="0"/>
                <w:w w:val="100"/>
                <w:position w:val="0"/>
              </w:rPr>
              <w:t>开展情况</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一、总体情况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二、分项投入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w:t>
            </w:r>
            <w:r>
              <w:rPr>
                <w:color w:val="000000"/>
                <w:spacing w:val="0"/>
                <w:w w:val="100"/>
                <w:position w:val="0"/>
              </w:rPr>
              <w:t>产业发展脱贫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产业发展脱贫项目个数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1.3</w:t>
            </w:r>
            <w:r>
              <w:rPr>
                <w:color w:val="000000"/>
                <w:spacing w:val="0"/>
                <w:w w:val="100"/>
                <w:position w:val="0"/>
              </w:rPr>
              <w:t>产业发展脱贫项目投入金额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55,007.56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w:t>
            </w:r>
            <w:r>
              <w:rPr>
                <w:color w:val="000000"/>
                <w:spacing w:val="0"/>
                <w:w w:val="100"/>
                <w:position w:val="0"/>
              </w:rPr>
              <w:t>转移就业脱贫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w:t>
            </w:r>
            <w:r>
              <w:rPr>
                <w:color w:val="000000"/>
                <w:spacing w:val="0"/>
                <w:w w:val="100"/>
                <w:position w:val="0"/>
              </w:rPr>
              <w:t>易地搬迁脱贫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w:t>
            </w:r>
            <w:r>
              <w:rPr>
                <w:color w:val="000000"/>
                <w:spacing w:val="0"/>
                <w:w w:val="100"/>
                <w:position w:val="0"/>
              </w:rPr>
              <w:t>教育脱贫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w:t>
            </w:r>
            <w:r>
              <w:rPr>
                <w:color w:val="000000"/>
                <w:spacing w:val="0"/>
                <w:w w:val="100"/>
                <w:position w:val="0"/>
              </w:rPr>
              <w:t>健康扶贫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w:t>
            </w:r>
            <w:r>
              <w:rPr>
                <w:color w:val="000000"/>
                <w:spacing w:val="0"/>
                <w:w w:val="100"/>
                <w:position w:val="0"/>
              </w:rPr>
              <w:t>生态保护扶贫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w:t>
            </w:r>
            <w:r>
              <w:rPr>
                <w:color w:val="000000"/>
                <w:spacing w:val="0"/>
                <w:w w:val="100"/>
                <w:position w:val="0"/>
              </w:rPr>
              <w:t>兜底保障</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w:t>
            </w:r>
            <w:r>
              <w:rPr>
                <w:color w:val="000000"/>
                <w:spacing w:val="0"/>
                <w:w w:val="100"/>
                <w:position w:val="0"/>
              </w:rPr>
              <w:t>社会扶贫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w:t>
            </w:r>
            <w:r>
              <w:rPr>
                <w:color w:val="000000"/>
                <w:spacing w:val="0"/>
                <w:w w:val="100"/>
                <w:position w:val="0"/>
              </w:rPr>
              <w:t>其他项目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tabs>
                <w:tab w:pos="1042" w:val="left"/>
              </w:tabs>
              <w:bidi w:val="0"/>
              <w:spacing w:before="0" w:after="0" w:line="240" w:lineRule="auto"/>
              <w:ind w:left="0" w:right="0" w:firstLine="0"/>
              <w:jc w:val="left"/>
            </w:pPr>
            <w:r>
              <w:rPr>
                <w:color w:val="000000"/>
                <w:spacing w:val="0"/>
                <w:w w:val="100"/>
                <w:position w:val="0"/>
              </w:rPr>
              <w:t>其中：</w:t>
              <w:tab/>
            </w:r>
            <w:r>
              <w:rPr>
                <w:rFonts w:ascii="Times New Roman" w:eastAsia="Times New Roman" w:hAnsi="Times New Roman" w:cs="Times New Roman"/>
                <w:color w:val="000000"/>
                <w:spacing w:val="0"/>
                <w:w w:val="100"/>
                <w:position w:val="0"/>
              </w:rPr>
              <w:t>9.1.</w:t>
            </w:r>
            <w:r>
              <w:rPr>
                <w:color w:val="000000"/>
                <w:spacing w:val="0"/>
                <w:w w:val="100"/>
                <w:position w:val="0"/>
              </w:rPr>
              <w:t>项目个数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9.2</w:t>
            </w:r>
            <w:r>
              <w:rPr>
                <w:rFonts w:ascii="Times New Roman" w:eastAsia="Times New Roman" w:hAnsi="Times New Roman" w:cs="Times New Roman"/>
                <w:color w:val="000000"/>
                <w:spacing w:val="0"/>
                <w:w w:val="100"/>
                <w:position w:val="0"/>
              </w:rPr>
              <w:t>.</w:t>
            </w:r>
            <w:r>
              <w:rPr>
                <w:color w:val="000000"/>
                <w:spacing w:val="0"/>
                <w:w w:val="100"/>
                <w:position w:val="0"/>
              </w:rPr>
              <w:t>投入金额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三、所获奖项（内容、级别）</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6"/>
        <w:keepNext w:val="0"/>
        <w:keepLines w:val="0"/>
        <w:widowControl w:val="0"/>
        <w:shd w:val="clear" w:color="auto" w:fill="auto"/>
        <w:bidi w:val="0"/>
        <w:spacing w:before="0" w:after="0" w:line="240" w:lineRule="auto"/>
        <w:ind w:left="96" w:right="0" w:firstLine="0"/>
        <w:jc w:val="left"/>
      </w:pPr>
      <w:bookmarkStart w:id="414" w:name="bookmark414"/>
      <w:r>
        <w:rPr>
          <w:b/>
          <w:bCs/>
          <w:color w:val="000000"/>
          <w:spacing w:val="0"/>
          <w:w w:val="100"/>
          <w:position w:val="0"/>
        </w:rPr>
        <w:t>（</w:t>
      </w:r>
      <w:r>
        <w:rPr>
          <w:rFonts w:ascii="Times New Roman" w:eastAsia="Times New Roman" w:hAnsi="Times New Roman" w:cs="Times New Roman"/>
          <w:b/>
          <w:bCs/>
          <w:color w:val="000000"/>
          <w:spacing w:val="0"/>
          <w:w w:val="100"/>
          <w:position w:val="0"/>
        </w:rPr>
        <w:t>3</w:t>
      </w:r>
      <w:r>
        <w:rPr>
          <w:b/>
          <w:bCs/>
          <w:color w:val="000000"/>
          <w:spacing w:val="0"/>
          <w:w w:val="100"/>
          <w:position w:val="0"/>
        </w:rPr>
        <w:t>）后续精准扶贫计划</w:t>
      </w:r>
      <w:bookmarkEnd w:id="414"/>
    </w:p>
    <w:p>
      <w:pPr>
        <w:widowControl w:val="0"/>
        <w:spacing w:after="359" w:line="1" w:lineRule="exact"/>
      </w:pPr>
    </w:p>
    <w:p>
      <w:pPr>
        <w:pStyle w:val="Style33"/>
        <w:keepNext w:val="0"/>
        <w:keepLines w:val="0"/>
        <w:widowControl w:val="0"/>
        <w:shd w:val="clear" w:color="auto" w:fill="auto"/>
        <w:bidi w:val="0"/>
        <w:spacing w:before="0" w:after="280" w:line="240" w:lineRule="auto"/>
        <w:ind w:left="0" w:right="0" w:firstLine="440"/>
        <w:jc w:val="left"/>
      </w:pP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国盛证券将继续为培育壮大恒源科技提供支持，持续关注并指导恒源科技在主板上市。</w:t>
      </w:r>
    </w:p>
    <w:p>
      <w:pPr>
        <w:pStyle w:val="Style33"/>
        <w:keepNext w:val="0"/>
        <w:keepLines w:val="0"/>
        <w:widowControl w:val="0"/>
        <w:shd w:val="clear" w:color="auto" w:fill="auto"/>
        <w:bidi w:val="0"/>
        <w:spacing w:before="0" w:after="280" w:line="314" w:lineRule="exact"/>
        <w:ind w:left="0" w:right="0" w:firstLine="440"/>
        <w:jc w:val="both"/>
      </w:pPr>
      <w:r>
        <w:rPr>
          <w:rFonts w:ascii="Times New Roman" w:eastAsia="Times New Roman" w:hAnsi="Times New Roman" w:cs="Times New Roman"/>
          <w:color w:val="000000"/>
          <w:spacing w:val="0"/>
          <w:w w:val="100"/>
          <w:position w:val="0"/>
        </w:rPr>
        <w:t>b</w:t>
      </w:r>
      <w:r>
        <w:rPr>
          <w:color w:val="000000"/>
          <w:spacing w:val="0"/>
          <w:w w:val="100"/>
          <w:position w:val="0"/>
        </w:rPr>
        <w:t>、</w:t>
      </w:r>
      <w:r>
        <w:rPr>
          <w:color w:val="000000"/>
          <w:spacing w:val="0"/>
          <w:w w:val="100"/>
          <w:position w:val="0"/>
        </w:rPr>
        <w:t>上海全钰募集并设立规模不超过</w:t>
      </w:r>
      <w:r>
        <w:rPr>
          <w:rFonts w:ascii="Times New Roman" w:eastAsia="Times New Roman" w:hAnsi="Times New Roman" w:cs="Times New Roman"/>
          <w:color w:val="000000"/>
          <w:spacing w:val="0"/>
          <w:w w:val="100"/>
          <w:position w:val="0"/>
        </w:rPr>
        <w:t>11</w:t>
      </w:r>
      <w:r>
        <w:rPr>
          <w:color w:val="000000"/>
          <w:spacing w:val="0"/>
          <w:w w:val="100"/>
          <w:position w:val="0"/>
        </w:rPr>
        <w:t>亿元人民币（首期已成立规模</w:t>
      </w:r>
      <w:r>
        <w:rPr>
          <w:rFonts w:ascii="Times New Roman" w:eastAsia="Times New Roman" w:hAnsi="Times New Roman" w:cs="Times New Roman"/>
          <w:color w:val="000000"/>
          <w:spacing w:val="0"/>
          <w:w w:val="100"/>
          <w:position w:val="0"/>
        </w:rPr>
        <w:t>5.5</w:t>
      </w:r>
      <w:r>
        <w:rPr>
          <w:color w:val="000000"/>
          <w:spacing w:val="0"/>
          <w:w w:val="100"/>
          <w:position w:val="0"/>
        </w:rPr>
        <w:t>亿元人民币），存续期</w:t>
      </w:r>
      <w:r>
        <w:rPr>
          <w:rFonts w:ascii="Times New Roman" w:eastAsia="Times New Roman" w:hAnsi="Times New Roman" w:cs="Times New Roman"/>
          <w:color w:val="000000"/>
          <w:spacing w:val="0"/>
          <w:w w:val="100"/>
          <w:position w:val="0"/>
        </w:rPr>
        <w:t>7</w:t>
      </w:r>
      <w:r>
        <w:rPr>
          <w:color w:val="000000"/>
          <w:spacing w:val="0"/>
          <w:w w:val="100"/>
          <w:position w:val="0"/>
        </w:rPr>
        <w:t>年的江 西振兴发展（于都产业）基金，后续将根据并依托政府有关的扶贫政策导向及资金需求，将剩余</w:t>
      </w:r>
      <w:r>
        <w:rPr>
          <w:rFonts w:ascii="Times New Roman" w:eastAsia="Times New Roman" w:hAnsi="Times New Roman" w:cs="Times New Roman"/>
          <w:color w:val="000000"/>
          <w:spacing w:val="0"/>
          <w:w w:val="100"/>
          <w:position w:val="0"/>
        </w:rPr>
        <w:t>5.5</w:t>
      </w:r>
      <w:r>
        <w:rPr>
          <w:color w:val="000000"/>
          <w:spacing w:val="0"/>
          <w:w w:val="100"/>
          <w:position w:val="0"/>
        </w:rPr>
        <w:t>亿元振 兴发展产业基金募集成立并发放到位，同时扩大扶贫区域。</w:t>
      </w:r>
    </w:p>
    <w:p>
      <w:pPr>
        <w:pStyle w:val="Style30"/>
        <w:keepNext/>
        <w:keepLines/>
        <w:widowControl w:val="0"/>
        <w:shd w:val="clear" w:color="auto" w:fill="auto"/>
        <w:bidi w:val="0"/>
        <w:spacing w:before="0" w:after="280" w:line="311" w:lineRule="exact"/>
        <w:ind w:left="0" w:right="0" w:firstLine="0"/>
        <w:jc w:val="left"/>
      </w:pPr>
      <w:bookmarkStart w:id="415" w:name="bookmark415"/>
      <w:bookmarkStart w:id="416" w:name="bookmark416"/>
      <w:bookmarkStart w:id="417" w:name="bookmark417"/>
      <w:bookmarkStart w:id="418" w:name="bookmark418"/>
      <w:r>
        <w:rPr>
          <w:rFonts w:ascii="Times New Roman" w:eastAsia="Times New Roman" w:hAnsi="Times New Roman" w:cs="Times New Roman"/>
          <w:color w:val="000000"/>
          <w:spacing w:val="0"/>
          <w:w w:val="100"/>
          <w:position w:val="0"/>
        </w:rPr>
        <w:t>2</w:t>
      </w:r>
      <w:bookmarkEnd w:id="417"/>
      <w:r>
        <w:rPr>
          <w:color w:val="000000"/>
          <w:spacing w:val="0"/>
          <w:w w:val="100"/>
          <w:position w:val="0"/>
        </w:rPr>
        <w:t>、履行其他社会责任的情况</w:t>
      </w:r>
      <w:bookmarkEnd w:id="415"/>
      <w:bookmarkEnd w:id="416"/>
      <w:bookmarkEnd w:id="418"/>
    </w:p>
    <w:p>
      <w:pPr>
        <w:pStyle w:val="Style33"/>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公司高度重视并积极主动履行社会责任，切实维护利益相关方的合法权益。</w:t>
      </w:r>
    </w:p>
    <w:p>
      <w:pPr>
        <w:pStyle w:val="Style33"/>
        <w:keepNext w:val="0"/>
        <w:keepLines w:val="0"/>
        <w:widowControl w:val="0"/>
        <w:shd w:val="clear" w:color="auto" w:fill="auto"/>
        <w:tabs>
          <w:tab w:pos="928" w:val="left"/>
        </w:tabs>
        <w:bidi w:val="0"/>
        <w:spacing w:before="0" w:after="0" w:line="312" w:lineRule="exact"/>
        <w:ind w:left="0" w:right="0" w:firstLine="440"/>
        <w:jc w:val="both"/>
      </w:pPr>
      <w:bookmarkStart w:id="419" w:name="bookmark419"/>
      <w:r>
        <w:rPr>
          <w:color w:val="000000"/>
          <w:spacing w:val="0"/>
          <w:w w:val="100"/>
          <w:position w:val="0"/>
        </w:rPr>
        <w:t>（</w:t>
      </w:r>
      <w:bookmarkEnd w:id="419"/>
      <w:r>
        <w:rPr>
          <w:color w:val="000000"/>
          <w:spacing w:val="0"/>
          <w:w w:val="100"/>
          <w:position w:val="0"/>
        </w:rPr>
        <w:t>1）</w:t>
        <w:tab/>
      </w:r>
      <w:r>
        <w:rPr>
          <w:color w:val="000000"/>
          <w:spacing w:val="0"/>
          <w:w w:val="100"/>
          <w:position w:val="0"/>
        </w:rPr>
        <w:t>股东和债权人权益保护</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公司建立了较为完善的制度体系和法人治理结构，及时披露定期报告、临时报告及其他重大事项，通 过股东大会、业绩说明会、投资者关系网站、投资者服务专线电话等方式积极与投资者沟通交流。</w:t>
      </w:r>
    </w:p>
    <w:p>
      <w:pPr>
        <w:pStyle w:val="Style33"/>
        <w:keepNext w:val="0"/>
        <w:keepLines w:val="0"/>
        <w:widowControl w:val="0"/>
        <w:shd w:val="clear" w:color="auto" w:fill="auto"/>
        <w:tabs>
          <w:tab w:pos="928" w:val="left"/>
        </w:tabs>
        <w:bidi w:val="0"/>
        <w:spacing w:before="0" w:after="0" w:line="311" w:lineRule="exact"/>
        <w:ind w:left="0" w:right="0" w:firstLine="440"/>
        <w:jc w:val="both"/>
      </w:pPr>
      <w:bookmarkStart w:id="420" w:name="bookmark420"/>
      <w:r>
        <w:rPr>
          <w:color w:val="000000"/>
          <w:spacing w:val="0"/>
          <w:w w:val="100"/>
          <w:position w:val="0"/>
        </w:rPr>
        <w:t>（</w:t>
      </w:r>
      <w:bookmarkEnd w:id="420"/>
      <w:r>
        <w:rPr>
          <w:color w:val="000000"/>
          <w:spacing w:val="0"/>
          <w:w w:val="100"/>
          <w:position w:val="0"/>
        </w:rPr>
        <w:t>2）</w:t>
        <w:tab/>
      </w:r>
      <w:r>
        <w:rPr>
          <w:color w:val="000000"/>
          <w:spacing w:val="0"/>
          <w:w w:val="100"/>
          <w:position w:val="0"/>
        </w:rPr>
        <w:t>职工权益保护</w:t>
      </w:r>
    </w:p>
    <w:p>
      <w:pPr>
        <w:pStyle w:val="Style33"/>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公司始终把维护全体员工的利益作为工作重点，切实提升员工自身价值，培养员工凝聚力。公司建立 了合理的薪酬体制，并积极稳妥地推进职工薪酬制度改革；建立了符合岗位工作需求和突出岗位工作业绩 的职工基本工资制度和绩效考核制度，客观、公正地评价员工工作能力、工作态度和取得的工作业绩，有 效激发员工工作积极性。公司注重企业文化建设，开展节日庆祝、参观学习、体育竞赛、关爱健康、慈善 捐赠等丰富多彩的活动，提高员工参与度和归属感。</w:t>
      </w:r>
    </w:p>
    <w:p>
      <w:pPr>
        <w:pStyle w:val="Style33"/>
        <w:keepNext w:val="0"/>
        <w:keepLines w:val="0"/>
        <w:widowControl w:val="0"/>
        <w:shd w:val="clear" w:color="auto" w:fill="auto"/>
        <w:tabs>
          <w:tab w:pos="928" w:val="left"/>
        </w:tabs>
        <w:bidi w:val="0"/>
        <w:spacing w:before="0" w:after="0" w:line="311" w:lineRule="exact"/>
        <w:ind w:left="0" w:right="0" w:firstLine="440"/>
        <w:jc w:val="both"/>
      </w:pPr>
      <w:bookmarkStart w:id="421" w:name="bookmark421"/>
      <w:r>
        <w:rPr>
          <w:color w:val="000000"/>
          <w:spacing w:val="0"/>
          <w:w w:val="100"/>
          <w:position w:val="0"/>
        </w:rPr>
        <w:t>（</w:t>
      </w:r>
      <w:bookmarkEnd w:id="421"/>
      <w:r>
        <w:rPr>
          <w:color w:val="000000"/>
          <w:spacing w:val="0"/>
          <w:w w:val="100"/>
          <w:position w:val="0"/>
        </w:rPr>
        <w:t>3）</w:t>
        <w:tab/>
      </w:r>
      <w:r>
        <w:rPr>
          <w:color w:val="000000"/>
          <w:spacing w:val="0"/>
          <w:w w:val="100"/>
          <w:position w:val="0"/>
        </w:rPr>
        <w:t>供应商、客户和消费者权益保护</w:t>
      </w:r>
    </w:p>
    <w:p>
      <w:pPr>
        <w:pStyle w:val="Style33"/>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公司重视与客户的共赢关系，恪守诚信，致力于为客户提供满意的服务和安全可靠、节能环保的产品。 公司不仅将采购及供应链管理作为企业日常运营的重要工作，同时将供应商作为战略伙伴，将协助供应商 发展视为培育外部资源。公司及子公司通过逐步提升的金融服务能力、严格的质量标准和全方位的质量控 制措施，为客户提供满意的服务和优质安全的产品。</w:t>
      </w:r>
    </w:p>
    <w:p>
      <w:pPr>
        <w:pStyle w:val="Style33"/>
        <w:keepNext w:val="0"/>
        <w:keepLines w:val="0"/>
        <w:widowControl w:val="0"/>
        <w:shd w:val="clear" w:color="auto" w:fill="auto"/>
        <w:tabs>
          <w:tab w:pos="928" w:val="left"/>
        </w:tabs>
        <w:bidi w:val="0"/>
        <w:spacing w:before="0" w:after="0" w:line="311" w:lineRule="exact"/>
        <w:ind w:left="0" w:right="0" w:firstLine="440"/>
        <w:jc w:val="both"/>
      </w:pPr>
      <w:bookmarkStart w:id="422" w:name="bookmark422"/>
      <w:r>
        <w:rPr>
          <w:color w:val="000000"/>
          <w:spacing w:val="0"/>
          <w:w w:val="100"/>
          <w:position w:val="0"/>
        </w:rPr>
        <w:t>（</w:t>
      </w:r>
      <w:bookmarkEnd w:id="422"/>
      <w:r>
        <w:rPr>
          <w:color w:val="000000"/>
          <w:spacing w:val="0"/>
          <w:w w:val="100"/>
          <w:position w:val="0"/>
        </w:rPr>
        <w:t>4）</w:t>
        <w:tab/>
      </w:r>
      <w:r>
        <w:rPr>
          <w:color w:val="000000"/>
          <w:spacing w:val="0"/>
          <w:w w:val="100"/>
          <w:position w:val="0"/>
        </w:rPr>
        <w:t>注重环境保护与可持续性发展</w:t>
      </w:r>
    </w:p>
    <w:p>
      <w:pPr>
        <w:pStyle w:val="Style33"/>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公司注重对环境的保护，秉承对环境负责的态度进行生产运营，努力降低经营过程中的资源和能源消 耗。</w:t>
      </w:r>
    </w:p>
    <w:p>
      <w:pPr>
        <w:pStyle w:val="Style33"/>
        <w:keepNext w:val="0"/>
        <w:keepLines w:val="0"/>
        <w:widowControl w:val="0"/>
        <w:shd w:val="clear" w:color="auto" w:fill="auto"/>
        <w:tabs>
          <w:tab w:pos="928" w:val="left"/>
        </w:tabs>
        <w:bidi w:val="0"/>
        <w:spacing w:before="0" w:after="0" w:line="311" w:lineRule="exact"/>
        <w:ind w:left="0" w:right="0" w:firstLine="440"/>
        <w:jc w:val="both"/>
      </w:pPr>
      <w:bookmarkStart w:id="423" w:name="bookmark423"/>
      <w:r>
        <w:rPr>
          <w:color w:val="000000"/>
          <w:spacing w:val="0"/>
          <w:w w:val="100"/>
          <w:position w:val="0"/>
        </w:rPr>
        <w:t>（</w:t>
      </w:r>
      <w:bookmarkEnd w:id="423"/>
      <w:r>
        <w:rPr>
          <w:color w:val="000000"/>
          <w:spacing w:val="0"/>
          <w:w w:val="100"/>
          <w:position w:val="0"/>
        </w:rPr>
        <w:t>5）</w:t>
        <w:tab/>
      </w:r>
      <w:r>
        <w:rPr>
          <w:color w:val="000000"/>
          <w:spacing w:val="0"/>
          <w:w w:val="100"/>
          <w:position w:val="0"/>
        </w:rPr>
        <w:t>支持社会公益事业发展</w:t>
      </w:r>
    </w:p>
    <w:p>
      <w:pPr>
        <w:pStyle w:val="Style33"/>
        <w:keepNext w:val="0"/>
        <w:keepLines w:val="0"/>
        <w:widowControl w:val="0"/>
        <w:shd w:val="clear" w:color="auto" w:fill="auto"/>
        <w:bidi w:val="0"/>
        <w:spacing w:before="0" w:after="60" w:line="311" w:lineRule="exact"/>
        <w:ind w:left="0" w:right="0" w:firstLine="440"/>
        <w:jc w:val="both"/>
      </w:pPr>
      <w:r>
        <w:rPr>
          <w:color w:val="000000"/>
          <w:spacing w:val="0"/>
          <w:w w:val="100"/>
          <w:position w:val="0"/>
        </w:rPr>
        <w:t>公司积极参与社会公益，努力回馈社会，致力推进教育事业发展，开展一系列捐资助学活动，先后向 南雄市</w:t>
      </w:r>
      <w:r>
        <w:rPr>
          <w:rFonts w:ascii="Times New Roman" w:eastAsia="Times New Roman" w:hAnsi="Times New Roman" w:cs="Times New Roman"/>
          <w:color w:val="000000"/>
          <w:spacing w:val="0"/>
          <w:w w:val="100"/>
          <w:position w:val="0"/>
        </w:rPr>
        <w:t>“</w:t>
      </w:r>
      <w:r>
        <w:rPr>
          <w:color w:val="000000"/>
          <w:spacing w:val="0"/>
          <w:w w:val="100"/>
          <w:position w:val="0"/>
        </w:rPr>
        <w:t>广东华声坪田中学</w:t>
      </w:r>
      <w:r>
        <w:rPr>
          <w:rFonts w:ascii="Times New Roman" w:eastAsia="Times New Roman" w:hAnsi="Times New Roman" w:cs="Times New Roman"/>
          <w:color w:val="000000"/>
          <w:spacing w:val="0"/>
          <w:w w:val="100"/>
          <w:position w:val="0"/>
        </w:rPr>
        <w:t>''</w:t>
      </w:r>
      <w:r>
        <w:rPr>
          <w:color w:val="000000"/>
          <w:spacing w:val="0"/>
          <w:w w:val="100"/>
          <w:position w:val="0"/>
        </w:rPr>
        <w:t>、广东省教育基金会、社区老人捐赠物资。</w:t>
      </w:r>
    </w:p>
    <w:p>
      <w:pPr>
        <w:pStyle w:val="Style33"/>
        <w:keepNext w:val="0"/>
        <w:keepLines w:val="0"/>
        <w:widowControl w:val="0"/>
        <w:shd w:val="clear" w:color="auto" w:fill="auto"/>
        <w:tabs>
          <w:tab w:pos="7654" w:val="left"/>
        </w:tabs>
        <w:bidi w:val="0"/>
        <w:spacing w:before="0" w:after="0" w:line="311" w:lineRule="exact"/>
        <w:ind w:left="0" w:right="0" w:firstLine="440"/>
        <w:jc w:val="both"/>
      </w:pPr>
      <w:r>
        <w:rPr>
          <w:color w:val="000000"/>
          <w:spacing w:val="0"/>
          <w:w w:val="100"/>
          <w:position w:val="0"/>
        </w:rPr>
        <w:t>上市公司及其子公司是否属于环境保护部门公布的重点排污单位</w:t>
        <w:tab/>
      </w: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q</w:t>
      </w:r>
      <w:r>
        <w:rPr>
          <w:color w:val="000000"/>
          <w:spacing w:val="0"/>
          <w:w w:val="100"/>
          <w:position w:val="0"/>
        </w:rPr>
        <w:t>否</w:t>
      </w:r>
      <w:r>
        <w:rPr>
          <w:color w:val="000000"/>
          <w:spacing w:val="0"/>
          <w:w w:val="100"/>
          <w:position w:val="0"/>
        </w:rPr>
        <w:t>口</w:t>
      </w:r>
      <w:r>
        <w:rPr>
          <w:color w:val="000000"/>
          <w:spacing w:val="0"/>
          <w:w w:val="100"/>
          <w:position w:val="0"/>
        </w:rPr>
        <w:t>不适用</w:t>
      </w:r>
    </w:p>
    <w:p>
      <w:pPr>
        <w:pStyle w:val="Style33"/>
        <w:keepNext w:val="0"/>
        <w:keepLines w:val="0"/>
        <w:widowControl w:val="0"/>
        <w:shd w:val="clear" w:color="auto" w:fill="auto"/>
        <w:tabs>
          <w:tab w:pos="7654" w:val="left"/>
        </w:tabs>
        <w:bidi w:val="0"/>
        <w:spacing w:before="0" w:after="360" w:line="311" w:lineRule="exact"/>
        <w:ind w:left="0" w:right="0" w:firstLine="440"/>
        <w:jc w:val="left"/>
      </w:pPr>
      <w:r>
        <w:rPr>
          <w:color w:val="000000"/>
          <w:spacing w:val="0"/>
          <w:w w:val="100"/>
          <w:position w:val="0"/>
        </w:rPr>
        <w:t>是否发布社会责任报告</w:t>
        <w:tab/>
      </w: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q</w:t>
      </w:r>
      <w:r>
        <w:rPr>
          <w:color w:val="000000"/>
          <w:spacing w:val="0"/>
          <w:w w:val="100"/>
          <w:position w:val="0"/>
        </w:rPr>
        <w:t>否</w:t>
      </w:r>
    </w:p>
    <w:p>
      <w:pPr>
        <w:pStyle w:val="Style33"/>
        <w:keepNext w:val="0"/>
        <w:keepLines w:val="0"/>
        <w:widowControl w:val="0"/>
        <w:shd w:val="clear" w:color="auto" w:fill="auto"/>
        <w:tabs>
          <w:tab w:pos="7963" w:val="left"/>
        </w:tabs>
        <w:bidi w:val="0"/>
        <w:spacing w:before="0" w:after="280" w:line="240" w:lineRule="auto"/>
        <w:ind w:left="0" w:right="0" w:firstLine="0"/>
        <w:jc w:val="left"/>
      </w:pPr>
      <w:bookmarkStart w:id="424" w:name="bookmark424"/>
      <w:r>
        <w:rPr>
          <w:b/>
          <w:bCs/>
          <w:color w:val="000000"/>
          <w:spacing w:val="0"/>
          <w:w w:val="100"/>
          <w:position w:val="0"/>
          <w:sz w:val="22"/>
          <w:szCs w:val="22"/>
        </w:rPr>
        <w:t>十九、其他重大事项的说明</w:t>
        <w:tab/>
      </w: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424"/>
    </w:p>
    <w:p>
      <w:pPr>
        <w:pStyle w:val="Style33"/>
        <w:keepNext w:val="0"/>
        <w:keepLines w:val="0"/>
        <w:widowControl w:val="0"/>
        <w:shd w:val="clear" w:color="auto" w:fill="auto"/>
        <w:tabs>
          <w:tab w:pos="816" w:val="left"/>
        </w:tabs>
        <w:bidi w:val="0"/>
        <w:spacing w:before="0" w:after="0" w:line="310" w:lineRule="exact"/>
        <w:ind w:left="0" w:right="0" w:firstLine="440"/>
        <w:jc w:val="both"/>
      </w:pPr>
      <w:bookmarkStart w:id="425" w:name="bookmark425"/>
      <w:bookmarkStart w:id="426" w:name="bookmark426"/>
      <w:r>
        <w:rPr>
          <w:rFonts w:ascii="Times New Roman" w:eastAsia="Times New Roman" w:hAnsi="Times New Roman" w:cs="Times New Roman"/>
          <w:color w:val="000000"/>
          <w:spacing w:val="0"/>
          <w:w w:val="100"/>
          <w:position w:val="0"/>
        </w:rPr>
        <w:t>1</w:t>
      </w:r>
      <w:bookmarkEnd w:id="425"/>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月，公司下属外币投资管理业务平台华声香港控制的企业开曼华声担任普通合伙人的开曼 有限合伙以</w:t>
      </w:r>
      <w:r>
        <w:rPr>
          <w:rFonts w:ascii="Times New Roman" w:eastAsia="Times New Roman" w:hAnsi="Times New Roman" w:cs="Times New Roman"/>
          <w:color w:val="000000"/>
          <w:spacing w:val="0"/>
          <w:w w:val="100"/>
          <w:position w:val="0"/>
        </w:rPr>
        <w:t>1.1</w:t>
      </w:r>
      <w:r>
        <w:rPr>
          <w:color w:val="000000"/>
          <w:spacing w:val="0"/>
          <w:w w:val="100"/>
          <w:position w:val="0"/>
        </w:rPr>
        <w:t>亿美元认购陆金所控股有限公司增发的</w:t>
      </w:r>
      <w:r>
        <w:rPr>
          <w:rFonts w:ascii="Times New Roman" w:eastAsia="Times New Roman" w:hAnsi="Times New Roman" w:cs="Times New Roman"/>
          <w:color w:val="000000"/>
          <w:spacing w:val="0"/>
          <w:w w:val="100"/>
          <w:position w:val="0"/>
        </w:rPr>
        <w:t>B</w:t>
      </w:r>
      <w:r>
        <w:rPr>
          <w:color w:val="000000"/>
          <w:spacing w:val="0"/>
          <w:w w:val="100"/>
          <w:position w:val="0"/>
        </w:rPr>
        <w:t>类普通股并完成股份登记。</w:t>
      </w:r>
      <w:bookmarkEnd w:id="426"/>
    </w:p>
    <w:p>
      <w:pPr>
        <w:pStyle w:val="Style33"/>
        <w:keepNext w:val="0"/>
        <w:keepLines w:val="0"/>
        <w:widowControl w:val="0"/>
        <w:shd w:val="clear" w:color="auto" w:fill="auto"/>
        <w:tabs>
          <w:tab w:pos="816" w:val="left"/>
        </w:tabs>
        <w:bidi w:val="0"/>
        <w:spacing w:before="0" w:after="360" w:line="310" w:lineRule="exact"/>
        <w:ind w:left="0" w:right="0" w:firstLine="440"/>
        <w:jc w:val="both"/>
      </w:pPr>
      <w:bookmarkStart w:id="427" w:name="bookmark427"/>
      <w:r>
        <w:rPr>
          <w:rFonts w:ascii="Times New Roman" w:eastAsia="Times New Roman" w:hAnsi="Times New Roman" w:cs="Times New Roman"/>
          <w:color w:val="000000"/>
          <w:spacing w:val="0"/>
          <w:w w:val="100"/>
          <w:position w:val="0"/>
        </w:rPr>
        <w:t>2</w:t>
      </w:r>
      <w:bookmarkEnd w:id="427"/>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月，北京快乐时代完成</w:t>
      </w:r>
      <w:r>
        <w:rPr>
          <w:rFonts w:ascii="Times New Roman" w:eastAsia="Times New Roman" w:hAnsi="Times New Roman" w:cs="Times New Roman"/>
          <w:color w:val="000000"/>
          <w:spacing w:val="0"/>
          <w:w w:val="100"/>
          <w:position w:val="0"/>
        </w:rPr>
        <w:t>VIE</w:t>
      </w:r>
      <w:r>
        <w:rPr>
          <w:color w:val="000000"/>
          <w:spacing w:val="0"/>
          <w:w w:val="100"/>
          <w:position w:val="0"/>
        </w:rPr>
        <w:t>架构搭建，华声香港取得北京快乐时代控制的境外实体</w:t>
      </w:r>
      <w:r>
        <w:rPr>
          <w:rFonts w:ascii="Times New Roman" w:eastAsia="Times New Roman" w:hAnsi="Times New Roman" w:cs="Times New Roman"/>
          <w:color w:val="000000"/>
          <w:spacing w:val="0"/>
          <w:w w:val="100"/>
          <w:position w:val="0"/>
        </w:rPr>
        <w:t>Qudian Inc.</w:t>
      </w:r>
      <w:r>
        <w:rPr>
          <w:color w:val="000000"/>
          <w:spacing w:val="0"/>
          <w:w w:val="100"/>
          <w:position w:val="0"/>
        </w:rPr>
        <w:t>发行的</w:t>
      </w:r>
      <w:r>
        <w:rPr>
          <w:rFonts w:ascii="Times New Roman" w:eastAsia="Times New Roman" w:hAnsi="Times New Roman" w:cs="Times New Roman"/>
          <w:color w:val="000000"/>
          <w:spacing w:val="0"/>
          <w:w w:val="100"/>
          <w:position w:val="0"/>
        </w:rPr>
        <w:t>15,088,284</w:t>
      </w:r>
      <w:r>
        <w:rPr>
          <w:color w:val="000000"/>
          <w:spacing w:val="0"/>
          <w:w w:val="100"/>
          <w:position w:val="0"/>
        </w:rPr>
        <w:t>股股份。</w:t>
      </w:r>
    </w:p>
    <w:p>
      <w:pPr>
        <w:pStyle w:val="Style33"/>
        <w:keepNext w:val="0"/>
        <w:keepLines w:val="0"/>
        <w:widowControl w:val="0"/>
        <w:shd w:val="clear" w:color="auto" w:fill="auto"/>
        <w:tabs>
          <w:tab w:pos="7963" w:val="left"/>
        </w:tabs>
        <w:bidi w:val="0"/>
        <w:spacing w:before="0" w:after="40" w:line="240" w:lineRule="auto"/>
        <w:ind w:left="0" w:right="0" w:firstLine="0"/>
        <w:jc w:val="both"/>
      </w:pPr>
      <w:bookmarkStart w:id="428" w:name="bookmark428"/>
      <w:r>
        <w:rPr>
          <w:b/>
          <w:bCs/>
          <w:color w:val="000000"/>
          <w:spacing w:val="0"/>
          <w:w w:val="100"/>
          <w:position w:val="0"/>
          <w:sz w:val="22"/>
          <w:szCs w:val="22"/>
        </w:rPr>
        <w:t>二十、公司子公司重大事项</w:t>
        <w:tab/>
      </w: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428"/>
      <w:r>
        <w:br w:type="page"/>
      </w:r>
    </w:p>
    <w:p>
      <w:pPr>
        <w:pStyle w:val="Style12"/>
        <w:keepNext/>
        <w:keepLines/>
        <w:widowControl w:val="0"/>
        <w:shd w:val="clear" w:color="auto" w:fill="auto"/>
        <w:bidi w:val="0"/>
        <w:spacing w:before="0" w:after="540" w:line="240" w:lineRule="auto"/>
        <w:ind w:left="0" w:right="0" w:firstLine="0"/>
        <w:jc w:val="center"/>
      </w:pPr>
      <w:bookmarkStart w:id="429" w:name="bookmark429"/>
      <w:bookmarkStart w:id="430" w:name="bookmark430"/>
      <w:bookmarkStart w:id="431" w:name="bookmark431"/>
      <w:r>
        <w:rPr>
          <w:color w:val="000000"/>
          <w:spacing w:val="0"/>
          <w:w w:val="100"/>
          <w:position w:val="0"/>
        </w:rPr>
        <w:t>第六节股份变动及股东情况</w:t>
      </w:r>
      <w:bookmarkEnd w:id="429"/>
      <w:bookmarkEnd w:id="430"/>
      <w:bookmarkEnd w:id="431"/>
    </w:p>
    <w:p>
      <w:pPr>
        <w:pStyle w:val="Style23"/>
        <w:keepNext/>
        <w:keepLines/>
        <w:widowControl w:val="0"/>
        <w:shd w:val="clear" w:color="auto" w:fill="auto"/>
        <w:bidi w:val="0"/>
        <w:spacing w:before="0" w:after="360" w:line="240" w:lineRule="auto"/>
        <w:ind w:left="0" w:right="0" w:firstLine="0"/>
        <w:jc w:val="left"/>
        <w:rPr>
          <w:sz w:val="22"/>
          <w:szCs w:val="22"/>
        </w:rPr>
      </w:pPr>
      <w:bookmarkStart w:id="432" w:name="bookmark432"/>
      <w:bookmarkStart w:id="433" w:name="bookmark433"/>
      <w:bookmarkStart w:id="434" w:name="bookmark434"/>
      <w:bookmarkStart w:id="435" w:name="bookmark435"/>
      <w:r>
        <w:rPr>
          <w:b/>
          <w:bCs/>
          <w:color w:val="000000"/>
          <w:spacing w:val="0"/>
          <w:w w:val="100"/>
          <w:position w:val="0"/>
          <w:sz w:val="22"/>
          <w:szCs w:val="22"/>
        </w:rPr>
        <w:t>一</w:t>
      </w:r>
      <w:bookmarkEnd w:id="434"/>
      <w:r>
        <w:rPr>
          <w:b/>
          <w:bCs/>
          <w:color w:val="000000"/>
          <w:spacing w:val="0"/>
          <w:w w:val="100"/>
          <w:position w:val="0"/>
          <w:sz w:val="22"/>
          <w:szCs w:val="22"/>
        </w:rPr>
        <w:t>、股份变动情况</w:t>
      </w:r>
      <w:bookmarkEnd w:id="432"/>
      <w:bookmarkEnd w:id="433"/>
      <w:bookmarkEnd w:id="435"/>
    </w:p>
    <w:p>
      <w:pPr>
        <w:pStyle w:val="Style30"/>
        <w:keepNext/>
        <w:keepLines/>
        <w:widowControl w:val="0"/>
        <w:shd w:val="clear" w:color="auto" w:fill="auto"/>
        <w:bidi w:val="0"/>
        <w:spacing w:before="0" w:after="360" w:line="240" w:lineRule="auto"/>
        <w:ind w:left="0" w:right="0" w:firstLine="0"/>
        <w:jc w:val="left"/>
      </w:pPr>
      <w:bookmarkStart w:id="436" w:name="bookmark436"/>
      <w:bookmarkStart w:id="437" w:name="bookmark437"/>
      <w:bookmarkStart w:id="438" w:name="bookmark438"/>
      <w:bookmarkStart w:id="439" w:name="bookmark439"/>
      <w:r>
        <w:rPr>
          <w:rFonts w:ascii="Times New Roman" w:eastAsia="Times New Roman" w:hAnsi="Times New Roman" w:cs="Times New Roman"/>
          <w:color w:val="000000"/>
          <w:spacing w:val="0"/>
          <w:w w:val="100"/>
          <w:position w:val="0"/>
        </w:rPr>
        <w:t>1</w:t>
      </w:r>
      <w:bookmarkEnd w:id="438"/>
      <w:r>
        <w:rPr>
          <w:color w:val="000000"/>
          <w:spacing w:val="0"/>
          <w:w w:val="100"/>
          <w:position w:val="0"/>
        </w:rPr>
        <w:t>、股份变动情况</w:t>
      </w:r>
      <w:bookmarkEnd w:id="436"/>
      <w:bookmarkEnd w:id="437"/>
      <w:bookmarkEnd w:id="43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704"/>
        <w:gridCol w:w="1138"/>
        <w:gridCol w:w="706"/>
        <w:gridCol w:w="1133"/>
        <w:gridCol w:w="288"/>
        <w:gridCol w:w="566"/>
        <w:gridCol w:w="1133"/>
        <w:gridCol w:w="1133"/>
        <w:gridCol w:w="1138"/>
        <w:gridCol w:w="648"/>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4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140"/>
              <w:jc w:val="left"/>
            </w:pPr>
            <w:r>
              <w:rPr>
                <w:color w:val="000000"/>
                <w:spacing w:val="0"/>
                <w:w w:val="100"/>
                <w:position w:val="0"/>
              </w:rPr>
              <w:t>比例</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送 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 金转 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34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比例</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一、有限售条件股 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72,051,219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36.03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736,127,750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-11,533,750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724,594,000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796,645,219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85.10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108,427,507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108,427,507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108,427,507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72,051,219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36.03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627,700,243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-11,533,750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616,166,493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688,217,712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73.51</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其中：境内法人持 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59,658,719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29.83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627,700,243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627,700,243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687,358,962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73.42</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640"/>
              <w:jc w:val="left"/>
            </w:pPr>
            <w:r>
              <w:rPr>
                <w:color w:val="000000"/>
                <w:spacing w:val="0"/>
                <w:w w:val="100"/>
                <w:position w:val="0"/>
              </w:rPr>
              <w:t>境内自然</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人持股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12,392,500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-11,533,750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-11,533,750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858,750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0.09</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二、无限售条件股 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127,948,781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63.97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11,533,750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11,533,750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139,482,531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127,948,781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63.97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11,533,750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11,533,750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139,482,531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14.89</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736,127,750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736,127,750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936,127,750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pStyle w:val="Style26"/>
        <w:keepNext w:val="0"/>
        <w:keepLines w:val="0"/>
        <w:widowControl w:val="0"/>
        <w:shd w:val="clear" w:color="auto" w:fill="auto"/>
        <w:tabs>
          <w:tab w:pos="7968" w:val="left"/>
        </w:tabs>
        <w:bidi w:val="0"/>
        <w:spacing w:before="0" w:after="80" w:line="240" w:lineRule="auto"/>
        <w:ind w:left="0" w:right="0" w:firstLine="0"/>
        <w:jc w:val="center"/>
      </w:pPr>
      <w:r>
        <w:rPr>
          <w:color w:val="000000"/>
          <w:spacing w:val="0"/>
          <w:w w:val="100"/>
          <w:position w:val="0"/>
        </w:rPr>
        <w:t>股份变动的原因</w:t>
        <w:tab/>
      </w: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日，公司完成发行股份及支付现金购买资产并募集配套资金事项，共计发行股份</w:t>
      </w:r>
    </w:p>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936,127,750</w:t>
      </w:r>
      <w:r>
        <w:rPr>
          <w:rFonts w:ascii="SimSun" w:eastAsia="SimSun" w:hAnsi="SimSun" w:cs="SimSun"/>
          <w:color w:val="000000"/>
          <w:spacing w:val="0"/>
          <w:w w:val="100"/>
          <w:position w:val="0"/>
        </w:rPr>
        <w:t>股，发行后总股数变更为</w:t>
      </w:r>
      <w:r>
        <w:rPr>
          <w:color w:val="000000"/>
          <w:spacing w:val="0"/>
          <w:w w:val="100"/>
          <w:position w:val="0"/>
        </w:rPr>
        <w:t>936,127,750</w:t>
      </w:r>
      <w:r>
        <w:rPr>
          <w:rFonts w:ascii="SimSun" w:eastAsia="SimSun" w:hAnsi="SimSun" w:cs="SimSun"/>
          <w:color w:val="000000"/>
          <w:spacing w:val="0"/>
          <w:w w:val="100"/>
          <w:position w:val="0"/>
        </w:rPr>
        <w:t>股</w:t>
      </w:r>
      <w:r>
        <w:rPr>
          <w:rFonts w:ascii="SimSun" w:eastAsia="SimSun" w:hAnsi="SimSun" w:cs="SimSun"/>
          <w:color w:val="000000"/>
          <w:spacing w:val="0"/>
          <w:w w:val="100"/>
          <w:position w:val="0"/>
        </w:rPr>
        <w:t>。</w:t>
      </w:r>
    </w:p>
    <w:p>
      <w:pPr>
        <w:pStyle w:val="Style33"/>
        <w:keepNext w:val="0"/>
        <w:keepLines w:val="0"/>
        <w:widowControl w:val="0"/>
        <w:shd w:val="clear" w:color="auto" w:fill="auto"/>
        <w:bidi w:val="0"/>
        <w:spacing w:before="0" w:after="360" w:line="322" w:lineRule="exact"/>
        <w:ind w:left="0" w:right="0" w:firstLine="440"/>
        <w:jc w:val="left"/>
      </w:pPr>
      <w:r>
        <w:rPr>
          <w:color w:val="000000"/>
          <w:spacing w:val="0"/>
          <w:w w:val="100"/>
          <w:position w:val="0"/>
        </w:rPr>
        <w:t>报告期内，高管锁定股按照规定解锁，导致有限售条件股份减少</w:t>
      </w:r>
      <w:r>
        <w:rPr>
          <w:rFonts w:ascii="Times New Roman" w:eastAsia="Times New Roman" w:hAnsi="Times New Roman" w:cs="Times New Roman"/>
          <w:color w:val="000000"/>
          <w:spacing w:val="0"/>
          <w:w w:val="100"/>
          <w:position w:val="0"/>
        </w:rPr>
        <w:t>11,533,750</w:t>
      </w:r>
      <w:r>
        <w:rPr>
          <w:color w:val="000000"/>
          <w:spacing w:val="0"/>
          <w:w w:val="100"/>
          <w:position w:val="0"/>
        </w:rPr>
        <w:t>股。</w:t>
      </w:r>
    </w:p>
    <w:p>
      <w:pPr>
        <w:pStyle w:val="Style33"/>
        <w:keepNext w:val="0"/>
        <w:keepLines w:val="0"/>
        <w:widowControl w:val="0"/>
        <w:shd w:val="clear" w:color="auto" w:fill="auto"/>
        <w:tabs>
          <w:tab w:pos="7920" w:val="left"/>
        </w:tabs>
        <w:bidi w:val="0"/>
        <w:spacing w:before="0" w:after="0" w:line="322" w:lineRule="exact"/>
        <w:ind w:left="0" w:right="0" w:firstLine="0"/>
        <w:jc w:val="both"/>
      </w:pPr>
      <w:r>
        <w:rPr>
          <w:color w:val="000000"/>
          <w:spacing w:val="0"/>
          <w:w w:val="100"/>
          <w:position w:val="0"/>
        </w:rPr>
        <w:t>股份变动的批准情况</w:t>
        <w:tab/>
      </w:r>
      <w:r>
        <w:rPr>
          <w:rFonts w:ascii="Times New Roman" w:eastAsia="Times New Roman" w:hAnsi="Times New Roman" w:cs="Times New Roman"/>
          <w:color w:val="000000"/>
          <w:spacing w:val="0"/>
          <w:w w:val="100"/>
          <w:position w:val="0"/>
        </w:rPr>
        <w:t>4</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val="0"/>
        <w:keepLines w:val="0"/>
        <w:widowControl w:val="0"/>
        <w:shd w:val="clear" w:color="auto" w:fill="auto"/>
        <w:bidi w:val="0"/>
        <w:spacing w:before="0" w:after="360" w:line="312"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日，公司收到中国证监会出具的《关于核准广东华声电器股份有限公司向中江国际信托股 份有限公司等发行股份购买资产并募集配套资金的批复》（证件许可</w:t>
      </w:r>
      <w:r>
        <w:rPr>
          <w:rFonts w:ascii="Times New Roman" w:eastAsia="Times New Roman" w:hAnsi="Times New Roman" w:cs="Times New Roman"/>
          <w:color w:val="000000"/>
          <w:spacing w:val="0"/>
          <w:w w:val="100"/>
          <w:position w:val="0"/>
        </w:rPr>
        <w:t>[2016]657</w:t>
      </w:r>
      <w:r>
        <w:rPr>
          <w:color w:val="000000"/>
          <w:spacing w:val="0"/>
          <w:w w:val="100"/>
          <w:position w:val="0"/>
        </w:rPr>
        <w:t>号），核准公司发行股份及 支付现金购买国盛证券</w:t>
      </w:r>
      <w:r>
        <w:rPr>
          <w:rFonts w:ascii="Times New Roman" w:eastAsia="Times New Roman" w:hAnsi="Times New Roman" w:cs="Times New Roman"/>
          <w:color w:val="000000"/>
          <w:spacing w:val="0"/>
          <w:w w:val="100"/>
          <w:position w:val="0"/>
        </w:rPr>
        <w:t>100%</w:t>
      </w:r>
      <w:r>
        <w:rPr>
          <w:color w:val="000000"/>
          <w:spacing w:val="0"/>
          <w:w w:val="100"/>
          <w:position w:val="0"/>
        </w:rPr>
        <w:t>股权并募集配套资金方案。</w:t>
      </w:r>
    </w:p>
    <w:p>
      <w:pPr>
        <w:pStyle w:val="Style33"/>
        <w:keepNext w:val="0"/>
        <w:keepLines w:val="0"/>
        <w:widowControl w:val="0"/>
        <w:shd w:val="clear" w:color="auto" w:fill="auto"/>
        <w:tabs>
          <w:tab w:pos="7920" w:val="left"/>
        </w:tabs>
        <w:bidi w:val="0"/>
        <w:spacing w:before="0" w:after="0" w:line="331" w:lineRule="exact"/>
        <w:ind w:left="0" w:right="0" w:firstLine="0"/>
        <w:jc w:val="both"/>
      </w:pPr>
      <w:r>
        <w:rPr>
          <w:color w:val="000000"/>
          <w:spacing w:val="0"/>
          <w:w w:val="100"/>
          <w:position w:val="0"/>
        </w:rPr>
        <w:t>股份变动的过户情况</w:t>
        <w:tab/>
      </w:r>
      <w:r>
        <w:rPr>
          <w:rFonts w:ascii="Times New Roman" w:eastAsia="Times New Roman" w:hAnsi="Times New Roman" w:cs="Times New Roman"/>
          <w:color w:val="000000"/>
          <w:spacing w:val="0"/>
          <w:w w:val="100"/>
          <w:position w:val="0"/>
        </w:rPr>
        <w:t>4</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val="0"/>
        <w:keepLines w:val="0"/>
        <w:widowControl w:val="0"/>
        <w:shd w:val="clear" w:color="auto" w:fill="auto"/>
        <w:bidi w:val="0"/>
        <w:spacing w:before="0" w:after="360" w:line="331"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日，公司本次发行股份共计</w:t>
      </w:r>
      <w:r>
        <w:rPr>
          <w:rFonts w:ascii="Times New Roman" w:eastAsia="Times New Roman" w:hAnsi="Times New Roman" w:cs="Times New Roman"/>
          <w:color w:val="000000"/>
          <w:spacing w:val="0"/>
          <w:w w:val="100"/>
          <w:position w:val="0"/>
        </w:rPr>
        <w:t>736,127,750</w:t>
      </w:r>
      <w:r>
        <w:rPr>
          <w:color w:val="000000"/>
          <w:spacing w:val="0"/>
          <w:w w:val="100"/>
          <w:position w:val="0"/>
        </w:rPr>
        <w:t>股登记到账；</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日，该等股份在深圳证 券交易所上市。</w:t>
      </w:r>
    </w:p>
    <w:p>
      <w:pPr>
        <w:pStyle w:val="Style33"/>
        <w:keepNext w:val="0"/>
        <w:keepLines w:val="0"/>
        <w:widowControl w:val="0"/>
        <w:shd w:val="clear" w:color="auto" w:fill="auto"/>
        <w:bidi w:val="0"/>
        <w:spacing w:before="0" w:after="360" w:line="322" w:lineRule="exact"/>
        <w:ind w:left="0" w:right="0" w:firstLine="0"/>
        <w:jc w:val="both"/>
      </w:pPr>
      <w:r>
        <w:rPr>
          <w:color w:val="000000"/>
          <w:spacing w:val="0"/>
          <w:w w:val="100"/>
          <w:position w:val="0"/>
        </w:rPr>
        <w:t>股份变动对最近一年和最近一期基本每股收益和稀释每股收益、归属于公司普通股股东的每股净资产等财</w:t>
      </w:r>
      <w:r>
        <w:br w:type="page"/>
      </w:r>
    </w:p>
    <w:p>
      <w:pPr>
        <w:pStyle w:val="Style33"/>
        <w:keepNext w:val="0"/>
        <w:keepLines w:val="0"/>
        <w:widowControl w:val="0"/>
        <w:shd w:val="clear" w:color="auto" w:fill="auto"/>
        <w:tabs>
          <w:tab w:pos="7963" w:val="left"/>
        </w:tabs>
        <w:bidi w:val="0"/>
        <w:spacing w:before="0" w:after="80" w:line="240" w:lineRule="auto"/>
        <w:ind w:left="0" w:right="0" w:firstLine="0"/>
        <w:jc w:val="left"/>
      </w:pPr>
      <w:r>
        <w:rPr>
          <w:color w:val="000000"/>
          <w:spacing w:val="0"/>
          <w:w w:val="100"/>
          <w:position w:val="0"/>
        </w:rPr>
        <w:t>务指标的影响</w:t>
        <w:tab/>
      </w: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val="0"/>
        <w:keepLines w:val="0"/>
        <w:widowControl w:val="0"/>
        <w:shd w:val="clear" w:color="auto" w:fill="auto"/>
        <w:bidi w:val="0"/>
        <w:spacing w:before="0" w:after="80" w:line="240" w:lineRule="auto"/>
        <w:ind w:left="0" w:right="0" w:firstLine="440"/>
        <w:jc w:val="left"/>
      </w:pPr>
      <w:r>
        <w:rPr>
          <w:color w:val="000000"/>
          <w:spacing w:val="0"/>
          <w:w w:val="100"/>
          <w:position w:val="0"/>
        </w:rPr>
        <w:t>本次股份变动导致公司最近一年和最近一期基本每股收益和稀释每股收益、归属于公司普通股股东的</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每股净资产相应变动。具体情况详见</w:t>
      </w:r>
      <w:r>
        <w:rPr>
          <w:rFonts w:ascii="Times New Roman" w:eastAsia="Times New Roman" w:hAnsi="Times New Roman" w:cs="Times New Roman"/>
          <w:color w:val="000000"/>
          <w:spacing w:val="0"/>
          <w:w w:val="100"/>
          <w:position w:val="0"/>
        </w:rPr>
        <w:t>“</w:t>
      </w:r>
      <w:r>
        <w:rPr>
          <w:color w:val="000000"/>
          <w:spacing w:val="0"/>
          <w:w w:val="100"/>
          <w:position w:val="0"/>
        </w:rPr>
        <w:t>第二节公司基本情况简介</w:t>
      </w:r>
      <w:r>
        <w:rPr>
          <w:rFonts w:ascii="Times New Roman" w:eastAsia="Times New Roman" w:hAnsi="Times New Roman" w:cs="Times New Roman"/>
          <w:color w:val="000000"/>
          <w:spacing w:val="0"/>
          <w:w w:val="100"/>
          <w:position w:val="0"/>
        </w:rPr>
        <w:t>''</w:t>
      </w:r>
      <w:r>
        <w:rPr>
          <w:color w:val="000000"/>
          <w:spacing w:val="0"/>
          <w:w w:val="100"/>
          <w:position w:val="0"/>
        </w:rPr>
        <w:t>之</w:t>
      </w:r>
      <w:r>
        <w:rPr>
          <w:rFonts w:ascii="Times New Roman" w:eastAsia="Times New Roman" w:hAnsi="Times New Roman" w:cs="Times New Roman"/>
          <w:color w:val="000000"/>
          <w:spacing w:val="0"/>
          <w:w w:val="100"/>
          <w:position w:val="0"/>
        </w:rPr>
        <w:t>“</w:t>
      </w:r>
      <w:r>
        <w:rPr>
          <w:color w:val="000000"/>
          <w:spacing w:val="0"/>
          <w:w w:val="100"/>
          <w:position w:val="0"/>
        </w:rPr>
        <w:t>六、主要会计数据和财务指标</w:t>
      </w:r>
    </w:p>
    <w:p>
      <w:pPr>
        <w:widowControl w:val="0"/>
        <w:spacing w:line="1" w:lineRule="exact"/>
        <w:sectPr>
          <w:footnotePr>
            <w:pos w:val="pageBottom"/>
            <w:numFmt w:val="decimal"/>
            <w:numRestart w:val="continuous"/>
          </w:footnotePr>
          <w:type w:val="continuous"/>
          <w:pgSz w:w="11900" w:h="16840"/>
          <w:pgMar w:top="1402" w:right="1040" w:bottom="1479" w:left="1072" w:header="0" w:footer="3" w:gutter="0"/>
          <w:cols w:space="720"/>
          <w:noEndnote/>
          <w:rtlGutter w:val="0"/>
          <w:docGrid w:linePitch="360"/>
        </w:sectPr>
      </w:pPr>
      <w:r>
        <mc:AlternateContent>
          <mc:Choice Requires="wps">
            <w:drawing>
              <wp:anchor distT="177165" distB="12700" distL="0" distR="0" simplePos="0" relativeHeight="125829422" behindDoc="0" locked="0" layoutInCell="1" allowOverlap="1">
                <wp:simplePos x="0" y="0"/>
                <wp:positionH relativeFrom="page">
                  <wp:posOffset>718820</wp:posOffset>
                </wp:positionH>
                <wp:positionV relativeFrom="paragraph">
                  <wp:posOffset>177165</wp:posOffset>
                </wp:positionV>
                <wp:extent cx="2956560" cy="164465"/>
                <wp:wrapTopAndBottom/>
                <wp:docPr id="108" name="Shape 108"/>
                <a:graphic xmlns:a="http://schemas.openxmlformats.org/drawingml/2006/main">
                  <a:graphicData uri="http://schemas.microsoft.com/office/word/2010/wordprocessingShape">
                    <wps:wsp>
                      <wps:cNvSpPr txBox="1"/>
                      <wps:spPr>
                        <a:xfrm>
                          <a:ext cx="2956560" cy="16446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公司认为必要或证券监管机构要求披露的其他内容</w:t>
                            </w:r>
                          </w:p>
                        </w:txbxContent>
                      </wps:txbx>
                      <wps:bodyPr wrap="none" lIns="0" tIns="0" rIns="0" bIns="0">
                        <a:noAutoFit/>
                      </wps:bodyPr>
                    </wps:wsp>
                  </a:graphicData>
                </a:graphic>
              </wp:anchor>
            </w:drawing>
          </mc:Choice>
          <mc:Fallback>
            <w:pict>
              <v:shape id="_x0000_s1134" type="#_x0000_t202" style="position:absolute;margin-left:56.600000000000001pt;margin-top:13.950000000000001pt;width:232.80000000000001pt;height:12.950000000000001pt;z-index:-125829331;mso-wrap-distance-left:0;mso-wrap-distance-top:13.950000000000001pt;mso-wrap-distance-right:0;mso-wrap-distance-bottom:1.pt;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公司认为必要或证券监管机构要求披露的其他内容</w:t>
                      </w:r>
                    </w:p>
                  </w:txbxContent>
                </v:textbox>
                <w10:wrap type="topAndBottom" anchorx="page"/>
              </v:shape>
            </w:pict>
          </mc:Fallback>
        </mc:AlternateContent>
      </w:r>
      <w:r>
        <mc:AlternateContent>
          <mc:Choice Requires="wps">
            <w:drawing>
              <wp:anchor distT="165100" distB="0" distL="0" distR="0" simplePos="0" relativeHeight="125829424" behindDoc="0" locked="0" layoutInCell="1" allowOverlap="1">
                <wp:simplePos x="0" y="0"/>
                <wp:positionH relativeFrom="page">
                  <wp:posOffset>5787390</wp:posOffset>
                </wp:positionH>
                <wp:positionV relativeFrom="paragraph">
                  <wp:posOffset>165100</wp:posOffset>
                </wp:positionV>
                <wp:extent cx="1042670" cy="189230"/>
                <wp:wrapTopAndBottom/>
                <wp:docPr id="110" name="Shape 110"/>
                <a:graphic xmlns:a="http://schemas.openxmlformats.org/drawingml/2006/main">
                  <a:graphicData uri="http://schemas.microsoft.com/office/word/2010/wordprocessingShape">
                    <wps:wsp>
                      <wps:cNvSpPr txBox="1"/>
                      <wps:spPr>
                        <a:xfrm>
                          <a:ext cx="1042670" cy="18923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txbxContent>
                      </wps:txbx>
                      <wps:bodyPr wrap="none" lIns="0" tIns="0" rIns="0" bIns="0">
                        <a:noAutoFit/>
                      </wps:bodyPr>
                    </wps:wsp>
                  </a:graphicData>
                </a:graphic>
              </wp:anchor>
            </w:drawing>
          </mc:Choice>
          <mc:Fallback>
            <w:pict>
              <v:shape id="_x0000_s1136" type="#_x0000_t202" style="position:absolute;margin-left:455.69999999999999pt;margin-top:13.pt;width:82.100000000000009pt;height:14.9pt;z-index:-125829329;mso-wrap-distance-left:0;mso-wrap-distance-top:13.pt;mso-wrap-distance-right:0;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txbxContent>
                </v:textbox>
                <w10:wrap type="topAndBottom" anchorx="page"/>
              </v:shape>
            </w:pict>
          </mc:Fallback>
        </mc:AlternateContent>
      </w:r>
    </w:p>
    <w:p>
      <w:pPr>
        <w:widowControl w:val="0"/>
        <w:spacing w:line="234" w:lineRule="exact"/>
        <w:rPr>
          <w:sz w:val="19"/>
          <w:szCs w:val="19"/>
        </w:rPr>
      </w:pPr>
    </w:p>
    <w:p>
      <w:pPr>
        <w:widowControl w:val="0"/>
        <w:spacing w:line="1" w:lineRule="exact"/>
        <w:sectPr>
          <w:footnotePr>
            <w:pos w:val="pageBottom"/>
            <w:numFmt w:val="decimal"/>
            <w:numRestart w:val="continuous"/>
          </w:footnotePr>
          <w:type w:val="continuous"/>
          <w:pgSz w:w="11900" w:h="16840"/>
          <w:pgMar w:top="1364" w:right="0" w:bottom="1450" w:left="0" w:header="0" w:footer="3" w:gutter="0"/>
          <w:cols w:space="720"/>
          <w:noEndnote/>
          <w:rtlGutter w:val="0"/>
          <w:docGrid w:linePitch="360"/>
        </w:sectPr>
      </w:pPr>
    </w:p>
    <w:p>
      <w:pPr>
        <w:pStyle w:val="Style33"/>
        <w:keepNext w:val="0"/>
        <w:keepLines w:val="0"/>
        <w:widowControl w:val="0"/>
        <w:shd w:val="clear" w:color="auto" w:fill="auto"/>
        <w:bidi w:val="0"/>
        <w:spacing w:before="0" w:after="340" w:line="240" w:lineRule="auto"/>
        <w:ind w:left="0" w:right="0" w:firstLine="0"/>
        <w:jc w:val="right"/>
      </w:pPr>
      <w:r>
        <mc:AlternateContent>
          <mc:Choice Requires="wps">
            <w:drawing>
              <wp:anchor distT="0" distB="0" distL="114300" distR="114300" simplePos="0" relativeHeight="125829426" behindDoc="0" locked="0" layoutInCell="1" allowOverlap="1">
                <wp:simplePos x="0" y="0"/>
                <wp:positionH relativeFrom="page">
                  <wp:posOffset>713105</wp:posOffset>
                </wp:positionH>
                <wp:positionV relativeFrom="paragraph">
                  <wp:posOffset>12700</wp:posOffset>
                </wp:positionV>
                <wp:extent cx="1301750" cy="170815"/>
                <wp:wrapSquare wrapText="bothSides"/>
                <wp:docPr id="112" name="Shape 112"/>
                <a:graphic xmlns:a="http://schemas.openxmlformats.org/drawingml/2006/main">
                  <a:graphicData uri="http://schemas.microsoft.com/office/word/2010/wordprocessingShape">
                    <wps:wsp>
                      <wps:cNvSpPr txBox="1"/>
                      <wps:spPr>
                        <a:xfrm>
                          <a:ext cx="1301750" cy="17081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bookmarkStart w:id="440" w:name="bookmark440"/>
                            <w:r>
                              <w:rPr>
                                <w:rFonts w:ascii="Times New Roman" w:eastAsia="Times New Roman" w:hAnsi="Times New Roman" w:cs="Times New Roman"/>
                                <w:b/>
                                <w:bCs/>
                                <w:color w:val="000000"/>
                                <w:spacing w:val="0"/>
                                <w:w w:val="100"/>
                                <w:position w:val="0"/>
                              </w:rPr>
                              <w:t>2</w:t>
                            </w:r>
                            <w:r>
                              <w:rPr>
                                <w:b/>
                                <w:bCs/>
                                <w:color w:val="000000"/>
                                <w:spacing w:val="0"/>
                                <w:w w:val="100"/>
                                <w:position w:val="0"/>
                              </w:rPr>
                              <w:t>、限售股份变动情况</w:t>
                            </w:r>
                            <w:bookmarkEnd w:id="440"/>
                          </w:p>
                        </w:txbxContent>
                      </wps:txbx>
                      <wps:bodyPr wrap="none" lIns="0" tIns="0" rIns="0" bIns="0">
                        <a:noAutoFit/>
                      </wps:bodyPr>
                    </wps:wsp>
                  </a:graphicData>
                </a:graphic>
              </wp:anchor>
            </w:drawing>
          </mc:Choice>
          <mc:Fallback>
            <w:pict>
              <v:shape id="_x0000_s1138" type="#_x0000_t202" style="position:absolute;margin-left:56.149999999999999pt;margin-top:1.pt;width:102.5pt;height:13.450000000000001pt;z-index:-125829327;mso-wrap-distance-left:9.pt;mso-wrap-distance-right:9.pt;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left"/>
                      </w:pPr>
                      <w:bookmarkStart w:id="440" w:name="bookmark440"/>
                      <w:r>
                        <w:rPr>
                          <w:rFonts w:ascii="Times New Roman" w:eastAsia="Times New Roman" w:hAnsi="Times New Roman" w:cs="Times New Roman"/>
                          <w:b/>
                          <w:bCs/>
                          <w:color w:val="000000"/>
                          <w:spacing w:val="0"/>
                          <w:w w:val="100"/>
                          <w:position w:val="0"/>
                        </w:rPr>
                        <w:t>2</w:t>
                      </w:r>
                      <w:r>
                        <w:rPr>
                          <w:b/>
                          <w:bCs/>
                          <w:color w:val="000000"/>
                          <w:spacing w:val="0"/>
                          <w:w w:val="100"/>
                          <w:position w:val="0"/>
                        </w:rPr>
                        <w:t>、限售股份变动情况</w:t>
                      </w:r>
                      <w:bookmarkEnd w:id="440"/>
                    </w:p>
                  </w:txbxContent>
                </v:textbox>
                <w10:wrap type="square" anchorx="page"/>
              </v:shape>
            </w:pict>
          </mc:Fallback>
        </mc:AlternateContent>
      </w: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987"/>
        <w:gridCol w:w="1138"/>
        <w:gridCol w:w="1133"/>
        <w:gridCol w:w="1133"/>
        <w:gridCol w:w="1133"/>
        <w:gridCol w:w="1843"/>
        <w:gridCol w:w="1219"/>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期初限售股 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 售股数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本期增加限 售股数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期末限售股 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解除限售日 期</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深圳前海财智发展投 资中心（有限合伙）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158,620,689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158,620,689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left"/>
            </w:pPr>
            <w:r>
              <w:rPr>
                <w:color w:val="000000"/>
                <w:spacing w:val="0"/>
                <w:w w:val="100"/>
                <w:position w:val="0"/>
              </w:rPr>
              <w:t>认购公司</w:t>
            </w:r>
            <w:r>
              <w:rPr>
                <w:rFonts w:ascii="Times New Roman" w:eastAsia="Times New Roman" w:hAnsi="Times New Roman" w:cs="Times New Roman"/>
                <w:color w:val="000000"/>
                <w:spacing w:val="0"/>
                <w:w w:val="100"/>
                <w:position w:val="0"/>
              </w:rPr>
              <w:t>2016</w:t>
            </w:r>
            <w:r>
              <w:rPr>
                <w:color w:val="000000"/>
                <w:spacing w:val="0"/>
                <w:w w:val="100"/>
                <w:position w:val="0"/>
              </w:rPr>
              <w:t>年非 公开发行股份</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中江国际信托股份有</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59,907,684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59,907,684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公司向其发行股份 购买资产</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中江国际信托股份有</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44,930,763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44,930,763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公司向其发行股份 购买资产</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中江国际信托股份有</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44,930,763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44,930,763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公司向其发行股份 购买资产</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w:t>
            </w:r>
            <w:r>
              <w:rPr>
                <w:color w:val="000000"/>
                <w:spacing w:val="0"/>
                <w:w w:val="100"/>
                <w:position w:val="0"/>
              </w:rPr>
              <w:t>日</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深圳前海财智远大投 资中心（有限合伙）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124,137,931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124,137,931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left"/>
            </w:pPr>
            <w:r>
              <w:rPr>
                <w:color w:val="000000"/>
                <w:spacing w:val="0"/>
                <w:w w:val="100"/>
                <w:position w:val="0"/>
              </w:rPr>
              <w:t>认购公司</w:t>
            </w:r>
            <w:r>
              <w:rPr>
                <w:rFonts w:ascii="Times New Roman" w:eastAsia="Times New Roman" w:hAnsi="Times New Roman" w:cs="Times New Roman"/>
                <w:color w:val="000000"/>
                <w:spacing w:val="0"/>
                <w:w w:val="100"/>
                <w:position w:val="0"/>
              </w:rPr>
              <w:t>2016</w:t>
            </w:r>
            <w:r>
              <w:rPr>
                <w:color w:val="000000"/>
                <w:spacing w:val="0"/>
                <w:w w:val="100"/>
                <w:position w:val="0"/>
              </w:rPr>
              <w:t>年非 公开发行股份</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北京迅杰新科科技有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101,206,896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101,206,896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6" w:lineRule="exact"/>
              <w:ind w:left="0" w:right="0" w:firstLine="0"/>
              <w:jc w:val="left"/>
            </w:pPr>
            <w:r>
              <w:rPr>
                <w:color w:val="000000"/>
                <w:spacing w:val="0"/>
                <w:w w:val="100"/>
                <w:position w:val="0"/>
              </w:rPr>
              <w:t>认购公司</w:t>
            </w:r>
            <w:r>
              <w:rPr>
                <w:rFonts w:ascii="Times New Roman" w:eastAsia="Times New Roman" w:hAnsi="Times New Roman" w:cs="Times New Roman"/>
                <w:color w:val="000000"/>
                <w:spacing w:val="0"/>
                <w:w w:val="100"/>
                <w:position w:val="0"/>
              </w:rPr>
              <w:t>2016</w:t>
            </w:r>
            <w:r>
              <w:rPr>
                <w:color w:val="000000"/>
                <w:spacing w:val="0"/>
                <w:w w:val="100"/>
                <w:position w:val="0"/>
              </w:rPr>
              <w:t>年非 公开发行股份</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北京凤凰财鑫股权投 资中心（有限合伙）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68,965,517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68,965,517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left"/>
            </w:pPr>
            <w:r>
              <w:rPr>
                <w:color w:val="000000"/>
                <w:spacing w:val="0"/>
                <w:w w:val="100"/>
                <w:position w:val="0"/>
              </w:rPr>
              <w:t>认购公司</w:t>
            </w:r>
            <w:r>
              <w:rPr>
                <w:rFonts w:ascii="Times New Roman" w:eastAsia="Times New Roman" w:hAnsi="Times New Roman" w:cs="Times New Roman"/>
                <w:color w:val="000000"/>
                <w:spacing w:val="0"/>
                <w:w w:val="100"/>
                <w:position w:val="0"/>
              </w:rPr>
              <w:t>2016</w:t>
            </w:r>
            <w:r>
              <w:rPr>
                <w:color w:val="000000"/>
                <w:spacing w:val="0"/>
                <w:w w:val="100"/>
                <w:position w:val="0"/>
              </w:rPr>
              <w:t>年非 公开发行股份</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江西赣粤高速公路股 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51,668,874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51,668,874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公司向其发行股份 购买资产</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w:t>
            </w:r>
            <w:r>
              <w:rPr>
                <w:color w:val="000000"/>
                <w:spacing w:val="0"/>
                <w:w w:val="100"/>
                <w:position w:val="0"/>
              </w:rPr>
              <w:t>日</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江西省财政投资管理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29,309,204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29,309,204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公司向其发行股份 购买资产</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北京岫晞股权投资中 心（有限合伙）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25,000,000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6" w:lineRule="exact"/>
              <w:ind w:left="0" w:right="0" w:firstLine="0"/>
              <w:jc w:val="left"/>
            </w:pPr>
            <w:r>
              <w:rPr>
                <w:color w:val="000000"/>
                <w:spacing w:val="0"/>
                <w:w w:val="100"/>
                <w:position w:val="0"/>
              </w:rPr>
              <w:t>认购公司</w:t>
            </w:r>
            <w:r>
              <w:rPr>
                <w:rFonts w:ascii="Times New Roman" w:eastAsia="Times New Roman" w:hAnsi="Times New Roman" w:cs="Times New Roman"/>
                <w:color w:val="000000"/>
                <w:spacing w:val="0"/>
                <w:w w:val="100"/>
                <w:position w:val="0"/>
              </w:rPr>
              <w:t>2016</w:t>
            </w:r>
            <w:r>
              <w:rPr>
                <w:color w:val="000000"/>
                <w:spacing w:val="0"/>
                <w:w w:val="100"/>
                <w:position w:val="0"/>
              </w:rPr>
              <w:t>年非 公开发行股份</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江西省投资集团公司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8,257,383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8,257,383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公司向其发行股份 购买资产</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江西省能源集团公司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6,301,866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6,301,866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公司向其发行股份 购买资产</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江西省地质矿产勘查</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5,728,969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5,728,969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公司向其发行股份 购买资产</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w:t>
            </w:r>
            <w:r>
              <w:rPr>
                <w:color w:val="000000"/>
                <w:spacing w:val="0"/>
                <w:w w:val="100"/>
                <w:position w:val="0"/>
              </w:rPr>
              <w:t>日</w:t>
            </w:r>
          </w:p>
        </w:tc>
      </w:tr>
      <w:tr>
        <w:trPr>
          <w:trHeight w:val="72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江西有色地质勘查局</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3,150,933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3,150,933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公司向其发行股份 购买资产</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w:t>
            </w:r>
            <w:r>
              <w:rPr>
                <w:color w:val="000000"/>
                <w:spacing w:val="0"/>
                <w:w w:val="100"/>
                <w:position w:val="0"/>
              </w:rPr>
              <w:t>日</w:t>
            </w:r>
          </w:p>
        </w:tc>
      </w:tr>
    </w:tbl>
    <w:p>
      <w:pPr>
        <w:widowControl w:val="0"/>
        <w:spacing w:line="1" w:lineRule="exact"/>
      </w:pPr>
      <w:r>
        <w:br w:type="page"/>
      </w:r>
    </w:p>
    <w:tbl>
      <w:tblPr>
        <w:tblOverlap w:val="never"/>
        <w:jc w:val="center"/>
        <w:tblLayout w:type="fixed"/>
      </w:tblPr>
      <w:tblGrid>
        <w:gridCol w:w="1987"/>
        <w:gridCol w:w="1138"/>
        <w:gridCol w:w="1133"/>
        <w:gridCol w:w="1133"/>
        <w:gridCol w:w="1133"/>
        <w:gridCol w:w="1843"/>
        <w:gridCol w:w="1219"/>
      </w:tblGrid>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江西省锦峰投资管理</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2,578,036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2,578,036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公司向其发行股份 购买资产</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江西省医药集团公司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1,432,242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1,432,242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公司向其发行股份 购买资产</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罗桥胜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9,800,000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董监高股份限售</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执行董监高 限售规定</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黄喜强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1,700,000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董监高股份限售</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执行董监高 限售规定</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谢基柱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427,500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412,500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董监高股份限售</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执行董监高 限售规定</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刘世明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427,500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408,750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董监高股份限售</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执行董监高 限售规定</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12,355,000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11,533,750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736,127,750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736,949,000</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23"/>
        <w:keepNext/>
        <w:keepLines/>
        <w:widowControl w:val="0"/>
        <w:shd w:val="clear" w:color="auto" w:fill="auto"/>
        <w:bidi w:val="0"/>
        <w:spacing w:before="0" w:after="320" w:line="240" w:lineRule="auto"/>
        <w:ind w:left="0" w:right="0" w:firstLine="0"/>
        <w:jc w:val="left"/>
        <w:rPr>
          <w:sz w:val="22"/>
          <w:szCs w:val="22"/>
        </w:rPr>
      </w:pPr>
      <w:bookmarkStart w:id="441" w:name="bookmark441"/>
      <w:bookmarkStart w:id="442" w:name="bookmark442"/>
      <w:bookmarkStart w:id="443" w:name="bookmark443"/>
      <w:bookmarkStart w:id="444" w:name="bookmark444"/>
      <w:r>
        <w:rPr>
          <w:b/>
          <w:bCs/>
          <w:color w:val="000000"/>
          <w:spacing w:val="0"/>
          <w:w w:val="100"/>
          <w:position w:val="0"/>
          <w:sz w:val="22"/>
          <w:szCs w:val="22"/>
        </w:rPr>
        <w:t>二</w:t>
      </w:r>
      <w:bookmarkEnd w:id="443"/>
      <w:r>
        <w:rPr>
          <w:b/>
          <w:bCs/>
          <w:color w:val="000000"/>
          <w:spacing w:val="0"/>
          <w:w w:val="100"/>
          <w:position w:val="0"/>
          <w:sz w:val="22"/>
          <w:szCs w:val="22"/>
        </w:rPr>
        <w:t>、证券发行与上市情况</w:t>
      </w:r>
      <w:bookmarkEnd w:id="441"/>
      <w:bookmarkEnd w:id="442"/>
      <w:bookmarkEnd w:id="444"/>
    </w:p>
    <w:p>
      <w:pPr>
        <w:pStyle w:val="Style26"/>
        <w:keepNext w:val="0"/>
        <w:keepLines w:val="0"/>
        <w:widowControl w:val="0"/>
        <w:shd w:val="clear" w:color="auto" w:fill="auto"/>
        <w:tabs>
          <w:tab w:pos="7997" w:val="left"/>
        </w:tabs>
        <w:bidi w:val="0"/>
        <w:spacing w:before="0" w:after="0" w:line="240" w:lineRule="auto"/>
        <w:ind w:left="0" w:right="0" w:firstLine="0"/>
        <w:jc w:val="center"/>
      </w:pPr>
      <w:bookmarkStart w:id="445" w:name="bookmark445"/>
      <w:r>
        <w:rPr>
          <w:rFonts w:ascii="Times New Roman" w:eastAsia="Times New Roman" w:hAnsi="Times New Roman" w:cs="Times New Roman"/>
          <w:b/>
          <w:bCs/>
          <w:color w:val="000000"/>
          <w:spacing w:val="0"/>
          <w:w w:val="100"/>
          <w:position w:val="0"/>
        </w:rPr>
        <w:t>1</w:t>
      </w:r>
      <w:r>
        <w:rPr>
          <w:b/>
          <w:bCs/>
          <w:color w:val="000000"/>
          <w:spacing w:val="0"/>
          <w:w w:val="100"/>
          <w:position w:val="0"/>
        </w:rPr>
        <w:t>、报告期内证券发行（不含优先股）情况</w:t>
        <w:tab/>
      </w: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445"/>
    </w:p>
    <w:tbl>
      <w:tblPr>
        <w:tblOverlap w:val="never"/>
        <w:jc w:val="center"/>
        <w:tblLayout w:type="fixed"/>
      </w:tblPr>
      <w:tblGrid>
        <w:gridCol w:w="1416"/>
        <w:gridCol w:w="1848"/>
        <w:gridCol w:w="1138"/>
        <w:gridCol w:w="1272"/>
        <w:gridCol w:w="1843"/>
        <w:gridCol w:w="1133"/>
        <w:gridCol w:w="931"/>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股票及其衍生 证券名称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发行价格 （或利率）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获准上市交 易数量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交易终止 日期</w:t>
            </w:r>
          </w:p>
        </w:tc>
      </w:tr>
      <w:tr>
        <w:trPr>
          <w:trHeight w:val="398" w:hRule="exact"/>
        </w:trPr>
        <w:tc>
          <w:tcPr>
            <w:gridSpan w:val="7"/>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国盛金控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258,196,717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258,196,717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国盛金控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477,931,033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477,931,033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7"/>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可转换公司债券、分离交易的可转换公司债券、公司债类</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w:t>
            </w:r>
            <w:r>
              <w:rPr>
                <w:color w:val="000000"/>
                <w:spacing w:val="0"/>
                <w:w w:val="100"/>
                <w:position w:val="0"/>
              </w:rPr>
              <w:t>国盛</w:t>
            </w:r>
            <w:r>
              <w:rPr>
                <w:rFonts w:ascii="Times New Roman" w:eastAsia="Times New Roman" w:hAnsi="Times New Roman" w:cs="Times New Roman"/>
                <w:color w:val="000000"/>
                <w:spacing w:val="0"/>
                <w:w w:val="100"/>
                <w:position w:val="0"/>
              </w:rPr>
              <w:t>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w:t>
            </w:r>
            <w:r>
              <w:rPr>
                <w:color w:val="000000"/>
                <w:spacing w:val="0"/>
                <w:w w:val="100"/>
                <w:position w:val="0"/>
              </w:rPr>
              <w:t>国盛金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w:t>
            </w:r>
            <w:r>
              <w:rPr>
                <w:color w:val="000000"/>
                <w:spacing w:val="0"/>
                <w:w w:val="100"/>
                <w:position w:val="0"/>
              </w:rPr>
              <w:t>国盛控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gridSpan w:val="7"/>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其他衍生证券类</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报告期内证券发行（不含优先股）情况的说明</w:t>
      </w:r>
    </w:p>
    <w:p>
      <w:pPr>
        <w:pStyle w:val="Style33"/>
        <w:keepNext w:val="0"/>
        <w:keepLines w:val="0"/>
        <w:widowControl w:val="0"/>
        <w:shd w:val="clear" w:color="auto" w:fill="auto"/>
        <w:tabs>
          <w:tab w:pos="963" w:val="left"/>
        </w:tabs>
        <w:bidi w:val="0"/>
        <w:spacing w:before="0" w:after="0" w:line="311" w:lineRule="exact"/>
        <w:ind w:left="0" w:right="0" w:firstLine="440"/>
        <w:jc w:val="left"/>
      </w:pPr>
      <w:bookmarkStart w:id="446" w:name="bookmark446"/>
      <w:r>
        <w:rPr>
          <w:color w:val="000000"/>
          <w:spacing w:val="0"/>
          <w:w w:val="100"/>
          <w:position w:val="0"/>
        </w:rPr>
        <w:t>（</w:t>
      </w:r>
      <w:bookmarkEnd w:id="446"/>
      <w:r>
        <w:rPr>
          <w:rFonts w:ascii="Times New Roman" w:eastAsia="Times New Roman" w:hAnsi="Times New Roman" w:cs="Times New Roman"/>
          <w:color w:val="000000"/>
          <w:spacing w:val="0"/>
          <w:w w:val="100"/>
          <w:position w:val="0"/>
        </w:rPr>
        <w:t>1</w:t>
      </w:r>
      <w:r>
        <w:rPr>
          <w:color w:val="000000"/>
          <w:spacing w:val="0"/>
          <w:w w:val="100"/>
          <w:position w:val="0"/>
        </w:rPr>
        <w:t>）</w:t>
        <w:tab/>
        <w:t>经中国证监会《关于核准广东华声电器股份有限公司向中江国际信托股份有限公司等发行股份 购买资产并募集配套资金的批复》（证件许可</w:t>
      </w:r>
      <w:r>
        <w:rPr>
          <w:rFonts w:ascii="Times New Roman" w:eastAsia="Times New Roman" w:hAnsi="Times New Roman" w:cs="Times New Roman"/>
          <w:color w:val="000000"/>
          <w:spacing w:val="0"/>
          <w:w w:val="100"/>
          <w:position w:val="0"/>
        </w:rPr>
        <w:t>[2016]657</w:t>
      </w:r>
      <w:r>
        <w:rPr>
          <w:color w:val="000000"/>
          <w:spacing w:val="0"/>
          <w:w w:val="100"/>
          <w:position w:val="0"/>
        </w:rPr>
        <w:t>号）核准，公司于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月向中江信托等</w:t>
      </w:r>
      <w:r>
        <w:rPr>
          <w:rFonts w:ascii="Times New Roman" w:eastAsia="Times New Roman" w:hAnsi="Times New Roman" w:cs="Times New Roman"/>
          <w:color w:val="000000"/>
          <w:spacing w:val="0"/>
          <w:w w:val="100"/>
          <w:position w:val="0"/>
        </w:rPr>
        <w:t>9</w:t>
      </w:r>
      <w:r>
        <w:rPr>
          <w:color w:val="000000"/>
          <w:spacing w:val="0"/>
          <w:w w:val="100"/>
          <w:position w:val="0"/>
        </w:rPr>
        <w:t>家单位 发行股份合计</w:t>
      </w:r>
      <w:r>
        <w:rPr>
          <w:rFonts w:ascii="Times New Roman" w:eastAsia="Times New Roman" w:hAnsi="Times New Roman" w:cs="Times New Roman"/>
          <w:color w:val="000000"/>
          <w:spacing w:val="0"/>
          <w:w w:val="100"/>
          <w:position w:val="0"/>
        </w:rPr>
        <w:t>258,196,717</w:t>
      </w:r>
      <w:r>
        <w:rPr>
          <w:color w:val="000000"/>
          <w:spacing w:val="0"/>
          <w:w w:val="100"/>
          <w:position w:val="0"/>
        </w:rPr>
        <w:t>股购买资产；同日向前海发展等</w:t>
      </w:r>
      <w:r>
        <w:rPr>
          <w:rFonts w:ascii="Times New Roman" w:eastAsia="Times New Roman" w:hAnsi="Times New Roman" w:cs="Times New Roman"/>
          <w:color w:val="000000"/>
          <w:spacing w:val="0"/>
          <w:w w:val="100"/>
          <w:position w:val="0"/>
        </w:rPr>
        <w:t>5</w:t>
      </w:r>
      <w:r>
        <w:rPr>
          <w:color w:val="000000"/>
          <w:spacing w:val="0"/>
          <w:w w:val="100"/>
          <w:position w:val="0"/>
        </w:rPr>
        <w:t>家单位发行股份合计</w:t>
      </w:r>
      <w:r>
        <w:rPr>
          <w:rFonts w:ascii="Times New Roman" w:eastAsia="Times New Roman" w:hAnsi="Times New Roman" w:cs="Times New Roman"/>
          <w:color w:val="000000"/>
          <w:spacing w:val="0"/>
          <w:w w:val="100"/>
          <w:position w:val="0"/>
        </w:rPr>
        <w:t>477,931,033</w:t>
      </w:r>
      <w:r>
        <w:rPr>
          <w:color w:val="000000"/>
          <w:spacing w:val="0"/>
          <w:w w:val="100"/>
          <w:position w:val="0"/>
        </w:rPr>
        <w:t>股募集配套资 金。前述股份于当月在深圳证券交易所上市。</w:t>
      </w:r>
    </w:p>
    <w:p>
      <w:pPr>
        <w:pStyle w:val="Style33"/>
        <w:keepNext w:val="0"/>
        <w:keepLines w:val="0"/>
        <w:widowControl w:val="0"/>
        <w:shd w:val="clear" w:color="auto" w:fill="auto"/>
        <w:tabs>
          <w:tab w:pos="963" w:val="left"/>
        </w:tabs>
        <w:bidi w:val="0"/>
        <w:spacing w:before="0" w:after="0" w:line="311" w:lineRule="exact"/>
        <w:ind w:left="0" w:right="0" w:firstLine="440"/>
        <w:jc w:val="left"/>
      </w:pPr>
      <w:bookmarkStart w:id="447" w:name="bookmark447"/>
      <w:r>
        <w:rPr>
          <w:color w:val="000000"/>
          <w:spacing w:val="0"/>
          <w:w w:val="100"/>
          <w:position w:val="0"/>
        </w:rPr>
        <w:t>（</w:t>
      </w:r>
      <w:bookmarkEnd w:id="447"/>
      <w:r>
        <w:rPr>
          <w:rFonts w:ascii="Times New Roman" w:eastAsia="Times New Roman" w:hAnsi="Times New Roman" w:cs="Times New Roman"/>
          <w:color w:val="000000"/>
          <w:spacing w:val="0"/>
          <w:w w:val="100"/>
          <w:position w:val="0"/>
        </w:rPr>
        <w:t>2</w:t>
      </w:r>
      <w:r>
        <w:rPr>
          <w:color w:val="000000"/>
          <w:spacing w:val="0"/>
          <w:w w:val="100"/>
          <w:position w:val="0"/>
        </w:rPr>
        <w:t>）</w:t>
        <w:tab/>
        <w:t>经中国证监会《关于核准广东国盛金控集团股份有限公司向合格投资者公开发行公司债券的批 复》（证监许可</w:t>
      </w:r>
      <w:r>
        <w:rPr>
          <w:rFonts w:ascii="Times New Roman" w:eastAsia="Times New Roman" w:hAnsi="Times New Roman" w:cs="Times New Roman"/>
          <w:color w:val="000000"/>
          <w:spacing w:val="0"/>
          <w:w w:val="100"/>
          <w:position w:val="0"/>
        </w:rPr>
        <w:t>[2016]2744</w:t>
      </w:r>
      <w:r>
        <w:rPr>
          <w:color w:val="000000"/>
          <w:spacing w:val="0"/>
          <w:w w:val="100"/>
          <w:position w:val="0"/>
        </w:rPr>
        <w:t>号）核准，公司于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月公开发行公司债券（债券简称：</w:t>
      </w:r>
      <w:r>
        <w:rPr>
          <w:rFonts w:ascii="Times New Roman" w:eastAsia="Times New Roman" w:hAnsi="Times New Roman" w:cs="Times New Roman"/>
          <w:color w:val="000000"/>
          <w:spacing w:val="0"/>
          <w:w w:val="100"/>
          <w:position w:val="0"/>
        </w:rPr>
        <w:t>16</w:t>
      </w:r>
      <w:r>
        <w:rPr>
          <w:color w:val="000000"/>
          <w:spacing w:val="0"/>
          <w:w w:val="100"/>
          <w:position w:val="0"/>
        </w:rPr>
        <w:t>国盛金；债券 代码：</w:t>
      </w:r>
      <w:r>
        <w:rPr>
          <w:rFonts w:ascii="Times New Roman" w:eastAsia="Times New Roman" w:hAnsi="Times New Roman" w:cs="Times New Roman"/>
          <w:color w:val="000000"/>
          <w:spacing w:val="0"/>
          <w:w w:val="100"/>
          <w:position w:val="0"/>
        </w:rPr>
        <w:t>112485</w:t>
      </w:r>
      <w:r>
        <w:rPr>
          <w:color w:val="000000"/>
          <w:spacing w:val="0"/>
          <w:w w:val="100"/>
          <w:position w:val="0"/>
        </w:rPr>
        <w:t xml:space="preserve">） </w:t>
      </w:r>
      <w:r>
        <w:rPr>
          <w:rFonts w:ascii="Times New Roman" w:eastAsia="Times New Roman" w:hAnsi="Times New Roman" w:cs="Times New Roman"/>
          <w:color w:val="000000"/>
          <w:spacing w:val="0"/>
          <w:w w:val="100"/>
          <w:position w:val="0"/>
        </w:rPr>
        <w:t>10</w:t>
      </w:r>
      <w:r>
        <w:rPr>
          <w:color w:val="000000"/>
          <w:spacing w:val="0"/>
          <w:w w:val="100"/>
          <w:position w:val="0"/>
        </w:rPr>
        <w:t>亿元，期限</w:t>
      </w:r>
      <w:r>
        <w:rPr>
          <w:rFonts w:ascii="Times New Roman" w:eastAsia="Times New Roman" w:hAnsi="Times New Roman" w:cs="Times New Roman"/>
          <w:color w:val="000000"/>
          <w:spacing w:val="0"/>
          <w:w w:val="100"/>
          <w:position w:val="0"/>
        </w:rPr>
        <w:t>5</w:t>
      </w:r>
      <w:r>
        <w:rPr>
          <w:color w:val="000000"/>
          <w:spacing w:val="0"/>
          <w:w w:val="100"/>
          <w:position w:val="0"/>
        </w:rPr>
        <w:t>年，附第</w:t>
      </w:r>
      <w:r>
        <w:rPr>
          <w:rFonts w:ascii="Times New Roman" w:eastAsia="Times New Roman" w:hAnsi="Times New Roman" w:cs="Times New Roman"/>
          <w:color w:val="000000"/>
          <w:spacing w:val="0"/>
          <w:w w:val="100"/>
          <w:position w:val="0"/>
        </w:rPr>
        <w:t>3</w:t>
      </w:r>
      <w:r>
        <w:rPr>
          <w:color w:val="000000"/>
          <w:spacing w:val="0"/>
          <w:w w:val="100"/>
          <w:position w:val="0"/>
        </w:rPr>
        <w:t>年末发行人上调票面利率选择权及投资者回售选择权。</w:t>
      </w:r>
    </w:p>
    <w:p>
      <w:pPr>
        <w:pStyle w:val="Style33"/>
        <w:keepNext w:val="0"/>
        <w:keepLines w:val="0"/>
        <w:widowControl w:val="0"/>
        <w:shd w:val="clear" w:color="auto" w:fill="auto"/>
        <w:tabs>
          <w:tab w:pos="963" w:val="left"/>
        </w:tabs>
        <w:bidi w:val="0"/>
        <w:spacing w:before="0" w:after="280" w:line="311" w:lineRule="exact"/>
        <w:ind w:left="0" w:right="0" w:firstLine="440"/>
        <w:jc w:val="left"/>
      </w:pPr>
      <w:bookmarkStart w:id="448" w:name="bookmark448"/>
      <w:r>
        <w:rPr>
          <w:color w:val="000000"/>
          <w:spacing w:val="0"/>
          <w:w w:val="100"/>
          <w:position w:val="0"/>
        </w:rPr>
        <w:t>（</w:t>
      </w:r>
      <w:bookmarkEnd w:id="448"/>
      <w:r>
        <w:rPr>
          <w:rFonts w:ascii="Times New Roman" w:eastAsia="Times New Roman" w:hAnsi="Times New Roman" w:cs="Times New Roman"/>
          <w:color w:val="000000"/>
          <w:spacing w:val="0"/>
          <w:w w:val="100"/>
          <w:position w:val="0"/>
        </w:rPr>
        <w:t>3</w:t>
      </w:r>
      <w:r>
        <w:rPr>
          <w:color w:val="000000"/>
          <w:spacing w:val="0"/>
          <w:w w:val="100"/>
          <w:position w:val="0"/>
        </w:rPr>
        <w:t>）</w:t>
        <w:tab/>
        <w:t>经深圳证券交易所《关于广东国盛金控集团股份有限公司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年非公开发行公司债券符合深交 所转让条件的无异议函》（深证函</w:t>
      </w:r>
      <w:r>
        <w:rPr>
          <w:rFonts w:ascii="Times New Roman" w:eastAsia="Times New Roman" w:hAnsi="Times New Roman" w:cs="Times New Roman"/>
          <w:color w:val="000000"/>
          <w:spacing w:val="0"/>
          <w:w w:val="100"/>
          <w:position w:val="0"/>
        </w:rPr>
        <w:t>[2016]738</w:t>
      </w:r>
      <w:r>
        <w:rPr>
          <w:color w:val="000000"/>
          <w:spacing w:val="0"/>
          <w:w w:val="100"/>
          <w:position w:val="0"/>
        </w:rPr>
        <w:t>号）确认，公司于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月非公开发行公司债券（债券简称: </w:t>
      </w:r>
      <w:r>
        <w:rPr>
          <w:rFonts w:ascii="Times New Roman" w:eastAsia="Times New Roman" w:hAnsi="Times New Roman" w:cs="Times New Roman"/>
          <w:color w:val="000000"/>
          <w:spacing w:val="0"/>
          <w:w w:val="100"/>
          <w:position w:val="0"/>
        </w:rPr>
        <w:t>16</w:t>
      </w:r>
      <w:r>
        <w:rPr>
          <w:color w:val="000000"/>
          <w:spacing w:val="0"/>
          <w:w w:val="100"/>
          <w:position w:val="0"/>
        </w:rPr>
        <w:t>国盛控；债券代码：</w:t>
      </w:r>
      <w:r>
        <w:rPr>
          <w:rFonts w:ascii="Times New Roman" w:eastAsia="Times New Roman" w:hAnsi="Times New Roman" w:cs="Times New Roman"/>
          <w:color w:val="000000"/>
          <w:spacing w:val="0"/>
          <w:w w:val="100"/>
          <w:position w:val="0"/>
        </w:rPr>
        <w:t>114079</w:t>
      </w:r>
      <w:r>
        <w:rPr>
          <w:color w:val="000000"/>
          <w:spacing w:val="0"/>
          <w:w w:val="100"/>
          <w:position w:val="0"/>
        </w:rPr>
        <w:t>）</w:t>
      </w:r>
      <w:r>
        <w:rPr>
          <w:rFonts w:ascii="Times New Roman" w:eastAsia="Times New Roman" w:hAnsi="Times New Roman" w:cs="Times New Roman"/>
          <w:color w:val="000000"/>
          <w:spacing w:val="0"/>
          <w:w w:val="100"/>
          <w:position w:val="0"/>
        </w:rPr>
        <w:t>20</w:t>
      </w:r>
      <w:r>
        <w:rPr>
          <w:color w:val="000000"/>
          <w:spacing w:val="0"/>
          <w:w w:val="100"/>
          <w:position w:val="0"/>
        </w:rPr>
        <w:t>亿元，期限</w:t>
      </w:r>
      <w:r>
        <w:rPr>
          <w:rFonts w:ascii="Times New Roman" w:eastAsia="Times New Roman" w:hAnsi="Times New Roman" w:cs="Times New Roman"/>
          <w:color w:val="000000"/>
          <w:spacing w:val="0"/>
          <w:w w:val="100"/>
          <w:position w:val="0"/>
        </w:rPr>
        <w:t>5</w:t>
      </w:r>
      <w:r>
        <w:rPr>
          <w:color w:val="000000"/>
          <w:spacing w:val="0"/>
          <w:w w:val="100"/>
          <w:position w:val="0"/>
        </w:rPr>
        <w:t>年，附第</w:t>
      </w:r>
      <w:r>
        <w:rPr>
          <w:rFonts w:ascii="Times New Roman" w:eastAsia="Times New Roman" w:hAnsi="Times New Roman" w:cs="Times New Roman"/>
          <w:color w:val="000000"/>
          <w:spacing w:val="0"/>
          <w:w w:val="100"/>
          <w:position w:val="0"/>
        </w:rPr>
        <w:t>3</w:t>
      </w:r>
      <w:r>
        <w:rPr>
          <w:color w:val="000000"/>
          <w:spacing w:val="0"/>
          <w:w w:val="100"/>
          <w:position w:val="0"/>
        </w:rPr>
        <w:t xml:space="preserve">年末发行人上调票面利率选择权及投资者回售选 </w:t>
      </w:r>
      <w:r>
        <w:rPr>
          <w:color w:val="000000"/>
          <w:spacing w:val="0"/>
          <w:w w:val="100"/>
          <w:position w:val="0"/>
        </w:rPr>
        <w:t>择权。</w:t>
      </w:r>
    </w:p>
    <w:p>
      <w:pPr>
        <w:pStyle w:val="Style30"/>
        <w:keepNext/>
        <w:keepLines/>
        <w:widowControl w:val="0"/>
        <w:shd w:val="clear" w:color="auto" w:fill="auto"/>
        <w:tabs>
          <w:tab w:pos="7987" w:val="left"/>
        </w:tabs>
        <w:bidi w:val="0"/>
        <w:spacing w:before="0" w:after="280" w:line="314" w:lineRule="exact"/>
        <w:ind w:left="0" w:right="0" w:firstLine="0"/>
        <w:jc w:val="left"/>
      </w:pPr>
      <w:bookmarkStart w:id="449" w:name="bookmark449"/>
      <w:bookmarkStart w:id="450" w:name="bookmark450"/>
      <w:bookmarkStart w:id="451" w:name="bookmark451"/>
      <w:bookmarkStart w:id="452" w:name="bookmark452"/>
      <w:r>
        <w:rPr>
          <w:rFonts w:ascii="Times New Roman" w:eastAsia="Times New Roman" w:hAnsi="Times New Roman" w:cs="Times New Roman"/>
          <w:color w:val="000000"/>
          <w:spacing w:val="0"/>
          <w:w w:val="100"/>
          <w:position w:val="0"/>
        </w:rPr>
        <w:t>2</w:t>
      </w:r>
      <w:bookmarkEnd w:id="451"/>
      <w:r>
        <w:rPr>
          <w:color w:val="000000"/>
          <w:spacing w:val="0"/>
          <w:w w:val="100"/>
          <w:position w:val="0"/>
        </w:rPr>
        <w:t>、 公司股份总数及股东结构的变动、公司资产和负债结构的变动情况说明</w:t>
        <w:tab/>
      </w:r>
      <w:r>
        <w:rPr>
          <w:rFonts w:ascii="Times New Roman" w:eastAsia="Times New Roman" w:hAnsi="Times New Roman" w:cs="Times New Roman"/>
          <w:b w:val="0"/>
          <w:bCs w:val="0"/>
          <w:color w:val="000000"/>
          <w:spacing w:val="0"/>
          <w:w w:val="100"/>
          <w:position w:val="0"/>
        </w:rPr>
        <w:t>q</w:t>
      </w:r>
      <w:r>
        <w:rPr>
          <w:b w:val="0"/>
          <w:bCs w:val="0"/>
          <w:color w:val="000000"/>
          <w:spacing w:val="0"/>
          <w:w w:val="100"/>
          <w:position w:val="0"/>
        </w:rPr>
        <w:t>适用</w:t>
      </w:r>
      <w:r>
        <w:rPr>
          <w:b w:val="0"/>
          <w:bCs w:val="0"/>
          <w:color w:val="000000"/>
          <w:spacing w:val="0"/>
          <w:w w:val="100"/>
          <w:position w:val="0"/>
        </w:rPr>
        <w:t>口</w:t>
      </w:r>
      <w:r>
        <w:rPr>
          <w:b w:val="0"/>
          <w:bCs w:val="0"/>
          <w:color w:val="000000"/>
          <w:spacing w:val="0"/>
          <w:w w:val="100"/>
          <w:position w:val="0"/>
        </w:rPr>
        <w:t>不适用</w:t>
      </w:r>
      <w:bookmarkEnd w:id="449"/>
      <w:bookmarkEnd w:id="450"/>
      <w:bookmarkEnd w:id="452"/>
    </w:p>
    <w:p>
      <w:pPr>
        <w:pStyle w:val="Style33"/>
        <w:keepNext w:val="0"/>
        <w:keepLines w:val="0"/>
        <w:widowControl w:val="0"/>
        <w:shd w:val="clear" w:color="auto" w:fill="auto"/>
        <w:bidi w:val="0"/>
        <w:spacing w:before="0" w:after="0" w:line="314" w:lineRule="exact"/>
        <w:ind w:left="0" w:right="0" w:firstLine="440"/>
        <w:jc w:val="left"/>
      </w:pPr>
      <w:bookmarkStart w:id="453" w:name="bookmark453"/>
      <w:r>
        <w:rPr>
          <w:color w:val="000000"/>
          <w:spacing w:val="0"/>
          <w:w w:val="100"/>
          <w:position w:val="0"/>
        </w:rPr>
        <w:t>公司发行股份及支付现金购买国盛证券</w:t>
      </w:r>
      <w:r>
        <w:rPr>
          <w:rFonts w:ascii="Times New Roman" w:eastAsia="Times New Roman" w:hAnsi="Times New Roman" w:cs="Times New Roman"/>
          <w:color w:val="000000"/>
          <w:spacing w:val="0"/>
          <w:w w:val="100"/>
          <w:position w:val="0"/>
        </w:rPr>
        <w:t>100%</w:t>
      </w:r>
      <w:r>
        <w:rPr>
          <w:color w:val="000000"/>
          <w:spacing w:val="0"/>
          <w:w w:val="100"/>
          <w:position w:val="0"/>
        </w:rPr>
        <w:t xml:space="preserve">股权并募集配套资金方案实施后，股份总数增加 </w:t>
      </w:r>
      <w:r>
        <w:rPr>
          <w:rFonts w:ascii="Times New Roman" w:eastAsia="Times New Roman" w:hAnsi="Times New Roman" w:cs="Times New Roman"/>
          <w:color w:val="000000"/>
          <w:spacing w:val="0"/>
          <w:w w:val="100"/>
          <w:position w:val="0"/>
        </w:rPr>
        <w:t>736,127,750</w:t>
      </w:r>
      <w:r>
        <w:rPr>
          <w:color w:val="000000"/>
          <w:spacing w:val="0"/>
          <w:w w:val="100"/>
          <w:position w:val="0"/>
        </w:rPr>
        <w:t>股，资产总额、所有者权益总额均大幅增加。</w:t>
      </w:r>
      <w:bookmarkEnd w:id="453"/>
    </w:p>
    <w:p>
      <w:pPr>
        <w:pStyle w:val="Style33"/>
        <w:keepNext w:val="0"/>
        <w:keepLines w:val="0"/>
        <w:widowControl w:val="0"/>
        <w:shd w:val="clear" w:color="auto" w:fill="auto"/>
        <w:bidi w:val="0"/>
        <w:spacing w:before="0" w:after="280" w:line="314" w:lineRule="exact"/>
        <w:ind w:left="0" w:right="0" w:firstLine="440"/>
        <w:jc w:val="left"/>
      </w:pPr>
      <w:r>
        <w:rPr>
          <w:color w:val="000000"/>
          <w:spacing w:val="0"/>
          <w:w w:val="100"/>
          <w:position w:val="0"/>
        </w:rPr>
        <w:t>公司完成</w:t>
      </w:r>
      <w:r>
        <w:rPr>
          <w:rFonts w:ascii="Times New Roman" w:eastAsia="Times New Roman" w:hAnsi="Times New Roman" w:cs="Times New Roman"/>
          <w:color w:val="000000"/>
          <w:spacing w:val="0"/>
          <w:w w:val="100"/>
          <w:position w:val="0"/>
        </w:rPr>
        <w:t>2016</w:t>
      </w:r>
      <w:r>
        <w:rPr>
          <w:color w:val="000000"/>
          <w:spacing w:val="0"/>
          <w:w w:val="100"/>
          <w:position w:val="0"/>
        </w:rPr>
        <w:t>年公开发行公司债券和</w:t>
      </w:r>
      <w:r>
        <w:rPr>
          <w:rFonts w:ascii="Times New Roman" w:eastAsia="Times New Roman" w:hAnsi="Times New Roman" w:cs="Times New Roman"/>
          <w:color w:val="000000"/>
          <w:spacing w:val="0"/>
          <w:w w:val="100"/>
          <w:position w:val="0"/>
        </w:rPr>
        <w:t>2016</w:t>
      </w:r>
      <w:r>
        <w:rPr>
          <w:color w:val="000000"/>
          <w:spacing w:val="0"/>
          <w:w w:val="100"/>
          <w:position w:val="0"/>
        </w:rPr>
        <w:t>年非公开发行公司债券的发行后，资产总额、负债总额均大 幅增加。</w:t>
      </w:r>
    </w:p>
    <w:p>
      <w:pPr>
        <w:pStyle w:val="Style33"/>
        <w:keepNext w:val="0"/>
        <w:keepLines w:val="0"/>
        <w:widowControl w:val="0"/>
        <w:shd w:val="clear" w:color="auto" w:fill="auto"/>
        <w:tabs>
          <w:tab w:pos="7987" w:val="left"/>
        </w:tabs>
        <w:bidi w:val="0"/>
        <w:spacing w:before="0" w:after="360" w:line="314" w:lineRule="exact"/>
        <w:ind w:left="0" w:right="0" w:firstLine="0"/>
        <w:jc w:val="left"/>
      </w:pPr>
      <w:bookmarkStart w:id="454" w:name="bookmark454"/>
      <w:bookmarkStart w:id="455" w:name="bookmark455"/>
      <w:r>
        <w:rPr>
          <w:rFonts w:ascii="Times New Roman" w:eastAsia="Times New Roman" w:hAnsi="Times New Roman" w:cs="Times New Roman"/>
          <w:b/>
          <w:bCs/>
          <w:color w:val="000000"/>
          <w:spacing w:val="0"/>
          <w:w w:val="100"/>
          <w:position w:val="0"/>
        </w:rPr>
        <w:t>3</w:t>
      </w:r>
      <w:bookmarkEnd w:id="454"/>
      <w:r>
        <w:rPr>
          <w:b/>
          <w:bCs/>
          <w:color w:val="000000"/>
          <w:spacing w:val="0"/>
          <w:w w:val="100"/>
          <w:position w:val="0"/>
        </w:rPr>
        <w:t>、 现存的内部职工股情况</w:t>
        <w:tab/>
      </w:r>
      <w:r>
        <w:rPr>
          <w:color w:val="000000"/>
          <w:spacing w:val="0"/>
          <w:w w:val="100"/>
          <w:position w:val="0"/>
        </w:rPr>
        <w:t>口</w:t>
      </w:r>
      <w:r>
        <w:rPr>
          <w:color w:val="000000"/>
          <w:spacing w:val="0"/>
          <w:w w:val="100"/>
          <w:position w:val="0"/>
        </w:rPr>
        <w:t>适用</w:t>
      </w:r>
      <w:r>
        <w:rPr>
          <w:i/>
          <w:iCs/>
          <w:color w:val="000000"/>
          <w:spacing w:val="0"/>
          <w:w w:val="100"/>
          <w:position w:val="0"/>
        </w:rPr>
        <w:t>q</w:t>
      </w:r>
      <w:r>
        <w:rPr>
          <w:color w:val="000000"/>
          <w:spacing w:val="0"/>
          <w:w w:val="100"/>
          <w:position w:val="0"/>
        </w:rPr>
        <w:t>不适用</w:t>
      </w:r>
      <w:bookmarkEnd w:id="455"/>
    </w:p>
    <w:p>
      <w:pPr>
        <w:pStyle w:val="Style23"/>
        <w:keepNext/>
        <w:keepLines/>
        <w:widowControl w:val="0"/>
        <w:shd w:val="clear" w:color="auto" w:fill="auto"/>
        <w:bidi w:val="0"/>
        <w:spacing w:before="0" w:after="280" w:line="240" w:lineRule="auto"/>
        <w:ind w:left="0" w:right="0" w:firstLine="0"/>
        <w:jc w:val="left"/>
        <w:rPr>
          <w:sz w:val="22"/>
          <w:szCs w:val="22"/>
        </w:rPr>
      </w:pPr>
      <w:bookmarkStart w:id="456" w:name="bookmark456"/>
      <w:bookmarkStart w:id="457" w:name="bookmark457"/>
      <w:bookmarkStart w:id="458" w:name="bookmark458"/>
      <w:bookmarkStart w:id="459" w:name="bookmark459"/>
      <w:bookmarkStart w:id="460" w:name="bookmark460"/>
      <w:r>
        <w:rPr>
          <w:b/>
          <w:bCs/>
          <w:color w:val="000000"/>
          <w:spacing w:val="0"/>
          <w:w w:val="100"/>
          <w:position w:val="0"/>
          <w:sz w:val="22"/>
          <w:szCs w:val="22"/>
        </w:rPr>
        <w:t>三</w:t>
      </w:r>
      <w:bookmarkEnd w:id="458"/>
      <w:r>
        <w:rPr>
          <w:b/>
          <w:bCs/>
          <w:color w:val="000000"/>
          <w:spacing w:val="0"/>
          <w:w w:val="100"/>
          <w:position w:val="0"/>
          <w:sz w:val="22"/>
          <w:szCs w:val="22"/>
        </w:rPr>
        <w:t>、股东和实际控制人情况</w:t>
      </w:r>
      <w:bookmarkEnd w:id="456"/>
      <w:bookmarkEnd w:id="457"/>
      <w:bookmarkEnd w:id="459"/>
      <w:bookmarkEnd w:id="460"/>
    </w:p>
    <w:p>
      <w:pPr>
        <w:pStyle w:val="Style30"/>
        <w:keepNext/>
        <w:keepLines/>
        <w:widowControl w:val="0"/>
        <w:shd w:val="clear" w:color="auto" w:fill="auto"/>
        <w:bidi w:val="0"/>
        <w:spacing w:before="0" w:after="360" w:line="314" w:lineRule="exact"/>
        <w:ind w:left="0" w:right="0" w:firstLine="0"/>
        <w:jc w:val="left"/>
      </w:pPr>
      <w:bookmarkStart w:id="461" w:name="bookmark461"/>
      <w:bookmarkStart w:id="462" w:name="bookmark462"/>
      <w:bookmarkStart w:id="463" w:name="bookmark463"/>
      <w:bookmarkStart w:id="464" w:name="bookmark464"/>
      <w:bookmarkStart w:id="465" w:name="bookmark465"/>
      <w:r>
        <w:rPr>
          <w:rFonts w:ascii="Times New Roman" w:eastAsia="Times New Roman" w:hAnsi="Times New Roman" w:cs="Times New Roman"/>
          <w:color w:val="000000"/>
          <w:spacing w:val="0"/>
          <w:w w:val="100"/>
          <w:position w:val="0"/>
        </w:rPr>
        <w:t>1</w:t>
      </w:r>
      <w:bookmarkEnd w:id="463"/>
      <w:r>
        <w:rPr>
          <w:color w:val="000000"/>
          <w:spacing w:val="0"/>
          <w:w w:val="100"/>
          <w:position w:val="0"/>
        </w:rPr>
        <w:t>、公司股东数量及持股情况</w:t>
      </w:r>
      <w:bookmarkEnd w:id="461"/>
      <w:bookmarkEnd w:id="462"/>
      <w:bookmarkEnd w:id="464"/>
      <w:bookmarkEnd w:id="46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200"/>
        <w:gridCol w:w="365"/>
        <w:gridCol w:w="830"/>
        <w:gridCol w:w="163"/>
        <w:gridCol w:w="566"/>
        <w:gridCol w:w="466"/>
        <w:gridCol w:w="667"/>
        <w:gridCol w:w="528"/>
        <w:gridCol w:w="888"/>
        <w:gridCol w:w="312"/>
        <w:gridCol w:w="821"/>
        <w:gridCol w:w="374"/>
        <w:gridCol w:w="619"/>
        <w:gridCol w:w="571"/>
        <w:gridCol w:w="1210"/>
      </w:tblGrid>
      <w:tr>
        <w:trPr>
          <w:trHeight w:val="228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报告期末普 通股股东总 数</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12,949</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年度报告披 露日前上一 月末普通股 股东总数</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12,228</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9" w:lineRule="exact"/>
              <w:ind w:left="0" w:right="0" w:firstLine="0"/>
              <w:jc w:val="left"/>
            </w:pPr>
            <w:r>
              <w:rPr>
                <w:color w:val="000000"/>
                <w:spacing w:val="0"/>
                <w:w w:val="100"/>
                <w:position w:val="0"/>
              </w:rPr>
              <w:t>报告期末表 决权恢复的 优先股股东 总数（如有）</w:t>
            </w:r>
          </w:p>
          <w:p>
            <w:pPr>
              <w:pStyle w:val="Style20"/>
              <w:keepNext w:val="0"/>
              <w:keepLines w:val="0"/>
              <w:widowControl w:val="0"/>
              <w:shd w:val="clear" w:color="auto" w:fill="auto"/>
              <w:bidi w:val="0"/>
              <w:spacing w:before="0" w:after="0" w:line="309" w:lineRule="exact"/>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rPr>
              <w:t>8</w:t>
            </w:r>
            <w:r>
              <w:rPr>
                <w:color w:val="000000"/>
                <w:spacing w:val="0"/>
                <w:w w:val="100"/>
                <w:position w:val="0"/>
              </w:rPr>
              <w:t>）</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9" w:lineRule="exact"/>
              <w:ind w:left="0" w:right="0" w:firstLine="0"/>
              <w:jc w:val="both"/>
            </w:pPr>
            <w:r>
              <w:rPr>
                <w:color w:val="000000"/>
                <w:spacing w:val="0"/>
                <w:w w:val="100"/>
                <w:position w:val="0"/>
              </w:rPr>
              <w:t>年度报告披 露日前上一 月末表决权 恢复的优先 股股东总数</w:t>
            </w:r>
          </w:p>
          <w:p>
            <w:pPr>
              <w:pStyle w:val="Style20"/>
              <w:keepNext w:val="0"/>
              <w:keepLines w:val="0"/>
              <w:widowControl w:val="0"/>
              <w:shd w:val="clear" w:color="auto" w:fill="auto"/>
              <w:bidi w:val="0"/>
              <w:spacing w:before="0" w:after="0" w:line="309" w:lineRule="exact"/>
              <w:ind w:left="0" w:right="0" w:firstLine="0"/>
              <w:jc w:val="both"/>
            </w:pPr>
            <w:r>
              <w:rPr>
                <w:color w:val="000000"/>
                <w:spacing w:val="0"/>
                <w:w w:val="100"/>
                <w:position w:val="0"/>
              </w:rPr>
              <w:t>（如有）（参 见注</w:t>
            </w:r>
            <w:r>
              <w:rPr>
                <w:rFonts w:ascii="Times New Roman" w:eastAsia="Times New Roman" w:hAnsi="Times New Roman" w:cs="Times New Roman"/>
                <w:color w:val="000000"/>
                <w:spacing w:val="0"/>
                <w:w w:val="100"/>
                <w:position w:val="0"/>
              </w:rPr>
              <w:t>8</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15"/>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rPr>
              <w:t>10</w:t>
            </w:r>
            <w:r>
              <w:rPr>
                <w:color w:val="000000"/>
                <w:spacing w:val="0"/>
                <w:w w:val="100"/>
                <w:position w:val="0"/>
              </w:rPr>
              <w:t>名股东持股情况</w:t>
            </w:r>
          </w:p>
        </w:tc>
      </w:tr>
      <w:tr>
        <w:trPr>
          <w:trHeight w:val="398" w:hRule="exact"/>
        </w:trPr>
        <w:tc>
          <w:tcPr>
            <w:gridSpan w:val="2"/>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5" w:lineRule="exact"/>
              <w:ind w:left="0" w:right="0" w:firstLine="0"/>
              <w:jc w:val="center"/>
            </w:pPr>
            <w:r>
              <w:rPr>
                <w:color w:val="000000"/>
                <w:spacing w:val="0"/>
                <w:w w:val="100"/>
                <w:position w:val="0"/>
              </w:rPr>
              <w:t>持股 比例 （</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gridSpan w:val="2"/>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报告期末持 股数量</w:t>
            </w:r>
          </w:p>
        </w:tc>
        <w:tc>
          <w:tcPr>
            <w:gridSpan w:val="2"/>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报告期内增减 变动情况</w:t>
            </w:r>
          </w:p>
        </w:tc>
        <w:tc>
          <w:tcPr>
            <w:gridSpan w:val="2"/>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持有有限售 条件的股份</w:t>
            </w:r>
          </w:p>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数量</w:t>
            </w:r>
          </w:p>
        </w:tc>
        <w:tc>
          <w:tcPr>
            <w:gridSpan w:val="2"/>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持有无限 售条件的 股份数量</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715"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股份 状态</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数量</w:t>
            </w:r>
          </w:p>
        </w:tc>
      </w:tr>
      <w:tr>
        <w:trPr>
          <w:trHeight w:val="1027"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深圳前海财智发 展投资中心（有 限合伙）</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境内非国 有法人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16.94</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158,620,689</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158,620,689</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158,620,689</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158,620,689</w:t>
            </w:r>
          </w:p>
        </w:tc>
      </w:tr>
      <w:tr>
        <w:trPr>
          <w:trHeight w:val="715"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pPr>
            <w:r>
              <w:rPr>
                <w:color w:val="000000"/>
                <w:spacing w:val="0"/>
                <w:w w:val="100"/>
                <w:position w:val="0"/>
              </w:rPr>
              <w:t>中江国际信托股 份有限公司</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境内非国 有法人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16.00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149,769,210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149,769,210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149,769,210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深圳前海财智远 大投资中心（有 限合伙）</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境内非国 有法人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13.26</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124,137,931</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124,137,931</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124,137,931</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北京迅杰新科科 技有限公司</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境内非国 有法人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10.81</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101,206,896</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101,206,896</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101,206,896</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北京凤凰财鑫股 权投资中心（有 限合伙）</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境内非国 有法人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7.37</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68,965,517</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68,965,517</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68,965,517</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11,000,000</w:t>
            </w:r>
          </w:p>
        </w:tc>
      </w:tr>
      <w:tr>
        <w:trPr>
          <w:trHeight w:val="682" w:hRule="exact"/>
        </w:trPr>
        <w:tc>
          <w:tcPr>
            <w:gridSpan w:val="2"/>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北京凤凰财智创 新投资中心（有</w:t>
            </w:r>
          </w:p>
        </w:tc>
        <w:tc>
          <w:tcPr>
            <w:gridSpan w:val="2"/>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6.37</w:t>
            </w:r>
          </w:p>
        </w:tc>
        <w:tc>
          <w:tcPr>
            <w:gridSpan w:val="2"/>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59,658,719</w:t>
            </w:r>
          </w:p>
        </w:tc>
        <w:tc>
          <w:tcPr>
            <w:gridSpan w:val="2"/>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59,658,719</w:t>
            </w:r>
          </w:p>
        </w:tc>
        <w:tc>
          <w:tcPr>
            <w:gridSpan w:val="2"/>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43,658,719</w:t>
            </w:r>
          </w:p>
        </w:tc>
      </w:tr>
    </w:tbl>
    <w:p>
      <w:pPr>
        <w:widowControl w:val="0"/>
        <w:spacing w:line="1" w:lineRule="exact"/>
      </w:pPr>
      <w:r>
        <w:br w:type="page"/>
      </w:r>
    </w:p>
    <w:tbl>
      <w:tblPr>
        <w:tblOverlap w:val="never"/>
        <w:jc w:val="center"/>
        <w:tblLayout w:type="fixed"/>
      </w:tblPr>
      <w:tblGrid>
        <w:gridCol w:w="1565"/>
        <w:gridCol w:w="994"/>
        <w:gridCol w:w="566"/>
        <w:gridCol w:w="1133"/>
        <w:gridCol w:w="1416"/>
        <w:gridCol w:w="1133"/>
        <w:gridCol w:w="994"/>
        <w:gridCol w:w="566"/>
        <w:gridCol w:w="1214"/>
      </w:tblGrid>
      <w:tr>
        <w:trPr>
          <w:trHeight w:val="36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有法人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江西赣粤高速公 路股份有限公司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51,668,874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51,668,874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51,668,874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江西省财政投资 管理公司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29,309,204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29,309,204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29,309,204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北京岫晞股权投 资中心（有限合 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pPr>
            <w:r>
              <w:rPr>
                <w:color w:val="000000"/>
                <w:spacing w:val="0"/>
                <w:w w:val="100"/>
                <w:position w:val="0"/>
              </w:rPr>
              <w:t>境内非国</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有法人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25,000,000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25,000,000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张盛根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境内自然</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9,949,998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9,949,998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战略投资者或一般法人因 配售新股成为前</w:t>
            </w:r>
            <w:r>
              <w:rPr>
                <w:rFonts w:ascii="Times New Roman" w:eastAsia="Times New Roman" w:hAnsi="Times New Roman" w:cs="Times New Roman"/>
                <w:color w:val="000000"/>
                <w:spacing w:val="0"/>
                <w:w w:val="100"/>
                <w:position w:val="0"/>
              </w:rPr>
              <w:t>10</w:t>
            </w:r>
            <w:r>
              <w:rPr>
                <w:color w:val="000000"/>
                <w:spacing w:val="0"/>
                <w:w w:val="100"/>
                <w:position w:val="0"/>
              </w:rPr>
              <w:t>名股东 的情况（如有）（参见注</w:t>
            </w:r>
            <w:r>
              <w:rPr>
                <w:rFonts w:ascii="Times New Roman" w:eastAsia="Times New Roman" w:hAnsi="Times New Roman" w:cs="Times New Roman"/>
                <w:color w:val="000000"/>
                <w:spacing w:val="0"/>
                <w:w w:val="100"/>
                <w:position w:val="0"/>
              </w:rPr>
              <w:t>3</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339"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上述股东关联关系或一致</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行动的说明</w:t>
            </w:r>
          </w:p>
        </w:tc>
        <w:tc>
          <w:tcPr>
            <w:gridSpan w:val="7"/>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上述股东中，前海发展、前海远大、凤凰财鑫、凤凰财智均为公司实际控制 人杜力先生、张巍先生控制的企业，为一致行动人。除此以外，公司未知其 他股东间是否存在《上市公司收购管理办法》规定的关联关系或一致行动关 系。</w:t>
            </w:r>
          </w:p>
        </w:tc>
      </w:tr>
      <w:tr>
        <w:trPr>
          <w:trHeight w:val="398" w:hRule="exact"/>
        </w:trPr>
        <w:tc>
          <w:tcPr>
            <w:gridSpan w:val="9"/>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名无限售条件股东持股情况</w:t>
            </w:r>
          </w:p>
        </w:tc>
      </w:tr>
      <w:tr>
        <w:trPr>
          <w:trHeight w:val="403" w:hRule="exact"/>
        </w:trPr>
        <w:tc>
          <w:tcPr>
            <w:gridSpan w:val="3"/>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报告期末持有无限售条件 股份数量</w:t>
            </w:r>
          </w:p>
        </w:tc>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3"/>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403" w:hRule="exact"/>
        </w:trPr>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张盛根</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9,949,998</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9,949,998</w:t>
            </w:r>
          </w:p>
        </w:tc>
      </w:tr>
      <w:tr>
        <w:trPr>
          <w:trHeight w:val="398" w:hRule="exact"/>
        </w:trPr>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罗桥胜</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9,800,000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9,800,000</w:t>
            </w:r>
          </w:p>
        </w:tc>
      </w:tr>
      <w:tr>
        <w:trPr>
          <w:trHeight w:val="403" w:hRule="exact"/>
        </w:trPr>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萧志刚</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9,600,000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9,600,000</w:t>
            </w:r>
          </w:p>
        </w:tc>
      </w:tr>
      <w:tr>
        <w:trPr>
          <w:trHeight w:val="403" w:hRule="exact"/>
        </w:trPr>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廖起雄</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9,000,000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9,000,000</w:t>
            </w:r>
          </w:p>
        </w:tc>
      </w:tr>
      <w:tr>
        <w:trPr>
          <w:trHeight w:val="403" w:hRule="exact"/>
        </w:trPr>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谭少伦</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8,013,951</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8,013,951</w:t>
            </w:r>
          </w:p>
        </w:tc>
      </w:tr>
      <w:tr>
        <w:trPr>
          <w:trHeight w:val="398" w:hRule="exact"/>
        </w:trPr>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孔少琴</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5,200,000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5,200,000</w:t>
            </w:r>
          </w:p>
        </w:tc>
      </w:tr>
      <w:tr>
        <w:trPr>
          <w:trHeight w:val="403" w:hRule="exact"/>
        </w:trPr>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罗绮霞</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4,600,000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4,600,000</w:t>
            </w:r>
          </w:p>
        </w:tc>
      </w:tr>
      <w:tr>
        <w:trPr>
          <w:trHeight w:val="403" w:hRule="exact"/>
        </w:trPr>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黄喜强</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2,244,000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2,244,000</w:t>
            </w:r>
          </w:p>
        </w:tc>
      </w:tr>
      <w:tr>
        <w:trPr>
          <w:trHeight w:val="715" w:hRule="exact"/>
        </w:trPr>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rPr>
              <w:t>中国工商银行一中银持续增长混 合型证券投资基金</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2,104,575</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2,104,575</w:t>
            </w:r>
          </w:p>
        </w:tc>
      </w:tr>
      <w:tr>
        <w:trPr>
          <w:trHeight w:val="710" w:hRule="exact"/>
        </w:trPr>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西藏信托有限公司一天泽</w:t>
            </w:r>
            <w:r>
              <w:rPr>
                <w:rFonts w:ascii="Times New Roman" w:eastAsia="Times New Roman" w:hAnsi="Times New Roman" w:cs="Times New Roman"/>
                <w:color w:val="000000"/>
                <w:spacing w:val="0"/>
                <w:w w:val="100"/>
                <w:position w:val="0"/>
              </w:rPr>
              <w:t>1</w:t>
            </w:r>
            <w:r>
              <w:rPr>
                <w:color w:val="000000"/>
                <w:spacing w:val="0"/>
                <w:w w:val="100"/>
                <w:position w:val="0"/>
              </w:rPr>
              <w:t>号证 券投资集合资金信托计划</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1,800,000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1,800,000</w:t>
            </w:r>
          </w:p>
        </w:tc>
      </w:tr>
      <w:tr>
        <w:trPr>
          <w:trHeight w:val="1339" w:hRule="exact"/>
        </w:trPr>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名无限售流通股股东之间， 以及前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名无限售流通股股东和 前</w:t>
            </w:r>
            <w:r>
              <w:rPr>
                <w:rFonts w:ascii="Times New Roman" w:eastAsia="Times New Roman" w:hAnsi="Times New Roman" w:cs="Times New Roman"/>
                <w:color w:val="000000"/>
                <w:spacing w:val="0"/>
                <w:w w:val="100"/>
                <w:position w:val="0"/>
              </w:rPr>
              <w:t>10</w:t>
            </w:r>
            <w:r>
              <w:rPr>
                <w:color w:val="000000"/>
                <w:spacing w:val="0"/>
                <w:w w:val="100"/>
                <w:position w:val="0"/>
              </w:rPr>
              <w:t>名股东之间关联关系或一致 行动的说明</w:t>
            </w:r>
          </w:p>
        </w:tc>
        <w:tc>
          <w:tcPr>
            <w:gridSpan w:val="6"/>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公司未知前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名无限售条件普通股股东之间，以及前</w:t>
            </w:r>
            <w:r>
              <w:rPr>
                <w:rFonts w:ascii="Times New Roman" w:eastAsia="Times New Roman" w:hAnsi="Times New Roman" w:cs="Times New Roman"/>
                <w:color w:val="000000"/>
                <w:spacing w:val="0"/>
                <w:w w:val="100"/>
                <w:position w:val="0"/>
              </w:rPr>
              <w:t>10</w:t>
            </w:r>
            <w:r>
              <w:rPr>
                <w:color w:val="000000"/>
                <w:spacing w:val="0"/>
                <w:w w:val="100"/>
                <w:position w:val="0"/>
              </w:rPr>
              <w:t>名无限售条 件普通股股东和前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名普通股股东之间是否存在《上市公司收购管理 办法》规定的关联关系或一致行动关系。</w:t>
            </w:r>
          </w:p>
        </w:tc>
      </w:tr>
      <w:tr>
        <w:trPr>
          <w:trHeight w:val="725" w:hRule="exact"/>
        </w:trPr>
        <w:tc>
          <w:tcPr>
            <w:gridSpan w:val="3"/>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名普通股股东参与融资融券 业务情况说明（如有）（参见注</w:t>
            </w:r>
            <w:r>
              <w:rPr>
                <w:rFonts w:ascii="Times New Roman" w:eastAsia="Times New Roman" w:hAnsi="Times New Roman" w:cs="Times New Roman"/>
                <w:color w:val="000000"/>
                <w:spacing w:val="0"/>
                <w:w w:val="100"/>
                <w:position w:val="0"/>
              </w:rPr>
              <w:t>4</w:t>
            </w:r>
            <w:r>
              <w:rPr>
                <w:color w:val="000000"/>
                <w:spacing w:val="0"/>
                <w:w w:val="100"/>
                <w:position w:val="0"/>
              </w:rPr>
              <w:t>）</w:t>
            </w:r>
          </w:p>
        </w:tc>
        <w:tc>
          <w:tcPr>
            <w:gridSpan w:val="6"/>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p>
      <w:pPr>
        <w:pStyle w:val="Style33"/>
        <w:keepNext w:val="0"/>
        <w:keepLines w:val="0"/>
        <w:widowControl w:val="0"/>
        <w:shd w:val="clear" w:color="auto" w:fill="auto"/>
        <w:bidi w:val="0"/>
        <w:spacing w:before="0" w:after="240" w:line="355" w:lineRule="exact"/>
        <w:ind w:left="440" w:right="0" w:hanging="440"/>
        <w:jc w:val="both"/>
      </w:pPr>
      <w:r>
        <w:rPr>
          <w:color w:val="000000"/>
          <w:spacing w:val="0"/>
          <w:w w:val="100"/>
          <w:position w:val="0"/>
        </w:rPr>
        <w:t>公司前</w:t>
      </w:r>
      <w:r>
        <w:rPr>
          <w:rFonts w:ascii="Times New Roman" w:eastAsia="Times New Roman" w:hAnsi="Times New Roman" w:cs="Times New Roman"/>
          <w:color w:val="000000"/>
          <w:spacing w:val="0"/>
          <w:w w:val="100"/>
          <w:position w:val="0"/>
        </w:rPr>
        <w:t>io</w:t>
      </w:r>
      <w:r>
        <w:rPr>
          <w:color w:val="000000"/>
          <w:spacing w:val="0"/>
          <w:w w:val="100"/>
          <w:position w:val="0"/>
        </w:rPr>
        <w:t>名普通股股东、前</w:t>
      </w:r>
      <w:r>
        <w:rPr>
          <w:rFonts w:ascii="Times New Roman" w:eastAsia="Times New Roman" w:hAnsi="Times New Roman" w:cs="Times New Roman"/>
          <w:color w:val="000000"/>
          <w:spacing w:val="0"/>
          <w:w w:val="100"/>
          <w:position w:val="0"/>
        </w:rPr>
        <w:t>io</w:t>
      </w:r>
      <w:r>
        <w:rPr>
          <w:color w:val="000000"/>
          <w:spacing w:val="0"/>
          <w:w w:val="100"/>
          <w:position w:val="0"/>
        </w:rPr>
        <w:t>名无限售条件普通股股东在报告期内是否进行约定购回交易</w:t>
      </w: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q</w:t>
      </w:r>
      <w:r>
        <w:rPr>
          <w:color w:val="000000"/>
          <w:spacing w:val="0"/>
          <w:w w:val="100"/>
          <w:position w:val="0"/>
        </w:rPr>
        <w:t>否 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p>
    <w:p>
      <w:pPr>
        <w:pStyle w:val="Style30"/>
        <w:keepNext/>
        <w:keepLines/>
        <w:widowControl w:val="0"/>
        <w:shd w:val="clear" w:color="auto" w:fill="auto"/>
        <w:bidi w:val="0"/>
        <w:spacing w:before="0" w:after="360" w:line="355" w:lineRule="exact"/>
        <w:ind w:left="0" w:right="0" w:firstLine="0"/>
        <w:jc w:val="left"/>
      </w:pPr>
      <w:bookmarkStart w:id="466" w:name="bookmark466"/>
      <w:bookmarkStart w:id="467" w:name="bookmark467"/>
      <w:bookmarkStart w:id="468" w:name="bookmark468"/>
      <w:bookmarkStart w:id="469" w:name="bookmark469"/>
      <w:r>
        <w:rPr>
          <w:rFonts w:ascii="Times New Roman" w:eastAsia="Times New Roman" w:hAnsi="Times New Roman" w:cs="Times New Roman"/>
          <w:color w:val="000000"/>
          <w:spacing w:val="0"/>
          <w:w w:val="100"/>
          <w:position w:val="0"/>
        </w:rPr>
        <w:t>2</w:t>
      </w:r>
      <w:bookmarkEnd w:id="468"/>
      <w:r>
        <w:rPr>
          <w:color w:val="000000"/>
          <w:spacing w:val="0"/>
          <w:w w:val="100"/>
          <w:position w:val="0"/>
        </w:rPr>
        <w:t>、公司控股股东情况</w:t>
      </w:r>
      <w:bookmarkEnd w:id="466"/>
      <w:bookmarkEnd w:id="467"/>
      <w:bookmarkEnd w:id="469"/>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控股股东性质：自然人控股</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2270"/>
        <w:gridCol w:w="1277"/>
        <w:gridCol w:w="1843"/>
        <w:gridCol w:w="2126"/>
        <w:gridCol w:w="2064"/>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控股股东名称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rPr>
              <w:t xml:space="preserve">/ </w:t>
            </w:r>
            <w:r>
              <w:rPr>
                <w:color w:val="000000"/>
                <w:spacing w:val="0"/>
                <w:w w:val="100"/>
                <w:position w:val="0"/>
              </w:rPr>
              <w:t>单位负责人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深圳前海财智发展投资 中心（有限合伙）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叶强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9144030035912216XQ</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项目投资；投资管理； 投资咨询；资产管理。</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深圳前海财智远大投资 中心（有限合伙）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杜力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91440300359116261W</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项目投资；投资管理； 投资咨询；资产管理。</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北京凤凰财鑫股权投资 中心（有限合伙）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杜力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911100003442295620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项目投资；投资管理； 投资咨询；资产管理。</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北京凤凰财智创新投资 中心（有限合伙）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杜力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911101053181136545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项目投资；投资管理； 投资咨询；资产管理。</w:t>
            </w:r>
          </w:p>
        </w:tc>
      </w:tr>
      <w:tr>
        <w:trPr>
          <w:trHeight w:val="1032"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控股股东报告期内控股 和参股的其他境内外上 市公司的股权情况</w:t>
            </w:r>
          </w:p>
        </w:tc>
        <w:tc>
          <w:tcPr>
            <w:gridSpan w:val="4"/>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报告期末，北京凤凰财鑫股权投资中心（有限合伙）持有广州达意隆包装机械 股份有限公司股份</w:t>
            </w:r>
            <w:r>
              <w:rPr>
                <w:rFonts w:ascii="Times New Roman" w:eastAsia="Times New Roman" w:hAnsi="Times New Roman" w:cs="Times New Roman"/>
                <w:color w:val="000000"/>
                <w:spacing w:val="0"/>
                <w:w w:val="100"/>
                <w:position w:val="0"/>
              </w:rPr>
              <w:t>1880</w:t>
            </w:r>
            <w:r>
              <w:rPr>
                <w:color w:val="000000"/>
                <w:spacing w:val="0"/>
                <w:w w:val="100"/>
                <w:position w:val="0"/>
              </w:rPr>
              <w:t>万股，占总股本</w:t>
            </w:r>
            <w:r>
              <w:rPr>
                <w:rFonts w:ascii="Times New Roman" w:eastAsia="Times New Roman" w:hAnsi="Times New Roman" w:cs="Times New Roman"/>
                <w:color w:val="000000"/>
                <w:spacing w:val="0"/>
                <w:w w:val="100"/>
                <w:position w:val="0"/>
              </w:rPr>
              <w:t>9.63%</w:t>
            </w:r>
            <w:r>
              <w:rPr>
                <w:color w:val="000000"/>
                <w:spacing w:val="0"/>
                <w:w w:val="100"/>
                <w:position w:val="0"/>
              </w:rPr>
              <w:t>。</w:t>
            </w:r>
          </w:p>
        </w:tc>
      </w:tr>
    </w:tbl>
    <w:p>
      <w:pPr>
        <w:pStyle w:val="Style26"/>
        <w:keepNext w:val="0"/>
        <w:keepLines w:val="0"/>
        <w:widowControl w:val="0"/>
        <w:shd w:val="clear" w:color="auto" w:fill="auto"/>
        <w:tabs>
          <w:tab w:pos="7968" w:val="left"/>
        </w:tabs>
        <w:bidi w:val="0"/>
        <w:spacing w:before="0" w:after="0" w:line="240" w:lineRule="auto"/>
        <w:ind w:left="0" w:right="0" w:firstLine="0"/>
        <w:jc w:val="center"/>
      </w:pPr>
      <w:r>
        <w:rPr>
          <w:color w:val="000000"/>
          <w:spacing w:val="0"/>
          <w:w w:val="100"/>
          <w:position w:val="0"/>
        </w:rPr>
        <w:t>控股股东报告期内变更</w:t>
        <w:tab/>
      </w: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widowControl w:val="0"/>
        <w:spacing w:after="39" w:line="1" w:lineRule="exact"/>
      </w:pPr>
    </w:p>
    <w:p>
      <w:pPr>
        <w:widowControl w:val="0"/>
        <w:spacing w:line="1" w:lineRule="exact"/>
      </w:pPr>
    </w:p>
    <w:tbl>
      <w:tblPr>
        <w:tblOverlap w:val="never"/>
        <w:jc w:val="center"/>
        <w:tblLayout w:type="fixed"/>
      </w:tblPr>
      <w:tblGrid>
        <w:gridCol w:w="2270"/>
        <w:gridCol w:w="731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新控股股东名称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前海发展、前海远大、凤凰财鑫、凤凰财智</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变更日期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指定网站查询索引</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巨潮资讯网、《中国证券报》、《证券时报》</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指定网站披露日期</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r>
    </w:tbl>
    <w:p>
      <w:pPr>
        <w:pStyle w:val="Style26"/>
        <w:keepNext w:val="0"/>
        <w:keepLines w:val="0"/>
        <w:widowControl w:val="0"/>
        <w:shd w:val="clear" w:color="auto" w:fill="auto"/>
        <w:bidi w:val="0"/>
        <w:spacing w:before="0" w:after="0" w:line="240" w:lineRule="auto"/>
        <w:ind w:left="0" w:right="0" w:firstLine="0"/>
        <w:jc w:val="left"/>
      </w:pPr>
      <w:bookmarkStart w:id="470" w:name="bookmark470"/>
      <w:r>
        <w:rPr>
          <w:rFonts w:ascii="Times New Roman" w:eastAsia="Times New Roman" w:hAnsi="Times New Roman" w:cs="Times New Roman"/>
          <w:b/>
          <w:bCs/>
          <w:color w:val="000000"/>
          <w:spacing w:val="0"/>
          <w:w w:val="100"/>
          <w:position w:val="0"/>
        </w:rPr>
        <w:t>3</w:t>
      </w:r>
      <w:r>
        <w:rPr>
          <w:b/>
          <w:bCs/>
          <w:color w:val="000000"/>
          <w:spacing w:val="0"/>
          <w:w w:val="100"/>
          <w:position w:val="0"/>
        </w:rPr>
        <w:t>、公司实际控制人情况</w:t>
      </w:r>
      <w:bookmarkEnd w:id="470"/>
    </w:p>
    <w:p>
      <w:pPr>
        <w:widowControl w:val="0"/>
        <w:spacing w:after="239" w:line="1" w:lineRule="exact"/>
      </w:pPr>
    </w:p>
    <w:p>
      <w:pPr>
        <w:widowControl w:val="0"/>
        <w:spacing w:line="1" w:lineRule="exact"/>
      </w:pPr>
    </w:p>
    <w:p>
      <w:pPr>
        <w:pStyle w:val="Style26"/>
        <w:keepNext w:val="0"/>
        <w:keepLines w:val="0"/>
        <w:widowControl w:val="0"/>
        <w:shd w:val="clear" w:color="auto" w:fill="auto"/>
        <w:bidi w:val="0"/>
        <w:spacing w:before="0" w:after="0" w:line="355" w:lineRule="exact"/>
        <w:ind w:left="0" w:right="0" w:firstLine="0"/>
        <w:jc w:val="left"/>
      </w:pPr>
      <w:r>
        <w:rPr>
          <w:color w:val="000000"/>
          <w:spacing w:val="0"/>
          <w:w w:val="100"/>
          <w:position w:val="0"/>
        </w:rPr>
        <w:t>实际控制人性质：境内自然人 实际控制人类型：自然人</w:t>
      </w:r>
    </w:p>
    <w:tbl>
      <w:tblPr>
        <w:tblOverlap w:val="never"/>
        <w:jc w:val="center"/>
        <w:tblLayout w:type="fixed"/>
      </w:tblPr>
      <w:tblGrid>
        <w:gridCol w:w="3830"/>
        <w:gridCol w:w="2410"/>
        <w:gridCol w:w="3341"/>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杜力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w:t>
            </w:r>
            <w:r>
              <w:rPr>
                <w:rFonts w:ascii="Times New Roman" w:eastAsia="Times New Roman" w:hAnsi="Times New Roman" w:cs="Times New Roman"/>
                <w:color w:val="000000"/>
                <w:spacing w:val="0"/>
                <w:w w:val="100"/>
                <w:position w:val="0"/>
              </w:rPr>
              <w:t>“</w:t>
            </w:r>
            <w:r>
              <w:rPr>
                <w:color w:val="000000"/>
                <w:spacing w:val="0"/>
                <w:w w:val="100"/>
                <w:position w:val="0"/>
              </w:rPr>
              <w:t>第八节董事、监事、高级管理人员和员工情况</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日，杜力先生及其一致行动人以股权受让方式 取得广州达意隆包装机械股份有限公司控制权。</w:t>
            </w:r>
          </w:p>
        </w:tc>
      </w:tr>
    </w:tbl>
    <w:p>
      <w:pPr>
        <w:pStyle w:val="Style26"/>
        <w:keepNext w:val="0"/>
        <w:keepLines w:val="0"/>
        <w:widowControl w:val="0"/>
        <w:shd w:val="clear" w:color="auto" w:fill="auto"/>
        <w:tabs>
          <w:tab w:pos="7973" w:val="left"/>
        </w:tabs>
        <w:bidi w:val="0"/>
        <w:spacing w:before="0" w:after="100" w:line="240" w:lineRule="auto"/>
        <w:ind w:left="0" w:right="0" w:firstLine="0"/>
        <w:jc w:val="left"/>
      </w:pPr>
      <w:r>
        <w:rPr>
          <w:color w:val="000000"/>
          <w:spacing w:val="0"/>
          <w:w w:val="100"/>
          <w:position w:val="0"/>
        </w:rPr>
        <w:t>实际控制人报告期内变更</w:t>
        <w:tab/>
      </w: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11900" w:h="16840"/>
          <w:pgMar w:top="1364" w:right="1061" w:bottom="1450" w:left="1052" w:header="0" w:footer="3" w:gutter="0"/>
          <w:cols w:space="720"/>
          <w:noEndnote/>
          <w:rtlGutter w:val="0"/>
          <w:docGrid w:linePitch="360"/>
        </w:sectPr>
      </w:pPr>
      <w:r>
        <w:rPr>
          <w:color w:val="000000"/>
          <w:spacing w:val="0"/>
          <w:w w:val="100"/>
          <w:position w:val="0"/>
        </w:rPr>
        <w:t>公司报告期实际控制人未发生变更。</w:t>
      </w:r>
    </w:p>
    <w:p>
      <w:pPr>
        <w:pStyle w:val="Style8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公司与实际控制人之间的产权及控制关系的方框图</w:t>
      </w:r>
    </w:p>
    <w:p>
      <w:pPr>
        <w:widowControl w:val="0"/>
        <w:jc w:val="center"/>
        <w:rPr>
          <w:sz w:val="2"/>
          <w:szCs w:val="2"/>
        </w:rPr>
      </w:pPr>
      <w:r>
        <w:drawing>
          <wp:inline>
            <wp:extent cx="5809615" cy="2932430"/>
            <wp:docPr id="114" name="Picutre 114"/>
            <a:graphic xmlns:a="http://schemas.openxmlformats.org/drawingml/2006/main">
              <a:graphicData uri="http://schemas.openxmlformats.org/drawingml/2006/picture">
                <pic:pic xmlns:pic="http://schemas.openxmlformats.org/drawingml/2006/picture">
                  <pic:nvPicPr>
                    <pic:cNvPr id="114" name="Picture 114"/>
                    <pic:cNvPicPr/>
                  </pic:nvPicPr>
                  <pic:blipFill>
                    <a:blip r:embed="rId35"/>
                    <a:stretch/>
                  </pic:blipFill>
                  <pic:spPr>
                    <a:xfrm>
                      <a:ext cx="5809615" cy="2932430"/>
                    </a:xfrm>
                    <a:prstGeom prst="rect"/>
                  </pic:spPr>
                </pic:pic>
              </a:graphicData>
            </a:graphic>
          </wp:inline>
        </w:drawing>
      </w:r>
    </w:p>
    <w:p>
      <w:pPr>
        <w:widowControl w:val="0"/>
        <w:spacing w:after="179" w:line="1" w:lineRule="exact"/>
      </w:pPr>
    </w:p>
    <w:p>
      <w:pPr>
        <w:pStyle w:val="Style33"/>
        <w:keepNext w:val="0"/>
        <w:keepLines w:val="0"/>
        <w:widowControl w:val="0"/>
        <w:shd w:val="clear" w:color="auto" w:fill="auto"/>
        <w:bidi w:val="0"/>
        <w:spacing w:before="0" w:after="180" w:line="317" w:lineRule="exact"/>
        <w:ind w:left="0" w:right="0" w:firstLine="440"/>
        <w:jc w:val="both"/>
      </w:pPr>
      <w:r>
        <w:rPr>
          <w:color w:val="000000"/>
          <w:spacing w:val="0"/>
          <w:w w:val="100"/>
          <w:position w:val="0"/>
        </w:rPr>
        <w:t xml:space="preserve">实际控制人通过信托或其他资产管理方式控制公司 </w:t>
      </w: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 适用</w:t>
      </w:r>
    </w:p>
    <w:p>
      <w:pPr>
        <w:pStyle w:val="Style33"/>
        <w:keepNext w:val="0"/>
        <w:keepLines w:val="0"/>
        <w:widowControl w:val="0"/>
        <w:shd w:val="clear" w:color="auto" w:fill="auto"/>
        <w:bidi w:val="0"/>
        <w:spacing w:before="0" w:after="340" w:line="312" w:lineRule="exact"/>
        <w:ind w:left="0" w:right="0" w:firstLine="440"/>
        <w:jc w:val="both"/>
      </w:pPr>
      <w:r>
        <w:rPr>
          <w:color w:val="000000"/>
          <w:spacing w:val="0"/>
          <w:w w:val="100"/>
          <w:position w:val="0"/>
        </w:rPr>
        <w:t>根据前海发展、前海远大、凤凰财鑫、凤凰财智的《合伙协议》，相关合伙企业的普通合伙人有权就 合伙企业的日常运营、投资决策、变更企业名称、经营范围、接纳新合伙人或同意现有合伙人追加出资等 重大事项作出决策，有限合伙人不参与合伙事务。故此，前海发展、前海远大、凤凰财鑫、凤凰财智的普 通合伙人能够有效控制相关合伙企业。</w:t>
      </w:r>
    </w:p>
    <w:tbl>
      <w:tblPr>
        <w:tblOverlap w:val="never"/>
        <w:jc w:val="left"/>
        <w:tblLayout w:type="fixed"/>
      </w:tblPr>
      <w:tblGrid>
        <w:gridCol w:w="854"/>
        <w:gridCol w:w="994"/>
        <w:gridCol w:w="994"/>
        <w:gridCol w:w="989"/>
        <w:gridCol w:w="5750"/>
      </w:tblGrid>
      <w:tr>
        <w:trPr>
          <w:trHeight w:val="1032" w:hRule="exact"/>
        </w:trPr>
        <w:tc>
          <w:tcPr>
            <w:tcBorders>
              <w:top w:val="single" w:sz="4"/>
              <w:left w:val="single" w:sz="4"/>
            </w:tcBorders>
            <w:shd w:val="clear" w:color="auto" w:fill="D3D3D3"/>
            <w:vAlign w:val="center"/>
          </w:tcPr>
          <w:p>
            <w:pPr>
              <w:pStyle w:val="Style20"/>
              <w:keepNext w:val="0"/>
              <w:keepLines w:val="0"/>
              <w:framePr w:w="9581" w:h="4963" w:hSpace="19" w:vSpace="600" w:wrap="notBeside" w:vAnchor="text" w:hAnchor="text" w:x="32" w:y="601"/>
              <w:widowControl w:val="0"/>
              <w:shd w:val="clear" w:color="auto" w:fill="auto"/>
              <w:bidi w:val="0"/>
              <w:spacing w:before="0" w:after="0" w:line="312" w:lineRule="exact"/>
              <w:ind w:left="0" w:right="0" w:firstLine="0"/>
              <w:jc w:val="right"/>
            </w:pPr>
            <w:r>
              <w:rPr>
                <w:color w:val="000000"/>
                <w:spacing w:val="0"/>
                <w:w w:val="100"/>
                <w:position w:val="0"/>
              </w:rPr>
              <w:t>法人股 东名称</w:t>
            </w:r>
          </w:p>
        </w:tc>
        <w:tc>
          <w:tcPr>
            <w:tcBorders>
              <w:top w:val="single" w:sz="4"/>
              <w:left w:val="single" w:sz="4"/>
            </w:tcBorders>
            <w:shd w:val="clear" w:color="auto" w:fill="D3D3D3"/>
            <w:vAlign w:val="center"/>
          </w:tcPr>
          <w:p>
            <w:pPr>
              <w:pStyle w:val="Style20"/>
              <w:keepNext w:val="0"/>
              <w:keepLines w:val="0"/>
              <w:framePr w:w="9581" w:h="4963" w:hSpace="19" w:vSpace="600" w:wrap="notBeside" w:vAnchor="text" w:hAnchor="text" w:x="32" w:y="601"/>
              <w:widowControl w:val="0"/>
              <w:shd w:val="clear" w:color="auto" w:fill="auto"/>
              <w:bidi w:val="0"/>
              <w:spacing w:before="0" w:after="0" w:line="314" w:lineRule="exact"/>
              <w:ind w:left="0" w:right="0" w:firstLine="0"/>
              <w:jc w:val="center"/>
            </w:pPr>
            <w:r>
              <w:rPr>
                <w:color w:val="000000"/>
                <w:spacing w:val="0"/>
                <w:w w:val="100"/>
                <w:position w:val="0"/>
              </w:rPr>
              <w:t>法定代表 人</w:t>
            </w:r>
            <w:r>
              <w:rPr>
                <w:rFonts w:ascii="Times New Roman" w:eastAsia="Times New Roman" w:hAnsi="Times New Roman" w:cs="Times New Roman"/>
                <w:color w:val="000000"/>
                <w:spacing w:val="0"/>
                <w:w w:val="100"/>
                <w:position w:val="0"/>
              </w:rPr>
              <w:t>/</w:t>
            </w:r>
            <w:r>
              <w:rPr>
                <w:color w:val="000000"/>
                <w:spacing w:val="0"/>
                <w:w w:val="100"/>
                <w:position w:val="0"/>
              </w:rPr>
              <w:t>单位负 责人</w:t>
            </w:r>
          </w:p>
        </w:tc>
        <w:tc>
          <w:tcPr>
            <w:tcBorders>
              <w:top w:val="single" w:sz="4"/>
              <w:left w:val="single" w:sz="4"/>
            </w:tcBorders>
            <w:shd w:val="clear" w:color="auto" w:fill="D3D3D3"/>
            <w:vAlign w:val="center"/>
          </w:tcPr>
          <w:p>
            <w:pPr>
              <w:pStyle w:val="Style20"/>
              <w:keepNext w:val="0"/>
              <w:keepLines w:val="0"/>
              <w:framePr w:w="9581" w:h="4963" w:hSpace="19" w:vSpace="600" w:wrap="notBeside" w:vAnchor="text" w:hAnchor="text" w:x="32" w:y="601"/>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0"/>
              <w:keepNext w:val="0"/>
              <w:keepLines w:val="0"/>
              <w:framePr w:w="9581" w:h="4963" w:hSpace="19" w:vSpace="600" w:wrap="notBeside" w:vAnchor="text" w:hAnchor="text" w:x="32" w:y="601"/>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right w:val="single" w:sz="4"/>
            </w:tcBorders>
            <w:shd w:val="clear" w:color="auto" w:fill="D3D3D3"/>
            <w:vAlign w:val="center"/>
          </w:tcPr>
          <w:p>
            <w:pPr>
              <w:pStyle w:val="Style20"/>
              <w:keepNext w:val="0"/>
              <w:keepLines w:val="0"/>
              <w:framePr w:w="9581" w:h="4963" w:hSpace="19" w:vSpace="600" w:wrap="notBeside" w:vAnchor="text" w:hAnchor="text" w:x="32" w:y="601"/>
              <w:widowControl w:val="0"/>
              <w:shd w:val="clear" w:color="auto" w:fill="auto"/>
              <w:bidi w:val="0"/>
              <w:spacing w:before="0" w:after="0" w:line="240" w:lineRule="auto"/>
              <w:ind w:left="0" w:right="0" w:firstLine="0"/>
              <w:jc w:val="center"/>
            </w:pPr>
            <w:r>
              <w:rPr>
                <w:color w:val="000000"/>
                <w:spacing w:val="0"/>
                <w:w w:val="100"/>
                <w:position w:val="0"/>
              </w:rPr>
              <w:t>主要经营业务或管理活动</w:t>
            </w:r>
          </w:p>
        </w:tc>
      </w:tr>
      <w:tr>
        <w:trPr>
          <w:trHeight w:val="2582" w:hRule="exact"/>
        </w:trPr>
        <w:tc>
          <w:tcPr>
            <w:tcBorders>
              <w:top w:val="single" w:sz="4"/>
              <w:left w:val="single" w:sz="4"/>
            </w:tcBorders>
            <w:shd w:val="clear" w:color="auto" w:fill="FFFFFF"/>
            <w:vAlign w:val="center"/>
          </w:tcPr>
          <w:p>
            <w:pPr>
              <w:pStyle w:val="Style20"/>
              <w:keepNext w:val="0"/>
              <w:keepLines w:val="0"/>
              <w:framePr w:w="9581" w:h="4963" w:hSpace="19" w:vSpace="600" w:wrap="notBeside" w:vAnchor="text" w:hAnchor="text" w:x="32" w:y="601"/>
              <w:widowControl w:val="0"/>
              <w:shd w:val="clear" w:color="auto" w:fill="auto"/>
              <w:bidi w:val="0"/>
              <w:spacing w:before="0" w:after="0" w:line="314" w:lineRule="exact"/>
              <w:ind w:left="0" w:right="0" w:firstLine="0"/>
              <w:jc w:val="both"/>
            </w:pPr>
            <w:r>
              <w:rPr>
                <w:color w:val="000000"/>
                <w:spacing w:val="0"/>
                <w:w w:val="100"/>
                <w:position w:val="0"/>
              </w:rPr>
              <w:t>中江国 际信托 股份有 限公司</w:t>
            </w:r>
          </w:p>
        </w:tc>
        <w:tc>
          <w:tcPr>
            <w:tcBorders>
              <w:top w:val="single" w:sz="4"/>
              <w:left w:val="single" w:sz="4"/>
            </w:tcBorders>
            <w:shd w:val="clear" w:color="auto" w:fill="FFFFFF"/>
            <w:vAlign w:val="center"/>
          </w:tcPr>
          <w:p>
            <w:pPr>
              <w:pStyle w:val="Style20"/>
              <w:keepNext w:val="0"/>
              <w:keepLines w:val="0"/>
              <w:framePr w:w="9581" w:h="4963" w:hSpace="19" w:vSpace="600" w:wrap="notBeside" w:vAnchor="text" w:hAnchor="text" w:x="32" w:y="601"/>
              <w:widowControl w:val="0"/>
              <w:shd w:val="clear" w:color="auto" w:fill="auto"/>
              <w:bidi w:val="0"/>
              <w:spacing w:before="0" w:after="0" w:line="240" w:lineRule="auto"/>
              <w:ind w:left="0" w:right="0" w:firstLine="0"/>
              <w:jc w:val="left"/>
            </w:pPr>
            <w:r>
              <w:rPr>
                <w:color w:val="000000"/>
                <w:spacing w:val="0"/>
                <w:w w:val="100"/>
                <w:position w:val="0"/>
              </w:rPr>
              <w:t>裘强</w:t>
            </w:r>
          </w:p>
        </w:tc>
        <w:tc>
          <w:tcPr>
            <w:tcBorders>
              <w:top w:val="single" w:sz="4"/>
              <w:left w:val="single" w:sz="4"/>
            </w:tcBorders>
            <w:shd w:val="clear" w:color="auto" w:fill="FFFFFF"/>
            <w:vAlign w:val="center"/>
          </w:tcPr>
          <w:p>
            <w:pPr>
              <w:pStyle w:val="Style20"/>
              <w:keepNext w:val="0"/>
              <w:keepLines w:val="0"/>
              <w:framePr w:w="9581" w:h="4963" w:hSpace="19" w:vSpace="600" w:wrap="notBeside" w:vAnchor="text" w:hAnchor="text" w:x="32" w:y="601"/>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framePr w:w="9581" w:h="4963" w:hSpace="19" w:vSpace="600" w:wrap="notBeside" w:vAnchor="text" w:hAnchor="text" w:x="32" w:y="601"/>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300505.17</w:t>
            </w:r>
          </w:p>
          <w:p>
            <w:pPr>
              <w:pStyle w:val="Style20"/>
              <w:keepNext w:val="0"/>
              <w:keepLines w:val="0"/>
              <w:framePr w:w="9581" w:h="4963" w:hSpace="19" w:vSpace="600" w:wrap="notBeside" w:vAnchor="text" w:hAnchor="text" w:x="32" w:y="60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0"/>
              <w:keepNext w:val="0"/>
              <w:keepLines w:val="0"/>
              <w:framePr w:w="9581" w:h="4963" w:hSpace="19" w:vSpace="600" w:wrap="notBeside" w:vAnchor="text" w:hAnchor="text" w:x="32" w:y="601"/>
              <w:widowControl w:val="0"/>
              <w:shd w:val="clear" w:color="auto" w:fill="auto"/>
              <w:bidi w:val="0"/>
              <w:spacing w:before="0" w:after="0" w:line="312" w:lineRule="exact"/>
              <w:ind w:left="0" w:right="0" w:firstLine="0"/>
              <w:jc w:val="both"/>
            </w:pPr>
            <w:r>
              <w:rPr>
                <w:color w:val="000000"/>
                <w:spacing w:val="0"/>
                <w:w w:val="100"/>
                <w:position w:val="0"/>
              </w:rPr>
              <w:t>资金信托；动产信托；不动产信托；有价证券信托；其他财产 或财产权信托；作为投资基金或者基金管理公司的发起人从事 投资基金业务；经营企业资产的重组、购并及项目融资、公司 理财、财务顾问等业务；受托经营国务院有关部门批准的证券 承销业务；办理居间、咨询、资信调查等业务；代保管及保管 箱业务；以存放同业、拆放同业、贷款、租赁、投资方式运用 固有财产；以固有财产为他人提供担保；从事同业拆借；法律 法规规定或中国银行业监督管理委员会批准的其他业务。</w:t>
            </w:r>
          </w:p>
        </w:tc>
      </w:tr>
      <w:tr>
        <w:trPr>
          <w:trHeight w:val="1349" w:hRule="exact"/>
        </w:trPr>
        <w:tc>
          <w:tcPr>
            <w:tcBorders>
              <w:top w:val="single" w:sz="4"/>
              <w:left w:val="single" w:sz="4"/>
              <w:bottom w:val="single" w:sz="4"/>
            </w:tcBorders>
            <w:shd w:val="clear" w:color="auto" w:fill="FFFFFF"/>
            <w:vAlign w:val="center"/>
          </w:tcPr>
          <w:p>
            <w:pPr>
              <w:pStyle w:val="Style20"/>
              <w:keepNext w:val="0"/>
              <w:keepLines w:val="0"/>
              <w:framePr w:w="9581" w:h="4963" w:hSpace="19" w:vSpace="600" w:wrap="notBeside" w:vAnchor="text" w:hAnchor="text" w:x="32" w:y="601"/>
              <w:widowControl w:val="0"/>
              <w:shd w:val="clear" w:color="auto" w:fill="auto"/>
              <w:bidi w:val="0"/>
              <w:spacing w:before="0" w:after="0" w:line="315" w:lineRule="exact"/>
              <w:ind w:left="0" w:right="0" w:firstLine="0"/>
              <w:jc w:val="both"/>
            </w:pPr>
            <w:r>
              <w:rPr>
                <w:color w:val="000000"/>
                <w:spacing w:val="0"/>
                <w:w w:val="100"/>
                <w:position w:val="0"/>
              </w:rPr>
              <w:t>北京迅 杰新科 科技有 限公司</w:t>
            </w:r>
          </w:p>
        </w:tc>
        <w:tc>
          <w:tcPr>
            <w:tcBorders>
              <w:top w:val="single" w:sz="4"/>
              <w:left w:val="single" w:sz="4"/>
              <w:bottom w:val="single" w:sz="4"/>
            </w:tcBorders>
            <w:shd w:val="clear" w:color="auto" w:fill="FFFFFF"/>
            <w:vAlign w:val="center"/>
          </w:tcPr>
          <w:p>
            <w:pPr>
              <w:pStyle w:val="Style20"/>
              <w:keepNext w:val="0"/>
              <w:keepLines w:val="0"/>
              <w:framePr w:w="9581" w:h="4963" w:hSpace="19" w:vSpace="600" w:wrap="notBeside" w:vAnchor="text" w:hAnchor="text" w:x="32" w:y="601"/>
              <w:widowControl w:val="0"/>
              <w:shd w:val="clear" w:color="auto" w:fill="auto"/>
              <w:bidi w:val="0"/>
              <w:spacing w:before="0" w:after="0" w:line="240" w:lineRule="auto"/>
              <w:ind w:left="0" w:right="0" w:firstLine="0"/>
              <w:jc w:val="left"/>
            </w:pPr>
            <w:r>
              <w:rPr>
                <w:color w:val="000000"/>
                <w:spacing w:val="0"/>
                <w:w w:val="100"/>
                <w:position w:val="0"/>
              </w:rPr>
              <w:t>钟声</w:t>
            </w:r>
          </w:p>
        </w:tc>
        <w:tc>
          <w:tcPr>
            <w:tcBorders>
              <w:top w:val="single" w:sz="4"/>
              <w:left w:val="single" w:sz="4"/>
              <w:bottom w:val="single" w:sz="4"/>
            </w:tcBorders>
            <w:shd w:val="clear" w:color="auto" w:fill="FFFFFF"/>
            <w:vAlign w:val="center"/>
          </w:tcPr>
          <w:p>
            <w:pPr>
              <w:pStyle w:val="Style20"/>
              <w:keepNext w:val="0"/>
              <w:keepLines w:val="0"/>
              <w:framePr w:w="9581" w:h="4963" w:hSpace="19" w:vSpace="600" w:wrap="notBeside" w:vAnchor="text" w:hAnchor="text" w:x="32" w:y="601"/>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2009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09</w:t>
            </w:r>
          </w:p>
          <w:p>
            <w:pPr>
              <w:pStyle w:val="Style20"/>
              <w:keepNext w:val="0"/>
              <w:keepLines w:val="0"/>
              <w:framePr w:w="9581" w:h="4963" w:hSpace="19" w:vSpace="600" w:wrap="notBeside" w:vAnchor="text" w:hAnchor="text" w:x="32" w:y="601"/>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framePr w:w="9581" w:h="4963" w:hSpace="19" w:vSpace="600" w:wrap="notBeside" w:vAnchor="text" w:hAnchor="text" w:x="32" w:y="601"/>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200000 </w:t>
            </w:r>
            <w:r>
              <w:rPr>
                <w:color w:val="000000"/>
                <w:spacing w:val="0"/>
                <w:w w:val="100"/>
                <w:position w:val="0"/>
              </w:rPr>
              <w:t>万</w:t>
            </w:r>
          </w:p>
          <w:p>
            <w:pPr>
              <w:pStyle w:val="Style20"/>
              <w:keepNext w:val="0"/>
              <w:keepLines w:val="0"/>
              <w:framePr w:w="9581" w:h="4963" w:hSpace="19" w:vSpace="600" w:wrap="notBeside" w:vAnchor="text" w:hAnchor="text" w:x="32" w:y="601"/>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right w:val="single" w:sz="4"/>
            </w:tcBorders>
            <w:shd w:val="clear" w:color="auto" w:fill="FFFFFF"/>
            <w:vAlign w:val="center"/>
          </w:tcPr>
          <w:p>
            <w:pPr>
              <w:pStyle w:val="Style20"/>
              <w:keepNext w:val="0"/>
              <w:keepLines w:val="0"/>
              <w:framePr w:w="9581" w:h="4963" w:hSpace="19" w:vSpace="600" w:wrap="notBeside" w:vAnchor="text" w:hAnchor="text" w:x="32" w:y="601"/>
              <w:widowControl w:val="0"/>
              <w:shd w:val="clear" w:color="auto" w:fill="auto"/>
              <w:bidi w:val="0"/>
              <w:spacing w:before="0" w:after="0" w:line="314" w:lineRule="exact"/>
              <w:ind w:left="0" w:right="0" w:firstLine="0"/>
              <w:jc w:val="both"/>
            </w:pPr>
            <w:r>
              <w:rPr>
                <w:color w:val="000000"/>
                <w:spacing w:val="0"/>
                <w:w w:val="100"/>
                <w:position w:val="0"/>
              </w:rPr>
              <w:t>销售计算机软硬件、电子产品、通讯器材、机械设备；信息咨 询（不含中介服务）；计算机软硬件的技术开发、技术咨询、技 术转让、技术服务；计算机网络技术服务。</w:t>
            </w:r>
          </w:p>
        </w:tc>
      </w:tr>
    </w:tbl>
    <w:p>
      <w:pPr>
        <w:pStyle w:val="Style26"/>
        <w:keepNext w:val="0"/>
        <w:keepLines w:val="0"/>
        <w:framePr w:w="3360" w:h="269" w:hSpace="12" w:wrap="notBeside" w:vAnchor="text" w:hAnchor="text" w:x="13" w:y="15"/>
        <w:widowControl w:val="0"/>
        <w:shd w:val="clear" w:color="auto" w:fill="auto"/>
        <w:bidi w:val="0"/>
        <w:spacing w:before="0" w:after="0" w:line="240" w:lineRule="auto"/>
        <w:ind w:left="0" w:right="0" w:firstLine="0"/>
        <w:jc w:val="left"/>
      </w:pPr>
      <w:bookmarkStart w:id="471" w:name="bookmark471"/>
      <w:r>
        <w:rPr>
          <w:rFonts w:ascii="Times New Roman" w:eastAsia="Times New Roman" w:hAnsi="Times New Roman" w:cs="Times New Roman"/>
          <w:b/>
          <w:bCs/>
          <w:color w:val="000000"/>
          <w:spacing w:val="0"/>
          <w:w w:val="100"/>
          <w:position w:val="0"/>
        </w:rPr>
        <w:t>4</w:t>
      </w:r>
      <w:r>
        <w:rPr>
          <w:b/>
          <w:bCs/>
          <w:color w:val="000000"/>
          <w:spacing w:val="0"/>
          <w:w w:val="100"/>
          <w:position w:val="0"/>
        </w:rPr>
        <w:t>、其他持股在</w:t>
      </w:r>
      <w:r>
        <w:rPr>
          <w:rFonts w:ascii="Times New Roman" w:eastAsia="Times New Roman" w:hAnsi="Times New Roman" w:cs="Times New Roman"/>
          <w:b/>
          <w:bCs/>
          <w:color w:val="000000"/>
          <w:spacing w:val="0"/>
          <w:w w:val="100"/>
          <w:position w:val="0"/>
        </w:rPr>
        <w:t>10%</w:t>
      </w:r>
      <w:r>
        <w:rPr>
          <w:b/>
          <w:bCs/>
          <w:color w:val="000000"/>
          <w:spacing w:val="0"/>
          <w:w w:val="100"/>
          <w:position w:val="0"/>
        </w:rPr>
        <w:t>以上的法人股东</w:t>
      </w:r>
      <w:bookmarkEnd w:id="471"/>
    </w:p>
    <w:p>
      <w:pPr>
        <w:pStyle w:val="Style26"/>
        <w:keepNext w:val="0"/>
        <w:keepLines w:val="0"/>
        <w:framePr w:w="1646" w:h="298" w:hSpace="12" w:wrap="notBeside" w:vAnchor="text" w:hAnchor="text" w:x="7971"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framePr w:w="1411" w:h="298" w:hSpace="12" w:wrap="notBeside" w:vAnchor="text" w:hAnchor="text" w:x="8264" w:y="5876"/>
        <w:widowControl w:val="0"/>
        <w:shd w:val="clear" w:color="auto" w:fill="auto"/>
        <w:bidi w:val="0"/>
        <w:spacing w:before="0" w:after="0" w:line="240" w:lineRule="auto"/>
        <w:ind w:left="0" w:right="0" w:firstLine="0"/>
        <w:jc w:val="center"/>
      </w:pP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6"/>
        <w:keepNext w:val="0"/>
        <w:keepLines w:val="0"/>
        <w:framePr w:w="6475" w:h="274" w:hSpace="12" w:wrap="notBeside" w:vAnchor="text" w:hAnchor="text" w:x="13" w:y="5891"/>
        <w:widowControl w:val="0"/>
        <w:shd w:val="clear" w:color="auto" w:fill="auto"/>
        <w:bidi w:val="0"/>
        <w:spacing w:before="0" w:after="0" w:line="240" w:lineRule="auto"/>
        <w:ind w:left="0" w:right="0" w:firstLine="0"/>
        <w:jc w:val="left"/>
      </w:pPr>
      <w:bookmarkStart w:id="472" w:name="bookmark472"/>
      <w:r>
        <w:rPr>
          <w:rFonts w:ascii="Times New Roman" w:eastAsia="Times New Roman" w:hAnsi="Times New Roman" w:cs="Times New Roman"/>
          <w:b/>
          <w:bCs/>
          <w:color w:val="000000"/>
          <w:spacing w:val="0"/>
          <w:w w:val="100"/>
          <w:position w:val="0"/>
        </w:rPr>
        <w:t>5</w:t>
      </w:r>
      <w:r>
        <w:rPr>
          <w:b/>
          <w:bCs/>
          <w:color w:val="000000"/>
          <w:spacing w:val="0"/>
          <w:w w:val="100"/>
          <w:position w:val="0"/>
        </w:rPr>
        <w:t>、控股股东、实际控制人、重组方及其他承诺主体股份限制减持情况</w:t>
      </w:r>
      <w:bookmarkEnd w:id="472"/>
    </w:p>
    <w:p>
      <w:pPr>
        <w:pStyle w:val="Style26"/>
        <w:keepNext w:val="0"/>
        <w:keepLines w:val="0"/>
        <w:framePr w:w="158" w:h="250" w:hSpace="12" w:wrap="notBeside" w:vAnchor="text" w:hAnchor="text" w:x="8034" w:y="591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p>
      <w:pPr>
        <w:widowControl w:val="0"/>
        <w:spacing w:line="1" w:lineRule="exact"/>
      </w:pPr>
    </w:p>
    <w:p>
      <w:pPr>
        <w:widowControl w:val="0"/>
        <w:jc w:val="center"/>
        <w:rPr>
          <w:sz w:val="2"/>
          <w:szCs w:val="2"/>
        </w:rPr>
        <w:sectPr>
          <w:footnotePr>
            <w:pos w:val="pageBottom"/>
            <w:numFmt w:val="decimal"/>
            <w:numRestart w:val="continuous"/>
          </w:footnotePr>
          <w:pgSz w:w="11900" w:h="16840"/>
          <w:pgMar w:top="1470" w:right="1109" w:bottom="125" w:left="1104" w:header="0" w:footer="3" w:gutter="0"/>
          <w:cols w:space="720"/>
          <w:noEndnote/>
          <w:rtlGutter w:val="0"/>
          <w:docGrid w:linePitch="360"/>
        </w:sectPr>
      </w:pPr>
      <w:r>
        <w:drawing>
          <wp:inline>
            <wp:extent cx="414655" cy="372110"/>
            <wp:docPr id="115" name="Picutre 115"/>
            <a:graphic xmlns:a="http://schemas.openxmlformats.org/drawingml/2006/main">
              <a:graphicData uri="http://schemas.openxmlformats.org/drawingml/2006/picture">
                <pic:pic xmlns:pic="http://schemas.openxmlformats.org/drawingml/2006/picture">
                  <pic:nvPicPr>
                    <pic:cNvPr id="115" name="Picture 115"/>
                    <pic:cNvPicPr/>
                  </pic:nvPicPr>
                  <pic:blipFill>
                    <a:blip r:embed="rId37"/>
                    <a:stretch/>
                  </pic:blipFill>
                  <pic:spPr>
                    <a:xfrm>
                      <a:ext cx="414655" cy="372110"/>
                    </a:xfrm>
                    <a:prstGeom prst="rect"/>
                  </pic:spPr>
                </pic:pic>
              </a:graphicData>
            </a:graphic>
          </wp:inline>
        </w:drawing>
      </w:r>
    </w:p>
    <w:p>
      <w:pPr>
        <w:widowControl w:val="0"/>
        <w:spacing w:before="105" w:after="105" w:line="240" w:lineRule="exact"/>
        <w:rPr>
          <w:sz w:val="19"/>
          <w:szCs w:val="19"/>
        </w:rPr>
      </w:pPr>
    </w:p>
    <w:p>
      <w:pPr>
        <w:widowControl w:val="0"/>
        <w:spacing w:line="1" w:lineRule="exact"/>
        <w:sectPr>
          <w:footnotePr>
            <w:pos w:val="pageBottom"/>
            <w:numFmt w:val="decimal"/>
            <w:numRestart w:val="continuous"/>
          </w:footnotePr>
          <w:pgSz w:w="11900" w:h="16840"/>
          <w:pgMar w:top="1441" w:right="1057" w:bottom="1508" w:left="1056" w:header="0" w:footer="3" w:gutter="0"/>
          <w:cols w:space="720"/>
          <w:noEndnote/>
          <w:rtlGutter w:val="0"/>
          <w:docGrid w:linePitch="360"/>
        </w:sectPr>
      </w:pPr>
    </w:p>
    <w:p>
      <w:pPr>
        <w:widowControl w:val="0"/>
        <w:spacing w:line="1" w:lineRule="exact"/>
      </w:pPr>
      <w:r>
        <mc:AlternateContent>
          <mc:Choice Requires="wps">
            <w:drawing>
              <wp:anchor distT="0" distB="254000" distL="0" distR="0" simplePos="0" relativeHeight="125829428" behindDoc="0" locked="0" layoutInCell="1" allowOverlap="1">
                <wp:simplePos x="0" y="0"/>
                <wp:positionH relativeFrom="page">
                  <wp:posOffset>2693035</wp:posOffset>
                </wp:positionH>
                <wp:positionV relativeFrom="paragraph">
                  <wp:posOffset>0</wp:posOffset>
                </wp:positionV>
                <wp:extent cx="2170430" cy="243840"/>
                <wp:wrapTopAndBottom/>
                <wp:docPr id="116" name="Shape 116"/>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2"/>
                              <w:keepNext/>
                              <w:keepLines/>
                              <w:widowControl w:val="0"/>
                              <w:shd w:val="clear" w:color="auto" w:fill="auto"/>
                              <w:bidi w:val="0"/>
                              <w:spacing w:before="0" w:after="0" w:line="240" w:lineRule="auto"/>
                              <w:ind w:left="0" w:right="0" w:firstLine="0"/>
                              <w:jc w:val="center"/>
                            </w:pPr>
                            <w:bookmarkStart w:id="473" w:name="bookmark473"/>
                            <w:bookmarkStart w:id="474" w:name="bookmark474"/>
                            <w:bookmarkStart w:id="475" w:name="bookmark475"/>
                            <w:r>
                              <w:rPr>
                                <w:color w:val="000000"/>
                                <w:spacing w:val="0"/>
                                <w:w w:val="100"/>
                                <w:position w:val="0"/>
                              </w:rPr>
                              <w:t>第七节优先股相关情况</w:t>
                            </w:r>
                            <w:bookmarkEnd w:id="473"/>
                            <w:bookmarkEnd w:id="474"/>
                            <w:bookmarkEnd w:id="475"/>
                          </w:p>
                        </w:txbxContent>
                      </wps:txbx>
                      <wps:bodyPr wrap="none" lIns="0" tIns="0" rIns="0" bIns="0">
                        <a:noAutoFit/>
                      </wps:bodyPr>
                    </wps:wsp>
                  </a:graphicData>
                </a:graphic>
              </wp:anchor>
            </w:drawing>
          </mc:Choice>
          <mc:Fallback>
            <w:pict>
              <v:shape id="_x0000_s1142" type="#_x0000_t202" style="position:absolute;margin-left:212.05000000000001pt;margin-top:0;width:170.90000000000001pt;height:19.199999999999999pt;z-index:-125829325;mso-wrap-distance-left:0;mso-wrap-distance-right:0;mso-wrap-distance-bottom:20.pt;mso-position-horizontal-relative:page" filled="f" stroked="f">
                <v:textbox inset="0,0,0,0">
                  <w:txbxContent>
                    <w:p>
                      <w:pPr>
                        <w:pStyle w:val="Style12"/>
                        <w:keepNext/>
                        <w:keepLines/>
                        <w:widowControl w:val="0"/>
                        <w:shd w:val="clear" w:color="auto" w:fill="auto"/>
                        <w:bidi w:val="0"/>
                        <w:spacing w:before="0" w:after="0" w:line="240" w:lineRule="auto"/>
                        <w:ind w:left="0" w:right="0" w:firstLine="0"/>
                        <w:jc w:val="center"/>
                      </w:pPr>
                      <w:bookmarkStart w:id="473" w:name="bookmark473"/>
                      <w:bookmarkStart w:id="474" w:name="bookmark474"/>
                      <w:bookmarkStart w:id="475" w:name="bookmark475"/>
                      <w:r>
                        <w:rPr>
                          <w:color w:val="000000"/>
                          <w:spacing w:val="0"/>
                          <w:w w:val="100"/>
                          <w:position w:val="0"/>
                        </w:rPr>
                        <w:t>第七节优先股相关情况</w:t>
                      </w:r>
                      <w:bookmarkEnd w:id="473"/>
                      <w:bookmarkEnd w:id="474"/>
                      <w:bookmarkEnd w:id="475"/>
                    </w:p>
                  </w:txbxContent>
                </v:textbox>
                <w10:wrap type="topAndBottom" anchorx="page"/>
              </v:shape>
            </w:pict>
          </mc:Fallback>
        </mc:AlternateContent>
      </w:r>
    </w:p>
    <w:p>
      <w:pPr>
        <w:pStyle w:val="Style3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报告期公司不存在优先股。</w:t>
      </w:r>
      <w:r>
        <w:br w:type="page"/>
      </w:r>
    </w:p>
    <w:p>
      <w:pPr>
        <w:pStyle w:val="Style12"/>
        <w:keepNext/>
        <w:keepLines/>
        <w:widowControl w:val="0"/>
        <w:shd w:val="clear" w:color="auto" w:fill="auto"/>
        <w:bidi w:val="0"/>
        <w:spacing w:before="0" w:line="240" w:lineRule="auto"/>
        <w:ind w:left="0" w:right="0" w:firstLine="0"/>
        <w:jc w:val="center"/>
      </w:pPr>
      <w:bookmarkStart w:id="476" w:name="bookmark476"/>
      <w:bookmarkStart w:id="477" w:name="bookmark477"/>
      <w:bookmarkStart w:id="478" w:name="bookmark478"/>
      <w:r>
        <w:rPr>
          <w:color w:val="000000"/>
          <w:spacing w:val="0"/>
          <w:w w:val="100"/>
          <w:position w:val="0"/>
        </w:rPr>
        <w:t>第八节董事、监事、高级管理人员和员工情况</w:t>
      </w:r>
      <w:bookmarkEnd w:id="476"/>
      <w:bookmarkEnd w:id="477"/>
      <w:bookmarkEnd w:id="478"/>
    </w:p>
    <w:p>
      <w:pPr>
        <w:pStyle w:val="Style23"/>
        <w:keepNext/>
        <w:keepLines/>
        <w:widowControl w:val="0"/>
        <w:shd w:val="clear" w:color="auto" w:fill="auto"/>
        <w:bidi w:val="0"/>
        <w:spacing w:before="0" w:after="320" w:line="240" w:lineRule="auto"/>
        <w:ind w:left="0" w:right="0" w:firstLine="0"/>
        <w:jc w:val="left"/>
        <w:rPr>
          <w:sz w:val="22"/>
          <w:szCs w:val="22"/>
        </w:rPr>
      </w:pPr>
      <w:bookmarkStart w:id="479" w:name="bookmark479"/>
      <w:bookmarkStart w:id="480" w:name="bookmark480"/>
      <w:bookmarkStart w:id="481" w:name="bookmark481"/>
      <w:bookmarkStart w:id="482" w:name="bookmark482"/>
      <w:r>
        <w:rPr>
          <w:b/>
          <w:bCs/>
          <w:color w:val="000000"/>
          <w:spacing w:val="0"/>
          <w:w w:val="100"/>
          <w:position w:val="0"/>
          <w:sz w:val="22"/>
          <w:szCs w:val="22"/>
        </w:rPr>
        <w:t>一</w:t>
      </w:r>
      <w:bookmarkEnd w:id="481"/>
      <w:r>
        <w:rPr>
          <w:b/>
          <w:bCs/>
          <w:color w:val="000000"/>
          <w:spacing w:val="0"/>
          <w:w w:val="100"/>
          <w:position w:val="0"/>
          <w:sz w:val="22"/>
          <w:szCs w:val="22"/>
        </w:rPr>
        <w:t>、董事、监事和高级管理人员持股变动</w:t>
      </w:r>
      <w:bookmarkEnd w:id="479"/>
      <w:bookmarkEnd w:id="480"/>
      <w:bookmarkEnd w:id="482"/>
    </w:p>
    <w:tbl>
      <w:tblPr>
        <w:tblOverlap w:val="never"/>
        <w:jc w:val="center"/>
        <w:tblLayout w:type="fixed"/>
      </w:tblPr>
      <w:tblGrid>
        <w:gridCol w:w="715"/>
        <w:gridCol w:w="1133"/>
        <w:gridCol w:w="547"/>
        <w:gridCol w:w="302"/>
        <w:gridCol w:w="283"/>
        <w:gridCol w:w="1133"/>
        <w:gridCol w:w="994"/>
        <w:gridCol w:w="994"/>
        <w:gridCol w:w="994"/>
        <w:gridCol w:w="989"/>
        <w:gridCol w:w="710"/>
        <w:gridCol w:w="792"/>
      </w:tblGrid>
      <w:tr>
        <w:trPr>
          <w:trHeight w:val="103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职务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任职 状态</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both"/>
            </w:pPr>
            <w:r>
              <w:rPr>
                <w:color w:val="000000"/>
                <w:spacing w:val="0"/>
                <w:w w:val="100"/>
                <w:position w:val="0"/>
              </w:rPr>
              <w:t>性 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left"/>
            </w:pPr>
            <w:r>
              <w:rPr>
                <w:color w:val="000000"/>
                <w:spacing w:val="0"/>
                <w:w w:val="100"/>
                <w:position w:val="0"/>
              </w:rPr>
              <w:t>年 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任期起始日 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right"/>
            </w:pPr>
            <w:r>
              <w:rPr>
                <w:color w:val="000000"/>
                <w:spacing w:val="0"/>
                <w:w w:val="100"/>
                <w:position w:val="0"/>
              </w:rPr>
              <w:t>期初持股 数（股）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80" w:line="317" w:lineRule="exact"/>
              <w:ind w:left="0" w:right="0" w:firstLine="0"/>
              <w:jc w:val="right"/>
            </w:pPr>
            <w:r>
              <w:rPr>
                <w:color w:val="000000"/>
                <w:spacing w:val="0"/>
                <w:w w:val="100"/>
                <w:position w:val="0"/>
              </w:rPr>
              <w:t>本期增持 股份数量</w:t>
            </w:r>
          </w:p>
          <w:p>
            <w:pPr>
              <w:pStyle w:val="Style20"/>
              <w:keepNext w:val="0"/>
              <w:keepLines w:val="0"/>
              <w:widowControl w:val="0"/>
              <w:shd w:val="clear" w:color="auto" w:fill="auto"/>
              <w:bidi w:val="0"/>
              <w:spacing w:before="0" w:after="0" w:line="317"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80" w:line="317" w:lineRule="exact"/>
              <w:ind w:left="0" w:right="0" w:firstLine="0"/>
              <w:jc w:val="center"/>
            </w:pPr>
            <w:r>
              <w:rPr>
                <w:color w:val="000000"/>
                <w:spacing w:val="0"/>
                <w:w w:val="100"/>
                <w:position w:val="0"/>
              </w:rPr>
              <w:t>本期减持 股份数量</w:t>
            </w:r>
          </w:p>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80" w:line="317" w:lineRule="exact"/>
              <w:ind w:left="0" w:right="0" w:firstLine="0"/>
              <w:jc w:val="left"/>
            </w:pPr>
            <w:r>
              <w:rPr>
                <w:color w:val="000000"/>
                <w:spacing w:val="0"/>
                <w:w w:val="100"/>
                <w:position w:val="0"/>
              </w:rPr>
              <w:t>其他增 减变动</w:t>
            </w:r>
          </w:p>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期末持 股数 （股）</w:t>
            </w:r>
          </w:p>
        </w:tc>
      </w:tr>
      <w:tr>
        <w:trPr>
          <w:trHeight w:val="274"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杜力</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07</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张巍</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07</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36</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谢基柱</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48</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137,500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412,500</w:t>
            </w:r>
          </w:p>
        </w:tc>
      </w:tr>
      <w:tr>
        <w:trPr>
          <w:trHeight w:val="427" w:hRule="exact"/>
        </w:trPr>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董事、董事</w:t>
            </w: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0"/>
              <w:jc w:val="left"/>
            </w:pPr>
            <w:r>
              <w:rPr>
                <w:color w:val="000000"/>
                <w:spacing w:val="0"/>
                <w:w w:val="100"/>
                <w:position w:val="0"/>
              </w:rPr>
              <w:t>会秘书、财</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务总监</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49</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44"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8"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4"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罗嘉俊</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05</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李英明</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07</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38</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张李平</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05</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43</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周春生</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07</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徐强国</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07</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4"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何国英</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54</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刘琛</w:t>
            </w: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7"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44</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w:t>
            </w:r>
          </w:p>
        </w:tc>
      </w:tr>
      <w:tr>
        <w:trPr>
          <w:trHeight w:val="2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27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叶强</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07</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36</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刘世明</w:t>
            </w: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545,000</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136,200</w:t>
            </w: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408,800</w:t>
            </w:r>
          </w:p>
        </w:tc>
      </w:tr>
      <w:tr>
        <w:trPr>
          <w:trHeight w:val="25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1,145,000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871,300</w:t>
            </w:r>
          </w:p>
        </w:tc>
      </w:tr>
    </w:tbl>
    <w:p>
      <w:pPr>
        <w:pStyle w:val="Style33"/>
        <w:keepNext w:val="0"/>
        <w:keepLines w:val="0"/>
        <w:widowControl w:val="0"/>
        <w:shd w:val="clear" w:color="auto" w:fill="auto"/>
        <w:tabs>
          <w:tab w:pos="485" w:val="left"/>
          <w:tab w:pos="7944" w:val="left"/>
        </w:tabs>
        <w:bidi w:val="0"/>
        <w:spacing w:before="0" w:after="340" w:line="240" w:lineRule="auto"/>
        <w:ind w:left="0" w:right="0" w:firstLine="0"/>
        <w:jc w:val="both"/>
      </w:pPr>
      <w:bookmarkStart w:id="483" w:name="bookmark483"/>
      <w:bookmarkStart w:id="484" w:name="bookmark484"/>
      <w:r>
        <w:rPr>
          <w:b/>
          <w:bCs/>
          <w:color w:val="000000"/>
          <w:spacing w:val="0"/>
          <w:w w:val="100"/>
          <w:position w:val="0"/>
          <w:sz w:val="22"/>
          <w:szCs w:val="22"/>
        </w:rPr>
        <w:t>二</w:t>
      </w:r>
      <w:bookmarkEnd w:id="483"/>
      <w:r>
        <w:rPr>
          <w:b/>
          <w:bCs/>
          <w:color w:val="000000"/>
          <w:spacing w:val="0"/>
          <w:w w:val="100"/>
          <w:position w:val="0"/>
          <w:sz w:val="22"/>
          <w:szCs w:val="22"/>
        </w:rPr>
        <w:t>、</w:t>
        <w:tab/>
        <w:t>公司董事、监事、高级管理人员变动情况</w:t>
        <w:tab/>
      </w: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484"/>
    </w:p>
    <w:p>
      <w:pPr>
        <w:pStyle w:val="Style23"/>
        <w:keepNext/>
        <w:keepLines/>
        <w:widowControl w:val="0"/>
        <w:shd w:val="clear" w:color="auto" w:fill="auto"/>
        <w:tabs>
          <w:tab w:pos="485" w:val="left"/>
        </w:tabs>
        <w:bidi w:val="0"/>
        <w:spacing w:before="0" w:after="280" w:line="240" w:lineRule="auto"/>
        <w:ind w:left="0" w:right="0" w:firstLine="0"/>
        <w:jc w:val="both"/>
        <w:rPr>
          <w:sz w:val="22"/>
          <w:szCs w:val="22"/>
        </w:rPr>
      </w:pPr>
      <w:bookmarkStart w:id="485" w:name="bookmark485"/>
      <w:bookmarkStart w:id="486" w:name="bookmark486"/>
      <w:bookmarkStart w:id="487" w:name="bookmark487"/>
      <w:bookmarkStart w:id="488" w:name="bookmark488"/>
      <w:bookmarkStart w:id="489" w:name="bookmark489"/>
      <w:r>
        <w:rPr>
          <w:b/>
          <w:bCs/>
          <w:color w:val="000000"/>
          <w:spacing w:val="0"/>
          <w:w w:val="100"/>
          <w:position w:val="0"/>
          <w:sz w:val="22"/>
          <w:szCs w:val="22"/>
        </w:rPr>
        <w:t>三</w:t>
      </w:r>
      <w:bookmarkEnd w:id="487"/>
      <w:r>
        <w:rPr>
          <w:b/>
          <w:bCs/>
          <w:color w:val="000000"/>
          <w:spacing w:val="0"/>
          <w:w w:val="100"/>
          <w:position w:val="0"/>
          <w:sz w:val="22"/>
          <w:szCs w:val="22"/>
        </w:rPr>
        <w:t>、</w:t>
        <w:tab/>
        <w:t>任职情况</w:t>
      </w:r>
      <w:bookmarkEnd w:id="485"/>
      <w:bookmarkEnd w:id="486"/>
      <w:bookmarkEnd w:id="488"/>
      <w:bookmarkEnd w:id="489"/>
    </w:p>
    <w:p>
      <w:pPr>
        <w:pStyle w:val="Style33"/>
        <w:keepNext w:val="0"/>
        <w:keepLines w:val="0"/>
        <w:widowControl w:val="0"/>
        <w:shd w:val="clear" w:color="auto" w:fill="auto"/>
        <w:bidi w:val="0"/>
        <w:spacing w:before="0" w:after="0" w:line="316" w:lineRule="exact"/>
        <w:ind w:left="0" w:right="0" w:firstLine="0"/>
        <w:jc w:val="both"/>
      </w:pPr>
      <w:bookmarkStart w:id="490" w:name="bookmark490"/>
      <w:r>
        <w:rPr>
          <w:color w:val="000000"/>
          <w:spacing w:val="0"/>
          <w:w w:val="100"/>
          <w:position w:val="0"/>
        </w:rPr>
        <w:t>公司现任董事、监事、高级管理人员专业背景、主要工作经历以及目前在公司的主要职责</w:t>
      </w:r>
      <w:bookmarkEnd w:id="490"/>
    </w:p>
    <w:p>
      <w:pPr>
        <w:pStyle w:val="Style33"/>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杜力先生，</w:t>
      </w:r>
      <w:r>
        <w:rPr>
          <w:rFonts w:ascii="Times New Roman" w:eastAsia="Times New Roman" w:hAnsi="Times New Roman" w:cs="Times New Roman"/>
          <w:color w:val="000000"/>
          <w:spacing w:val="0"/>
          <w:w w:val="100"/>
          <w:position w:val="0"/>
        </w:rPr>
        <w:t>1980</w:t>
      </w:r>
      <w:r>
        <w:rPr>
          <w:color w:val="000000"/>
          <w:spacing w:val="0"/>
          <w:w w:val="100"/>
          <w:position w:val="0"/>
        </w:rPr>
        <w:t>年出生，中国国籍，无境外永久居留权，硕士研究生学历。曾任中能基业投资公司董 事长，现任公司董事长、国盛证券董事长、广东达意隆包装机械股份有限公司董事长、众安在线财产保险 股份有限公司独立董事、北京快乐时代科技发展有限公司董事等职。</w:t>
      </w:r>
    </w:p>
    <w:p>
      <w:pPr>
        <w:pStyle w:val="Style33"/>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张巍先生，</w:t>
      </w:r>
      <w:r>
        <w:rPr>
          <w:rFonts w:ascii="Times New Roman" w:eastAsia="Times New Roman" w:hAnsi="Times New Roman" w:cs="Times New Roman"/>
          <w:color w:val="000000"/>
          <w:spacing w:val="0"/>
          <w:w w:val="100"/>
          <w:position w:val="0"/>
        </w:rPr>
        <w:t>1980</w:t>
      </w:r>
      <w:r>
        <w:rPr>
          <w:color w:val="000000"/>
          <w:spacing w:val="0"/>
          <w:w w:val="100"/>
          <w:position w:val="0"/>
        </w:rPr>
        <w:t>年出生，中国国籍，无境外永久居留权，硕士研究生学历。曾任江苏通达动力科技股 份有限公司副总经理、董事会秘书，现任公司副董事长、总经理，子公司前海科技执行董事、经理等职。</w:t>
      </w:r>
    </w:p>
    <w:p>
      <w:pPr>
        <w:pStyle w:val="Style33"/>
        <w:keepNext w:val="0"/>
        <w:keepLines w:val="0"/>
        <w:widowControl w:val="0"/>
        <w:shd w:val="clear" w:color="auto" w:fill="auto"/>
        <w:bidi w:val="0"/>
        <w:spacing w:before="0" w:after="0" w:line="318" w:lineRule="exact"/>
        <w:ind w:left="0" w:right="0" w:firstLine="440"/>
        <w:jc w:val="both"/>
      </w:pPr>
      <w:r>
        <w:rPr>
          <w:color w:val="000000"/>
          <w:spacing w:val="0"/>
          <w:w w:val="100"/>
          <w:position w:val="0"/>
        </w:rPr>
        <w:t>谢基柱先生，</w:t>
      </w:r>
      <w:r>
        <w:rPr>
          <w:rFonts w:ascii="Times New Roman" w:eastAsia="Times New Roman" w:hAnsi="Times New Roman" w:cs="Times New Roman"/>
          <w:color w:val="000000"/>
          <w:spacing w:val="0"/>
          <w:w w:val="100"/>
          <w:position w:val="0"/>
        </w:rPr>
        <w:t>1968</w:t>
      </w:r>
      <w:r>
        <w:rPr>
          <w:color w:val="000000"/>
          <w:spacing w:val="0"/>
          <w:w w:val="100"/>
          <w:position w:val="0"/>
        </w:rPr>
        <w:t>年出生，中国国籍，无永久境外居留权，硕士研究生学历，工程师。</w:t>
      </w:r>
      <w:r>
        <w:rPr>
          <w:rFonts w:ascii="Times New Roman" w:eastAsia="Times New Roman" w:hAnsi="Times New Roman" w:cs="Times New Roman"/>
          <w:color w:val="000000"/>
          <w:spacing w:val="0"/>
          <w:w w:val="100"/>
          <w:position w:val="0"/>
        </w:rPr>
        <w:t>2005</w:t>
      </w:r>
      <w:r>
        <w:rPr>
          <w:color w:val="000000"/>
          <w:spacing w:val="0"/>
          <w:w w:val="100"/>
          <w:position w:val="0"/>
        </w:rPr>
        <w:t>年加入公 司，历任总经理助理、生产副总经理、子公司扬州华声总经理等职，现任公司董事、副总经理，子公司华 声实业董事、总经理、扬州华声董事等职。</w:t>
      </w:r>
    </w:p>
    <w:p>
      <w:pPr>
        <w:pStyle w:val="Style33"/>
        <w:keepNext w:val="0"/>
        <w:keepLines w:val="0"/>
        <w:widowControl w:val="0"/>
        <w:shd w:val="clear" w:color="auto" w:fill="auto"/>
        <w:bidi w:val="0"/>
        <w:spacing w:before="0" w:after="0" w:line="318" w:lineRule="exact"/>
        <w:ind w:left="0" w:right="0" w:firstLine="440"/>
        <w:jc w:val="both"/>
      </w:pPr>
      <w:r>
        <w:rPr>
          <w:color w:val="000000"/>
          <w:spacing w:val="0"/>
          <w:w w:val="100"/>
          <w:position w:val="0"/>
        </w:rPr>
        <w:t>赵岑女士，</w:t>
      </w:r>
      <w:r>
        <w:rPr>
          <w:rFonts w:ascii="Times New Roman" w:eastAsia="Times New Roman" w:hAnsi="Times New Roman" w:cs="Times New Roman"/>
          <w:color w:val="000000"/>
          <w:spacing w:val="0"/>
          <w:w w:val="100"/>
          <w:position w:val="0"/>
        </w:rPr>
        <w:t>1967</w:t>
      </w:r>
      <w:r>
        <w:rPr>
          <w:color w:val="000000"/>
          <w:spacing w:val="0"/>
          <w:w w:val="100"/>
          <w:position w:val="0"/>
        </w:rPr>
        <w:t>年出生，中国国籍，无永久境外居留权，硕士研究生学历。曾任东莞市高能电气股份 有限公司董事会秘书、深圳中南成长投资管理有限公司副总经理兼财务与风控总监、深圳市鼎泰数控机床 股份有限公司董事、董事会秘书、副总经理，现任公司董事、董事会秘书、财务总监，子公司深圳华声监 事。</w:t>
      </w:r>
    </w:p>
    <w:p>
      <w:pPr>
        <w:pStyle w:val="Style33"/>
        <w:keepNext w:val="0"/>
        <w:keepLines w:val="0"/>
        <w:widowControl w:val="0"/>
        <w:shd w:val="clear" w:color="auto" w:fill="auto"/>
        <w:bidi w:val="0"/>
        <w:spacing w:before="0" w:after="0" w:line="326" w:lineRule="exact"/>
        <w:ind w:left="0" w:right="0" w:firstLine="440"/>
        <w:jc w:val="both"/>
      </w:pPr>
      <w:r>
        <w:rPr>
          <w:color w:val="000000"/>
          <w:spacing w:val="0"/>
          <w:w w:val="100"/>
          <w:position w:val="0"/>
        </w:rPr>
        <w:t>罗嘉俊先生，</w:t>
      </w:r>
      <w:r>
        <w:rPr>
          <w:rFonts w:ascii="Times New Roman" w:eastAsia="Times New Roman" w:hAnsi="Times New Roman" w:cs="Times New Roman"/>
          <w:color w:val="000000"/>
          <w:spacing w:val="0"/>
          <w:w w:val="100"/>
          <w:position w:val="0"/>
        </w:rPr>
        <w:t>1989</w:t>
      </w:r>
      <w:r>
        <w:rPr>
          <w:color w:val="000000"/>
          <w:spacing w:val="0"/>
          <w:w w:val="100"/>
          <w:position w:val="0"/>
        </w:rPr>
        <w:t>年出生，中国国籍，持有香港临时身份证，无永久境外居留权，毕业于英国皇家霍 洛威大学。现任公司董事，佛山市顺德区瑞域房产有限公司执行董事、经理。</w:t>
      </w:r>
    </w:p>
    <w:p>
      <w:pPr>
        <w:pStyle w:val="Style33"/>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李英明先生，</w:t>
      </w:r>
      <w:r>
        <w:rPr>
          <w:rFonts w:ascii="Times New Roman" w:eastAsia="Times New Roman" w:hAnsi="Times New Roman" w:cs="Times New Roman"/>
          <w:color w:val="000000"/>
          <w:spacing w:val="0"/>
          <w:w w:val="100"/>
          <w:position w:val="0"/>
        </w:rPr>
        <w:t>1978</w:t>
      </w:r>
      <w:r>
        <w:rPr>
          <w:color w:val="000000"/>
          <w:spacing w:val="0"/>
          <w:w w:val="100"/>
          <w:position w:val="0"/>
        </w:rPr>
        <w:t>年出生，中国国籍，无境外永久居留权，硕士研究生学历。曾任正略钧策管理顾问 公司高级顾问、投资经理，现任公司董事，子公司深圳华声执行董事、经理，北京云江科技有限公司董事、 北京凤凰财富资产管理有限公司副总经理等职。</w:t>
      </w:r>
    </w:p>
    <w:p>
      <w:pPr>
        <w:pStyle w:val="Style33"/>
        <w:keepNext w:val="0"/>
        <w:keepLines w:val="0"/>
        <w:widowControl w:val="0"/>
        <w:shd w:val="clear" w:color="auto" w:fill="auto"/>
        <w:bidi w:val="0"/>
        <w:spacing w:before="0" w:after="0" w:line="293" w:lineRule="exact"/>
        <w:ind w:left="0" w:right="0" w:firstLine="440"/>
        <w:jc w:val="both"/>
      </w:pPr>
      <w:r>
        <w:rPr>
          <w:color w:val="000000"/>
          <w:spacing w:val="0"/>
          <w:w w:val="100"/>
          <w:position w:val="0"/>
        </w:rPr>
        <w:t>张李平先生，</w:t>
      </w:r>
      <w:r>
        <w:rPr>
          <w:rFonts w:ascii="Times New Roman" w:eastAsia="Times New Roman" w:hAnsi="Times New Roman" w:cs="Times New Roman"/>
          <w:color w:val="000000"/>
          <w:spacing w:val="0"/>
          <w:w w:val="100"/>
          <w:position w:val="0"/>
        </w:rPr>
        <w:t>1973</w:t>
      </w:r>
      <w:r>
        <w:rPr>
          <w:color w:val="000000"/>
          <w:spacing w:val="0"/>
          <w:w w:val="100"/>
          <w:position w:val="0"/>
        </w:rPr>
        <w:t>年出生，大学本科学历，毕业于西南政法大学法律系，执业律师，曾任广东海顺 律师事务所律师，现任广东兴顺律师事务所主任、公司独立董事。</w:t>
      </w:r>
    </w:p>
    <w:p>
      <w:pPr>
        <w:pStyle w:val="Style33"/>
        <w:keepNext w:val="0"/>
        <w:keepLines w:val="0"/>
        <w:widowControl w:val="0"/>
        <w:shd w:val="clear" w:color="auto" w:fill="auto"/>
        <w:bidi w:val="0"/>
        <w:spacing w:before="0" w:after="0" w:line="316" w:lineRule="exact"/>
        <w:ind w:left="0" w:right="0" w:firstLine="440"/>
        <w:jc w:val="both"/>
      </w:pPr>
      <w:r>
        <w:rPr>
          <w:color w:val="000000"/>
          <w:spacing w:val="0"/>
          <w:w w:val="100"/>
          <w:position w:val="0"/>
        </w:rPr>
        <w:t>周春生先生，</w:t>
      </w:r>
      <w:r>
        <w:rPr>
          <w:rFonts w:ascii="Times New Roman" w:eastAsia="Times New Roman" w:hAnsi="Times New Roman" w:cs="Times New Roman"/>
          <w:color w:val="000000"/>
          <w:spacing w:val="0"/>
          <w:w w:val="100"/>
          <w:position w:val="0"/>
        </w:rPr>
        <w:t>1966</w:t>
      </w:r>
      <w:r>
        <w:rPr>
          <w:color w:val="000000"/>
          <w:spacing w:val="0"/>
          <w:w w:val="100"/>
          <w:position w:val="0"/>
        </w:rPr>
        <w:t>年出生，中国国籍，无境外永久居留权，博士研究生学历。现任长江商学院金融教 授、</w:t>
      </w:r>
      <w:r>
        <w:rPr>
          <w:rFonts w:ascii="Times New Roman" w:eastAsia="Times New Roman" w:hAnsi="Times New Roman" w:cs="Times New Roman"/>
          <w:color w:val="000000"/>
          <w:spacing w:val="0"/>
          <w:w w:val="100"/>
          <w:position w:val="0"/>
        </w:rPr>
        <w:t>EMBA</w:t>
      </w:r>
      <w:r>
        <w:rPr>
          <w:color w:val="000000"/>
          <w:spacing w:val="0"/>
          <w:w w:val="100"/>
          <w:position w:val="0"/>
        </w:rPr>
        <w:t>学术主任、公司独立董事等职。国家杰出青年基金获得者。曾任北京大学光华管理学院院长助 理、高层管理者培训与发展中心主任、金融教授、中国证监会规划发展委员会委员（副局级），并兼任光 华管理学院金融系主任，中国留美金融学会理事，美国经济学会、美国金融研究会会员，</w:t>
      </w:r>
      <w:r>
        <w:rPr>
          <w:rFonts w:ascii="Times New Roman" w:eastAsia="Times New Roman" w:hAnsi="Times New Roman" w:cs="Times New Roman"/>
          <w:color w:val="000000"/>
          <w:spacing w:val="0"/>
          <w:w w:val="100"/>
          <w:position w:val="0"/>
        </w:rPr>
        <w:t>Annuals of Economics and Finance</w:t>
      </w:r>
      <w:r>
        <w:rPr>
          <w:color w:val="000000"/>
          <w:spacing w:val="0"/>
          <w:w w:val="100"/>
          <w:position w:val="0"/>
        </w:rPr>
        <w:t>编委。著名经济学家，香港大学荣誉教授，香港城市大学客座教授，深圳证券交易 所首届和第二届上市委员会委员。获北京大学数学系硕士学位，美国普林斯顿大学金融经济学博士学位， 普林斯顿大学最优博士生荣誉奖学金。</w:t>
      </w:r>
    </w:p>
    <w:p>
      <w:pPr>
        <w:pStyle w:val="Style33"/>
        <w:keepNext w:val="0"/>
        <w:keepLines w:val="0"/>
        <w:widowControl w:val="0"/>
        <w:shd w:val="clear" w:color="auto" w:fill="auto"/>
        <w:bidi w:val="0"/>
        <w:spacing w:before="0" w:after="0" w:line="316" w:lineRule="exact"/>
        <w:ind w:left="0" w:right="0" w:firstLine="440"/>
        <w:jc w:val="both"/>
      </w:pPr>
      <w:r>
        <w:rPr>
          <w:color w:val="000000"/>
          <w:spacing w:val="0"/>
          <w:w w:val="100"/>
          <w:position w:val="0"/>
        </w:rPr>
        <w:t>徐强国先生，</w:t>
      </w:r>
      <w:r>
        <w:rPr>
          <w:rFonts w:ascii="Times New Roman" w:eastAsia="Times New Roman" w:hAnsi="Times New Roman" w:cs="Times New Roman"/>
          <w:color w:val="000000"/>
          <w:spacing w:val="0"/>
          <w:w w:val="100"/>
          <w:position w:val="0"/>
        </w:rPr>
        <w:t>1964</w:t>
      </w:r>
      <w:r>
        <w:rPr>
          <w:color w:val="000000"/>
          <w:spacing w:val="0"/>
          <w:w w:val="100"/>
          <w:position w:val="0"/>
        </w:rPr>
        <w:t>年出生，中国国籍，无境外永久居留权，博士研究生学历。曾任天津商业大学教授, 现任浙江工商大学财务与会计学院教授、公司独立董事等职。</w:t>
      </w:r>
    </w:p>
    <w:p>
      <w:pPr>
        <w:pStyle w:val="Style33"/>
        <w:keepNext w:val="0"/>
        <w:keepLines w:val="0"/>
        <w:widowControl w:val="0"/>
        <w:shd w:val="clear" w:color="auto" w:fill="auto"/>
        <w:bidi w:val="0"/>
        <w:spacing w:before="0" w:after="0" w:line="316" w:lineRule="exact"/>
        <w:ind w:left="0" w:right="0" w:firstLine="440"/>
        <w:jc w:val="both"/>
      </w:pPr>
      <w:r>
        <w:rPr>
          <w:color w:val="000000"/>
          <w:spacing w:val="0"/>
          <w:w w:val="100"/>
          <w:position w:val="0"/>
        </w:rPr>
        <w:t>何国英先生，</w:t>
      </w:r>
      <w:r>
        <w:rPr>
          <w:rFonts w:ascii="Times New Roman" w:eastAsia="Times New Roman" w:hAnsi="Times New Roman" w:cs="Times New Roman"/>
          <w:color w:val="000000"/>
          <w:spacing w:val="0"/>
          <w:w w:val="100"/>
          <w:position w:val="0"/>
        </w:rPr>
        <w:t>1962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月出生，中国国籍，无永久境外居留权，清华大学</w:t>
      </w:r>
      <w:r>
        <w:rPr>
          <w:rFonts w:ascii="Times New Roman" w:eastAsia="Times New Roman" w:hAnsi="Times New Roman" w:cs="Times New Roman"/>
          <w:color w:val="000000"/>
          <w:spacing w:val="0"/>
          <w:w w:val="100"/>
          <w:position w:val="0"/>
        </w:rPr>
        <w:t>MBA</w:t>
      </w:r>
      <w:r>
        <w:rPr>
          <w:color w:val="000000"/>
          <w:spacing w:val="0"/>
          <w:w w:val="100"/>
          <w:position w:val="0"/>
        </w:rPr>
        <w:t>课程结业。历任广东德 美精细化工股份有限公司执行董事、监事、董事、总经理助理、营销负责人等职务。现任广东德美精细化 工股份有限公司董事、副总经理、公司监事会主席等职。</w:t>
      </w:r>
    </w:p>
    <w:p>
      <w:pPr>
        <w:pStyle w:val="Style33"/>
        <w:keepNext w:val="0"/>
        <w:keepLines w:val="0"/>
        <w:widowControl w:val="0"/>
        <w:shd w:val="clear" w:color="auto" w:fill="auto"/>
        <w:bidi w:val="0"/>
        <w:spacing w:before="0" w:after="0" w:line="316" w:lineRule="exact"/>
        <w:ind w:left="0" w:right="0" w:firstLine="440"/>
        <w:jc w:val="both"/>
      </w:pPr>
      <w:r>
        <w:rPr>
          <w:color w:val="000000"/>
          <w:spacing w:val="0"/>
          <w:w w:val="100"/>
          <w:position w:val="0"/>
        </w:rPr>
        <w:t>刘琛女士，</w:t>
      </w:r>
      <w:r>
        <w:rPr>
          <w:rFonts w:ascii="Times New Roman" w:eastAsia="Times New Roman" w:hAnsi="Times New Roman" w:cs="Times New Roman"/>
          <w:color w:val="000000"/>
          <w:spacing w:val="0"/>
          <w:w w:val="100"/>
          <w:position w:val="0"/>
        </w:rPr>
        <w:t>1972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月出生，中国国籍，无境外永久居留权，大学本科学历，现任公司监事、子公司 华声实业品质管理部副经理。</w:t>
      </w:r>
    </w:p>
    <w:p>
      <w:pPr>
        <w:pStyle w:val="Style33"/>
        <w:keepNext w:val="0"/>
        <w:keepLines w:val="0"/>
        <w:widowControl w:val="0"/>
        <w:shd w:val="clear" w:color="auto" w:fill="auto"/>
        <w:bidi w:val="0"/>
        <w:spacing w:before="0" w:after="0" w:line="316" w:lineRule="exact"/>
        <w:ind w:left="0" w:right="0" w:firstLine="440"/>
        <w:jc w:val="both"/>
      </w:pPr>
      <w:r>
        <w:rPr>
          <w:color w:val="000000"/>
          <w:spacing w:val="0"/>
          <w:w w:val="100"/>
          <w:position w:val="0"/>
        </w:rPr>
        <w:t>叶强先生，</w:t>
      </w:r>
      <w:r>
        <w:rPr>
          <w:rFonts w:ascii="Times New Roman" w:eastAsia="Times New Roman" w:hAnsi="Times New Roman" w:cs="Times New Roman"/>
          <w:color w:val="000000"/>
          <w:spacing w:val="0"/>
          <w:w w:val="100"/>
          <w:position w:val="0"/>
        </w:rPr>
        <w:t>1980</w:t>
      </w:r>
      <w:r>
        <w:rPr>
          <w:color w:val="000000"/>
          <w:spacing w:val="0"/>
          <w:w w:val="100"/>
          <w:position w:val="0"/>
        </w:rPr>
        <w:t>年出生，中国国籍，无境外永久居留权，硕士研究生学历。曾任屈臣氏集团有限公司 区域经理，现任公司监事、子公司国盛证券办公室副主任等职。</w:t>
      </w:r>
    </w:p>
    <w:p>
      <w:pPr>
        <w:pStyle w:val="Style33"/>
        <w:keepNext w:val="0"/>
        <w:keepLines w:val="0"/>
        <w:widowControl w:val="0"/>
        <w:shd w:val="clear" w:color="auto" w:fill="auto"/>
        <w:bidi w:val="0"/>
        <w:spacing w:before="0" w:after="0" w:line="316" w:lineRule="exact"/>
        <w:ind w:left="0" w:right="0" w:firstLine="440"/>
        <w:jc w:val="both"/>
      </w:pPr>
      <w:r>
        <w:rPr>
          <w:color w:val="000000"/>
          <w:spacing w:val="0"/>
          <w:w w:val="100"/>
          <w:position w:val="0"/>
        </w:rPr>
        <w:t>刘世明先生，</w:t>
      </w:r>
      <w:r>
        <w:rPr>
          <w:rFonts w:ascii="Times New Roman" w:eastAsia="Times New Roman" w:hAnsi="Times New Roman" w:cs="Times New Roman"/>
          <w:color w:val="000000"/>
          <w:spacing w:val="0"/>
          <w:w w:val="100"/>
          <w:position w:val="0"/>
        </w:rPr>
        <w:t>1969</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月出生，中国国籍，无境外永久居留权，本科学历。</w:t>
      </w:r>
      <w:r>
        <w:rPr>
          <w:rFonts w:ascii="Times New Roman" w:eastAsia="Times New Roman" w:hAnsi="Times New Roman" w:cs="Times New Roman"/>
          <w:color w:val="000000"/>
          <w:spacing w:val="0"/>
          <w:w w:val="100"/>
          <w:position w:val="0"/>
        </w:rPr>
        <w:t>1997</w:t>
      </w:r>
      <w:r>
        <w:rPr>
          <w:color w:val="000000"/>
          <w:spacing w:val="0"/>
          <w:w w:val="100"/>
          <w:position w:val="0"/>
        </w:rPr>
        <w:t>年加入公司，历任行 政部经理、企管部经理、品质副总经理、生产技术副总经理等职，现任公司副总经理，子公司华声实业董 事、副总经理、扬州华声董事等职。</w:t>
      </w:r>
    </w:p>
    <w:p>
      <w:pPr>
        <w:pStyle w:val="Style33"/>
        <w:keepNext w:val="0"/>
        <w:keepLines w:val="0"/>
        <w:widowControl w:val="0"/>
        <w:shd w:val="clear" w:color="auto" w:fill="auto"/>
        <w:tabs>
          <w:tab w:pos="7944" w:val="left"/>
        </w:tabs>
        <w:bidi w:val="0"/>
        <w:spacing w:before="0" w:after="0" w:line="316" w:lineRule="exact"/>
        <w:ind w:left="0" w:right="0" w:firstLine="0"/>
        <w:jc w:val="both"/>
      </w:pPr>
      <w:r>
        <w:rPr>
          <w:color w:val="000000"/>
          <w:spacing w:val="0"/>
          <w:w w:val="100"/>
          <w:position w:val="0"/>
        </w:rPr>
        <w:t>在股东单位任职情况</w:t>
        <w:tab/>
      </w:r>
      <w:r>
        <w:rPr>
          <w:rFonts w:ascii="Times New Roman" w:eastAsia="Times New Roman" w:hAnsi="Times New Roman" w:cs="Times New Roman"/>
          <w:color w:val="000000"/>
          <w:spacing w:val="0"/>
          <w:w w:val="100"/>
          <w:position w:val="0"/>
        </w:rPr>
        <w:t>4</w:t>
      </w:r>
      <w:r>
        <w:rPr>
          <w:color w:val="000000"/>
          <w:spacing w:val="0"/>
          <w:w w:val="100"/>
          <w:position w:val="0"/>
        </w:rPr>
        <w:t>适用</w:t>
      </w:r>
      <w:r>
        <w:rPr>
          <w:color w:val="000000"/>
          <w:spacing w:val="0"/>
          <w:w w:val="100"/>
          <w:position w:val="0"/>
        </w:rPr>
        <w:t>口</w:t>
      </w:r>
      <w:r>
        <w:rPr>
          <w:color w:val="000000"/>
          <w:spacing w:val="0"/>
          <w:w w:val="100"/>
          <w:position w:val="0"/>
        </w:rPr>
        <w:t>不适用</w:t>
      </w:r>
      <w:r>
        <w:br w:type="page"/>
      </w:r>
    </w:p>
    <w:tbl>
      <w:tblPr>
        <w:tblOverlap w:val="never"/>
        <w:jc w:val="left"/>
        <w:tblLayout w:type="fixed"/>
      </w:tblPr>
      <w:tblGrid>
        <w:gridCol w:w="854"/>
        <w:gridCol w:w="3970"/>
        <w:gridCol w:w="1560"/>
        <w:gridCol w:w="994"/>
        <w:gridCol w:w="989"/>
        <w:gridCol w:w="1214"/>
      </w:tblGrid>
      <w:tr>
        <w:trPr>
          <w:trHeight w:val="1032" w:hRule="exact"/>
        </w:trPr>
        <w:tc>
          <w:tcPr>
            <w:tcBorders>
              <w:top w:val="single" w:sz="4"/>
              <w:left w:val="single" w:sz="4"/>
            </w:tcBorders>
            <w:shd w:val="clear" w:color="auto" w:fill="D3D3D3"/>
            <w:vAlign w:val="center"/>
          </w:tcPr>
          <w:p>
            <w:pPr>
              <w:pStyle w:val="Style20"/>
              <w:keepNext w:val="0"/>
              <w:keepLines w:val="0"/>
              <w:framePr w:w="9581" w:h="9610" w:hSpace="14" w:vSpace="322" w:wrap="notBeside" w:vAnchor="text" w:hAnchor="text" w:x="111" w:y="323"/>
              <w:widowControl w:val="0"/>
              <w:shd w:val="clear" w:color="auto" w:fill="auto"/>
              <w:bidi w:val="0"/>
              <w:spacing w:before="0" w:after="0" w:line="312" w:lineRule="exact"/>
              <w:ind w:left="0" w:right="0" w:firstLine="0"/>
              <w:jc w:val="left"/>
            </w:pPr>
            <w:r>
              <w:rPr>
                <w:color w:val="000000"/>
                <w:spacing w:val="0"/>
                <w:w w:val="100"/>
                <w:position w:val="0"/>
              </w:rPr>
              <w:t>任职人 员姓名</w:t>
            </w:r>
          </w:p>
        </w:tc>
        <w:tc>
          <w:tcPr>
            <w:tcBorders>
              <w:top w:val="single" w:sz="4"/>
              <w:left w:val="single" w:sz="4"/>
            </w:tcBorders>
            <w:shd w:val="clear" w:color="auto" w:fill="D3D3D3"/>
            <w:vAlign w:val="center"/>
          </w:tcPr>
          <w:p>
            <w:pPr>
              <w:pStyle w:val="Style20"/>
              <w:keepNext w:val="0"/>
              <w:keepLines w:val="0"/>
              <w:framePr w:w="9581" w:h="9610" w:hSpace="14" w:vSpace="322" w:wrap="notBeside" w:vAnchor="text" w:hAnchor="text" w:x="111" w:y="323"/>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0"/>
              <w:keepNext w:val="0"/>
              <w:keepLines w:val="0"/>
              <w:framePr w:w="9581" w:h="9610" w:hSpace="14" w:vSpace="322" w:wrap="notBeside" w:vAnchor="text" w:hAnchor="text" w:x="111" w:y="323"/>
              <w:widowControl w:val="0"/>
              <w:shd w:val="clear" w:color="auto" w:fill="auto"/>
              <w:bidi w:val="0"/>
              <w:spacing w:before="0" w:after="0" w:line="307" w:lineRule="exact"/>
              <w:ind w:left="460" w:right="0" w:hanging="460"/>
              <w:jc w:val="both"/>
            </w:pPr>
            <w:r>
              <w:rPr>
                <w:color w:val="000000"/>
                <w:spacing w:val="0"/>
                <w:w w:val="100"/>
                <w:position w:val="0"/>
              </w:rPr>
              <w:t>在其他单位担任 的职务</w:t>
            </w:r>
          </w:p>
        </w:tc>
        <w:tc>
          <w:tcPr>
            <w:tcBorders>
              <w:top w:val="single" w:sz="4"/>
              <w:left w:val="single" w:sz="4"/>
            </w:tcBorders>
            <w:shd w:val="clear" w:color="auto" w:fill="D3D3D3"/>
            <w:vAlign w:val="center"/>
          </w:tcPr>
          <w:p>
            <w:pPr>
              <w:pStyle w:val="Style20"/>
              <w:keepNext w:val="0"/>
              <w:keepLines w:val="0"/>
              <w:framePr w:w="9581" w:h="9610" w:hSpace="14" w:vSpace="322" w:wrap="notBeside" w:vAnchor="text" w:hAnchor="text" w:x="111" w:y="323"/>
              <w:widowControl w:val="0"/>
              <w:shd w:val="clear" w:color="auto" w:fill="auto"/>
              <w:bidi w:val="0"/>
              <w:spacing w:before="0" w:after="0" w:line="312"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D3D3D3"/>
            <w:vAlign w:val="center"/>
          </w:tcPr>
          <w:p>
            <w:pPr>
              <w:pStyle w:val="Style20"/>
              <w:keepNext w:val="0"/>
              <w:keepLines w:val="0"/>
              <w:framePr w:w="9581" w:h="9610" w:hSpace="14" w:vSpace="322" w:wrap="notBeside" w:vAnchor="text" w:hAnchor="text" w:x="111" w:y="323"/>
              <w:widowControl w:val="0"/>
              <w:shd w:val="clear" w:color="auto" w:fill="auto"/>
              <w:bidi w:val="0"/>
              <w:spacing w:before="0" w:after="0" w:line="317" w:lineRule="exact"/>
              <w:ind w:left="0" w:right="0" w:firstLine="0"/>
              <w:jc w:val="center"/>
            </w:pPr>
            <w:r>
              <w:rPr>
                <w:color w:val="000000"/>
                <w:spacing w:val="0"/>
                <w:w w:val="100"/>
                <w:position w:val="0"/>
              </w:rPr>
              <w:t>任期终止 日期</w:t>
            </w:r>
          </w:p>
        </w:tc>
        <w:tc>
          <w:tcPr>
            <w:tcBorders>
              <w:top w:val="single" w:sz="4"/>
              <w:left w:val="single" w:sz="4"/>
              <w:right w:val="single" w:sz="4"/>
            </w:tcBorders>
            <w:shd w:val="clear" w:color="auto" w:fill="D3D3D3"/>
            <w:vAlign w:val="center"/>
          </w:tcPr>
          <w:p>
            <w:pPr>
              <w:pStyle w:val="Style20"/>
              <w:keepNext w:val="0"/>
              <w:keepLines w:val="0"/>
              <w:framePr w:w="9581" w:h="9610" w:hSpace="14" w:vSpace="322" w:wrap="notBeside" w:vAnchor="text" w:hAnchor="text" w:x="111" w:y="323"/>
              <w:widowControl w:val="0"/>
              <w:shd w:val="clear" w:color="auto" w:fill="auto"/>
              <w:bidi w:val="0"/>
              <w:spacing w:before="0" w:after="0" w:line="312" w:lineRule="exact"/>
              <w:ind w:left="0" w:right="0" w:firstLine="0"/>
              <w:jc w:val="center"/>
            </w:pPr>
            <w:r>
              <w:rPr>
                <w:color w:val="000000"/>
                <w:spacing w:val="0"/>
                <w:w w:val="100"/>
                <w:position w:val="0"/>
              </w:rPr>
              <w:t>在其他单位 是否领取报 酬津贴</w:t>
            </w:r>
          </w:p>
        </w:tc>
      </w:tr>
      <w:tr>
        <w:trPr>
          <w:trHeight w:val="715" w:hRule="exact"/>
        </w:trPr>
        <w:tc>
          <w:tcPr>
            <w:vMerge w:val="restart"/>
            <w:tcBorders>
              <w:top w:val="single" w:sz="4"/>
              <w:left w:val="single" w:sz="4"/>
            </w:tcBorders>
            <w:shd w:val="clear" w:color="auto" w:fill="FFFFFF"/>
            <w:vAlign w:val="center"/>
          </w:tcPr>
          <w:p>
            <w:pPr>
              <w:pStyle w:val="Style20"/>
              <w:keepNext w:val="0"/>
              <w:keepLines w:val="0"/>
              <w:framePr w:w="9581" w:h="9610" w:hSpace="14" w:vSpace="322" w:wrap="notBeside" w:vAnchor="text" w:hAnchor="text" w:x="111" w:y="323"/>
              <w:widowControl w:val="0"/>
              <w:shd w:val="clear" w:color="auto" w:fill="auto"/>
              <w:bidi w:val="0"/>
              <w:spacing w:before="0" w:after="0" w:line="240" w:lineRule="auto"/>
              <w:ind w:left="0" w:right="0" w:firstLine="0"/>
              <w:jc w:val="left"/>
            </w:pPr>
            <w:r>
              <w:rPr>
                <w:color w:val="000000"/>
                <w:spacing w:val="0"/>
                <w:w w:val="100"/>
                <w:position w:val="0"/>
              </w:rPr>
              <w:t>杜力</w:t>
            </w:r>
          </w:p>
        </w:tc>
        <w:tc>
          <w:tcPr>
            <w:tcBorders>
              <w:top w:val="single" w:sz="4"/>
              <w:left w:val="single" w:sz="4"/>
            </w:tcBorders>
            <w:shd w:val="clear" w:color="auto" w:fill="FFFFFF"/>
            <w:vAlign w:val="center"/>
          </w:tcPr>
          <w:p>
            <w:pPr>
              <w:pStyle w:val="Style20"/>
              <w:keepNext w:val="0"/>
              <w:keepLines w:val="0"/>
              <w:framePr w:w="9581" w:h="9610" w:hSpace="14" w:vSpace="322" w:wrap="notBeside" w:vAnchor="text" w:hAnchor="text" w:x="111" w:y="323"/>
              <w:widowControl w:val="0"/>
              <w:shd w:val="clear" w:color="auto" w:fill="auto"/>
              <w:bidi w:val="0"/>
              <w:spacing w:before="0" w:after="0" w:line="240" w:lineRule="auto"/>
              <w:ind w:left="0" w:right="0" w:firstLine="0"/>
              <w:jc w:val="left"/>
            </w:pPr>
            <w:r>
              <w:rPr>
                <w:color w:val="000000"/>
                <w:spacing w:val="0"/>
                <w:w w:val="100"/>
                <w:position w:val="0"/>
              </w:rPr>
              <w:t>广州达意隆包装机械股份有限公司</w:t>
            </w:r>
          </w:p>
        </w:tc>
        <w:tc>
          <w:tcPr>
            <w:tcBorders>
              <w:top w:val="single" w:sz="4"/>
              <w:left w:val="single" w:sz="4"/>
            </w:tcBorders>
            <w:shd w:val="clear" w:color="auto" w:fill="FFFFFF"/>
            <w:vAlign w:val="center"/>
          </w:tcPr>
          <w:p>
            <w:pPr>
              <w:pStyle w:val="Style20"/>
              <w:keepNext w:val="0"/>
              <w:keepLines w:val="0"/>
              <w:framePr w:w="9581" w:h="9610" w:hSpace="14" w:vSpace="322" w:wrap="notBeside" w:vAnchor="text" w:hAnchor="text" w:x="111" w:y="323"/>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0"/>
              <w:keepNext w:val="0"/>
              <w:keepLines w:val="0"/>
              <w:framePr w:w="9581" w:h="9610" w:hSpace="14" w:vSpace="322" w:wrap="notBeside" w:vAnchor="text" w:hAnchor="text" w:x="111" w:y="323"/>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05</w:t>
            </w:r>
          </w:p>
          <w:p>
            <w:pPr>
              <w:pStyle w:val="Style20"/>
              <w:keepNext w:val="0"/>
              <w:keepLines w:val="0"/>
              <w:framePr w:w="9581" w:h="9610" w:hSpace="14" w:vSpace="322" w:wrap="notBeside" w:vAnchor="text" w:hAnchor="text" w:x="111" w:y="323"/>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framePr w:w="9581" w:h="9610" w:hSpace="14" w:vSpace="322" w:wrap="notBeside" w:vAnchor="text" w:hAnchor="text" w:x="111" w:y="323"/>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0"/>
              <w:keepNext w:val="0"/>
              <w:keepLines w:val="0"/>
              <w:framePr w:w="9581" w:h="9610" w:hSpace="14" w:vSpace="322" w:wrap="notBeside" w:vAnchor="text" w:hAnchor="text" w:x="111" w:y="323"/>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framePr w:w="9581" w:h="9610" w:hSpace="14" w:vSpace="322" w:wrap="notBeside" w:vAnchor="text" w:hAnchor="text" w:x="111" w:y="323"/>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0" w:hRule="exact"/>
        </w:trPr>
        <w:tc>
          <w:tcPr>
            <w:vMerge/>
            <w:tcBorders>
              <w:left w:val="single" w:sz="4"/>
            </w:tcBorders>
            <w:shd w:val="clear" w:color="auto" w:fill="FFFFFF"/>
            <w:vAlign w:val="center"/>
          </w:tcPr>
          <w:p>
            <w:pPr>
              <w:framePr w:w="9581" w:h="9610" w:hSpace="14" w:vSpace="322" w:wrap="notBeside" w:vAnchor="text" w:hAnchor="text" w:x="111" w:y="323"/>
            </w:pPr>
          </w:p>
        </w:tc>
        <w:tc>
          <w:tcPr>
            <w:tcBorders>
              <w:top w:val="single" w:sz="4"/>
              <w:left w:val="single" w:sz="4"/>
            </w:tcBorders>
            <w:shd w:val="clear" w:color="auto" w:fill="FFFFFF"/>
            <w:vAlign w:val="center"/>
          </w:tcPr>
          <w:p>
            <w:pPr>
              <w:pStyle w:val="Style20"/>
              <w:keepNext w:val="0"/>
              <w:keepLines w:val="0"/>
              <w:framePr w:w="9581" w:h="9610" w:hSpace="14" w:vSpace="322" w:wrap="notBeside" w:vAnchor="text" w:hAnchor="text" w:x="111" w:y="323"/>
              <w:widowControl w:val="0"/>
              <w:shd w:val="clear" w:color="auto" w:fill="auto"/>
              <w:bidi w:val="0"/>
              <w:spacing w:before="0" w:after="0" w:line="240" w:lineRule="auto"/>
              <w:ind w:left="0" w:right="0" w:firstLine="0"/>
              <w:jc w:val="left"/>
            </w:pPr>
            <w:r>
              <w:rPr>
                <w:color w:val="000000"/>
                <w:spacing w:val="0"/>
                <w:w w:val="100"/>
                <w:position w:val="0"/>
              </w:rPr>
              <w:t>众安在线财产保险股份有限公司</w:t>
            </w:r>
          </w:p>
        </w:tc>
        <w:tc>
          <w:tcPr>
            <w:tcBorders>
              <w:top w:val="single" w:sz="4"/>
              <w:left w:val="single" w:sz="4"/>
            </w:tcBorders>
            <w:shd w:val="clear" w:color="auto" w:fill="FFFFFF"/>
            <w:vAlign w:val="center"/>
          </w:tcPr>
          <w:p>
            <w:pPr>
              <w:pStyle w:val="Style20"/>
              <w:keepNext w:val="0"/>
              <w:keepLines w:val="0"/>
              <w:framePr w:w="9581" w:h="9610" w:hSpace="14" w:vSpace="322" w:wrap="notBeside" w:vAnchor="text" w:hAnchor="text" w:x="111" w:y="323"/>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framePr w:w="9581" w:h="9610" w:hSpace="14" w:vSpace="322" w:wrap="notBeside" w:vAnchor="text" w:hAnchor="text" w:x="111" w:y="323"/>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0"/>
              <w:keepNext w:val="0"/>
              <w:keepLines w:val="0"/>
              <w:framePr w:w="9581" w:h="9610" w:hSpace="14" w:vSpace="322" w:wrap="notBeside" w:vAnchor="text" w:hAnchor="text" w:x="111" w:y="323"/>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framePr w:w="9581" w:h="9610" w:hSpace="14" w:vSpace="322" w:wrap="notBeside" w:vAnchor="text" w:hAnchor="text" w:x="111" w:y="323"/>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0"/>
              <w:keepNext w:val="0"/>
              <w:keepLines w:val="0"/>
              <w:framePr w:w="9581" w:h="9610" w:hSpace="14" w:vSpace="322" w:wrap="notBeside" w:vAnchor="text" w:hAnchor="text" w:x="111" w:y="323"/>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framePr w:w="9581" w:h="9610" w:hSpace="14" w:vSpace="322" w:wrap="notBeside" w:vAnchor="text" w:hAnchor="text" w:x="111" w:y="323"/>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715" w:hRule="exact"/>
        </w:trPr>
        <w:tc>
          <w:tcPr>
            <w:vMerge/>
            <w:tcBorders>
              <w:left w:val="single" w:sz="4"/>
            </w:tcBorders>
            <w:shd w:val="clear" w:color="auto" w:fill="FFFFFF"/>
            <w:vAlign w:val="center"/>
          </w:tcPr>
          <w:p>
            <w:pPr>
              <w:framePr w:w="9581" w:h="9610" w:hSpace="14" w:vSpace="322" w:wrap="notBeside" w:vAnchor="text" w:hAnchor="text" w:x="111" w:y="323"/>
            </w:pPr>
          </w:p>
        </w:tc>
        <w:tc>
          <w:tcPr>
            <w:tcBorders>
              <w:top w:val="single" w:sz="4"/>
              <w:left w:val="single" w:sz="4"/>
            </w:tcBorders>
            <w:shd w:val="clear" w:color="auto" w:fill="FFFFFF"/>
            <w:vAlign w:val="center"/>
          </w:tcPr>
          <w:p>
            <w:pPr>
              <w:pStyle w:val="Style20"/>
              <w:keepNext w:val="0"/>
              <w:keepLines w:val="0"/>
              <w:framePr w:w="9581" w:h="9610" w:hSpace="14" w:vSpace="322" w:wrap="notBeside" w:vAnchor="text" w:hAnchor="text" w:x="111" w:y="323"/>
              <w:widowControl w:val="0"/>
              <w:shd w:val="clear" w:color="auto" w:fill="auto"/>
              <w:bidi w:val="0"/>
              <w:spacing w:before="0" w:after="0" w:line="240" w:lineRule="auto"/>
              <w:ind w:left="0" w:right="0" w:firstLine="0"/>
              <w:jc w:val="left"/>
            </w:pPr>
            <w:r>
              <w:rPr>
                <w:color w:val="000000"/>
                <w:spacing w:val="0"/>
                <w:w w:val="100"/>
                <w:position w:val="0"/>
              </w:rPr>
              <w:t>北京快乐时代科技发展有限公司</w:t>
            </w:r>
          </w:p>
        </w:tc>
        <w:tc>
          <w:tcPr>
            <w:tcBorders>
              <w:top w:val="single" w:sz="4"/>
              <w:left w:val="single" w:sz="4"/>
            </w:tcBorders>
            <w:shd w:val="clear" w:color="auto" w:fill="FFFFFF"/>
            <w:vAlign w:val="center"/>
          </w:tcPr>
          <w:p>
            <w:pPr>
              <w:pStyle w:val="Style20"/>
              <w:keepNext w:val="0"/>
              <w:keepLines w:val="0"/>
              <w:framePr w:w="9581" w:h="9610" w:hSpace="14" w:vSpace="322" w:wrap="notBeside" w:vAnchor="text" w:hAnchor="text" w:x="111" w:y="323"/>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framePr w:w="9581" w:h="9610" w:hSpace="14" w:vSpace="322" w:wrap="notBeside" w:vAnchor="text" w:hAnchor="text" w:x="111" w:y="323"/>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02</w:t>
            </w:r>
          </w:p>
          <w:p>
            <w:pPr>
              <w:pStyle w:val="Style20"/>
              <w:keepNext w:val="0"/>
              <w:keepLines w:val="0"/>
              <w:framePr w:w="9581" w:h="9610" w:hSpace="14" w:vSpace="322" w:wrap="notBeside" w:vAnchor="text" w:hAnchor="text" w:x="111" w:y="323"/>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top"/>
          </w:tcPr>
          <w:p>
            <w:pPr>
              <w:framePr w:w="9581" w:h="9610" w:hSpace="14" w:vSpace="322" w:wrap="notBeside" w:vAnchor="text" w:hAnchor="text" w:x="111" w:y="323"/>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framePr w:w="9581" w:h="9610" w:hSpace="14" w:vSpace="322" w:wrap="notBeside" w:vAnchor="text" w:hAnchor="text" w:x="111" w:y="323"/>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vMerge/>
            <w:tcBorders>
              <w:left w:val="single" w:sz="4"/>
            </w:tcBorders>
            <w:shd w:val="clear" w:color="auto" w:fill="FFFFFF"/>
            <w:vAlign w:val="center"/>
          </w:tcPr>
          <w:p>
            <w:pPr>
              <w:framePr w:w="9581" w:h="9610" w:hSpace="14" w:vSpace="322" w:wrap="notBeside" w:vAnchor="text" w:hAnchor="text" w:x="111" w:y="323"/>
            </w:pPr>
          </w:p>
        </w:tc>
        <w:tc>
          <w:tcPr>
            <w:tcBorders>
              <w:top w:val="single" w:sz="4"/>
              <w:left w:val="single" w:sz="4"/>
            </w:tcBorders>
            <w:shd w:val="clear" w:color="auto" w:fill="FFFFFF"/>
            <w:vAlign w:val="center"/>
          </w:tcPr>
          <w:p>
            <w:pPr>
              <w:pStyle w:val="Style20"/>
              <w:keepNext w:val="0"/>
              <w:keepLines w:val="0"/>
              <w:framePr w:w="9581" w:h="9610" w:hSpace="14" w:vSpace="322" w:wrap="notBeside" w:vAnchor="text" w:hAnchor="text" w:x="111" w:y="323"/>
              <w:widowControl w:val="0"/>
              <w:shd w:val="clear" w:color="auto" w:fill="auto"/>
              <w:bidi w:val="0"/>
              <w:spacing w:before="0" w:after="0" w:line="240" w:lineRule="auto"/>
              <w:ind w:left="0" w:right="0" w:firstLine="0"/>
              <w:jc w:val="left"/>
            </w:pPr>
            <w:r>
              <w:rPr>
                <w:color w:val="000000"/>
                <w:spacing w:val="0"/>
                <w:w w:val="100"/>
                <w:position w:val="0"/>
              </w:rPr>
              <w:t>北京凤凰财鑫投资管理有限公司</w:t>
            </w:r>
          </w:p>
        </w:tc>
        <w:tc>
          <w:tcPr>
            <w:tcBorders>
              <w:top w:val="single" w:sz="4"/>
              <w:left w:val="single" w:sz="4"/>
            </w:tcBorders>
            <w:shd w:val="clear" w:color="auto" w:fill="FFFFFF"/>
            <w:vAlign w:val="center"/>
          </w:tcPr>
          <w:p>
            <w:pPr>
              <w:pStyle w:val="Style20"/>
              <w:keepNext w:val="0"/>
              <w:keepLines w:val="0"/>
              <w:framePr w:w="9581" w:h="9610" w:hSpace="14" w:vSpace="322" w:wrap="notBeside" w:vAnchor="text" w:hAnchor="text" w:x="111" w:y="323"/>
              <w:widowControl w:val="0"/>
              <w:shd w:val="clear" w:color="auto" w:fill="auto"/>
              <w:bidi w:val="0"/>
              <w:spacing w:before="0" w:after="0" w:line="240" w:lineRule="auto"/>
              <w:ind w:left="0" w:right="0" w:firstLine="0"/>
              <w:jc w:val="left"/>
            </w:pPr>
            <w:r>
              <w:rPr>
                <w:color w:val="000000"/>
                <w:spacing w:val="0"/>
                <w:w w:val="100"/>
                <w:position w:val="0"/>
              </w:rPr>
              <w:t>董事、经理</w:t>
            </w:r>
          </w:p>
        </w:tc>
        <w:tc>
          <w:tcPr>
            <w:tcBorders>
              <w:top w:val="single" w:sz="4"/>
              <w:left w:val="single" w:sz="4"/>
            </w:tcBorders>
            <w:shd w:val="clear" w:color="auto" w:fill="FFFFFF"/>
            <w:vAlign w:val="center"/>
          </w:tcPr>
          <w:p>
            <w:pPr>
              <w:pStyle w:val="Style20"/>
              <w:keepNext w:val="0"/>
              <w:keepLines w:val="0"/>
              <w:framePr w:w="9581" w:h="9610" w:hSpace="14" w:vSpace="322" w:wrap="notBeside" w:vAnchor="text" w:hAnchor="text" w:x="111" w:y="323"/>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02</w:t>
            </w:r>
          </w:p>
          <w:p>
            <w:pPr>
              <w:pStyle w:val="Style20"/>
              <w:keepNext w:val="0"/>
              <w:keepLines w:val="0"/>
              <w:framePr w:w="9581" w:h="9610" w:hSpace="14" w:vSpace="322" w:wrap="notBeside" w:vAnchor="text" w:hAnchor="text" w:x="111" w:y="323"/>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top"/>
          </w:tcPr>
          <w:p>
            <w:pPr>
              <w:framePr w:w="9581" w:h="9610" w:hSpace="14" w:vSpace="322" w:wrap="notBeside" w:vAnchor="text" w:hAnchor="text" w:x="111" w:y="323"/>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framePr w:w="9581" w:h="9610" w:hSpace="14" w:vSpace="322" w:wrap="notBeside" w:vAnchor="text" w:hAnchor="text" w:x="111" w:y="323"/>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vMerge/>
            <w:tcBorders>
              <w:left w:val="single" w:sz="4"/>
            </w:tcBorders>
            <w:shd w:val="clear" w:color="auto" w:fill="FFFFFF"/>
            <w:vAlign w:val="center"/>
          </w:tcPr>
          <w:p>
            <w:pPr>
              <w:framePr w:w="9581" w:h="9610" w:hSpace="14" w:vSpace="322" w:wrap="notBeside" w:vAnchor="text" w:hAnchor="text" w:x="111" w:y="323"/>
            </w:pPr>
          </w:p>
        </w:tc>
        <w:tc>
          <w:tcPr>
            <w:tcBorders>
              <w:top w:val="single" w:sz="4"/>
              <w:left w:val="single" w:sz="4"/>
            </w:tcBorders>
            <w:shd w:val="clear" w:color="auto" w:fill="FFFFFF"/>
            <w:vAlign w:val="center"/>
          </w:tcPr>
          <w:p>
            <w:pPr>
              <w:pStyle w:val="Style20"/>
              <w:keepNext w:val="0"/>
              <w:keepLines w:val="0"/>
              <w:framePr w:w="9581" w:h="9610" w:hSpace="14" w:vSpace="322" w:wrap="notBeside" w:vAnchor="text" w:hAnchor="text" w:x="111" w:y="323"/>
              <w:widowControl w:val="0"/>
              <w:shd w:val="clear" w:color="auto" w:fill="auto"/>
              <w:bidi w:val="0"/>
              <w:spacing w:before="0" w:after="0" w:line="240" w:lineRule="auto"/>
              <w:ind w:left="0" w:right="0" w:firstLine="0"/>
              <w:jc w:val="left"/>
            </w:pPr>
            <w:r>
              <w:rPr>
                <w:color w:val="000000"/>
                <w:spacing w:val="0"/>
                <w:w w:val="100"/>
                <w:position w:val="0"/>
              </w:rPr>
              <w:t>北京凤凰财富资产管理有限公司</w:t>
            </w:r>
          </w:p>
        </w:tc>
        <w:tc>
          <w:tcPr>
            <w:tcBorders>
              <w:top w:val="single" w:sz="4"/>
              <w:left w:val="single" w:sz="4"/>
            </w:tcBorders>
            <w:shd w:val="clear" w:color="auto" w:fill="FFFFFF"/>
            <w:vAlign w:val="center"/>
          </w:tcPr>
          <w:p>
            <w:pPr>
              <w:pStyle w:val="Style20"/>
              <w:keepNext w:val="0"/>
              <w:keepLines w:val="0"/>
              <w:framePr w:w="9581" w:h="9610" w:hSpace="14" w:vSpace="322" w:wrap="notBeside" w:vAnchor="text" w:hAnchor="text" w:x="111" w:y="323"/>
              <w:widowControl w:val="0"/>
              <w:shd w:val="clear" w:color="auto" w:fill="auto"/>
              <w:bidi w:val="0"/>
              <w:spacing w:before="0" w:after="0" w:line="240" w:lineRule="auto"/>
              <w:ind w:left="0" w:right="0" w:firstLine="0"/>
              <w:jc w:val="left"/>
            </w:pPr>
            <w:r>
              <w:rPr>
                <w:color w:val="000000"/>
                <w:spacing w:val="0"/>
                <w:w w:val="100"/>
                <w:position w:val="0"/>
              </w:rPr>
              <w:t>董事、经理</w:t>
            </w:r>
          </w:p>
        </w:tc>
        <w:tc>
          <w:tcPr>
            <w:tcBorders>
              <w:top w:val="single" w:sz="4"/>
              <w:left w:val="single" w:sz="4"/>
            </w:tcBorders>
            <w:shd w:val="clear" w:color="auto" w:fill="FFFFFF"/>
            <w:vAlign w:val="center"/>
          </w:tcPr>
          <w:p>
            <w:pPr>
              <w:pStyle w:val="Style20"/>
              <w:keepNext w:val="0"/>
              <w:keepLines w:val="0"/>
              <w:framePr w:w="9581" w:h="9610" w:hSpace="14" w:vSpace="322" w:wrap="notBeside" w:vAnchor="text" w:hAnchor="text" w:x="111" w:y="323"/>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07</w:t>
            </w:r>
          </w:p>
          <w:p>
            <w:pPr>
              <w:pStyle w:val="Style20"/>
              <w:keepNext w:val="0"/>
              <w:keepLines w:val="0"/>
              <w:framePr w:w="9581" w:h="9610" w:hSpace="14" w:vSpace="322" w:wrap="notBeside" w:vAnchor="text" w:hAnchor="text" w:x="111" w:y="323"/>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top"/>
          </w:tcPr>
          <w:p>
            <w:pPr>
              <w:framePr w:w="9581" w:h="9610" w:hSpace="14" w:vSpace="322" w:wrap="notBeside" w:vAnchor="text" w:hAnchor="text" w:x="111" w:y="323"/>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framePr w:w="9581" w:h="9610" w:hSpace="14" w:vSpace="322" w:wrap="notBeside" w:vAnchor="text" w:hAnchor="text" w:x="111" w:y="323"/>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0" w:hRule="exact"/>
        </w:trPr>
        <w:tc>
          <w:tcPr>
            <w:vMerge/>
            <w:tcBorders>
              <w:left w:val="single" w:sz="4"/>
            </w:tcBorders>
            <w:shd w:val="clear" w:color="auto" w:fill="FFFFFF"/>
            <w:vAlign w:val="center"/>
          </w:tcPr>
          <w:p>
            <w:pPr>
              <w:framePr w:w="9581" w:h="9610" w:hSpace="14" w:vSpace="322" w:wrap="notBeside" w:vAnchor="text" w:hAnchor="text" w:x="111" w:y="323"/>
            </w:pPr>
          </w:p>
        </w:tc>
        <w:tc>
          <w:tcPr>
            <w:tcBorders>
              <w:top w:val="single" w:sz="4"/>
              <w:left w:val="single" w:sz="4"/>
            </w:tcBorders>
            <w:shd w:val="clear" w:color="auto" w:fill="FFFFFF"/>
            <w:vAlign w:val="center"/>
          </w:tcPr>
          <w:p>
            <w:pPr>
              <w:pStyle w:val="Style20"/>
              <w:keepNext w:val="0"/>
              <w:keepLines w:val="0"/>
              <w:framePr w:w="9581" w:h="9610" w:hSpace="14" w:vSpace="322" w:wrap="notBeside" w:vAnchor="text" w:hAnchor="text" w:x="111" w:y="323"/>
              <w:widowControl w:val="0"/>
              <w:shd w:val="clear" w:color="auto" w:fill="auto"/>
              <w:bidi w:val="0"/>
              <w:spacing w:before="0" w:after="0" w:line="240" w:lineRule="auto"/>
              <w:ind w:left="0" w:right="0" w:firstLine="0"/>
              <w:jc w:val="left"/>
            </w:pPr>
            <w:r>
              <w:rPr>
                <w:color w:val="000000"/>
                <w:spacing w:val="0"/>
                <w:w w:val="100"/>
                <w:position w:val="0"/>
              </w:rPr>
              <w:t>北京凤凰财富创新投资有限公司</w:t>
            </w:r>
          </w:p>
        </w:tc>
        <w:tc>
          <w:tcPr>
            <w:tcBorders>
              <w:top w:val="single" w:sz="4"/>
              <w:left w:val="single" w:sz="4"/>
            </w:tcBorders>
            <w:shd w:val="clear" w:color="auto" w:fill="FFFFFF"/>
            <w:vAlign w:val="center"/>
          </w:tcPr>
          <w:p>
            <w:pPr>
              <w:pStyle w:val="Style20"/>
              <w:keepNext w:val="0"/>
              <w:keepLines w:val="0"/>
              <w:framePr w:w="9581" w:h="9610" w:hSpace="14" w:vSpace="322" w:wrap="notBeside" w:vAnchor="text" w:hAnchor="text" w:x="111" w:y="323"/>
              <w:widowControl w:val="0"/>
              <w:shd w:val="clear" w:color="auto" w:fill="auto"/>
              <w:bidi w:val="0"/>
              <w:spacing w:before="0" w:after="0" w:line="240" w:lineRule="auto"/>
              <w:ind w:left="0" w:right="0" w:firstLine="0"/>
              <w:jc w:val="left"/>
            </w:pPr>
            <w:r>
              <w:rPr>
                <w:color w:val="000000"/>
                <w:spacing w:val="0"/>
                <w:w w:val="100"/>
                <w:position w:val="0"/>
              </w:rPr>
              <w:t>董事、经理</w:t>
            </w:r>
          </w:p>
        </w:tc>
        <w:tc>
          <w:tcPr>
            <w:tcBorders>
              <w:top w:val="single" w:sz="4"/>
              <w:left w:val="single" w:sz="4"/>
            </w:tcBorders>
            <w:shd w:val="clear" w:color="auto" w:fill="FFFFFF"/>
            <w:vAlign w:val="center"/>
          </w:tcPr>
          <w:p>
            <w:pPr>
              <w:pStyle w:val="Style20"/>
              <w:keepNext w:val="0"/>
              <w:keepLines w:val="0"/>
              <w:framePr w:w="9581" w:h="9610" w:hSpace="14" w:vSpace="322" w:wrap="notBeside" w:vAnchor="text" w:hAnchor="text" w:x="111" w:y="323"/>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01</w:t>
            </w:r>
          </w:p>
          <w:p>
            <w:pPr>
              <w:pStyle w:val="Style20"/>
              <w:keepNext w:val="0"/>
              <w:keepLines w:val="0"/>
              <w:framePr w:w="9581" w:h="9610" w:hSpace="14" w:vSpace="322" w:wrap="notBeside" w:vAnchor="text" w:hAnchor="text" w:x="111" w:y="323"/>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top"/>
          </w:tcPr>
          <w:p>
            <w:pPr>
              <w:framePr w:w="9581" w:h="9610" w:hSpace="14" w:vSpace="322" w:wrap="notBeside" w:vAnchor="text" w:hAnchor="text" w:x="111" w:y="323"/>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framePr w:w="9581" w:h="9610" w:hSpace="14" w:vSpace="322" w:wrap="notBeside" w:vAnchor="text" w:hAnchor="text" w:x="111" w:y="323"/>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vMerge/>
            <w:tcBorders>
              <w:left w:val="single" w:sz="4"/>
            </w:tcBorders>
            <w:shd w:val="clear" w:color="auto" w:fill="FFFFFF"/>
            <w:vAlign w:val="center"/>
          </w:tcPr>
          <w:p>
            <w:pPr>
              <w:framePr w:w="9581" w:h="9610" w:hSpace="14" w:vSpace="322" w:wrap="notBeside" w:vAnchor="text" w:hAnchor="text" w:x="111" w:y="323"/>
            </w:pPr>
          </w:p>
        </w:tc>
        <w:tc>
          <w:tcPr>
            <w:tcBorders>
              <w:top w:val="single" w:sz="4"/>
              <w:left w:val="single" w:sz="4"/>
            </w:tcBorders>
            <w:shd w:val="clear" w:color="auto" w:fill="FFFFFF"/>
            <w:vAlign w:val="center"/>
          </w:tcPr>
          <w:p>
            <w:pPr>
              <w:pStyle w:val="Style20"/>
              <w:keepNext w:val="0"/>
              <w:keepLines w:val="0"/>
              <w:framePr w:w="9581" w:h="9610" w:hSpace="14" w:vSpace="322" w:wrap="notBeside" w:vAnchor="text" w:hAnchor="text" w:x="111" w:y="323"/>
              <w:widowControl w:val="0"/>
              <w:shd w:val="clear" w:color="auto" w:fill="auto"/>
              <w:bidi w:val="0"/>
              <w:spacing w:before="0" w:after="0" w:line="240" w:lineRule="auto"/>
              <w:ind w:left="0" w:right="0" w:firstLine="0"/>
              <w:jc w:val="left"/>
            </w:pPr>
            <w:r>
              <w:rPr>
                <w:color w:val="000000"/>
                <w:spacing w:val="0"/>
                <w:w w:val="100"/>
                <w:position w:val="0"/>
              </w:rPr>
              <w:t>北京凤凰财富投资咨询有限公司</w:t>
            </w:r>
          </w:p>
        </w:tc>
        <w:tc>
          <w:tcPr>
            <w:tcBorders>
              <w:top w:val="single" w:sz="4"/>
              <w:left w:val="single" w:sz="4"/>
            </w:tcBorders>
            <w:shd w:val="clear" w:color="auto" w:fill="FFFFFF"/>
            <w:vAlign w:val="center"/>
          </w:tcPr>
          <w:p>
            <w:pPr>
              <w:pStyle w:val="Style20"/>
              <w:keepNext w:val="0"/>
              <w:keepLines w:val="0"/>
              <w:framePr w:w="9581" w:h="9610" w:hSpace="14" w:vSpace="322" w:wrap="notBeside" w:vAnchor="text" w:hAnchor="text" w:x="111" w:y="323"/>
              <w:widowControl w:val="0"/>
              <w:shd w:val="clear" w:color="auto" w:fill="auto"/>
              <w:bidi w:val="0"/>
              <w:spacing w:before="0" w:after="0" w:line="240" w:lineRule="auto"/>
              <w:ind w:left="0" w:right="0" w:firstLine="0"/>
              <w:jc w:val="left"/>
            </w:pPr>
            <w:r>
              <w:rPr>
                <w:color w:val="000000"/>
                <w:spacing w:val="0"/>
                <w:w w:val="100"/>
                <w:position w:val="0"/>
              </w:rPr>
              <w:t>董事、经理</w:t>
            </w:r>
          </w:p>
        </w:tc>
        <w:tc>
          <w:tcPr>
            <w:tcBorders>
              <w:top w:val="single" w:sz="4"/>
              <w:left w:val="single" w:sz="4"/>
            </w:tcBorders>
            <w:shd w:val="clear" w:color="auto" w:fill="FFFFFF"/>
            <w:vAlign w:val="center"/>
          </w:tcPr>
          <w:p>
            <w:pPr>
              <w:pStyle w:val="Style20"/>
              <w:keepNext w:val="0"/>
              <w:keepLines w:val="0"/>
              <w:framePr w:w="9581" w:h="9610" w:hSpace="14" w:vSpace="322" w:wrap="notBeside" w:vAnchor="text" w:hAnchor="text" w:x="111" w:y="323"/>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01</w:t>
            </w:r>
          </w:p>
          <w:p>
            <w:pPr>
              <w:pStyle w:val="Style20"/>
              <w:keepNext w:val="0"/>
              <w:keepLines w:val="0"/>
              <w:framePr w:w="9581" w:h="9610" w:hSpace="14" w:vSpace="322" w:wrap="notBeside" w:vAnchor="text" w:hAnchor="text" w:x="111" w:y="323"/>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top"/>
          </w:tcPr>
          <w:p>
            <w:pPr>
              <w:framePr w:w="9581" w:h="9610" w:hSpace="14" w:vSpace="322" w:wrap="notBeside" w:vAnchor="text" w:hAnchor="text" w:x="111" w:y="323"/>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framePr w:w="9581" w:h="9610" w:hSpace="14" w:vSpace="322" w:wrap="notBeside" w:vAnchor="text" w:hAnchor="text" w:x="111" w:y="323"/>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vMerge/>
            <w:tcBorders>
              <w:left w:val="single" w:sz="4"/>
            </w:tcBorders>
            <w:shd w:val="clear" w:color="auto" w:fill="FFFFFF"/>
            <w:vAlign w:val="center"/>
          </w:tcPr>
          <w:p>
            <w:pPr>
              <w:framePr w:w="9581" w:h="9610" w:hSpace="14" w:vSpace="322" w:wrap="notBeside" w:vAnchor="text" w:hAnchor="text" w:x="111" w:y="323"/>
            </w:pPr>
          </w:p>
        </w:tc>
        <w:tc>
          <w:tcPr>
            <w:tcBorders>
              <w:top w:val="single" w:sz="4"/>
              <w:left w:val="single" w:sz="4"/>
            </w:tcBorders>
            <w:shd w:val="clear" w:color="auto" w:fill="FFFFFF"/>
            <w:vAlign w:val="center"/>
          </w:tcPr>
          <w:p>
            <w:pPr>
              <w:pStyle w:val="Style20"/>
              <w:keepNext w:val="0"/>
              <w:keepLines w:val="0"/>
              <w:framePr w:w="9581" w:h="9610" w:hSpace="14" w:vSpace="322" w:wrap="notBeside" w:vAnchor="text" w:hAnchor="text" w:x="111" w:y="323"/>
              <w:widowControl w:val="0"/>
              <w:shd w:val="clear" w:color="auto" w:fill="auto"/>
              <w:bidi w:val="0"/>
              <w:spacing w:before="0" w:after="0" w:line="240" w:lineRule="auto"/>
              <w:ind w:left="0" w:right="0" w:firstLine="0"/>
              <w:jc w:val="left"/>
            </w:pPr>
            <w:r>
              <w:rPr>
                <w:color w:val="000000"/>
                <w:spacing w:val="0"/>
                <w:w w:val="100"/>
                <w:position w:val="0"/>
              </w:rPr>
              <w:t>北京凤凰财富投资管理有限公司</w:t>
            </w:r>
          </w:p>
        </w:tc>
        <w:tc>
          <w:tcPr>
            <w:tcBorders>
              <w:top w:val="single" w:sz="4"/>
              <w:left w:val="single" w:sz="4"/>
            </w:tcBorders>
            <w:shd w:val="clear" w:color="auto" w:fill="FFFFFF"/>
            <w:vAlign w:val="center"/>
          </w:tcPr>
          <w:p>
            <w:pPr>
              <w:pStyle w:val="Style20"/>
              <w:keepNext w:val="0"/>
              <w:keepLines w:val="0"/>
              <w:framePr w:w="9581" w:h="9610" w:hSpace="14" w:vSpace="322" w:wrap="notBeside" w:vAnchor="text" w:hAnchor="text" w:x="111" w:y="323"/>
              <w:widowControl w:val="0"/>
              <w:shd w:val="clear" w:color="auto" w:fill="auto"/>
              <w:bidi w:val="0"/>
              <w:spacing w:before="0" w:after="0" w:line="240" w:lineRule="auto"/>
              <w:ind w:left="0" w:right="0" w:firstLine="0"/>
              <w:jc w:val="left"/>
            </w:pPr>
            <w:r>
              <w:rPr>
                <w:color w:val="000000"/>
                <w:spacing w:val="0"/>
                <w:w w:val="100"/>
                <w:position w:val="0"/>
              </w:rPr>
              <w:t>董事、经理</w:t>
            </w:r>
          </w:p>
        </w:tc>
        <w:tc>
          <w:tcPr>
            <w:tcBorders>
              <w:top w:val="single" w:sz="4"/>
              <w:left w:val="single" w:sz="4"/>
            </w:tcBorders>
            <w:shd w:val="clear" w:color="auto" w:fill="FFFFFF"/>
            <w:vAlign w:val="center"/>
          </w:tcPr>
          <w:p>
            <w:pPr>
              <w:pStyle w:val="Style20"/>
              <w:keepNext w:val="0"/>
              <w:keepLines w:val="0"/>
              <w:framePr w:w="9581" w:h="9610" w:hSpace="14" w:vSpace="322" w:wrap="notBeside" w:vAnchor="text" w:hAnchor="text" w:x="111" w:y="323"/>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01</w:t>
            </w:r>
          </w:p>
          <w:p>
            <w:pPr>
              <w:pStyle w:val="Style20"/>
              <w:keepNext w:val="0"/>
              <w:keepLines w:val="0"/>
              <w:framePr w:w="9581" w:h="9610" w:hSpace="14" w:vSpace="322" w:wrap="notBeside" w:vAnchor="text" w:hAnchor="text" w:x="111" w:y="323"/>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top"/>
          </w:tcPr>
          <w:p>
            <w:pPr>
              <w:framePr w:w="9581" w:h="9610" w:hSpace="14" w:vSpace="322" w:wrap="notBeside" w:vAnchor="text" w:hAnchor="text" w:x="111" w:y="323"/>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framePr w:w="9581" w:h="9610" w:hSpace="14" w:vSpace="322" w:wrap="notBeside" w:vAnchor="text" w:hAnchor="text" w:x="111" w:y="323"/>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vMerge/>
            <w:tcBorders>
              <w:left w:val="single" w:sz="4"/>
            </w:tcBorders>
            <w:shd w:val="clear" w:color="auto" w:fill="FFFFFF"/>
            <w:vAlign w:val="center"/>
          </w:tcPr>
          <w:p>
            <w:pPr>
              <w:framePr w:w="9581" w:h="9610" w:hSpace="14" w:vSpace="322" w:wrap="notBeside" w:vAnchor="text" w:hAnchor="text" w:x="111" w:y="323"/>
            </w:pPr>
          </w:p>
        </w:tc>
        <w:tc>
          <w:tcPr>
            <w:tcBorders>
              <w:top w:val="single" w:sz="4"/>
              <w:left w:val="single" w:sz="4"/>
            </w:tcBorders>
            <w:shd w:val="clear" w:color="auto" w:fill="FFFFFF"/>
            <w:vAlign w:val="center"/>
          </w:tcPr>
          <w:p>
            <w:pPr>
              <w:pStyle w:val="Style20"/>
              <w:keepNext w:val="0"/>
              <w:keepLines w:val="0"/>
              <w:framePr w:w="9581" w:h="9610" w:hSpace="14" w:vSpace="322" w:wrap="notBeside" w:vAnchor="text" w:hAnchor="text" w:x="111" w:y="323"/>
              <w:widowControl w:val="0"/>
              <w:shd w:val="clear" w:color="auto" w:fill="auto"/>
              <w:bidi w:val="0"/>
              <w:spacing w:before="0" w:after="0" w:line="240" w:lineRule="auto"/>
              <w:ind w:left="0" w:right="0" w:firstLine="0"/>
              <w:jc w:val="left"/>
            </w:pPr>
            <w:r>
              <w:rPr>
                <w:color w:val="000000"/>
                <w:spacing w:val="0"/>
                <w:w w:val="100"/>
                <w:position w:val="0"/>
              </w:rPr>
              <w:t>北京凤凰财富控股集团有限公司</w:t>
            </w:r>
          </w:p>
        </w:tc>
        <w:tc>
          <w:tcPr>
            <w:tcBorders>
              <w:top w:val="single" w:sz="4"/>
              <w:left w:val="single" w:sz="4"/>
            </w:tcBorders>
            <w:shd w:val="clear" w:color="auto" w:fill="FFFFFF"/>
            <w:vAlign w:val="center"/>
          </w:tcPr>
          <w:p>
            <w:pPr>
              <w:pStyle w:val="Style20"/>
              <w:keepNext w:val="0"/>
              <w:keepLines w:val="0"/>
              <w:framePr w:w="9581" w:h="9610" w:hSpace="14" w:vSpace="322" w:wrap="notBeside" w:vAnchor="text" w:hAnchor="text" w:x="111" w:y="323"/>
              <w:widowControl w:val="0"/>
              <w:shd w:val="clear" w:color="auto" w:fill="auto"/>
              <w:bidi w:val="0"/>
              <w:spacing w:before="0" w:after="0" w:line="240" w:lineRule="auto"/>
              <w:ind w:left="0" w:right="0" w:firstLine="0"/>
              <w:jc w:val="left"/>
            </w:pPr>
            <w:r>
              <w:rPr>
                <w:color w:val="000000"/>
                <w:spacing w:val="0"/>
                <w:w w:val="100"/>
                <w:position w:val="0"/>
              </w:rPr>
              <w:t>董事、经理</w:t>
            </w:r>
          </w:p>
        </w:tc>
        <w:tc>
          <w:tcPr>
            <w:tcBorders>
              <w:top w:val="single" w:sz="4"/>
              <w:left w:val="single" w:sz="4"/>
            </w:tcBorders>
            <w:shd w:val="clear" w:color="auto" w:fill="FFFFFF"/>
            <w:vAlign w:val="center"/>
          </w:tcPr>
          <w:p>
            <w:pPr>
              <w:pStyle w:val="Style20"/>
              <w:keepNext w:val="0"/>
              <w:keepLines w:val="0"/>
              <w:framePr w:w="9581" w:h="9610" w:hSpace="14" w:vSpace="322" w:wrap="notBeside" w:vAnchor="text" w:hAnchor="text" w:x="111" w:y="323"/>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0"/>
              <w:keepNext w:val="0"/>
              <w:keepLines w:val="0"/>
              <w:framePr w:w="9581" w:h="9610" w:hSpace="14" w:vSpace="322" w:wrap="notBeside" w:vAnchor="text" w:hAnchor="text" w:x="111" w:y="323"/>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top"/>
          </w:tcPr>
          <w:p>
            <w:pPr>
              <w:framePr w:w="9581" w:h="9610" w:hSpace="14" w:vSpace="322" w:wrap="notBeside" w:vAnchor="text" w:hAnchor="text" w:x="111" w:y="323"/>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framePr w:w="9581" w:h="9610" w:hSpace="14" w:vSpace="322" w:wrap="notBeside" w:vAnchor="text" w:hAnchor="text" w:x="111" w:y="323"/>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0" w:hRule="exact"/>
        </w:trPr>
        <w:tc>
          <w:tcPr>
            <w:vMerge/>
            <w:tcBorders>
              <w:left w:val="single" w:sz="4"/>
            </w:tcBorders>
            <w:shd w:val="clear" w:color="auto" w:fill="FFFFFF"/>
            <w:vAlign w:val="center"/>
          </w:tcPr>
          <w:p>
            <w:pPr>
              <w:framePr w:w="9581" w:h="9610" w:hSpace="14" w:vSpace="322" w:wrap="notBeside" w:vAnchor="text" w:hAnchor="text" w:x="111" w:y="323"/>
            </w:pPr>
          </w:p>
        </w:tc>
        <w:tc>
          <w:tcPr>
            <w:tcBorders>
              <w:top w:val="single" w:sz="4"/>
              <w:left w:val="single" w:sz="4"/>
            </w:tcBorders>
            <w:shd w:val="clear" w:color="auto" w:fill="FFFFFF"/>
            <w:vAlign w:val="center"/>
          </w:tcPr>
          <w:p>
            <w:pPr>
              <w:pStyle w:val="Style20"/>
              <w:keepNext w:val="0"/>
              <w:keepLines w:val="0"/>
              <w:framePr w:w="9581" w:h="9610" w:hSpace="14" w:vSpace="322" w:wrap="notBeside" w:vAnchor="text" w:hAnchor="text" w:x="111" w:y="323"/>
              <w:widowControl w:val="0"/>
              <w:shd w:val="clear" w:color="auto" w:fill="auto"/>
              <w:bidi w:val="0"/>
              <w:spacing w:before="0" w:after="0" w:line="240" w:lineRule="auto"/>
              <w:ind w:left="0" w:right="0" w:firstLine="0"/>
              <w:jc w:val="left"/>
            </w:pPr>
            <w:r>
              <w:rPr>
                <w:color w:val="000000"/>
                <w:spacing w:val="0"/>
                <w:w w:val="100"/>
                <w:position w:val="0"/>
              </w:rPr>
              <w:t>北京凤凰祥瑞互联投资基金（有限合伙）</w:t>
            </w:r>
          </w:p>
        </w:tc>
        <w:tc>
          <w:tcPr>
            <w:tcBorders>
              <w:top w:val="single" w:sz="4"/>
              <w:left w:val="single" w:sz="4"/>
            </w:tcBorders>
            <w:shd w:val="clear" w:color="auto" w:fill="FFFFFF"/>
            <w:vAlign w:val="center"/>
          </w:tcPr>
          <w:p>
            <w:pPr>
              <w:pStyle w:val="Style20"/>
              <w:keepNext w:val="0"/>
              <w:keepLines w:val="0"/>
              <w:framePr w:w="9581" w:h="9610" w:hSpace="14" w:vSpace="322" w:wrap="notBeside" w:vAnchor="text" w:hAnchor="text" w:x="111" w:y="323"/>
              <w:widowControl w:val="0"/>
              <w:shd w:val="clear" w:color="auto" w:fill="auto"/>
              <w:bidi w:val="0"/>
              <w:spacing w:before="0" w:after="80" w:line="240" w:lineRule="auto"/>
              <w:ind w:left="0" w:right="0" w:firstLine="0"/>
              <w:jc w:val="left"/>
            </w:pPr>
            <w:r>
              <w:rPr>
                <w:color w:val="000000"/>
                <w:spacing w:val="0"/>
                <w:w w:val="100"/>
                <w:position w:val="0"/>
              </w:rPr>
              <w:t>执行事务合伙人</w:t>
            </w:r>
          </w:p>
          <w:p>
            <w:pPr>
              <w:pStyle w:val="Style20"/>
              <w:keepNext w:val="0"/>
              <w:keepLines w:val="0"/>
              <w:framePr w:w="9581" w:h="9610" w:hSpace="14" w:vSpace="322" w:wrap="notBeside" w:vAnchor="text" w:hAnchor="text" w:x="111" w:y="323"/>
              <w:widowControl w:val="0"/>
              <w:shd w:val="clear" w:color="auto" w:fill="auto"/>
              <w:bidi w:val="0"/>
              <w:spacing w:before="0" w:after="0" w:line="240" w:lineRule="auto"/>
              <w:ind w:left="0" w:right="0" w:firstLine="0"/>
              <w:jc w:val="left"/>
            </w:pPr>
            <w:r>
              <w:rPr>
                <w:color w:val="000000"/>
                <w:spacing w:val="0"/>
                <w:w w:val="100"/>
                <w:position w:val="0"/>
              </w:rPr>
              <w:t>委派代表</w:t>
            </w:r>
          </w:p>
        </w:tc>
        <w:tc>
          <w:tcPr>
            <w:tcBorders>
              <w:top w:val="single" w:sz="4"/>
              <w:left w:val="single" w:sz="4"/>
            </w:tcBorders>
            <w:shd w:val="clear" w:color="auto" w:fill="FFFFFF"/>
            <w:vAlign w:val="center"/>
          </w:tcPr>
          <w:p>
            <w:pPr>
              <w:pStyle w:val="Style20"/>
              <w:keepNext w:val="0"/>
              <w:keepLines w:val="0"/>
              <w:framePr w:w="9581" w:h="9610" w:hSpace="14" w:vSpace="322" w:wrap="notBeside" w:vAnchor="text" w:hAnchor="text" w:x="111" w:y="323"/>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06</w:t>
            </w:r>
          </w:p>
          <w:p>
            <w:pPr>
              <w:pStyle w:val="Style20"/>
              <w:keepNext w:val="0"/>
              <w:keepLines w:val="0"/>
              <w:framePr w:w="9581" w:h="9610" w:hSpace="14" w:vSpace="322" w:wrap="notBeside" w:vAnchor="text" w:hAnchor="text" w:x="111" w:y="323"/>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top"/>
          </w:tcPr>
          <w:p>
            <w:pPr>
              <w:framePr w:w="9581" w:h="9610" w:hSpace="14" w:vSpace="322" w:wrap="notBeside" w:vAnchor="text" w:hAnchor="text" w:x="111" w:y="323"/>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framePr w:w="9581" w:h="9610" w:hSpace="14" w:vSpace="322" w:wrap="notBeside" w:vAnchor="text" w:hAnchor="text" w:x="111" w:y="323"/>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vMerge/>
            <w:tcBorders>
              <w:left w:val="single" w:sz="4"/>
            </w:tcBorders>
            <w:shd w:val="clear" w:color="auto" w:fill="FFFFFF"/>
            <w:vAlign w:val="center"/>
          </w:tcPr>
          <w:p>
            <w:pPr>
              <w:framePr w:w="9581" w:h="9610" w:hSpace="14" w:vSpace="322" w:wrap="notBeside" w:vAnchor="text" w:hAnchor="text" w:x="111" w:y="323"/>
            </w:pPr>
          </w:p>
        </w:tc>
        <w:tc>
          <w:tcPr>
            <w:tcBorders>
              <w:top w:val="single" w:sz="4"/>
              <w:left w:val="single" w:sz="4"/>
            </w:tcBorders>
            <w:shd w:val="clear" w:color="auto" w:fill="FFFFFF"/>
            <w:vAlign w:val="center"/>
          </w:tcPr>
          <w:p>
            <w:pPr>
              <w:pStyle w:val="Style20"/>
              <w:keepNext w:val="0"/>
              <w:keepLines w:val="0"/>
              <w:framePr w:w="9581" w:h="9610" w:hSpace="14" w:vSpace="322" w:wrap="notBeside" w:vAnchor="text" w:hAnchor="text" w:x="111" w:y="323"/>
              <w:widowControl w:val="0"/>
              <w:shd w:val="clear" w:color="auto" w:fill="auto"/>
              <w:bidi w:val="0"/>
              <w:spacing w:before="0" w:after="0" w:line="240" w:lineRule="auto"/>
              <w:ind w:left="0" w:right="0" w:firstLine="0"/>
              <w:jc w:val="left"/>
            </w:pPr>
            <w:r>
              <w:rPr>
                <w:color w:val="000000"/>
                <w:spacing w:val="0"/>
                <w:w w:val="100"/>
                <w:position w:val="0"/>
              </w:rPr>
              <w:t>北京凤凰财富成长投资中心（有限合伙）</w:t>
            </w:r>
          </w:p>
        </w:tc>
        <w:tc>
          <w:tcPr>
            <w:tcBorders>
              <w:top w:val="single" w:sz="4"/>
              <w:left w:val="single" w:sz="4"/>
            </w:tcBorders>
            <w:shd w:val="clear" w:color="auto" w:fill="FFFFFF"/>
            <w:vAlign w:val="center"/>
          </w:tcPr>
          <w:p>
            <w:pPr>
              <w:pStyle w:val="Style20"/>
              <w:keepNext w:val="0"/>
              <w:keepLines w:val="0"/>
              <w:framePr w:w="9581" w:h="9610" w:hSpace="14" w:vSpace="322" w:wrap="notBeside" w:vAnchor="text" w:hAnchor="text" w:x="111" w:y="323"/>
              <w:widowControl w:val="0"/>
              <w:shd w:val="clear" w:color="auto" w:fill="auto"/>
              <w:bidi w:val="0"/>
              <w:spacing w:before="0" w:after="80" w:line="240" w:lineRule="auto"/>
              <w:ind w:left="0" w:right="0" w:firstLine="0"/>
              <w:jc w:val="left"/>
            </w:pPr>
            <w:r>
              <w:rPr>
                <w:color w:val="000000"/>
                <w:spacing w:val="0"/>
                <w:w w:val="100"/>
                <w:position w:val="0"/>
              </w:rPr>
              <w:t>执行事务合伙人</w:t>
            </w:r>
          </w:p>
          <w:p>
            <w:pPr>
              <w:pStyle w:val="Style20"/>
              <w:keepNext w:val="0"/>
              <w:keepLines w:val="0"/>
              <w:framePr w:w="9581" w:h="9610" w:hSpace="14" w:vSpace="322" w:wrap="notBeside" w:vAnchor="text" w:hAnchor="text" w:x="111" w:y="323"/>
              <w:widowControl w:val="0"/>
              <w:shd w:val="clear" w:color="auto" w:fill="auto"/>
              <w:bidi w:val="0"/>
              <w:spacing w:before="0" w:after="0" w:line="240" w:lineRule="auto"/>
              <w:ind w:left="0" w:right="0" w:firstLine="0"/>
              <w:jc w:val="left"/>
            </w:pPr>
            <w:r>
              <w:rPr>
                <w:color w:val="000000"/>
                <w:spacing w:val="0"/>
                <w:w w:val="100"/>
                <w:position w:val="0"/>
              </w:rPr>
              <w:t>委派代表</w:t>
            </w:r>
          </w:p>
        </w:tc>
        <w:tc>
          <w:tcPr>
            <w:tcBorders>
              <w:top w:val="single" w:sz="4"/>
              <w:left w:val="single" w:sz="4"/>
            </w:tcBorders>
            <w:shd w:val="clear" w:color="auto" w:fill="FFFFFF"/>
            <w:vAlign w:val="center"/>
          </w:tcPr>
          <w:p>
            <w:pPr>
              <w:pStyle w:val="Style20"/>
              <w:keepNext w:val="0"/>
              <w:keepLines w:val="0"/>
              <w:framePr w:w="9581" w:h="9610" w:hSpace="14" w:vSpace="322" w:wrap="notBeside" w:vAnchor="text" w:hAnchor="text" w:x="111" w:y="323"/>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05</w:t>
            </w:r>
          </w:p>
          <w:p>
            <w:pPr>
              <w:pStyle w:val="Style20"/>
              <w:keepNext w:val="0"/>
              <w:keepLines w:val="0"/>
              <w:framePr w:w="9581" w:h="9610" w:hSpace="14" w:vSpace="322" w:wrap="notBeside" w:vAnchor="text" w:hAnchor="text" w:x="111" w:y="323"/>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top"/>
          </w:tcPr>
          <w:p>
            <w:pPr>
              <w:framePr w:w="9581" w:h="9610" w:hSpace="14" w:vSpace="322" w:wrap="notBeside" w:vAnchor="text" w:hAnchor="text" w:x="111" w:y="323"/>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framePr w:w="9581" w:h="9610" w:hSpace="14" w:vSpace="322" w:wrap="notBeside" w:vAnchor="text" w:hAnchor="text" w:x="111" w:y="323"/>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25" w:hRule="exact"/>
        </w:trPr>
        <w:tc>
          <w:tcPr>
            <w:tcBorders>
              <w:top w:val="single" w:sz="4"/>
              <w:left w:val="single" w:sz="4"/>
            </w:tcBorders>
            <w:shd w:val="clear" w:color="auto" w:fill="FFFFFF"/>
            <w:vAlign w:val="center"/>
          </w:tcPr>
          <w:p>
            <w:pPr>
              <w:pStyle w:val="Style20"/>
              <w:keepNext w:val="0"/>
              <w:keepLines w:val="0"/>
              <w:framePr w:w="9581" w:h="9610" w:hSpace="14" w:vSpace="322" w:wrap="notBeside" w:vAnchor="text" w:hAnchor="text" w:x="111" w:y="323"/>
              <w:widowControl w:val="0"/>
              <w:shd w:val="clear" w:color="auto" w:fill="auto"/>
              <w:bidi w:val="0"/>
              <w:spacing w:before="0" w:after="0" w:line="240" w:lineRule="auto"/>
              <w:ind w:left="0" w:right="0" w:firstLine="0"/>
              <w:jc w:val="left"/>
            </w:pPr>
            <w:r>
              <w:rPr>
                <w:color w:val="000000"/>
                <w:spacing w:val="0"/>
                <w:w w:val="100"/>
                <w:position w:val="0"/>
              </w:rPr>
              <w:t>张巍</w:t>
            </w:r>
          </w:p>
        </w:tc>
        <w:tc>
          <w:tcPr>
            <w:tcBorders>
              <w:top w:val="single" w:sz="4"/>
              <w:left w:val="single" w:sz="4"/>
              <w:bottom w:val="single" w:sz="4"/>
            </w:tcBorders>
            <w:shd w:val="clear" w:color="auto" w:fill="FFFFFF"/>
            <w:vAlign w:val="center"/>
          </w:tcPr>
          <w:p>
            <w:pPr>
              <w:pStyle w:val="Style20"/>
              <w:keepNext w:val="0"/>
              <w:keepLines w:val="0"/>
              <w:framePr w:w="9581" w:h="9610" w:hSpace="14" w:vSpace="322" w:wrap="notBeside" w:vAnchor="text" w:hAnchor="text" w:x="111" w:y="323"/>
              <w:widowControl w:val="0"/>
              <w:shd w:val="clear" w:color="auto" w:fill="auto"/>
              <w:bidi w:val="0"/>
              <w:spacing w:before="0" w:after="0" w:line="240" w:lineRule="auto"/>
              <w:ind w:left="0" w:right="0" w:firstLine="0"/>
              <w:jc w:val="left"/>
            </w:pPr>
            <w:r>
              <w:rPr>
                <w:color w:val="000000"/>
                <w:spacing w:val="0"/>
                <w:w w:val="100"/>
                <w:position w:val="0"/>
              </w:rPr>
              <w:t>北京凤凰财富资产管理有限公司</w:t>
            </w:r>
          </w:p>
        </w:tc>
        <w:tc>
          <w:tcPr>
            <w:tcBorders>
              <w:top w:val="single" w:sz="4"/>
              <w:left w:val="single" w:sz="4"/>
              <w:bottom w:val="single" w:sz="4"/>
            </w:tcBorders>
            <w:shd w:val="clear" w:color="auto" w:fill="FFFFFF"/>
            <w:vAlign w:val="center"/>
          </w:tcPr>
          <w:p>
            <w:pPr>
              <w:pStyle w:val="Style20"/>
              <w:keepNext w:val="0"/>
              <w:keepLines w:val="0"/>
              <w:framePr w:w="9581" w:h="9610" w:hSpace="14" w:vSpace="322" w:wrap="notBeside" w:vAnchor="text" w:hAnchor="text" w:x="111" w:y="323"/>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0"/>
              <w:keepNext w:val="0"/>
              <w:keepLines w:val="0"/>
              <w:framePr w:w="9581" w:h="9610" w:hSpace="14" w:vSpace="322" w:wrap="notBeside" w:vAnchor="text" w:hAnchor="text" w:x="111" w:y="323"/>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07</w:t>
            </w:r>
          </w:p>
          <w:p>
            <w:pPr>
              <w:pStyle w:val="Style20"/>
              <w:keepNext w:val="0"/>
              <w:keepLines w:val="0"/>
              <w:framePr w:w="9581" w:h="9610" w:hSpace="14" w:vSpace="322" w:wrap="notBeside" w:vAnchor="text" w:hAnchor="text" w:x="111" w:y="323"/>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bottom w:val="single" w:sz="4"/>
            </w:tcBorders>
            <w:shd w:val="clear" w:color="auto" w:fill="FFFFFF"/>
            <w:vAlign w:val="top"/>
          </w:tcPr>
          <w:p>
            <w:pPr>
              <w:framePr w:w="9581" w:h="9610" w:hSpace="14" w:vSpace="322" w:wrap="notBeside" w:vAnchor="text" w:hAnchor="text" w:x="111" w:y="323"/>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framePr w:w="9581" w:h="9610" w:hSpace="14" w:vSpace="322" w:wrap="notBeside" w:vAnchor="text" w:hAnchor="text" w:x="111" w:y="323"/>
              <w:widowControl w:val="0"/>
              <w:shd w:val="clear" w:color="auto" w:fill="auto"/>
              <w:bidi w:val="0"/>
              <w:spacing w:before="0" w:after="0" w:line="240" w:lineRule="auto"/>
              <w:ind w:left="0" w:right="0" w:firstLine="0"/>
              <w:jc w:val="center"/>
            </w:pPr>
            <w:r>
              <w:rPr>
                <w:color w:val="000000"/>
                <w:spacing w:val="0"/>
                <w:w w:val="100"/>
                <w:position w:val="0"/>
              </w:rPr>
              <w:t>否</w:t>
            </w:r>
          </w:p>
        </w:tc>
      </w:tr>
    </w:tbl>
    <w:p>
      <w:pPr>
        <w:pStyle w:val="Style26"/>
        <w:keepNext w:val="0"/>
        <w:keepLines w:val="0"/>
        <w:framePr w:w="1930" w:h="269" w:hSpace="96" w:wrap="notBeside" w:vAnchor="text" w:hAnchor="text" w:x="97" w:y="1"/>
        <w:widowControl w:val="0"/>
        <w:shd w:val="clear" w:color="auto" w:fill="auto"/>
        <w:bidi w:val="0"/>
        <w:spacing w:before="0" w:after="0" w:line="240" w:lineRule="auto"/>
        <w:ind w:left="0" w:right="0" w:firstLine="0"/>
        <w:jc w:val="left"/>
      </w:pPr>
      <w:r>
        <w:rPr>
          <w:color w:val="000000"/>
          <w:spacing w:val="0"/>
          <w:w w:val="100"/>
          <w:position w:val="0"/>
        </w:rPr>
        <w:t>在其他单位任职情况</w:t>
      </w:r>
    </w:p>
    <w:p>
      <w:pPr>
        <w:widowControl w:val="0"/>
        <w:spacing w:line="1" w:lineRule="exact"/>
      </w:pPr>
      <w:r>
        <mc:AlternateContent>
          <mc:Choice Requires="wps">
            <w:drawing>
              <wp:anchor distT="0" distB="219710" distL="0" distR="18415" simplePos="0" relativeHeight="125829430" behindDoc="0" locked="0" layoutInCell="1" allowOverlap="1">
                <wp:simplePos x="0" y="0"/>
                <wp:positionH relativeFrom="page">
                  <wp:posOffset>740410</wp:posOffset>
                </wp:positionH>
                <wp:positionV relativeFrom="margin">
                  <wp:posOffset>0</wp:posOffset>
                </wp:positionV>
                <wp:extent cx="6083935" cy="2472055"/>
                <wp:wrapSquare wrapText="bothSides"/>
                <wp:docPr id="118" name="Shape 118"/>
                <a:graphic xmlns:a="http://schemas.openxmlformats.org/drawingml/2006/main">
                  <a:graphicData uri="http://schemas.microsoft.com/office/word/2010/wordprocessingShape">
                    <wps:wsp>
                      <wps:cNvSpPr txBox="1"/>
                      <wps:spPr>
                        <a:xfrm>
                          <a:ext cx="6083935" cy="2472055"/>
                        </a:xfrm>
                        <a:prstGeom prst="rect"/>
                        <a:noFill/>
                      </wps:spPr>
                      <wps:txbx>
                        <w:txbxContent>
                          <w:tbl>
                            <w:tblPr>
                              <w:tblOverlap w:val="never"/>
                              <w:jc w:val="left"/>
                              <w:tblLayout w:type="fixed"/>
                            </w:tblPr>
                            <w:tblGrid>
                              <w:gridCol w:w="854"/>
                              <w:gridCol w:w="3970"/>
                              <w:gridCol w:w="1560"/>
                              <w:gridCol w:w="994"/>
                              <w:gridCol w:w="989"/>
                              <w:gridCol w:w="1214"/>
                            </w:tblGrid>
                            <w:tr>
                              <w:trPr>
                                <w:tblHeade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任职人 员姓名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460" w:right="0" w:hanging="460"/>
                                    <w:jc w:val="left"/>
                                  </w:pPr>
                                  <w:r>
                                    <w:rPr>
                                      <w:color w:val="000000"/>
                                      <w:spacing w:val="0"/>
                                      <w:w w:val="100"/>
                                      <w:position w:val="0"/>
                                    </w:rPr>
                                    <w:t>在股东单位担任 的职务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任期终止 日期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在股东单位 是否领取报 酬津贴</w:t>
                                  </w:r>
                                </w:p>
                              </w:tc>
                            </w:tr>
                            <w:tr>
                              <w:trPr>
                                <w:trHeight w:val="715"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杜力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深圳前海财智远大投资中心（有限合伙）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执行事务合伙人 委派代表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北京凤凰财鑫股权投资中心（有限合伙）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执行事务合伙人 委派代表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05</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北京凤凰财智创新投资中心（有限合伙）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执行事务合伙人 委派代表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2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叶强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深圳前海财智发展投资中心（有限合伙）</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执行事务合伙人 委派代表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widowControl w:val="0"/>
                              <w:spacing w:line="1" w:lineRule="exact"/>
                            </w:pPr>
                          </w:p>
                        </w:txbxContent>
                      </wps:txbx>
                      <wps:bodyPr lIns="0" tIns="0" rIns="0" bIns="0">
                        <a:noAutoFit/>
                      </wps:bodyPr>
                    </wps:wsp>
                  </a:graphicData>
                </a:graphic>
              </wp:anchor>
            </w:drawing>
          </mc:Choice>
          <mc:Fallback>
            <w:pict>
              <v:shape id="_x0000_s1144" type="#_x0000_t202" style="position:absolute;margin-left:58.300000000000004pt;margin-top:0;width:479.05000000000001pt;height:194.65000000000001pt;z-index:-125829323;mso-wrap-distance-left:0;mso-wrap-distance-right:1.45pt;mso-wrap-distance-bottom:17.300000000000001pt;mso-position-horizontal-relative:page;mso-position-vertical-relative:margin" filled="f" stroked="f">
                <v:textbox inset="0,0,0,0">
                  <w:txbxContent>
                    <w:tbl>
                      <w:tblPr>
                        <w:tblOverlap w:val="never"/>
                        <w:jc w:val="left"/>
                        <w:tblLayout w:type="fixed"/>
                      </w:tblPr>
                      <w:tblGrid>
                        <w:gridCol w:w="854"/>
                        <w:gridCol w:w="3970"/>
                        <w:gridCol w:w="1560"/>
                        <w:gridCol w:w="994"/>
                        <w:gridCol w:w="989"/>
                        <w:gridCol w:w="1214"/>
                      </w:tblGrid>
                      <w:tr>
                        <w:trPr>
                          <w:tblHeade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任职人 员姓名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460" w:right="0" w:hanging="460"/>
                              <w:jc w:val="left"/>
                            </w:pPr>
                            <w:r>
                              <w:rPr>
                                <w:color w:val="000000"/>
                                <w:spacing w:val="0"/>
                                <w:w w:val="100"/>
                                <w:position w:val="0"/>
                              </w:rPr>
                              <w:t>在股东单位担任 的职务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任期终止 日期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在股东单位 是否领取报 酬津贴</w:t>
                            </w:r>
                          </w:p>
                        </w:tc>
                      </w:tr>
                      <w:tr>
                        <w:trPr>
                          <w:trHeight w:val="715"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杜力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深圳前海财智远大投资中心（有限合伙）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执行事务合伙人 委派代表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北京凤凰财鑫股权投资中心（有限合伙）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执行事务合伙人 委派代表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05</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北京凤凰财智创新投资中心（有限合伙）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执行事务合伙人 委派代表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2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叶强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深圳前海财智发展投资中心（有限合伙）</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执行事务合伙人 委派代表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widowControl w:val="0"/>
                        <w:spacing w:line="1" w:lineRule="exact"/>
                      </w:pPr>
                    </w:p>
                  </w:txbxContent>
                </v:textbox>
                <w10:wrap type="square" anchorx="page" anchory="margin"/>
              </v:shape>
            </w:pict>
          </mc:Fallback>
        </mc:AlternateContent>
      </w:r>
      <w:r>
        <mc:AlternateContent>
          <mc:Choice Requires="wps">
            <w:drawing>
              <wp:anchor distT="0" distB="0" distL="0" distR="0" simplePos="0" relativeHeight="503316482" behindDoc="0" locked="0" layoutInCell="1" allowOverlap="1">
                <wp:simplePos x="0" y="0"/>
                <wp:positionH relativeFrom="page">
                  <wp:posOffset>5793740</wp:posOffset>
                </wp:positionH>
                <wp:positionV relativeFrom="margin">
                  <wp:posOffset>2502535</wp:posOffset>
                </wp:positionV>
                <wp:extent cx="1048385" cy="189230"/>
                <wp:wrapNone/>
                <wp:docPr id="120" name="Shape 120"/>
                <a:graphic xmlns:a="http://schemas.openxmlformats.org/drawingml/2006/main">
                  <a:graphicData uri="http://schemas.microsoft.com/office/word/2010/wordprocessingShape">
                    <wps:wsp>
                      <wps:cNvSpPr txBox="1"/>
                      <wps:spPr>
                        <a:xfrm>
                          <a:ext cx="1048385" cy="18923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txbxContent>
                      </wps:txbx>
                      <wps:bodyPr lIns="0" tIns="0" rIns="0" bIns="0">
                        <a:noAutoFit/>
                      </wps:bodyPr>
                    </wps:wsp>
                  </a:graphicData>
                </a:graphic>
              </wp:anchor>
            </w:drawing>
          </mc:Choice>
          <mc:Fallback>
            <w:pict>
              <v:shape id="_x0000_s1146" type="#_x0000_t202" style="position:absolute;margin-left:456.19999999999999pt;margin-top:197.05000000000001pt;width:82.549999999999997pt;height:14.9pt;z-index:251657729;mso-wrap-distance-left:0;mso-wrap-distance-right:0;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txbxContent>
                </v:textbox>
                <w10:wrap anchorx="page" anchory="margin"/>
              </v:shape>
            </w:pict>
          </mc:Fallback>
        </mc:AlternateContent>
      </w:r>
      <w:r>
        <w:br w:type="page"/>
      </w:r>
    </w:p>
    <w:tbl>
      <w:tblPr>
        <w:tblOverlap w:val="never"/>
        <w:jc w:val="center"/>
        <w:tblLayout w:type="fixed"/>
      </w:tblPr>
      <w:tblGrid>
        <w:gridCol w:w="854"/>
        <w:gridCol w:w="3970"/>
        <w:gridCol w:w="1560"/>
        <w:gridCol w:w="994"/>
        <w:gridCol w:w="989"/>
        <w:gridCol w:w="1214"/>
      </w:tblGrid>
      <w:tr>
        <w:trPr>
          <w:trHeight w:val="715" w:hRule="exact"/>
        </w:trPr>
        <w:tc>
          <w:tcPr>
            <w:vMerge w:val="restart"/>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北京凤凰财富控股集团有限公司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北京左江科技股份有限公司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05</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05</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谢基柱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扬州华声电子实业有限公司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2007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06</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广东华声电缆有限公司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05</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广东华声电器实业有限公司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深圳华声前海投资有限公司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08</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罗嘉俊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佛山市顺德区瑞域房产有限公司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05</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715"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李英明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北京云江科技有限公司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北京凤凰财富资产管理有限公司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深圳华声前海投资有限公司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08</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江苏爵尚壁纸有限公司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04</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张李平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广东兴顺律师事务所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71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深圳市金汉源资产管理有限公司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07</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07</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周春生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乐山市商业银行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07</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07</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南大傲拓科技江苏股份有限公司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07</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07</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北亚资源控股有限公司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06</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71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北京海风联投资有限公司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中国智能交通系统（控股）有限公司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2008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09</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725" w:hRule="exact"/>
        </w:trPr>
        <w:tc>
          <w:tcPr>
            <w:vMerge/>
            <w:tcBorders>
              <w:left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浙江传化股份有限公司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06</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bl>
    <w:p>
      <w:pPr>
        <w:widowControl w:val="0"/>
        <w:spacing w:line="1" w:lineRule="exact"/>
      </w:pPr>
      <w:r>
        <w:br w:type="page"/>
      </w:r>
    </w:p>
    <w:tbl>
      <w:tblPr>
        <w:tblOverlap w:val="never"/>
        <w:jc w:val="center"/>
        <w:tblLayout w:type="fixed"/>
      </w:tblPr>
      <w:tblGrid>
        <w:gridCol w:w="854"/>
        <w:gridCol w:w="3970"/>
        <w:gridCol w:w="1560"/>
        <w:gridCol w:w="994"/>
        <w:gridCol w:w="989"/>
        <w:gridCol w:w="1214"/>
      </w:tblGrid>
      <w:tr>
        <w:trPr>
          <w:trHeight w:val="715"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中弘控股股份有限公司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08</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715"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徐强国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浙江仙通橡胶股份有限公司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香飘飘食品股份有限公司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09</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浙江圣达生物药业股份有限公司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09</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71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日月重工股份有限公司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715"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何国英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佛山市顺德区德美投资有限公司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pPr>
            <w:r>
              <w:rPr>
                <w:color w:val="000000"/>
                <w:spacing w:val="0"/>
                <w:w w:val="100"/>
                <w:position w:val="0"/>
              </w:rPr>
              <w:t>执行董事、总经</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03</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03</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武汉德美精细化工有限公司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pPr>
            <w:r>
              <w:rPr>
                <w:color w:val="000000"/>
                <w:spacing w:val="0"/>
                <w:w w:val="100"/>
                <w:position w:val="0"/>
              </w:rPr>
              <w:t>执行董事、总经</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广东德美精细化工股份有限公司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03</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03</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71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福建省晋江新德美化工有限公司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pPr>
            <w:r>
              <w:rPr>
                <w:color w:val="000000"/>
                <w:spacing w:val="0"/>
                <w:w w:val="100"/>
                <w:position w:val="0"/>
              </w:rPr>
              <w:t>执行董事、总经</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04</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04</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无锡惠山德美化工有限公司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04</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04</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无锡市德美化工技术有限公司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07</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07</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石家庄德美化工有限公司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06</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06</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佛山市顺德区德美油墨化工有限公司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09</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山东德美化工有限公司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pPr>
            <w:r>
              <w:rPr>
                <w:color w:val="000000"/>
                <w:spacing w:val="0"/>
                <w:w w:val="100"/>
                <w:position w:val="0"/>
              </w:rPr>
              <w:t>执行董事、总经</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04</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04</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佛山市顺德区德美高进出口有限公司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pPr>
            <w:r>
              <w:rPr>
                <w:color w:val="000000"/>
                <w:spacing w:val="0"/>
                <w:w w:val="100"/>
                <w:position w:val="0"/>
              </w:rPr>
              <w:t>执行董事、总经</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04</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04</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汕头市德美实业有限公司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pPr>
            <w:r>
              <w:rPr>
                <w:color w:val="000000"/>
                <w:spacing w:val="0"/>
                <w:w w:val="100"/>
                <w:position w:val="0"/>
              </w:rPr>
              <w:t>执行董事、总经</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07</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绍兴县德美化工有限公司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03</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03</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绍兴县滨海德美精细化工有限公司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25" w:hRule="exact"/>
        </w:trPr>
        <w:tc>
          <w:tcPr>
            <w:vMerge/>
            <w:tcBorders>
              <w:left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佛山市顺德区德和恒信投资管理有限公司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09</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854"/>
        <w:gridCol w:w="3970"/>
        <w:gridCol w:w="1560"/>
        <w:gridCol w:w="994"/>
        <w:gridCol w:w="989"/>
        <w:gridCol w:w="1214"/>
      </w:tblGrid>
      <w:tr>
        <w:trPr>
          <w:trHeight w:val="715" w:hRule="exact"/>
        </w:trPr>
        <w:tc>
          <w:tcPr>
            <w:vMerge w:val="restart"/>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广东德雄创业投资有限公司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pPr>
            <w:r>
              <w:rPr>
                <w:color w:val="000000"/>
                <w:spacing w:val="0"/>
                <w:w w:val="100"/>
                <w:position w:val="0"/>
              </w:rPr>
              <w:t>执行董事、总经</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05</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广东英农集团有限公司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佛山市顺德区德怡创展电子科技有限公司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广东德运创业投资有限公司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05</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0"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叶强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国盛证券有限责任公司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办公室副主任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深圳前海鸿大盛世资本管理有限公司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pPr>
            <w:r>
              <w:rPr>
                <w:color w:val="000000"/>
                <w:spacing w:val="0"/>
                <w:w w:val="100"/>
                <w:position w:val="0"/>
              </w:rPr>
              <w:t>执行董事、总经</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北京凤凰财富资产管理有限公司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07</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刘世明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扬州华声电子实业有限公司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2007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06</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佛山市华声电子装配有限责任公司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扬州华声电器装配有限公司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广东华声电器实业有限公司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25"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广东华声电器实业有限公司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06</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公司现任及报告期内离任董事、监事和高级管理人员近三年证券监管机构处罚的情况</w:t>
      </w: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widowControl w:val="0"/>
        <w:spacing w:after="379" w:line="1" w:lineRule="exact"/>
      </w:pPr>
    </w:p>
    <w:p>
      <w:pPr>
        <w:pStyle w:val="Style23"/>
        <w:keepNext/>
        <w:keepLines/>
        <w:widowControl w:val="0"/>
        <w:shd w:val="clear" w:color="auto" w:fill="auto"/>
        <w:bidi w:val="0"/>
        <w:spacing w:before="0" w:after="280" w:line="240" w:lineRule="auto"/>
        <w:ind w:left="0" w:right="0" w:firstLine="0"/>
        <w:jc w:val="left"/>
        <w:rPr>
          <w:sz w:val="22"/>
          <w:szCs w:val="22"/>
        </w:rPr>
      </w:pPr>
      <w:bookmarkStart w:id="491" w:name="bookmark491"/>
      <w:bookmarkStart w:id="492" w:name="bookmark492"/>
      <w:bookmarkStart w:id="493" w:name="bookmark493"/>
      <w:bookmarkStart w:id="494" w:name="bookmark494"/>
      <w:r>
        <w:rPr>
          <w:b/>
          <w:bCs/>
          <w:color w:val="000000"/>
          <w:spacing w:val="0"/>
          <w:w w:val="100"/>
          <w:position w:val="0"/>
          <w:sz w:val="22"/>
          <w:szCs w:val="22"/>
        </w:rPr>
        <w:t>四</w:t>
      </w:r>
      <w:bookmarkEnd w:id="493"/>
      <w:r>
        <w:rPr>
          <w:b/>
          <w:bCs/>
          <w:color w:val="000000"/>
          <w:spacing w:val="0"/>
          <w:w w:val="100"/>
          <w:position w:val="0"/>
          <w:sz w:val="22"/>
          <w:szCs w:val="22"/>
        </w:rPr>
        <w:t>、董事、监事、高级管理人员报酬情况</w:t>
      </w:r>
      <w:bookmarkEnd w:id="491"/>
      <w:bookmarkEnd w:id="492"/>
      <w:bookmarkEnd w:id="494"/>
    </w:p>
    <w:p>
      <w:pPr>
        <w:pStyle w:val="Style33"/>
        <w:keepNext w:val="0"/>
        <w:keepLines w:val="0"/>
        <w:widowControl w:val="0"/>
        <w:shd w:val="clear" w:color="auto" w:fill="auto"/>
        <w:bidi w:val="0"/>
        <w:spacing w:before="0" w:after="40" w:line="317" w:lineRule="exact"/>
        <w:ind w:left="0" w:right="0" w:firstLine="0"/>
        <w:jc w:val="left"/>
      </w:pPr>
      <w:r>
        <w:rPr>
          <w:color w:val="000000"/>
          <w:spacing w:val="0"/>
          <w:w w:val="100"/>
          <w:position w:val="0"/>
        </w:rPr>
        <w:t>董事、监事、高级管理人员报酬的决策程序、确定依据、实际支付情况</w:t>
      </w:r>
    </w:p>
    <w:p>
      <w:pPr>
        <w:pStyle w:val="Style33"/>
        <w:keepNext w:val="0"/>
        <w:keepLines w:val="0"/>
        <w:widowControl w:val="0"/>
        <w:shd w:val="clear" w:color="auto" w:fill="auto"/>
        <w:bidi w:val="0"/>
        <w:spacing w:before="0" w:after="40" w:line="317" w:lineRule="exact"/>
        <w:ind w:left="0" w:right="0" w:firstLine="44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日公司</w:t>
      </w:r>
      <w:r>
        <w:rPr>
          <w:rFonts w:ascii="Times New Roman" w:eastAsia="Times New Roman" w:hAnsi="Times New Roman" w:cs="Times New Roman"/>
          <w:color w:val="000000"/>
          <w:spacing w:val="0"/>
          <w:w w:val="100"/>
          <w:position w:val="0"/>
        </w:rPr>
        <w:t>2013</w:t>
      </w:r>
      <w:r>
        <w:rPr>
          <w:color w:val="000000"/>
          <w:spacing w:val="0"/>
          <w:w w:val="100"/>
          <w:position w:val="0"/>
        </w:rPr>
        <w:t>年第一次临时股东大会审议通过《关于推选公司第二届董事会董事及审议董 事薪酬方案的议案》、《关于推选公司第二届监事会非职工监事及审议监事薪酬方案的议案》，</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日公司第二届董事会第一次会议审议通过《关于聘任公司其他高级管理人员及确定高级管理人员薪酬 的议案》。</w:t>
      </w:r>
    </w:p>
    <w:p>
      <w:pPr>
        <w:pStyle w:val="Style33"/>
        <w:keepNext w:val="0"/>
        <w:keepLines w:val="0"/>
        <w:widowControl w:val="0"/>
        <w:shd w:val="clear" w:color="auto" w:fill="auto"/>
        <w:bidi w:val="0"/>
        <w:spacing w:before="0" w:after="100" w:line="317" w:lineRule="exact"/>
        <w:ind w:left="0" w:right="0" w:firstLine="0"/>
        <w:jc w:val="left"/>
      </w:pPr>
      <w:r>
        <w:rPr>
          <w:color w:val="000000"/>
          <w:spacing w:val="0"/>
          <w:w w:val="100"/>
          <w:position w:val="0"/>
        </w:rPr>
        <w:t>公司报告期内董事、监事和高级管理人员报酬情况</w:t>
      </w:r>
    </w:p>
    <w:p>
      <w:pPr>
        <w:pStyle w:val="Style26"/>
        <w:keepNext w:val="0"/>
        <w:keepLines w:val="0"/>
        <w:widowControl w:val="0"/>
        <w:shd w:val="clear" w:color="auto" w:fill="auto"/>
        <w:bidi w:val="0"/>
        <w:spacing w:before="0" w:after="0" w:line="240" w:lineRule="auto"/>
        <w:ind w:left="8477" w:right="0" w:firstLine="0"/>
        <w:jc w:val="left"/>
      </w:pPr>
      <w:r>
        <w:rPr>
          <w:color w:val="000000"/>
          <w:spacing w:val="0"/>
          <w:w w:val="100"/>
          <w:position w:val="0"/>
        </w:rPr>
        <w:t>单位：万元</w:t>
      </w:r>
    </w:p>
    <w:tbl>
      <w:tblPr>
        <w:tblOverlap w:val="never"/>
        <w:jc w:val="center"/>
        <w:tblLayout w:type="fixed"/>
      </w:tblPr>
      <w:tblGrid>
        <w:gridCol w:w="1138"/>
        <w:gridCol w:w="1843"/>
        <w:gridCol w:w="1128"/>
        <w:gridCol w:w="1363"/>
        <w:gridCol w:w="1368"/>
        <w:gridCol w:w="2674"/>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从公司获得的税前报酬总额</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杜力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34.53</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谢基柱</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31.76</w:t>
            </w:r>
          </w:p>
        </w:tc>
      </w:tr>
    </w:tbl>
    <w:p>
      <w:pPr>
        <w:widowControl w:val="0"/>
        <w:spacing w:line="1" w:lineRule="exact"/>
      </w:pPr>
      <w:r>
        <w:br w:type="page"/>
      </w:r>
    </w:p>
    <w:tbl>
      <w:tblPr>
        <w:tblOverlap w:val="never"/>
        <w:jc w:val="center"/>
        <w:tblLayout w:type="fixed"/>
      </w:tblPr>
      <w:tblGrid>
        <w:gridCol w:w="1138"/>
        <w:gridCol w:w="1843"/>
        <w:gridCol w:w="1128"/>
        <w:gridCol w:w="1363"/>
        <w:gridCol w:w="1368"/>
        <w:gridCol w:w="2674"/>
      </w:tblGrid>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left"/>
            </w:pPr>
            <w:r>
              <w:rPr>
                <w:color w:val="000000"/>
                <w:spacing w:val="0"/>
                <w:w w:val="100"/>
                <w:position w:val="0"/>
              </w:rPr>
              <w:t>董事、董事会秘书、 财务总监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31.69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罗嘉俊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520" w:right="0" w:firstLine="0"/>
              <w:jc w:val="both"/>
            </w:pPr>
            <w:r>
              <w:rPr>
                <w:rFonts w:ascii="Times New Roman" w:eastAsia="Times New Roman" w:hAnsi="Times New Roman" w:cs="Times New Roman"/>
                <w:color w:val="000000"/>
                <w:spacing w:val="0"/>
                <w:w w:val="100"/>
                <w:position w:val="0"/>
              </w:rPr>
              <w:t>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李英明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张李平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520" w:right="0" w:firstLine="0"/>
              <w:jc w:val="both"/>
            </w:pPr>
            <w:r>
              <w:rPr>
                <w:rFonts w:ascii="Times New Roman" w:eastAsia="Times New Roman" w:hAnsi="Times New Roman" w:cs="Times New Roman"/>
                <w:color w:val="000000"/>
                <w:spacing w:val="0"/>
                <w:w w:val="100"/>
                <w:position w:val="0"/>
              </w:rPr>
              <w:t>5</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周春生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520" w:right="0" w:firstLine="0"/>
              <w:jc w:val="both"/>
            </w:pPr>
            <w:r>
              <w:rPr>
                <w:rFonts w:ascii="Times New Roman" w:eastAsia="Times New Roman" w:hAnsi="Times New Roman" w:cs="Times New Roman"/>
                <w:color w:val="000000"/>
                <w:spacing w:val="0"/>
                <w:w w:val="100"/>
                <w:position w:val="0"/>
              </w:rPr>
              <w:t>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徐强国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520" w:right="0" w:firstLine="0"/>
              <w:jc w:val="both"/>
            </w:pPr>
            <w:r>
              <w:rPr>
                <w:rFonts w:ascii="Times New Roman" w:eastAsia="Times New Roman" w:hAnsi="Times New Roman" w:cs="Times New Roman"/>
                <w:color w:val="000000"/>
                <w:spacing w:val="0"/>
                <w:w w:val="100"/>
                <w:position w:val="0"/>
              </w:rPr>
              <w:t>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何国英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520" w:right="0" w:firstLine="0"/>
              <w:jc w:val="both"/>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14.29</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叶强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刘世明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32.35</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186.57</w:t>
            </w:r>
          </w:p>
        </w:tc>
      </w:tr>
    </w:tbl>
    <w:p>
      <w:pPr>
        <w:pStyle w:val="Style26"/>
        <w:keepNext w:val="0"/>
        <w:keepLines w:val="0"/>
        <w:widowControl w:val="0"/>
        <w:shd w:val="clear" w:color="auto" w:fill="auto"/>
        <w:bidi w:val="0"/>
        <w:spacing w:before="0" w:after="40" w:line="307" w:lineRule="exact"/>
        <w:ind w:left="0" w:right="0" w:firstLine="0"/>
        <w:jc w:val="left"/>
      </w:pPr>
      <w:r>
        <w:rPr>
          <w:color w:val="000000"/>
          <w:spacing w:val="0"/>
          <w:w w:val="100"/>
          <w:position w:val="0"/>
        </w:rPr>
        <w:t>注：公司董事、监事、高级管理人员除在上述“股东单位”、“其他单位”任职并领取报酬（如有）外, 未在公司其他关联方单位领取报酬。</w:t>
      </w:r>
    </w:p>
    <w:p>
      <w:pPr>
        <w:pStyle w:val="Style26"/>
        <w:keepNext w:val="0"/>
        <w:keepLines w:val="0"/>
        <w:widowControl w:val="0"/>
        <w:shd w:val="clear" w:color="auto" w:fill="auto"/>
        <w:tabs>
          <w:tab w:pos="7958" w:val="left"/>
        </w:tabs>
        <w:bidi w:val="0"/>
        <w:spacing w:before="0" w:after="0" w:line="307" w:lineRule="exact"/>
        <w:ind w:left="0" w:right="0" w:firstLine="0"/>
        <w:jc w:val="left"/>
      </w:pPr>
      <w:r>
        <w:rPr>
          <w:color w:val="000000"/>
          <w:spacing w:val="0"/>
          <w:w w:val="100"/>
          <w:position w:val="0"/>
        </w:rPr>
        <w:t>公司董事、高级管理人员报告期内被授予的股权激励情况</w:t>
        <w:tab/>
      </w: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widowControl w:val="0"/>
        <w:spacing w:after="319" w:line="1" w:lineRule="exact"/>
      </w:pPr>
    </w:p>
    <w:p>
      <w:pPr>
        <w:pStyle w:val="Style23"/>
        <w:keepNext/>
        <w:keepLines/>
        <w:widowControl w:val="0"/>
        <w:shd w:val="clear" w:color="auto" w:fill="auto"/>
        <w:bidi w:val="0"/>
        <w:spacing w:before="0" w:after="360" w:line="240" w:lineRule="auto"/>
        <w:ind w:left="0" w:right="0" w:firstLine="0"/>
        <w:jc w:val="left"/>
        <w:rPr>
          <w:sz w:val="22"/>
          <w:szCs w:val="22"/>
        </w:rPr>
      </w:pPr>
      <w:bookmarkStart w:id="495" w:name="bookmark495"/>
      <w:bookmarkStart w:id="496" w:name="bookmark496"/>
      <w:bookmarkStart w:id="497" w:name="bookmark497"/>
      <w:bookmarkStart w:id="498" w:name="bookmark498"/>
      <w:r>
        <w:rPr>
          <w:b/>
          <w:bCs/>
          <w:color w:val="000000"/>
          <w:spacing w:val="0"/>
          <w:w w:val="100"/>
          <w:position w:val="0"/>
          <w:sz w:val="22"/>
          <w:szCs w:val="22"/>
        </w:rPr>
        <w:t>五</w:t>
      </w:r>
      <w:bookmarkEnd w:id="497"/>
      <w:r>
        <w:rPr>
          <w:b/>
          <w:bCs/>
          <w:color w:val="000000"/>
          <w:spacing w:val="0"/>
          <w:w w:val="100"/>
          <w:position w:val="0"/>
          <w:sz w:val="22"/>
          <w:szCs w:val="22"/>
        </w:rPr>
        <w:t>、公司员工情况</w:t>
      </w:r>
      <w:bookmarkEnd w:id="495"/>
      <w:bookmarkEnd w:id="496"/>
      <w:bookmarkEnd w:id="498"/>
    </w:p>
    <w:p>
      <w:pPr>
        <w:pStyle w:val="Style30"/>
        <w:keepNext/>
        <w:keepLines/>
        <w:widowControl w:val="0"/>
        <w:shd w:val="clear" w:color="auto" w:fill="auto"/>
        <w:bidi w:val="0"/>
        <w:spacing w:before="0" w:after="320" w:line="240" w:lineRule="auto"/>
        <w:ind w:left="0" w:right="0" w:firstLine="0"/>
        <w:jc w:val="left"/>
      </w:pPr>
      <w:bookmarkStart w:id="499" w:name="bookmark499"/>
      <w:bookmarkStart w:id="500" w:name="bookmark500"/>
      <w:bookmarkStart w:id="501" w:name="bookmark501"/>
      <w:bookmarkStart w:id="502" w:name="bookmark502"/>
      <w:r>
        <w:rPr>
          <w:rFonts w:ascii="Times New Roman" w:eastAsia="Times New Roman" w:hAnsi="Times New Roman" w:cs="Times New Roman"/>
          <w:color w:val="000000"/>
          <w:spacing w:val="0"/>
          <w:w w:val="100"/>
          <w:position w:val="0"/>
        </w:rPr>
        <w:t>1</w:t>
      </w:r>
      <w:bookmarkEnd w:id="501"/>
      <w:r>
        <w:rPr>
          <w:color w:val="000000"/>
          <w:spacing w:val="0"/>
          <w:w w:val="100"/>
          <w:position w:val="0"/>
        </w:rPr>
        <w:t>、员工数量、专业构成及教育程度</w:t>
      </w:r>
      <w:bookmarkEnd w:id="499"/>
      <w:bookmarkEnd w:id="500"/>
      <w:bookmarkEnd w:id="502"/>
    </w:p>
    <w:tbl>
      <w:tblPr>
        <w:tblOverlap w:val="never"/>
        <w:jc w:val="center"/>
        <w:tblLayout w:type="fixed"/>
      </w:tblPr>
      <w:tblGrid>
        <w:gridCol w:w="5251"/>
        <w:gridCol w:w="4330"/>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820" w:right="0" w:firstLine="0"/>
              <w:jc w:val="both"/>
            </w:pPr>
            <w:r>
              <w:rPr>
                <w:rFonts w:ascii="Times New Roman" w:eastAsia="Times New Roman" w:hAnsi="Times New Roman" w:cs="Times New Roman"/>
                <w:color w:val="000000"/>
                <w:spacing w:val="0"/>
                <w:w w:val="100"/>
                <w:position w:val="0"/>
              </w:rPr>
              <w:t>2,049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820" w:right="0" w:firstLine="0"/>
              <w:jc w:val="both"/>
            </w:pPr>
            <w:r>
              <w:rPr>
                <w:rFonts w:ascii="Times New Roman" w:eastAsia="Times New Roman" w:hAnsi="Times New Roman" w:cs="Times New Roman"/>
                <w:color w:val="000000"/>
                <w:spacing w:val="0"/>
                <w:w w:val="100"/>
                <w:position w:val="0"/>
              </w:rPr>
              <w:t>2,061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820" w:right="0" w:firstLine="0"/>
              <w:jc w:val="both"/>
            </w:pPr>
            <w:r>
              <w:rPr>
                <w:rFonts w:ascii="Times New Roman" w:eastAsia="Times New Roman" w:hAnsi="Times New Roman" w:cs="Times New Roman"/>
                <w:color w:val="000000"/>
                <w:spacing w:val="0"/>
                <w:w w:val="100"/>
                <w:position w:val="0"/>
              </w:rPr>
              <w:t>2,061</w:t>
            </w:r>
          </w:p>
        </w:tc>
      </w:tr>
      <w:tr>
        <w:trPr>
          <w:trHeight w:val="398" w:hRule="exact"/>
        </w:trPr>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820" w:right="0" w:firstLine="0"/>
              <w:jc w:val="both"/>
            </w:pPr>
            <w:r>
              <w:rPr>
                <w:rFonts w:ascii="Times New Roman" w:eastAsia="Times New Roman" w:hAnsi="Times New Roman" w:cs="Times New Roman"/>
                <w:color w:val="000000"/>
                <w:spacing w:val="0"/>
                <w:w w:val="100"/>
                <w:position w:val="0"/>
              </w:rPr>
              <w:t>2,061</w:t>
            </w:r>
          </w:p>
        </w:tc>
      </w:tr>
      <w:tr>
        <w:trPr>
          <w:trHeight w:val="398" w:hRule="exact"/>
        </w:trPr>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大专及以下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757</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820" w:right="0" w:firstLine="0"/>
              <w:jc w:val="both"/>
            </w:pPr>
            <w:r>
              <w:rPr>
                <w:rFonts w:ascii="Times New Roman" w:eastAsia="Times New Roman" w:hAnsi="Times New Roman" w:cs="Times New Roman"/>
                <w:color w:val="000000"/>
                <w:spacing w:val="0"/>
                <w:w w:val="100"/>
                <w:position w:val="0"/>
              </w:rPr>
              <w:t>1,191</w:t>
            </w:r>
          </w:p>
        </w:tc>
      </w:tr>
    </w:tbl>
    <w:p>
      <w:pPr>
        <w:widowControl w:val="0"/>
        <w:spacing w:line="1" w:lineRule="exact"/>
      </w:pPr>
    </w:p>
    <w:tbl>
      <w:tblPr>
        <w:tblOverlap w:val="never"/>
        <w:jc w:val="center"/>
        <w:tblLayout w:type="fixed"/>
      </w:tblPr>
      <w:tblGrid>
        <w:gridCol w:w="5251"/>
        <w:gridCol w:w="4330"/>
      </w:tblGrid>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硕士研究生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博士研究生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2,061</w:t>
            </w:r>
          </w:p>
        </w:tc>
      </w:tr>
    </w:tbl>
    <w:p>
      <w:pPr>
        <w:widowControl w:val="0"/>
        <w:spacing w:after="279" w:line="1" w:lineRule="exact"/>
      </w:pPr>
    </w:p>
    <w:p>
      <w:pPr>
        <w:pStyle w:val="Style30"/>
        <w:keepNext/>
        <w:keepLines/>
        <w:widowControl w:val="0"/>
        <w:shd w:val="clear" w:color="auto" w:fill="auto"/>
        <w:tabs>
          <w:tab w:pos="330" w:val="left"/>
        </w:tabs>
        <w:bidi w:val="0"/>
        <w:spacing w:before="0" w:after="280" w:line="314" w:lineRule="exact"/>
        <w:ind w:left="0" w:right="0" w:firstLine="0"/>
        <w:jc w:val="left"/>
      </w:pPr>
      <w:bookmarkStart w:id="503" w:name="bookmark503"/>
      <w:bookmarkStart w:id="504" w:name="bookmark504"/>
      <w:bookmarkStart w:id="505" w:name="bookmark505"/>
      <w:bookmarkStart w:id="506" w:name="bookmark506"/>
      <w:r>
        <w:rPr>
          <w:rFonts w:ascii="Times New Roman" w:eastAsia="Times New Roman" w:hAnsi="Times New Roman" w:cs="Times New Roman"/>
          <w:color w:val="000000"/>
          <w:spacing w:val="0"/>
          <w:w w:val="100"/>
          <w:position w:val="0"/>
        </w:rPr>
        <w:t>2</w:t>
      </w:r>
      <w:bookmarkEnd w:id="505"/>
      <w:r>
        <w:rPr>
          <w:color w:val="000000"/>
          <w:spacing w:val="0"/>
          <w:w w:val="100"/>
          <w:position w:val="0"/>
        </w:rPr>
        <w:t>、</w:t>
        <w:tab/>
        <w:t>薪酬政策</w:t>
      </w:r>
      <w:bookmarkEnd w:id="503"/>
      <w:bookmarkEnd w:id="504"/>
      <w:bookmarkEnd w:id="506"/>
    </w:p>
    <w:p>
      <w:pPr>
        <w:pStyle w:val="Style33"/>
        <w:keepNext w:val="0"/>
        <w:keepLines w:val="0"/>
        <w:widowControl w:val="0"/>
        <w:shd w:val="clear" w:color="auto" w:fill="auto"/>
        <w:bidi w:val="0"/>
        <w:spacing w:before="0" w:after="280" w:line="312" w:lineRule="exact"/>
        <w:ind w:left="0" w:right="0" w:firstLine="440"/>
        <w:jc w:val="left"/>
      </w:pPr>
      <w:r>
        <w:rPr>
          <w:color w:val="000000"/>
          <w:spacing w:val="0"/>
          <w:w w:val="100"/>
          <w:position w:val="0"/>
        </w:rPr>
        <w:t>为提升企业竞争力及员工积极性，建立与公司战略相匹配的薪酬管理体系，吸引符合企业需求的人才。 员工工资主要由基本工资、绩效奖金、福利津贴、年终奖等构成。公司根据年度经营目标的制定和分解， 建立效益目标考核体系，制定各部门效益指标，其中绩效工资根据效益指标、管理指标、优化指标等相关 指标确定，年终奖根据公司全年经营效益及各部门指标完成情况确定。</w:t>
      </w:r>
    </w:p>
    <w:p>
      <w:pPr>
        <w:pStyle w:val="Style30"/>
        <w:keepNext/>
        <w:keepLines/>
        <w:widowControl w:val="0"/>
        <w:shd w:val="clear" w:color="auto" w:fill="auto"/>
        <w:tabs>
          <w:tab w:pos="330" w:val="left"/>
        </w:tabs>
        <w:bidi w:val="0"/>
        <w:spacing w:before="0" w:after="280" w:line="314" w:lineRule="exact"/>
        <w:ind w:left="0" w:right="0" w:firstLine="0"/>
        <w:jc w:val="left"/>
      </w:pPr>
      <w:bookmarkStart w:id="507" w:name="bookmark507"/>
      <w:bookmarkStart w:id="508" w:name="bookmark508"/>
      <w:bookmarkStart w:id="509" w:name="bookmark509"/>
      <w:bookmarkStart w:id="510" w:name="bookmark510"/>
      <w:r>
        <w:rPr>
          <w:rFonts w:ascii="Times New Roman" w:eastAsia="Times New Roman" w:hAnsi="Times New Roman" w:cs="Times New Roman"/>
          <w:color w:val="000000"/>
          <w:spacing w:val="0"/>
          <w:w w:val="100"/>
          <w:position w:val="0"/>
        </w:rPr>
        <w:t>3</w:t>
      </w:r>
      <w:bookmarkEnd w:id="509"/>
      <w:r>
        <w:rPr>
          <w:color w:val="000000"/>
          <w:spacing w:val="0"/>
          <w:w w:val="100"/>
          <w:position w:val="0"/>
        </w:rPr>
        <w:t>、</w:t>
        <w:tab/>
        <w:t>培训计划</w:t>
      </w:r>
      <w:bookmarkEnd w:id="507"/>
      <w:bookmarkEnd w:id="508"/>
      <w:bookmarkEnd w:id="510"/>
    </w:p>
    <w:p>
      <w:pPr>
        <w:pStyle w:val="Style33"/>
        <w:keepNext w:val="0"/>
        <w:keepLines w:val="0"/>
        <w:widowControl w:val="0"/>
        <w:shd w:val="clear" w:color="auto" w:fill="auto"/>
        <w:bidi w:val="0"/>
        <w:spacing w:before="0" w:after="340" w:line="315" w:lineRule="exact"/>
        <w:ind w:left="0" w:right="0" w:firstLine="440"/>
        <w:jc w:val="left"/>
      </w:pPr>
      <w:r>
        <w:rPr>
          <w:color w:val="000000"/>
          <w:spacing w:val="0"/>
          <w:w w:val="100"/>
          <w:position w:val="0"/>
        </w:rPr>
        <w:t>为提高员工整体素质和工作效率，根据公司人力资源战略目标要求，公司每年年末制定下一年的培训 计划，按照计划开展培训，具体包括培训的项目、内容、时间、方式、对象等。主要培训内容包括员工素 质、业务知识、管理能力提升、沟通管理、执行力提升等各个方面，培训形式有内部讲师授课、网络学习、 外聘讲师授课、外部交流学习等。</w:t>
      </w:r>
    </w:p>
    <w:p>
      <w:pPr>
        <w:pStyle w:val="Style26"/>
        <w:keepNext w:val="0"/>
        <w:keepLines w:val="0"/>
        <w:widowControl w:val="0"/>
        <w:shd w:val="clear" w:color="auto" w:fill="auto"/>
        <w:tabs>
          <w:tab w:pos="7901" w:val="left"/>
        </w:tabs>
        <w:bidi w:val="0"/>
        <w:spacing w:before="0" w:after="0" w:line="240" w:lineRule="auto"/>
        <w:ind w:left="0" w:right="0" w:firstLine="0"/>
        <w:jc w:val="center"/>
      </w:pPr>
      <w:bookmarkStart w:id="511" w:name="bookmark511"/>
      <w:r>
        <w:rPr>
          <w:rFonts w:ascii="Times New Roman" w:eastAsia="Times New Roman" w:hAnsi="Times New Roman" w:cs="Times New Roman"/>
          <w:b/>
          <w:bCs/>
          <w:color w:val="000000"/>
          <w:spacing w:val="0"/>
          <w:w w:val="100"/>
          <w:position w:val="0"/>
        </w:rPr>
        <w:t>4</w:t>
      </w:r>
      <w:r>
        <w:rPr>
          <w:b/>
          <w:bCs/>
          <w:color w:val="000000"/>
          <w:spacing w:val="0"/>
          <w:w w:val="100"/>
          <w:position w:val="0"/>
        </w:rPr>
        <w:t>、劳务外包情况</w:t>
        <w:tab/>
      </w: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511"/>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劳务外包的工时总数（小时）</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2,518,912.81</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劳务外包支付的报酬总额（元）</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37,325,185.22</w:t>
            </w:r>
          </w:p>
        </w:tc>
      </w:tr>
    </w:tbl>
    <w:p>
      <w:pPr>
        <w:sectPr>
          <w:footnotePr>
            <w:pos w:val="pageBottom"/>
            <w:numFmt w:val="decimal"/>
            <w:numRestart w:val="continuous"/>
          </w:footnotePr>
          <w:type w:val="continuous"/>
          <w:pgSz w:w="11900" w:h="16840"/>
          <w:pgMar w:top="1441" w:right="1057" w:bottom="1508" w:left="1056" w:header="0" w:footer="3" w:gutter="0"/>
          <w:cols w:space="720"/>
          <w:noEndnote/>
          <w:rtlGutter w:val="0"/>
          <w:docGrid w:linePitch="360"/>
        </w:sectPr>
      </w:pPr>
    </w:p>
    <w:p>
      <w:pPr>
        <w:pStyle w:val="Style12"/>
        <w:keepNext/>
        <w:keepLines/>
        <w:widowControl w:val="0"/>
        <w:shd w:val="clear" w:color="auto" w:fill="auto"/>
        <w:bidi w:val="0"/>
        <w:spacing w:before="540" w:line="240" w:lineRule="auto"/>
        <w:ind w:left="0" w:right="0" w:firstLine="0"/>
        <w:jc w:val="center"/>
      </w:pPr>
      <w:bookmarkStart w:id="512" w:name="bookmark512"/>
      <w:bookmarkStart w:id="513" w:name="bookmark513"/>
      <w:bookmarkStart w:id="514" w:name="bookmark514"/>
      <w:r>
        <w:rPr>
          <w:color w:val="000000"/>
          <w:spacing w:val="0"/>
          <w:w w:val="100"/>
          <w:position w:val="0"/>
        </w:rPr>
        <w:t>第九节公司治理</w:t>
      </w:r>
      <w:bookmarkEnd w:id="512"/>
      <w:bookmarkEnd w:id="513"/>
      <w:bookmarkEnd w:id="514"/>
    </w:p>
    <w:p>
      <w:pPr>
        <w:pStyle w:val="Style23"/>
        <w:keepNext/>
        <w:keepLines/>
        <w:widowControl w:val="0"/>
        <w:shd w:val="clear" w:color="auto" w:fill="auto"/>
        <w:tabs>
          <w:tab w:pos="517" w:val="left"/>
        </w:tabs>
        <w:bidi w:val="0"/>
        <w:spacing w:before="0" w:after="280" w:line="240" w:lineRule="auto"/>
        <w:ind w:left="0" w:right="0" w:firstLine="0"/>
        <w:jc w:val="both"/>
        <w:rPr>
          <w:sz w:val="22"/>
          <w:szCs w:val="22"/>
        </w:rPr>
      </w:pPr>
      <w:bookmarkStart w:id="515" w:name="bookmark515"/>
      <w:bookmarkStart w:id="516" w:name="bookmark516"/>
      <w:bookmarkStart w:id="517" w:name="bookmark517"/>
      <w:bookmarkStart w:id="518" w:name="bookmark518"/>
      <w:r>
        <w:rPr>
          <w:b/>
          <w:bCs/>
          <w:color w:val="000000"/>
          <w:spacing w:val="0"/>
          <w:w w:val="100"/>
          <w:position w:val="0"/>
          <w:sz w:val="22"/>
          <w:szCs w:val="22"/>
        </w:rPr>
        <w:t>一</w:t>
      </w:r>
      <w:bookmarkEnd w:id="517"/>
      <w:r>
        <w:rPr>
          <w:b/>
          <w:bCs/>
          <w:color w:val="000000"/>
          <w:spacing w:val="0"/>
          <w:w w:val="100"/>
          <w:position w:val="0"/>
          <w:sz w:val="22"/>
          <w:szCs w:val="22"/>
        </w:rPr>
        <w:t>、</w:t>
        <w:tab/>
        <w:t>公司治理的基本状况</w:t>
      </w:r>
      <w:bookmarkEnd w:id="515"/>
      <w:bookmarkEnd w:id="516"/>
      <w:bookmarkEnd w:id="518"/>
    </w:p>
    <w:p>
      <w:pPr>
        <w:pStyle w:val="Style3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公司按照《公司法》、《证券法》和中国证监会的有关法律法规的要求，不断完善法人治理结构，董 事会下设战略委员会、审计委员会、提名委员会、薪酬与考核委员会、投资决策委员会，为董事会提供咨 询、建议，保证董事会议事、决策的专业化与高效化。</w:t>
      </w:r>
    </w:p>
    <w:p>
      <w:pPr>
        <w:pStyle w:val="Style33"/>
        <w:keepNext w:val="0"/>
        <w:keepLines w:val="0"/>
        <w:widowControl w:val="0"/>
        <w:shd w:val="clear" w:color="auto" w:fill="auto"/>
        <w:bidi w:val="0"/>
        <w:spacing w:before="0" w:after="280" w:line="314" w:lineRule="exact"/>
        <w:ind w:left="0" w:right="0" w:firstLine="440"/>
        <w:jc w:val="both"/>
      </w:pPr>
      <w:r>
        <w:rPr>
          <w:color w:val="000000"/>
          <w:spacing w:val="0"/>
          <w:w w:val="100"/>
          <w:position w:val="0"/>
        </w:rPr>
        <w:t>公司拥有完整的法人治理结构，股东大会、董事会、监事会和经营管理层责权分明、各司其职、有效 制衡、科学决策、协调运营，为公司持续、稳定、健康发展奠定了坚实的基础。为适应资产重组后资产、 业务、组织与管理架构的变化，公司于报告期内修订了《公司章程》。</w:t>
      </w:r>
    </w:p>
    <w:p>
      <w:pPr>
        <w:pStyle w:val="Style33"/>
        <w:keepNext w:val="0"/>
        <w:keepLines w:val="0"/>
        <w:widowControl w:val="0"/>
        <w:shd w:val="clear" w:color="auto" w:fill="auto"/>
        <w:bidi w:val="0"/>
        <w:spacing w:before="0" w:after="360" w:line="355" w:lineRule="exact"/>
        <w:ind w:left="0" w:right="0" w:firstLine="0"/>
        <w:jc w:val="left"/>
      </w:pPr>
      <w:r>
        <w:rPr>
          <w:color w:val="000000"/>
          <w:spacing w:val="0"/>
          <w:w w:val="100"/>
          <w:position w:val="0"/>
        </w:rPr>
        <w:t>公司治理的实际状况与中国证监会发布的有关上市公司治理的规范性文件是否存在重大差异</w:t>
      </w: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q</w:t>
      </w:r>
      <w:r>
        <w:rPr>
          <w:color w:val="000000"/>
          <w:spacing w:val="0"/>
          <w:w w:val="100"/>
          <w:position w:val="0"/>
        </w:rPr>
        <w:t>否 公司治理的实际状况与中国证监会发布的有关上市公司治理的规范性文件不存在重大差异。</w:t>
      </w:r>
    </w:p>
    <w:p>
      <w:pPr>
        <w:pStyle w:val="Style23"/>
        <w:keepNext/>
        <w:keepLines/>
        <w:widowControl w:val="0"/>
        <w:shd w:val="clear" w:color="auto" w:fill="auto"/>
        <w:tabs>
          <w:tab w:pos="517" w:val="left"/>
        </w:tabs>
        <w:bidi w:val="0"/>
        <w:spacing w:before="0" w:after="280" w:line="240" w:lineRule="auto"/>
        <w:ind w:left="0" w:right="0" w:firstLine="0"/>
        <w:jc w:val="left"/>
        <w:rPr>
          <w:sz w:val="22"/>
          <w:szCs w:val="22"/>
        </w:rPr>
      </w:pPr>
      <w:bookmarkStart w:id="519" w:name="bookmark519"/>
      <w:bookmarkStart w:id="520" w:name="bookmark520"/>
      <w:bookmarkStart w:id="521" w:name="bookmark521"/>
      <w:bookmarkStart w:id="522" w:name="bookmark522"/>
      <w:r>
        <w:rPr>
          <w:b/>
          <w:bCs/>
          <w:color w:val="000000"/>
          <w:spacing w:val="0"/>
          <w:w w:val="100"/>
          <w:position w:val="0"/>
          <w:sz w:val="22"/>
          <w:szCs w:val="22"/>
        </w:rPr>
        <w:t>二</w:t>
      </w:r>
      <w:bookmarkEnd w:id="521"/>
      <w:r>
        <w:rPr>
          <w:b/>
          <w:bCs/>
          <w:color w:val="000000"/>
          <w:spacing w:val="0"/>
          <w:w w:val="100"/>
          <w:position w:val="0"/>
          <w:sz w:val="22"/>
          <w:szCs w:val="22"/>
        </w:rPr>
        <w:t>、</w:t>
        <w:tab/>
        <w:t>公司相对于控股股东在业务、人员、资产、机构、财务等方面的独立情况</w:t>
      </w:r>
      <w:bookmarkEnd w:id="519"/>
      <w:bookmarkEnd w:id="520"/>
      <w:bookmarkEnd w:id="522"/>
    </w:p>
    <w:p>
      <w:pPr>
        <w:pStyle w:val="Style33"/>
        <w:keepNext w:val="0"/>
        <w:keepLines w:val="0"/>
        <w:widowControl w:val="0"/>
        <w:shd w:val="clear" w:color="auto" w:fill="auto"/>
        <w:tabs>
          <w:tab w:pos="790" w:val="left"/>
        </w:tabs>
        <w:bidi w:val="0"/>
        <w:spacing w:before="0" w:after="0" w:line="316" w:lineRule="exact"/>
        <w:ind w:left="0" w:right="0" w:firstLine="440"/>
        <w:jc w:val="left"/>
      </w:pPr>
      <w:bookmarkStart w:id="523" w:name="bookmark523"/>
      <w:r>
        <w:rPr>
          <w:rFonts w:ascii="Times New Roman" w:eastAsia="Times New Roman" w:hAnsi="Times New Roman" w:cs="Times New Roman"/>
          <w:color w:val="000000"/>
          <w:spacing w:val="0"/>
          <w:w w:val="100"/>
          <w:position w:val="0"/>
        </w:rPr>
        <w:t>1</w:t>
      </w:r>
      <w:bookmarkEnd w:id="523"/>
      <w:r>
        <w:rPr>
          <w:color w:val="000000"/>
          <w:spacing w:val="0"/>
          <w:w w:val="100"/>
          <w:position w:val="0"/>
        </w:rPr>
        <w:t>、</w:t>
        <w:tab/>
        <w:t>业务独立情况。公司具有独立、完整的业务流程及自主经营能力，有关业务决策按照《公司章程》 等规定作出，独立于控股股东及其控制的其他企业。</w:t>
      </w:r>
    </w:p>
    <w:p>
      <w:pPr>
        <w:pStyle w:val="Style33"/>
        <w:keepNext w:val="0"/>
        <w:keepLines w:val="0"/>
        <w:widowControl w:val="0"/>
        <w:shd w:val="clear" w:color="auto" w:fill="auto"/>
        <w:tabs>
          <w:tab w:pos="790" w:val="left"/>
        </w:tabs>
        <w:bidi w:val="0"/>
        <w:spacing w:before="0" w:after="0" w:line="316" w:lineRule="exact"/>
        <w:ind w:left="0" w:right="0" w:firstLine="440"/>
        <w:jc w:val="left"/>
      </w:pPr>
      <w:bookmarkStart w:id="524" w:name="bookmark524"/>
      <w:r>
        <w:rPr>
          <w:rFonts w:ascii="Times New Roman" w:eastAsia="Times New Roman" w:hAnsi="Times New Roman" w:cs="Times New Roman"/>
          <w:color w:val="000000"/>
          <w:spacing w:val="0"/>
          <w:w w:val="100"/>
          <w:position w:val="0"/>
        </w:rPr>
        <w:t>2</w:t>
      </w:r>
      <w:bookmarkEnd w:id="524"/>
      <w:r>
        <w:rPr>
          <w:color w:val="000000"/>
          <w:spacing w:val="0"/>
          <w:w w:val="100"/>
          <w:position w:val="0"/>
        </w:rPr>
        <w:t>、</w:t>
        <w:tab/>
        <w:t>人员独立情况。公司董事、监事、高级管理人员均严格按照《公司法》、《公司章程》的有关规 定选举，不存在控股股东干预公司董事会和股东大会作出人事任免决定的情况。公司总经理、副总经理、 财务负责人、董事会秘书等高级管理人员不在控股股东及其控制的其它单位担任除董事、监事以外的其它 职务。公司财务人员不在控股股东及其控制的其它企业兼职。</w:t>
      </w:r>
    </w:p>
    <w:p>
      <w:pPr>
        <w:pStyle w:val="Style33"/>
        <w:keepNext w:val="0"/>
        <w:keepLines w:val="0"/>
        <w:widowControl w:val="0"/>
        <w:shd w:val="clear" w:color="auto" w:fill="auto"/>
        <w:tabs>
          <w:tab w:pos="813" w:val="left"/>
        </w:tabs>
        <w:bidi w:val="0"/>
        <w:spacing w:before="0" w:after="0" w:line="316" w:lineRule="exact"/>
        <w:ind w:left="0" w:right="0" w:firstLine="440"/>
        <w:jc w:val="left"/>
      </w:pPr>
      <w:bookmarkStart w:id="525" w:name="bookmark525"/>
      <w:r>
        <w:rPr>
          <w:rFonts w:ascii="Times New Roman" w:eastAsia="Times New Roman" w:hAnsi="Times New Roman" w:cs="Times New Roman"/>
          <w:color w:val="000000"/>
          <w:spacing w:val="0"/>
          <w:w w:val="100"/>
          <w:position w:val="0"/>
        </w:rPr>
        <w:t>3</w:t>
      </w:r>
      <w:bookmarkEnd w:id="525"/>
      <w:r>
        <w:rPr>
          <w:color w:val="000000"/>
          <w:spacing w:val="0"/>
          <w:w w:val="100"/>
          <w:position w:val="0"/>
        </w:rPr>
        <w:t>、</w:t>
        <w:tab/>
        <w:t>资产完整情况。公司合法拥有与经营有关的资产，公司资产独立于控股股东及其控制的其它企业。</w:t>
      </w:r>
    </w:p>
    <w:p>
      <w:pPr>
        <w:pStyle w:val="Style33"/>
        <w:keepNext w:val="0"/>
        <w:keepLines w:val="0"/>
        <w:widowControl w:val="0"/>
        <w:shd w:val="clear" w:color="auto" w:fill="auto"/>
        <w:tabs>
          <w:tab w:pos="790" w:val="left"/>
        </w:tabs>
        <w:bidi w:val="0"/>
        <w:spacing w:before="0" w:after="0" w:line="316" w:lineRule="exact"/>
        <w:ind w:left="0" w:right="0" w:firstLine="440"/>
        <w:jc w:val="left"/>
      </w:pPr>
      <w:bookmarkStart w:id="526" w:name="bookmark526"/>
      <w:r>
        <w:rPr>
          <w:rFonts w:ascii="Times New Roman" w:eastAsia="Times New Roman" w:hAnsi="Times New Roman" w:cs="Times New Roman"/>
          <w:color w:val="000000"/>
          <w:spacing w:val="0"/>
          <w:w w:val="100"/>
          <w:position w:val="0"/>
        </w:rPr>
        <w:t>4</w:t>
      </w:r>
      <w:bookmarkEnd w:id="526"/>
      <w:r>
        <w:rPr>
          <w:color w:val="000000"/>
          <w:spacing w:val="0"/>
          <w:w w:val="100"/>
          <w:position w:val="0"/>
        </w:rPr>
        <w:t>、</w:t>
        <w:tab/>
        <w:t>机构独立情况。公司拥有独立的法人治理结构，经营机构完整、独立，法人治理结构健全。公司 在劳动用工、薪酬分配、人事制度、经营管理等方面与控股股东及其控制的其他企业之间不存在交叉和上 下级关系。公司具有完全独立的办公机构与经营场所，不存在与控股股东及其控制的其他企业混合经营、 合署办公的情形。</w:t>
      </w:r>
    </w:p>
    <w:p>
      <w:pPr>
        <w:pStyle w:val="Style33"/>
        <w:keepNext w:val="0"/>
        <w:keepLines w:val="0"/>
        <w:widowControl w:val="0"/>
        <w:shd w:val="clear" w:color="auto" w:fill="auto"/>
        <w:tabs>
          <w:tab w:pos="795" w:val="left"/>
        </w:tabs>
        <w:bidi w:val="0"/>
        <w:spacing w:before="0" w:after="360" w:line="316" w:lineRule="exact"/>
        <w:ind w:left="0" w:right="0" w:firstLine="440"/>
        <w:jc w:val="left"/>
      </w:pPr>
      <w:bookmarkStart w:id="527" w:name="bookmark527"/>
      <w:r>
        <w:rPr>
          <w:rFonts w:ascii="Times New Roman" w:eastAsia="Times New Roman" w:hAnsi="Times New Roman" w:cs="Times New Roman"/>
          <w:color w:val="000000"/>
          <w:spacing w:val="0"/>
          <w:w w:val="100"/>
          <w:position w:val="0"/>
        </w:rPr>
        <w:t>5</w:t>
      </w:r>
      <w:bookmarkEnd w:id="527"/>
      <w:r>
        <w:rPr>
          <w:color w:val="000000"/>
          <w:spacing w:val="0"/>
          <w:w w:val="100"/>
          <w:position w:val="0"/>
        </w:rPr>
        <w:t>、</w:t>
        <w:tab/>
        <w:t>财务独立情况。公司建立了独立的财务部门，配备了专门的财务人员，建立了独立的会计核算体 系和财务管理制度等内控制度，能够独立作出财务决策；公司开立了独立的银行账户，并依法独立履行纳 税义务。公司拥有财务独立性。</w:t>
      </w:r>
    </w:p>
    <w:p>
      <w:pPr>
        <w:pStyle w:val="Style33"/>
        <w:keepNext w:val="0"/>
        <w:keepLines w:val="0"/>
        <w:widowControl w:val="0"/>
        <w:shd w:val="clear" w:color="auto" w:fill="auto"/>
        <w:tabs>
          <w:tab w:pos="517" w:val="left"/>
          <w:tab w:pos="7954" w:val="left"/>
        </w:tabs>
        <w:bidi w:val="0"/>
        <w:spacing w:before="0" w:after="360" w:line="240" w:lineRule="auto"/>
        <w:ind w:left="0" w:right="0" w:firstLine="0"/>
        <w:jc w:val="left"/>
      </w:pPr>
      <w:bookmarkStart w:id="528" w:name="bookmark528"/>
      <w:bookmarkStart w:id="529" w:name="bookmark529"/>
      <w:r>
        <w:rPr>
          <w:b/>
          <w:bCs/>
          <w:color w:val="000000"/>
          <w:spacing w:val="0"/>
          <w:w w:val="100"/>
          <w:position w:val="0"/>
          <w:sz w:val="22"/>
          <w:szCs w:val="22"/>
        </w:rPr>
        <w:t>三</w:t>
      </w:r>
      <w:bookmarkEnd w:id="528"/>
      <w:r>
        <w:rPr>
          <w:b/>
          <w:bCs/>
          <w:color w:val="000000"/>
          <w:spacing w:val="0"/>
          <w:w w:val="100"/>
          <w:position w:val="0"/>
          <w:sz w:val="22"/>
          <w:szCs w:val="22"/>
        </w:rPr>
        <w:t>、</w:t>
        <w:tab/>
        <w:t>同业竞争情况</w:t>
        <w:tab/>
      </w: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bookmarkEnd w:id="529"/>
    </w:p>
    <w:p>
      <w:pPr>
        <w:pStyle w:val="Style23"/>
        <w:keepNext/>
        <w:keepLines/>
        <w:widowControl w:val="0"/>
        <w:shd w:val="clear" w:color="auto" w:fill="auto"/>
        <w:tabs>
          <w:tab w:pos="517" w:val="left"/>
        </w:tabs>
        <w:bidi w:val="0"/>
        <w:spacing w:before="0" w:after="360" w:line="240" w:lineRule="auto"/>
        <w:ind w:left="0" w:right="0" w:firstLine="0"/>
        <w:jc w:val="left"/>
        <w:rPr>
          <w:sz w:val="22"/>
          <w:szCs w:val="22"/>
        </w:rPr>
      </w:pPr>
      <w:bookmarkStart w:id="530" w:name="bookmark530"/>
      <w:bookmarkStart w:id="531" w:name="bookmark531"/>
      <w:bookmarkStart w:id="532" w:name="bookmark532"/>
      <w:bookmarkStart w:id="533" w:name="bookmark533"/>
      <w:bookmarkStart w:id="534" w:name="bookmark534"/>
      <w:r>
        <w:rPr>
          <w:b/>
          <w:bCs/>
          <w:color w:val="000000"/>
          <w:spacing w:val="0"/>
          <w:w w:val="100"/>
          <w:position w:val="0"/>
          <w:sz w:val="22"/>
          <w:szCs w:val="22"/>
        </w:rPr>
        <w:t>四</w:t>
      </w:r>
      <w:bookmarkEnd w:id="532"/>
      <w:r>
        <w:rPr>
          <w:b/>
          <w:bCs/>
          <w:color w:val="000000"/>
          <w:spacing w:val="0"/>
          <w:w w:val="100"/>
          <w:position w:val="0"/>
          <w:sz w:val="22"/>
          <w:szCs w:val="22"/>
        </w:rPr>
        <w:t>、</w:t>
        <w:tab/>
        <w:t>报告期内召开的年度股东大会和临时股东大会的有关情况</w:t>
      </w:r>
      <w:bookmarkEnd w:id="530"/>
      <w:bookmarkEnd w:id="531"/>
      <w:bookmarkEnd w:id="533"/>
      <w:bookmarkEnd w:id="534"/>
    </w:p>
    <w:p>
      <w:pPr>
        <w:pStyle w:val="Style26"/>
        <w:keepNext w:val="0"/>
        <w:keepLines w:val="0"/>
        <w:widowControl w:val="0"/>
        <w:shd w:val="clear" w:color="auto" w:fill="auto"/>
        <w:bidi w:val="0"/>
        <w:spacing w:before="0" w:after="0" w:line="240" w:lineRule="auto"/>
        <w:ind w:left="0" w:right="0" w:firstLine="0"/>
        <w:jc w:val="left"/>
      </w:pPr>
      <w:bookmarkStart w:id="535" w:name="bookmark535"/>
      <w:r>
        <w:rPr>
          <w:rFonts w:ascii="Times New Roman" w:eastAsia="Times New Roman" w:hAnsi="Times New Roman" w:cs="Times New Roman"/>
          <w:b/>
          <w:bCs/>
          <w:color w:val="000000"/>
          <w:spacing w:val="0"/>
          <w:w w:val="100"/>
          <w:position w:val="0"/>
        </w:rPr>
        <w:t>1</w:t>
      </w:r>
      <w:r>
        <w:rPr>
          <w:b/>
          <w:bCs/>
          <w:color w:val="000000"/>
          <w:spacing w:val="0"/>
          <w:w w:val="100"/>
          <w:position w:val="0"/>
        </w:rPr>
        <w:t>、本报告期股东大会情况</w:t>
      </w:r>
      <w:bookmarkEnd w:id="535"/>
    </w:p>
    <w:tbl>
      <w:tblPr>
        <w:tblOverlap w:val="never"/>
        <w:jc w:val="center"/>
        <w:tblLayout w:type="fixed"/>
      </w:tblPr>
      <w:tblGrid>
        <w:gridCol w:w="2842"/>
        <w:gridCol w:w="1416"/>
        <w:gridCol w:w="994"/>
        <w:gridCol w:w="1133"/>
        <w:gridCol w:w="1133"/>
        <w:gridCol w:w="2064"/>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投资者参 与比例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72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0.02%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05</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05</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pPr>
            <w:r>
              <w:rPr>
                <w:color w:val="000000"/>
                <w:spacing w:val="0"/>
                <w:w w:val="100"/>
                <w:position w:val="0"/>
              </w:rPr>
              <w:t>于巨潮资讯网披露（公</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告编号：</w:t>
            </w:r>
            <w:r>
              <w:rPr>
                <w:rFonts w:ascii="Times New Roman" w:eastAsia="Times New Roman" w:hAnsi="Times New Roman" w:cs="Times New Roman"/>
                <w:color w:val="000000"/>
                <w:spacing w:val="0"/>
                <w:w w:val="100"/>
                <w:position w:val="0"/>
              </w:rPr>
              <w:t>2016-031</w:t>
            </w:r>
            <w:r>
              <w:rPr>
                <w:color w:val="000000"/>
                <w:spacing w:val="0"/>
                <w:w w:val="100"/>
                <w:position w:val="0"/>
              </w:rPr>
              <w:t>）</w:t>
            </w:r>
          </w:p>
        </w:tc>
      </w:tr>
    </w:tbl>
    <w:tbl>
      <w:tblPr>
        <w:tblOverlap w:val="never"/>
        <w:jc w:val="center"/>
        <w:tblLayout w:type="fixed"/>
      </w:tblPr>
      <w:tblGrid>
        <w:gridCol w:w="2842"/>
        <w:gridCol w:w="1416"/>
        <w:gridCol w:w="994"/>
        <w:gridCol w:w="1133"/>
        <w:gridCol w:w="1133"/>
        <w:gridCol w:w="2064"/>
      </w:tblGrid>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年第一次临时股东大会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07</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07</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pPr>
            <w:r>
              <w:rPr>
                <w:color w:val="000000"/>
                <w:spacing w:val="0"/>
                <w:w w:val="100"/>
                <w:position w:val="0"/>
              </w:rPr>
              <w:t>于巨潮资讯网披露（公</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告编号：</w:t>
            </w:r>
            <w:r>
              <w:rPr>
                <w:rFonts w:ascii="Times New Roman" w:eastAsia="Times New Roman" w:hAnsi="Times New Roman" w:cs="Times New Roman"/>
                <w:color w:val="000000"/>
                <w:spacing w:val="0"/>
                <w:w w:val="100"/>
                <w:position w:val="0"/>
              </w:rPr>
              <w:t>2016-041</w:t>
            </w: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年第二次临时股东大会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09</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09</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pPr>
            <w:r>
              <w:rPr>
                <w:color w:val="000000"/>
                <w:spacing w:val="0"/>
                <w:w w:val="100"/>
                <w:position w:val="0"/>
              </w:rPr>
              <w:t>于巨潮资讯网披露（公</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告编号：</w:t>
            </w:r>
            <w:r>
              <w:rPr>
                <w:rFonts w:ascii="Times New Roman" w:eastAsia="Times New Roman" w:hAnsi="Times New Roman" w:cs="Times New Roman"/>
                <w:color w:val="000000"/>
                <w:spacing w:val="0"/>
                <w:w w:val="100"/>
                <w:position w:val="0"/>
              </w:rPr>
              <w:t>2016-052</w:t>
            </w: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年第三次临时股东大会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pPr>
            <w:r>
              <w:rPr>
                <w:color w:val="000000"/>
                <w:spacing w:val="0"/>
                <w:w w:val="100"/>
                <w:position w:val="0"/>
              </w:rPr>
              <w:t>于巨潮资讯网披露（公</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告编号：</w:t>
            </w:r>
            <w:r>
              <w:rPr>
                <w:rFonts w:ascii="Times New Roman" w:eastAsia="Times New Roman" w:hAnsi="Times New Roman" w:cs="Times New Roman"/>
                <w:color w:val="000000"/>
                <w:spacing w:val="0"/>
                <w:w w:val="100"/>
                <w:position w:val="0"/>
              </w:rPr>
              <w:t>2016-060</w:t>
            </w: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年第四次临时股东大会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pPr>
            <w:r>
              <w:rPr>
                <w:color w:val="000000"/>
                <w:spacing w:val="0"/>
                <w:w w:val="100"/>
                <w:position w:val="0"/>
              </w:rPr>
              <w:t>于巨潮资讯网披露（公</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告编号：</w:t>
            </w:r>
            <w:r>
              <w:rPr>
                <w:rFonts w:ascii="Times New Roman" w:eastAsia="Times New Roman" w:hAnsi="Times New Roman" w:cs="Times New Roman"/>
                <w:color w:val="000000"/>
                <w:spacing w:val="0"/>
                <w:w w:val="100"/>
                <w:position w:val="0"/>
              </w:rPr>
              <w:t>2016-078</w:t>
            </w:r>
            <w:r>
              <w:rPr>
                <w:color w:val="000000"/>
                <w:spacing w:val="0"/>
                <w:w w:val="100"/>
                <w:position w:val="0"/>
              </w:rPr>
              <w:t>）</w:t>
            </w:r>
          </w:p>
        </w:tc>
      </w:tr>
      <w:tr>
        <w:trPr>
          <w:trHeight w:val="72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年第五次临时股东大会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pPr>
            <w:r>
              <w:rPr>
                <w:color w:val="000000"/>
                <w:spacing w:val="0"/>
                <w:w w:val="100"/>
                <w:position w:val="0"/>
              </w:rPr>
              <w:t>于巨潮资讯网披露（公</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告编号：</w:t>
            </w:r>
            <w:r>
              <w:rPr>
                <w:rFonts w:ascii="Times New Roman" w:eastAsia="Times New Roman" w:hAnsi="Times New Roman" w:cs="Times New Roman"/>
                <w:color w:val="000000"/>
                <w:spacing w:val="0"/>
                <w:w w:val="100"/>
                <w:position w:val="0"/>
              </w:rPr>
              <w:t>2016-081</w:t>
            </w:r>
            <w:r>
              <w:rPr>
                <w:color w:val="000000"/>
                <w:spacing w:val="0"/>
                <w:w w:val="100"/>
                <w:position w:val="0"/>
              </w:rPr>
              <w:t>）</w:t>
            </w:r>
          </w:p>
        </w:tc>
      </w:tr>
    </w:tbl>
    <w:p>
      <w:pPr>
        <w:pStyle w:val="Style26"/>
        <w:keepNext w:val="0"/>
        <w:keepLines w:val="0"/>
        <w:widowControl w:val="0"/>
        <w:shd w:val="clear" w:color="auto" w:fill="auto"/>
        <w:tabs>
          <w:tab w:pos="7886" w:val="left"/>
        </w:tabs>
        <w:bidi w:val="0"/>
        <w:spacing w:before="0" w:after="0" w:line="240" w:lineRule="auto"/>
        <w:ind w:left="0" w:right="0" w:firstLine="0"/>
        <w:jc w:val="center"/>
      </w:pPr>
      <w:bookmarkStart w:id="536" w:name="bookmark536"/>
      <w:r>
        <w:rPr>
          <w:rFonts w:ascii="Times New Roman" w:eastAsia="Times New Roman" w:hAnsi="Times New Roman" w:cs="Times New Roman"/>
          <w:b/>
          <w:bCs/>
          <w:color w:val="000000"/>
          <w:spacing w:val="0"/>
          <w:w w:val="100"/>
          <w:position w:val="0"/>
        </w:rPr>
        <w:t>2</w:t>
      </w:r>
      <w:r>
        <w:rPr>
          <w:b/>
          <w:bCs/>
          <w:color w:val="000000"/>
          <w:spacing w:val="0"/>
          <w:w w:val="100"/>
          <w:position w:val="0"/>
        </w:rPr>
        <w:t>、表决权恢复的优先股股东请求召开临时股东大会</w:t>
        <w:tab/>
      </w: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4</w:t>
      </w:r>
      <w:r>
        <w:rPr>
          <w:color w:val="000000"/>
          <w:spacing w:val="0"/>
          <w:w w:val="100"/>
          <w:position w:val="0"/>
        </w:rPr>
        <w:t>不适用</w:t>
      </w:r>
      <w:bookmarkEnd w:id="536"/>
    </w:p>
    <w:p>
      <w:pPr>
        <w:widowControl w:val="0"/>
        <w:spacing w:after="359" w:line="1" w:lineRule="exact"/>
      </w:pPr>
    </w:p>
    <w:p>
      <w:pPr>
        <w:pStyle w:val="Style23"/>
        <w:keepNext/>
        <w:keepLines/>
        <w:widowControl w:val="0"/>
        <w:shd w:val="clear" w:color="auto" w:fill="auto"/>
        <w:tabs>
          <w:tab w:pos="517" w:val="left"/>
        </w:tabs>
        <w:bidi w:val="0"/>
        <w:spacing w:before="0" w:after="280" w:line="240" w:lineRule="auto"/>
        <w:ind w:left="0" w:right="0" w:firstLine="0"/>
        <w:jc w:val="left"/>
        <w:rPr>
          <w:sz w:val="22"/>
          <w:szCs w:val="22"/>
        </w:rPr>
      </w:pPr>
      <w:bookmarkStart w:id="537" w:name="bookmark537"/>
      <w:bookmarkStart w:id="538" w:name="bookmark538"/>
      <w:bookmarkStart w:id="539" w:name="bookmark539"/>
      <w:bookmarkStart w:id="540" w:name="bookmark540"/>
      <w:r>
        <w:rPr>
          <w:b/>
          <w:bCs/>
          <w:color w:val="000000"/>
          <w:spacing w:val="0"/>
          <w:w w:val="100"/>
          <w:position w:val="0"/>
          <w:sz w:val="22"/>
          <w:szCs w:val="22"/>
        </w:rPr>
        <w:t>五</w:t>
      </w:r>
      <w:bookmarkEnd w:id="539"/>
      <w:r>
        <w:rPr>
          <w:b/>
          <w:bCs/>
          <w:color w:val="000000"/>
          <w:spacing w:val="0"/>
          <w:w w:val="100"/>
          <w:position w:val="0"/>
          <w:sz w:val="22"/>
          <w:szCs w:val="22"/>
        </w:rPr>
        <w:t>、</w:t>
        <w:tab/>
        <w:t>报告期内独立董事履行职责的情况</w:t>
      </w:r>
      <w:bookmarkEnd w:id="537"/>
      <w:bookmarkEnd w:id="538"/>
      <w:bookmarkEnd w:id="540"/>
    </w:p>
    <w:p>
      <w:pPr>
        <w:pStyle w:val="Style30"/>
        <w:keepNext/>
        <w:keepLines/>
        <w:widowControl w:val="0"/>
        <w:shd w:val="clear" w:color="auto" w:fill="auto"/>
        <w:tabs>
          <w:tab w:pos="368" w:val="left"/>
        </w:tabs>
        <w:bidi w:val="0"/>
        <w:spacing w:before="0" w:after="280" w:line="314" w:lineRule="exact"/>
        <w:ind w:left="0" w:right="0" w:firstLine="0"/>
        <w:jc w:val="left"/>
      </w:pPr>
      <w:bookmarkStart w:id="541" w:name="bookmark541"/>
      <w:bookmarkStart w:id="542" w:name="bookmark542"/>
      <w:bookmarkStart w:id="543" w:name="bookmark543"/>
      <w:bookmarkStart w:id="544" w:name="bookmark544"/>
      <w:r>
        <w:rPr>
          <w:rFonts w:ascii="Times New Roman" w:eastAsia="Times New Roman" w:hAnsi="Times New Roman" w:cs="Times New Roman"/>
          <w:color w:val="000000"/>
          <w:spacing w:val="0"/>
          <w:w w:val="100"/>
          <w:position w:val="0"/>
        </w:rPr>
        <w:t>1</w:t>
      </w:r>
      <w:bookmarkEnd w:id="543"/>
      <w:r>
        <w:rPr>
          <w:color w:val="000000"/>
          <w:spacing w:val="0"/>
          <w:w w:val="100"/>
          <w:position w:val="0"/>
        </w:rPr>
        <w:t>、</w:t>
        <w:tab/>
        <w:t>独立董事出席董事会及股东大会的情况</w:t>
      </w:r>
      <w:bookmarkEnd w:id="541"/>
      <w:bookmarkEnd w:id="542"/>
      <w:bookmarkEnd w:id="544"/>
    </w:p>
    <w:p>
      <w:pPr>
        <w:pStyle w:val="Style33"/>
        <w:keepNext w:val="0"/>
        <w:keepLines w:val="0"/>
        <w:widowControl w:val="0"/>
        <w:shd w:val="clear" w:color="auto" w:fill="auto"/>
        <w:bidi w:val="0"/>
        <w:spacing w:before="0" w:after="280" w:line="312" w:lineRule="exact"/>
        <w:ind w:left="0" w:right="0" w:firstLine="440"/>
        <w:jc w:val="both"/>
      </w:pPr>
      <w:r>
        <w:rPr>
          <w:color w:val="000000"/>
          <w:spacing w:val="0"/>
          <w:w w:val="100"/>
          <w:position w:val="0"/>
        </w:rPr>
        <w:t>报告期内，公司共召开董事会会议</w:t>
      </w:r>
      <w:r>
        <w:rPr>
          <w:rFonts w:ascii="Times New Roman" w:eastAsia="Times New Roman" w:hAnsi="Times New Roman" w:cs="Times New Roman"/>
          <w:color w:val="000000"/>
          <w:spacing w:val="0"/>
          <w:w w:val="100"/>
          <w:position w:val="0"/>
        </w:rPr>
        <w:t>12</w:t>
      </w:r>
      <w:r>
        <w:rPr>
          <w:color w:val="000000"/>
          <w:spacing w:val="0"/>
          <w:w w:val="100"/>
          <w:position w:val="0"/>
        </w:rPr>
        <w:t>次，独立董事张李平先生、周春生先生、徐强国先生均亲自出 席会议</w:t>
      </w:r>
      <w:r>
        <w:rPr>
          <w:rFonts w:ascii="Times New Roman" w:eastAsia="Times New Roman" w:hAnsi="Times New Roman" w:cs="Times New Roman"/>
          <w:color w:val="000000"/>
          <w:spacing w:val="0"/>
          <w:w w:val="100"/>
          <w:position w:val="0"/>
        </w:rPr>
        <w:t>12</w:t>
      </w:r>
      <w:r>
        <w:rPr>
          <w:color w:val="000000"/>
          <w:spacing w:val="0"/>
          <w:w w:val="100"/>
          <w:position w:val="0"/>
        </w:rPr>
        <w:t>次。期内，独立董事列席股东大会</w:t>
      </w:r>
      <w:r>
        <w:rPr>
          <w:rFonts w:ascii="Times New Roman" w:eastAsia="Times New Roman" w:hAnsi="Times New Roman" w:cs="Times New Roman"/>
          <w:color w:val="000000"/>
          <w:spacing w:val="0"/>
          <w:w w:val="100"/>
          <w:position w:val="0"/>
        </w:rPr>
        <w:t>2</w:t>
      </w:r>
      <w:r>
        <w:rPr>
          <w:color w:val="000000"/>
          <w:spacing w:val="0"/>
          <w:w w:val="100"/>
          <w:position w:val="0"/>
        </w:rPr>
        <w:t>次。</w:t>
      </w:r>
    </w:p>
    <w:p>
      <w:pPr>
        <w:pStyle w:val="Style30"/>
        <w:keepNext/>
        <w:keepLines/>
        <w:widowControl w:val="0"/>
        <w:shd w:val="clear" w:color="auto" w:fill="auto"/>
        <w:tabs>
          <w:tab w:pos="378" w:val="left"/>
        </w:tabs>
        <w:bidi w:val="0"/>
        <w:spacing w:before="0" w:after="280" w:line="314" w:lineRule="exact"/>
        <w:ind w:left="0" w:right="0" w:firstLine="0"/>
        <w:jc w:val="left"/>
      </w:pPr>
      <w:bookmarkStart w:id="545" w:name="bookmark545"/>
      <w:bookmarkStart w:id="546" w:name="bookmark546"/>
      <w:bookmarkStart w:id="547" w:name="bookmark547"/>
      <w:bookmarkStart w:id="548" w:name="bookmark548"/>
      <w:r>
        <w:rPr>
          <w:rFonts w:ascii="Times New Roman" w:eastAsia="Times New Roman" w:hAnsi="Times New Roman" w:cs="Times New Roman"/>
          <w:color w:val="000000"/>
          <w:spacing w:val="0"/>
          <w:w w:val="100"/>
          <w:position w:val="0"/>
        </w:rPr>
        <w:t>2</w:t>
      </w:r>
      <w:bookmarkEnd w:id="547"/>
      <w:r>
        <w:rPr>
          <w:color w:val="000000"/>
          <w:spacing w:val="0"/>
          <w:w w:val="100"/>
          <w:position w:val="0"/>
        </w:rPr>
        <w:t>、</w:t>
        <w:tab/>
        <w:t>独立董事对公司有关事项提出异议的情况</w:t>
      </w:r>
      <w:bookmarkEnd w:id="545"/>
      <w:bookmarkEnd w:id="546"/>
      <w:bookmarkEnd w:id="548"/>
    </w:p>
    <w:p>
      <w:pPr>
        <w:pStyle w:val="Style33"/>
        <w:keepNext w:val="0"/>
        <w:keepLines w:val="0"/>
        <w:widowControl w:val="0"/>
        <w:shd w:val="clear" w:color="auto" w:fill="auto"/>
        <w:tabs>
          <w:tab w:pos="8606" w:val="left"/>
        </w:tabs>
        <w:bidi w:val="0"/>
        <w:spacing w:before="0" w:after="0" w:line="314" w:lineRule="exact"/>
        <w:ind w:left="0" w:right="0" w:firstLine="0"/>
        <w:jc w:val="left"/>
      </w:pPr>
      <w:r>
        <w:rPr>
          <w:color w:val="000000"/>
          <w:spacing w:val="0"/>
          <w:w w:val="100"/>
          <w:position w:val="0"/>
        </w:rPr>
        <w:t>独立董事对公司有关事项是否提出异议</w:t>
        <w:tab/>
      </w: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q</w:t>
      </w:r>
      <w:r>
        <w:rPr>
          <w:color w:val="000000"/>
          <w:spacing w:val="0"/>
          <w:w w:val="100"/>
          <w:position w:val="0"/>
        </w:rPr>
        <w:t>否</w:t>
      </w:r>
    </w:p>
    <w:p>
      <w:pPr>
        <w:pStyle w:val="Style33"/>
        <w:keepNext w:val="0"/>
        <w:keepLines w:val="0"/>
        <w:widowControl w:val="0"/>
        <w:shd w:val="clear" w:color="auto" w:fill="auto"/>
        <w:bidi w:val="0"/>
        <w:spacing w:before="0" w:after="360" w:line="314" w:lineRule="exact"/>
        <w:ind w:left="0" w:right="0" w:firstLine="0"/>
        <w:jc w:val="left"/>
      </w:pPr>
      <w:r>
        <w:rPr>
          <w:color w:val="000000"/>
          <w:spacing w:val="0"/>
          <w:w w:val="100"/>
          <w:position w:val="0"/>
        </w:rPr>
        <w:t>报告期内独立董事对公司有关事项未提出异议。</w:t>
      </w:r>
    </w:p>
    <w:p>
      <w:pPr>
        <w:pStyle w:val="Style30"/>
        <w:keepNext/>
        <w:keepLines/>
        <w:widowControl w:val="0"/>
        <w:shd w:val="clear" w:color="auto" w:fill="auto"/>
        <w:tabs>
          <w:tab w:pos="378" w:val="left"/>
        </w:tabs>
        <w:bidi w:val="0"/>
        <w:spacing w:before="0" w:after="200" w:line="326" w:lineRule="auto"/>
        <w:ind w:left="0" w:right="0" w:firstLine="0"/>
        <w:jc w:val="left"/>
      </w:pPr>
      <w:bookmarkStart w:id="549" w:name="bookmark549"/>
      <w:bookmarkStart w:id="550" w:name="bookmark550"/>
      <w:bookmarkStart w:id="551" w:name="bookmark551"/>
      <w:bookmarkStart w:id="552" w:name="bookmark552"/>
      <w:r>
        <w:rPr>
          <w:rFonts w:ascii="Times New Roman" w:eastAsia="Times New Roman" w:hAnsi="Times New Roman" w:cs="Times New Roman"/>
          <w:color w:val="000000"/>
          <w:spacing w:val="0"/>
          <w:w w:val="100"/>
          <w:position w:val="0"/>
        </w:rPr>
        <w:t>3</w:t>
      </w:r>
      <w:bookmarkEnd w:id="551"/>
      <w:r>
        <w:rPr>
          <w:color w:val="000000"/>
          <w:spacing w:val="0"/>
          <w:w w:val="100"/>
          <w:position w:val="0"/>
        </w:rPr>
        <w:t>、</w:t>
        <w:tab/>
        <w:t>独立董事履行职责的其他说明</w:t>
      </w:r>
      <w:bookmarkEnd w:id="549"/>
      <w:bookmarkEnd w:id="550"/>
      <w:bookmarkEnd w:id="552"/>
    </w:p>
    <w:p>
      <w:pPr>
        <w:pStyle w:val="Style33"/>
        <w:keepNext w:val="0"/>
        <w:keepLines w:val="0"/>
        <w:widowControl w:val="0"/>
        <w:shd w:val="clear" w:color="auto" w:fill="auto"/>
        <w:tabs>
          <w:tab w:pos="8606" w:val="left"/>
        </w:tabs>
        <w:bidi w:val="0"/>
        <w:spacing w:before="0" w:after="0" w:line="314" w:lineRule="exact"/>
        <w:ind w:left="0" w:right="0" w:firstLine="0"/>
        <w:jc w:val="left"/>
      </w:pPr>
      <w:r>
        <w:rPr>
          <w:color w:val="000000"/>
          <w:spacing w:val="0"/>
          <w:w w:val="100"/>
          <w:position w:val="0"/>
        </w:rPr>
        <w:t>独立董事对公司有关建议是否被采纳</w:t>
        <w:tab/>
      </w:r>
      <w:r>
        <w:rPr>
          <w:rFonts w:ascii="Times New Roman" w:eastAsia="Times New Roman" w:hAnsi="Times New Roman" w:cs="Times New Roman"/>
          <w:color w:val="000000"/>
          <w:spacing w:val="0"/>
          <w:w w:val="100"/>
          <w:position w:val="0"/>
        </w:rPr>
        <w:t>q</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33"/>
        <w:keepNext w:val="0"/>
        <w:keepLines w:val="0"/>
        <w:widowControl w:val="0"/>
        <w:shd w:val="clear" w:color="auto" w:fill="auto"/>
        <w:bidi w:val="0"/>
        <w:spacing w:before="0" w:after="0" w:line="314" w:lineRule="exact"/>
        <w:ind w:left="0" w:right="0" w:firstLine="0"/>
        <w:jc w:val="left"/>
      </w:pPr>
      <w:r>
        <w:rPr>
          <w:color w:val="000000"/>
          <w:spacing w:val="0"/>
          <w:w w:val="100"/>
          <w:position w:val="0"/>
        </w:rPr>
        <w:t>独立董事对公司有关建议被采纳或未被采纳的说明</w:t>
      </w:r>
    </w:p>
    <w:p>
      <w:pPr>
        <w:pStyle w:val="Style33"/>
        <w:keepNext w:val="0"/>
        <w:keepLines w:val="0"/>
        <w:widowControl w:val="0"/>
        <w:shd w:val="clear" w:color="auto" w:fill="auto"/>
        <w:bidi w:val="0"/>
        <w:spacing w:before="0" w:after="360" w:line="314" w:lineRule="exact"/>
        <w:ind w:left="0" w:right="0" w:firstLine="440"/>
        <w:jc w:val="both"/>
      </w:pPr>
      <w:r>
        <w:rPr>
          <w:color w:val="000000"/>
          <w:spacing w:val="0"/>
          <w:w w:val="100"/>
          <w:position w:val="0"/>
        </w:rPr>
        <w:t>报告期内，公司独立董事严格按照有关法律、法规和《公司章程》的规定，关注公司运作，独立履行 职责，对公司经营决策提出了许多专业性意见，对报告期内需要独立董事发表意见的事项出具了独立、公 正意见，为完善公司监督机制，维护公司和全体股东合法权益发挥了应有的作用。</w:t>
      </w:r>
    </w:p>
    <w:p>
      <w:pPr>
        <w:pStyle w:val="Style23"/>
        <w:keepNext/>
        <w:keepLines/>
        <w:widowControl w:val="0"/>
        <w:shd w:val="clear" w:color="auto" w:fill="auto"/>
        <w:tabs>
          <w:tab w:pos="517" w:val="left"/>
        </w:tabs>
        <w:bidi w:val="0"/>
        <w:spacing w:before="0" w:after="280" w:line="240" w:lineRule="auto"/>
        <w:ind w:left="0" w:right="0" w:firstLine="0"/>
        <w:jc w:val="left"/>
        <w:rPr>
          <w:sz w:val="22"/>
          <w:szCs w:val="22"/>
        </w:rPr>
      </w:pPr>
      <w:bookmarkStart w:id="553" w:name="bookmark553"/>
      <w:bookmarkStart w:id="554" w:name="bookmark554"/>
      <w:bookmarkStart w:id="555" w:name="bookmark555"/>
      <w:bookmarkStart w:id="556" w:name="bookmark556"/>
      <w:r>
        <w:rPr>
          <w:b/>
          <w:bCs/>
          <w:color w:val="000000"/>
          <w:spacing w:val="0"/>
          <w:w w:val="100"/>
          <w:position w:val="0"/>
          <w:sz w:val="22"/>
          <w:szCs w:val="22"/>
        </w:rPr>
        <w:t>六</w:t>
      </w:r>
      <w:bookmarkEnd w:id="555"/>
      <w:r>
        <w:rPr>
          <w:b/>
          <w:bCs/>
          <w:color w:val="000000"/>
          <w:spacing w:val="0"/>
          <w:w w:val="100"/>
          <w:position w:val="0"/>
          <w:sz w:val="22"/>
          <w:szCs w:val="22"/>
        </w:rPr>
        <w:t>、</w:t>
        <w:tab/>
        <w:t>董事会下设专门委员会在报告期内履行职责情况</w:t>
      </w:r>
      <w:bookmarkEnd w:id="553"/>
      <w:bookmarkEnd w:id="554"/>
      <w:bookmarkEnd w:id="556"/>
    </w:p>
    <w:p>
      <w:pPr>
        <w:pStyle w:val="Style33"/>
        <w:keepNext w:val="0"/>
        <w:keepLines w:val="0"/>
        <w:widowControl w:val="0"/>
        <w:shd w:val="clear" w:color="auto" w:fill="auto"/>
        <w:bidi w:val="0"/>
        <w:spacing w:before="0" w:after="0" w:line="314" w:lineRule="exact"/>
        <w:ind w:left="0" w:right="0" w:firstLine="440"/>
        <w:jc w:val="left"/>
      </w:pPr>
      <w:r>
        <w:rPr>
          <w:color w:val="000000"/>
          <w:spacing w:val="0"/>
          <w:w w:val="100"/>
          <w:position w:val="0"/>
        </w:rPr>
        <w:t>公司董事会下设战略委员会、审计委员会、提名委员会、薪酬与考核委员会、投资决策委员会等五个 专门委员会，各专门委员会委员依据《公司章程》及有关规定，认真履行职责，就专业性事项进行研究， 提出意见及建议，供董事会决策参考。根据《公司章程》，专门委员会成员全部由董事组成。</w:t>
      </w:r>
    </w:p>
    <w:p>
      <w:pPr>
        <w:pStyle w:val="Style33"/>
        <w:keepNext w:val="0"/>
        <w:keepLines w:val="0"/>
        <w:widowControl w:val="0"/>
        <w:shd w:val="clear" w:color="auto" w:fill="auto"/>
        <w:tabs>
          <w:tab w:pos="1029" w:val="left"/>
        </w:tabs>
        <w:bidi w:val="0"/>
        <w:spacing w:before="0" w:after="0" w:line="314" w:lineRule="exact"/>
        <w:ind w:left="0" w:right="0" w:firstLine="440"/>
        <w:jc w:val="left"/>
      </w:pPr>
      <w:bookmarkStart w:id="557" w:name="bookmark557"/>
      <w:r>
        <w:rPr>
          <w:color w:val="000000"/>
          <w:spacing w:val="0"/>
          <w:w w:val="100"/>
          <w:position w:val="0"/>
        </w:rPr>
        <w:t>（</w:t>
      </w:r>
      <w:bookmarkEnd w:id="557"/>
      <w:r>
        <w:rPr>
          <w:color w:val="000000"/>
          <w:spacing w:val="0"/>
          <w:w w:val="100"/>
          <w:position w:val="0"/>
        </w:rPr>
        <w:t>一）</w:t>
        <w:tab/>
        <w:t>董事会战略委员会履职情况</w:t>
      </w:r>
    </w:p>
    <w:p>
      <w:pPr>
        <w:pStyle w:val="Style33"/>
        <w:keepNext w:val="0"/>
        <w:keepLines w:val="0"/>
        <w:widowControl w:val="0"/>
        <w:shd w:val="clear" w:color="auto" w:fill="auto"/>
        <w:bidi w:val="0"/>
        <w:spacing w:before="0" w:after="0" w:line="314" w:lineRule="exact"/>
        <w:ind w:left="0" w:right="0" w:firstLine="440"/>
        <w:jc w:val="left"/>
      </w:pPr>
      <w:r>
        <w:rPr>
          <w:color w:val="000000"/>
          <w:spacing w:val="0"/>
          <w:w w:val="100"/>
          <w:position w:val="0"/>
        </w:rPr>
        <w:t>报告期内，公司董事会战略委员会勤勉尽责地履行职责，及时对公司战略规划等事项进行研究，并提 出合理建议。</w:t>
      </w:r>
    </w:p>
    <w:p>
      <w:pPr>
        <w:pStyle w:val="Style33"/>
        <w:keepNext w:val="0"/>
        <w:keepLines w:val="0"/>
        <w:widowControl w:val="0"/>
        <w:shd w:val="clear" w:color="auto" w:fill="auto"/>
        <w:tabs>
          <w:tab w:pos="1029" w:val="left"/>
        </w:tabs>
        <w:bidi w:val="0"/>
        <w:spacing w:before="0" w:after="0" w:line="314" w:lineRule="exact"/>
        <w:ind w:left="0" w:right="0" w:firstLine="440"/>
        <w:jc w:val="left"/>
      </w:pPr>
      <w:bookmarkStart w:id="558" w:name="bookmark558"/>
      <w:r>
        <w:rPr>
          <w:color w:val="000000"/>
          <w:spacing w:val="0"/>
          <w:w w:val="100"/>
          <w:position w:val="0"/>
        </w:rPr>
        <w:t>（</w:t>
      </w:r>
      <w:bookmarkEnd w:id="558"/>
      <w:r>
        <w:rPr>
          <w:color w:val="000000"/>
          <w:spacing w:val="0"/>
          <w:w w:val="100"/>
          <w:position w:val="0"/>
        </w:rPr>
        <w:t>二）</w:t>
        <w:tab/>
        <w:t>董事会审计委员会履职情况</w:t>
      </w:r>
    </w:p>
    <w:p>
      <w:pPr>
        <w:pStyle w:val="Style33"/>
        <w:keepNext w:val="0"/>
        <w:keepLines w:val="0"/>
        <w:widowControl w:val="0"/>
        <w:shd w:val="clear" w:color="auto" w:fill="auto"/>
        <w:bidi w:val="0"/>
        <w:spacing w:before="0" w:after="0" w:line="314" w:lineRule="exact"/>
        <w:ind w:left="0" w:right="0" w:firstLine="440"/>
        <w:jc w:val="left"/>
      </w:pPr>
      <w:r>
        <w:rPr>
          <w:color w:val="000000"/>
          <w:spacing w:val="0"/>
          <w:w w:val="100"/>
          <w:position w:val="0"/>
        </w:rPr>
        <w:t>报告期内，董事会审计委员会审核了公司</w:t>
      </w:r>
      <w:r>
        <w:rPr>
          <w:rFonts w:ascii="Times New Roman" w:eastAsia="Times New Roman" w:hAnsi="Times New Roman" w:cs="Times New Roman"/>
          <w:color w:val="000000"/>
          <w:spacing w:val="0"/>
          <w:w w:val="100"/>
          <w:position w:val="0"/>
        </w:rPr>
        <w:t>2015</w:t>
      </w:r>
      <w:r>
        <w:rPr>
          <w:color w:val="000000"/>
          <w:spacing w:val="0"/>
          <w:w w:val="100"/>
          <w:position w:val="0"/>
        </w:rPr>
        <w:t>年年度报告；对公司</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年度审计工作计划进行了审核, </w:t>
      </w:r>
      <w:r>
        <w:rPr>
          <w:color w:val="000000"/>
          <w:spacing w:val="0"/>
          <w:w w:val="100"/>
          <w:position w:val="0"/>
        </w:rPr>
        <w:t>听取了公司内审部门的季度工作汇报；审查督促了公司内控制度的建设；对立信会计师事务所（特殊普通 合伙）</w:t>
      </w:r>
      <w:r>
        <w:rPr>
          <w:rFonts w:ascii="Times New Roman" w:eastAsia="Times New Roman" w:hAnsi="Times New Roman" w:cs="Times New Roman"/>
          <w:color w:val="000000"/>
          <w:spacing w:val="0"/>
          <w:w w:val="100"/>
          <w:position w:val="0"/>
        </w:rPr>
        <w:t>2015</w:t>
      </w:r>
      <w:r>
        <w:rPr>
          <w:color w:val="000000"/>
          <w:spacing w:val="0"/>
          <w:w w:val="100"/>
          <w:position w:val="0"/>
        </w:rPr>
        <w:t>年度财务报告审计情况进行了讨论，就审计过程中发现的问题进行了沟通和交流。</w:t>
      </w:r>
    </w:p>
    <w:p>
      <w:pPr>
        <w:pStyle w:val="Style33"/>
        <w:keepNext w:val="0"/>
        <w:keepLines w:val="0"/>
        <w:widowControl w:val="0"/>
        <w:shd w:val="clear" w:color="auto" w:fill="auto"/>
        <w:tabs>
          <w:tab w:pos="1029" w:val="left"/>
        </w:tabs>
        <w:bidi w:val="0"/>
        <w:spacing w:before="0" w:after="0" w:line="307" w:lineRule="exact"/>
        <w:ind w:left="0" w:right="0" w:firstLine="440"/>
        <w:jc w:val="both"/>
      </w:pPr>
      <w:bookmarkStart w:id="559" w:name="bookmark559"/>
      <w:r>
        <w:rPr>
          <w:color w:val="000000"/>
          <w:spacing w:val="0"/>
          <w:w w:val="100"/>
          <w:position w:val="0"/>
        </w:rPr>
        <w:t>（</w:t>
      </w:r>
      <w:bookmarkEnd w:id="559"/>
      <w:r>
        <w:rPr>
          <w:color w:val="000000"/>
          <w:spacing w:val="0"/>
          <w:w w:val="100"/>
          <w:position w:val="0"/>
        </w:rPr>
        <w:t>三）</w:t>
        <w:tab/>
        <w:t>董事会提名委员会履职情况</w:t>
      </w:r>
    </w:p>
    <w:p>
      <w:pPr>
        <w:pStyle w:val="Style33"/>
        <w:keepNext w:val="0"/>
        <w:keepLines w:val="0"/>
        <w:widowControl w:val="0"/>
        <w:shd w:val="clear" w:color="auto" w:fill="auto"/>
        <w:bidi w:val="0"/>
        <w:spacing w:before="0" w:after="0" w:line="307" w:lineRule="exact"/>
        <w:ind w:left="0" w:right="0" w:firstLine="440"/>
        <w:jc w:val="both"/>
      </w:pPr>
      <w:r>
        <w:rPr>
          <w:color w:val="000000"/>
          <w:spacing w:val="0"/>
          <w:w w:val="100"/>
          <w:position w:val="0"/>
        </w:rPr>
        <w:t>报告期内，董事会提名委员会审议了公司审计部负责人聘任事项，就相关人员的任职资格进行了审查。</w:t>
      </w:r>
    </w:p>
    <w:p>
      <w:pPr>
        <w:pStyle w:val="Style33"/>
        <w:keepNext w:val="0"/>
        <w:keepLines w:val="0"/>
        <w:widowControl w:val="0"/>
        <w:shd w:val="clear" w:color="auto" w:fill="auto"/>
        <w:tabs>
          <w:tab w:pos="1029" w:val="left"/>
        </w:tabs>
        <w:bidi w:val="0"/>
        <w:spacing w:before="0" w:after="0" w:line="307" w:lineRule="exact"/>
        <w:ind w:left="0" w:right="0" w:firstLine="440"/>
        <w:jc w:val="both"/>
      </w:pPr>
      <w:bookmarkStart w:id="560" w:name="bookmark560"/>
      <w:r>
        <w:rPr>
          <w:color w:val="000000"/>
          <w:spacing w:val="0"/>
          <w:w w:val="100"/>
          <w:position w:val="0"/>
        </w:rPr>
        <w:t>（</w:t>
      </w:r>
      <w:bookmarkEnd w:id="560"/>
      <w:r>
        <w:rPr>
          <w:color w:val="000000"/>
          <w:spacing w:val="0"/>
          <w:w w:val="100"/>
          <w:position w:val="0"/>
        </w:rPr>
        <w:t>四）</w:t>
        <w:tab/>
        <w:t>董事会薪酬与考核委员会履职情况</w:t>
      </w:r>
    </w:p>
    <w:p>
      <w:pPr>
        <w:pStyle w:val="Style33"/>
        <w:keepNext w:val="0"/>
        <w:keepLines w:val="0"/>
        <w:widowControl w:val="0"/>
        <w:shd w:val="clear" w:color="auto" w:fill="auto"/>
        <w:bidi w:val="0"/>
        <w:spacing w:before="0" w:after="0" w:line="307" w:lineRule="exact"/>
        <w:ind w:left="0" w:right="0" w:firstLine="440"/>
        <w:jc w:val="both"/>
      </w:pPr>
      <w:r>
        <w:rPr>
          <w:color w:val="000000"/>
          <w:spacing w:val="0"/>
          <w:w w:val="100"/>
          <w:position w:val="0"/>
        </w:rPr>
        <w:t>报告期内，董事会薪酬与考核委员会根据相关规定对公司高级管理人员薪酬进行了审查并提出了建 议。</w:t>
      </w:r>
    </w:p>
    <w:p>
      <w:pPr>
        <w:pStyle w:val="Style33"/>
        <w:keepNext w:val="0"/>
        <w:keepLines w:val="0"/>
        <w:widowControl w:val="0"/>
        <w:shd w:val="clear" w:color="auto" w:fill="auto"/>
        <w:tabs>
          <w:tab w:pos="1029" w:val="left"/>
        </w:tabs>
        <w:bidi w:val="0"/>
        <w:spacing w:before="0" w:after="0" w:line="307" w:lineRule="exact"/>
        <w:ind w:left="0" w:right="0" w:firstLine="440"/>
        <w:jc w:val="both"/>
      </w:pPr>
      <w:bookmarkStart w:id="561" w:name="bookmark561"/>
      <w:r>
        <w:rPr>
          <w:color w:val="000000"/>
          <w:spacing w:val="0"/>
          <w:w w:val="100"/>
          <w:position w:val="0"/>
        </w:rPr>
        <w:t>（</w:t>
      </w:r>
      <w:bookmarkEnd w:id="561"/>
      <w:r>
        <w:rPr>
          <w:color w:val="000000"/>
          <w:spacing w:val="0"/>
          <w:w w:val="100"/>
          <w:position w:val="0"/>
        </w:rPr>
        <w:t>五）</w:t>
        <w:tab/>
        <w:t>董事会投资决策委员会履职情况</w:t>
      </w:r>
    </w:p>
    <w:p>
      <w:pPr>
        <w:pStyle w:val="Style33"/>
        <w:keepNext w:val="0"/>
        <w:keepLines w:val="0"/>
        <w:widowControl w:val="0"/>
        <w:shd w:val="clear" w:color="auto" w:fill="auto"/>
        <w:bidi w:val="0"/>
        <w:spacing w:before="0" w:after="360" w:line="307" w:lineRule="exact"/>
        <w:ind w:left="0" w:right="0" w:firstLine="440"/>
        <w:jc w:val="both"/>
      </w:pPr>
      <w:r>
        <w:rPr>
          <w:color w:val="000000"/>
          <w:spacing w:val="0"/>
          <w:w w:val="100"/>
          <w:position w:val="0"/>
        </w:rPr>
        <w:t>报告期内，公司投资决策委员会按照有关规定履行职责。</w:t>
      </w:r>
    </w:p>
    <w:p>
      <w:pPr>
        <w:pStyle w:val="Style23"/>
        <w:keepNext/>
        <w:keepLines/>
        <w:widowControl w:val="0"/>
        <w:shd w:val="clear" w:color="auto" w:fill="auto"/>
        <w:tabs>
          <w:tab w:pos="517" w:val="left"/>
        </w:tabs>
        <w:bidi w:val="0"/>
        <w:spacing w:before="0" w:after="280" w:line="240" w:lineRule="auto"/>
        <w:ind w:left="0" w:right="0" w:firstLine="0"/>
        <w:jc w:val="both"/>
        <w:rPr>
          <w:sz w:val="22"/>
          <w:szCs w:val="22"/>
        </w:rPr>
      </w:pPr>
      <w:bookmarkStart w:id="562" w:name="bookmark562"/>
      <w:bookmarkStart w:id="563" w:name="bookmark563"/>
      <w:bookmarkStart w:id="564" w:name="bookmark564"/>
      <w:bookmarkStart w:id="565" w:name="bookmark565"/>
      <w:r>
        <w:rPr>
          <w:b/>
          <w:bCs/>
          <w:color w:val="000000"/>
          <w:spacing w:val="0"/>
          <w:w w:val="100"/>
          <w:position w:val="0"/>
          <w:sz w:val="22"/>
          <w:szCs w:val="22"/>
        </w:rPr>
        <w:t>七</w:t>
      </w:r>
      <w:bookmarkEnd w:id="564"/>
      <w:r>
        <w:rPr>
          <w:b/>
          <w:bCs/>
          <w:color w:val="000000"/>
          <w:spacing w:val="0"/>
          <w:w w:val="100"/>
          <w:position w:val="0"/>
          <w:sz w:val="22"/>
          <w:szCs w:val="22"/>
        </w:rPr>
        <w:t>、</w:t>
        <w:tab/>
        <w:t>监事会工作情况</w:t>
      </w:r>
      <w:bookmarkEnd w:id="562"/>
      <w:bookmarkEnd w:id="563"/>
      <w:bookmarkEnd w:id="565"/>
    </w:p>
    <w:p>
      <w:pPr>
        <w:pStyle w:val="Style33"/>
        <w:keepNext w:val="0"/>
        <w:keepLines w:val="0"/>
        <w:widowControl w:val="0"/>
        <w:shd w:val="clear" w:color="auto" w:fill="auto"/>
        <w:tabs>
          <w:tab w:pos="8618" w:val="left"/>
        </w:tabs>
        <w:bidi w:val="0"/>
        <w:spacing w:before="0" w:after="0" w:line="307" w:lineRule="exact"/>
        <w:ind w:left="0" w:right="0" w:firstLine="0"/>
        <w:jc w:val="both"/>
      </w:pPr>
      <w:r>
        <w:rPr>
          <w:color w:val="000000"/>
          <w:spacing w:val="0"/>
          <w:w w:val="100"/>
          <w:position w:val="0"/>
        </w:rPr>
        <w:t>监事会在报告期内的监督活动中发现公司是否存在风险</w:t>
        <w:tab/>
      </w: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q</w:t>
      </w:r>
      <w:r>
        <w:rPr>
          <w:color w:val="000000"/>
          <w:spacing w:val="0"/>
          <w:w w:val="100"/>
          <w:position w:val="0"/>
        </w:rPr>
        <w:t>否</w:t>
      </w:r>
    </w:p>
    <w:p>
      <w:pPr>
        <w:pStyle w:val="Style33"/>
        <w:keepNext w:val="0"/>
        <w:keepLines w:val="0"/>
        <w:widowControl w:val="0"/>
        <w:shd w:val="clear" w:color="auto" w:fill="auto"/>
        <w:bidi w:val="0"/>
        <w:spacing w:before="0" w:after="360" w:line="307" w:lineRule="exact"/>
        <w:ind w:left="0" w:right="0" w:firstLine="440"/>
        <w:jc w:val="both"/>
      </w:pPr>
      <w:r>
        <w:rPr>
          <w:color w:val="000000"/>
          <w:spacing w:val="0"/>
          <w:w w:val="100"/>
          <w:position w:val="0"/>
        </w:rPr>
        <w:t>监事会对报告期内的监督事项无异议。</w:t>
      </w:r>
    </w:p>
    <w:p>
      <w:pPr>
        <w:pStyle w:val="Style23"/>
        <w:keepNext/>
        <w:keepLines/>
        <w:widowControl w:val="0"/>
        <w:shd w:val="clear" w:color="auto" w:fill="auto"/>
        <w:tabs>
          <w:tab w:pos="517" w:val="left"/>
        </w:tabs>
        <w:bidi w:val="0"/>
        <w:spacing w:before="0" w:after="280" w:line="240" w:lineRule="auto"/>
        <w:ind w:left="0" w:right="0" w:firstLine="0"/>
        <w:jc w:val="left"/>
        <w:rPr>
          <w:sz w:val="22"/>
          <w:szCs w:val="22"/>
        </w:rPr>
      </w:pPr>
      <w:bookmarkStart w:id="566" w:name="bookmark566"/>
      <w:bookmarkStart w:id="567" w:name="bookmark567"/>
      <w:bookmarkStart w:id="568" w:name="bookmark568"/>
      <w:bookmarkStart w:id="569" w:name="bookmark569"/>
      <w:r>
        <w:rPr>
          <w:b/>
          <w:bCs/>
          <w:color w:val="000000"/>
          <w:spacing w:val="0"/>
          <w:w w:val="100"/>
          <w:position w:val="0"/>
          <w:sz w:val="22"/>
          <w:szCs w:val="22"/>
        </w:rPr>
        <w:t>八</w:t>
      </w:r>
      <w:bookmarkEnd w:id="568"/>
      <w:r>
        <w:rPr>
          <w:b/>
          <w:bCs/>
          <w:color w:val="000000"/>
          <w:spacing w:val="0"/>
          <w:w w:val="100"/>
          <w:position w:val="0"/>
          <w:sz w:val="22"/>
          <w:szCs w:val="22"/>
        </w:rPr>
        <w:t>、</w:t>
        <w:tab/>
        <w:t>高级管理人员的考评及激励情况</w:t>
      </w:r>
      <w:bookmarkEnd w:id="566"/>
      <w:bookmarkEnd w:id="567"/>
      <w:bookmarkEnd w:id="569"/>
    </w:p>
    <w:p>
      <w:pPr>
        <w:pStyle w:val="Style33"/>
        <w:keepNext w:val="0"/>
        <w:keepLines w:val="0"/>
        <w:widowControl w:val="0"/>
        <w:shd w:val="clear" w:color="auto" w:fill="auto"/>
        <w:bidi w:val="0"/>
        <w:spacing w:before="0" w:after="360" w:line="314" w:lineRule="exact"/>
        <w:ind w:left="0" w:right="0" w:firstLine="440"/>
        <w:jc w:val="both"/>
      </w:pPr>
      <w:r>
        <w:rPr>
          <w:color w:val="000000"/>
          <w:spacing w:val="0"/>
          <w:w w:val="100"/>
          <w:position w:val="0"/>
        </w:rPr>
        <w:t>公司高级管理人员直接对董事会负责，接受董事会的考核，实行责权利统一的激励机制。高级管理人 员实行年薪制，薪资标准依据行业薪酬水平、企业经营效益、高管岗位职级等因素确定。年终对高管人员 的履职情况和年度业绩情况予以考核，根据考核结果发放年度绩效薪酬。</w:t>
      </w:r>
    </w:p>
    <w:p>
      <w:pPr>
        <w:pStyle w:val="Style23"/>
        <w:keepNext/>
        <w:keepLines/>
        <w:widowControl w:val="0"/>
        <w:shd w:val="clear" w:color="auto" w:fill="auto"/>
        <w:tabs>
          <w:tab w:pos="517" w:val="left"/>
        </w:tabs>
        <w:bidi w:val="0"/>
        <w:spacing w:before="0" w:after="360" w:line="240" w:lineRule="auto"/>
        <w:ind w:left="0" w:right="0" w:firstLine="0"/>
        <w:jc w:val="both"/>
        <w:rPr>
          <w:sz w:val="22"/>
          <w:szCs w:val="22"/>
        </w:rPr>
      </w:pPr>
      <w:bookmarkStart w:id="570" w:name="bookmark570"/>
      <w:bookmarkStart w:id="571" w:name="bookmark571"/>
      <w:bookmarkStart w:id="572" w:name="bookmark572"/>
      <w:bookmarkStart w:id="573" w:name="bookmark573"/>
      <w:r>
        <w:rPr>
          <w:b/>
          <w:bCs/>
          <w:color w:val="000000"/>
          <w:spacing w:val="0"/>
          <w:w w:val="100"/>
          <w:position w:val="0"/>
          <w:sz w:val="22"/>
          <w:szCs w:val="22"/>
        </w:rPr>
        <w:t>九</w:t>
      </w:r>
      <w:bookmarkEnd w:id="572"/>
      <w:r>
        <w:rPr>
          <w:b/>
          <w:bCs/>
          <w:color w:val="000000"/>
          <w:spacing w:val="0"/>
          <w:w w:val="100"/>
          <w:position w:val="0"/>
          <w:sz w:val="22"/>
          <w:szCs w:val="22"/>
        </w:rPr>
        <w:t>、</w:t>
        <w:tab/>
        <w:t>内部控制评价报告</w:t>
      </w:r>
      <w:bookmarkEnd w:id="570"/>
      <w:bookmarkEnd w:id="571"/>
      <w:bookmarkEnd w:id="573"/>
    </w:p>
    <w:p>
      <w:pPr>
        <w:pStyle w:val="Style33"/>
        <w:keepNext w:val="0"/>
        <w:keepLines w:val="0"/>
        <w:widowControl w:val="0"/>
        <w:shd w:val="clear" w:color="auto" w:fill="auto"/>
        <w:tabs>
          <w:tab w:pos="8618" w:val="left"/>
        </w:tabs>
        <w:bidi w:val="0"/>
        <w:spacing w:before="0" w:after="280" w:line="322" w:lineRule="auto"/>
        <w:ind w:left="0" w:right="0" w:firstLine="0"/>
        <w:jc w:val="both"/>
        <w:rPr>
          <w:sz w:val="13"/>
          <w:szCs w:val="13"/>
        </w:rPr>
      </w:pPr>
      <w:bookmarkStart w:id="574" w:name="bookmark574"/>
      <w:bookmarkStart w:id="575" w:name="bookmark575"/>
      <w:r>
        <w:rPr>
          <w:rFonts w:ascii="Times New Roman" w:eastAsia="Times New Roman" w:hAnsi="Times New Roman" w:cs="Times New Roman"/>
          <w:b/>
          <w:bCs/>
          <w:color w:val="000000"/>
          <w:spacing w:val="0"/>
          <w:w w:val="100"/>
          <w:position w:val="0"/>
          <w:sz w:val="20"/>
          <w:szCs w:val="20"/>
        </w:rPr>
        <w:t>1</w:t>
      </w:r>
      <w:bookmarkEnd w:id="574"/>
      <w:r>
        <w:rPr>
          <w:b/>
          <w:bCs/>
          <w:color w:val="000000"/>
          <w:spacing w:val="0"/>
          <w:w w:val="100"/>
          <w:position w:val="0"/>
          <w:sz w:val="20"/>
          <w:szCs w:val="20"/>
        </w:rPr>
        <w:t>、报告期内发现的内部控制重大缺陷的具体情况</w:t>
        <w:tab/>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是</w:t>
      </w:r>
      <w:r>
        <w:rPr>
          <w:i/>
          <w:iCs/>
          <w:color w:val="000000"/>
          <w:spacing w:val="0"/>
          <w:w w:val="100"/>
          <w:position w:val="0"/>
          <w:sz w:val="20"/>
          <w:szCs w:val="20"/>
        </w:rPr>
        <w:t>。</w:t>
      </w:r>
      <w:r>
        <w:rPr>
          <w:i/>
          <w:iCs/>
          <w:color w:val="000000"/>
          <w:spacing w:val="0"/>
          <w:w w:val="100"/>
          <w:position w:val="0"/>
          <w:sz w:val="13"/>
          <w:szCs w:val="13"/>
        </w:rPr>
        <w:t>否</w:t>
      </w:r>
      <w:bookmarkEnd w:id="575"/>
    </w:p>
    <w:p>
      <w:pPr>
        <w:pStyle w:val="Style26"/>
        <w:keepNext w:val="0"/>
        <w:keepLines w:val="0"/>
        <w:widowControl w:val="0"/>
        <w:shd w:val="clear" w:color="auto" w:fill="auto"/>
        <w:bidi w:val="0"/>
        <w:spacing w:before="0" w:after="0" w:line="240" w:lineRule="auto"/>
        <w:ind w:left="0" w:right="0" w:firstLine="0"/>
        <w:jc w:val="left"/>
      </w:pPr>
      <w:bookmarkStart w:id="576" w:name="bookmark576"/>
      <w:r>
        <w:rPr>
          <w:rFonts w:ascii="Times New Roman" w:eastAsia="Times New Roman" w:hAnsi="Times New Roman" w:cs="Times New Roman"/>
          <w:b/>
          <w:bCs/>
          <w:color w:val="000000"/>
          <w:spacing w:val="0"/>
          <w:w w:val="100"/>
          <w:position w:val="0"/>
        </w:rPr>
        <w:t>2</w:t>
      </w:r>
      <w:r>
        <w:rPr>
          <w:b/>
          <w:bCs/>
          <w:color w:val="000000"/>
          <w:spacing w:val="0"/>
          <w:w w:val="100"/>
          <w:position w:val="0"/>
        </w:rPr>
        <w:t>、内控自我评价报告</w:t>
      </w:r>
      <w:bookmarkEnd w:id="576"/>
    </w:p>
    <w:tbl>
      <w:tblPr>
        <w:tblOverlap w:val="never"/>
        <w:jc w:val="center"/>
        <w:tblLayout w:type="fixed"/>
      </w:tblPr>
      <w:tblGrid>
        <w:gridCol w:w="4114"/>
        <w:gridCol w:w="2693"/>
        <w:gridCol w:w="2774"/>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详见披露于巨潮资讯网的《</w:t>
            </w:r>
            <w:r>
              <w:rPr>
                <w:rFonts w:ascii="Times New Roman" w:eastAsia="Times New Roman" w:hAnsi="Times New Roman" w:cs="Times New Roman"/>
                <w:color w:val="000000"/>
                <w:spacing w:val="0"/>
                <w:w w:val="100"/>
                <w:position w:val="0"/>
              </w:rPr>
              <w:t>2016</w:t>
            </w:r>
            <w:r>
              <w:rPr>
                <w:color w:val="000000"/>
                <w:spacing w:val="0"/>
                <w:w w:val="100"/>
                <w:position w:val="0"/>
              </w:rPr>
              <w:t>年度内部控制评价报告》</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纳入评价范围单位资产总额占公司合并财务 报表资产总额的比例</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680" w:right="0" w:firstLine="0"/>
              <w:jc w:val="left"/>
            </w:pPr>
            <w:r>
              <w:rPr>
                <w:rFonts w:ascii="Times New Roman" w:eastAsia="Times New Roman" w:hAnsi="Times New Roman" w:cs="Times New Roman"/>
                <w:color w:val="000000"/>
                <w:spacing w:val="0"/>
                <w:w w:val="100"/>
                <w:position w:val="0"/>
              </w:rPr>
              <w:t>100.00%</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纳入评价范围单位营业收入占公司合并财务 报表营业收入的比例</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680" w:right="0" w:firstLine="0"/>
              <w:jc w:val="left"/>
            </w:pPr>
            <w:r>
              <w:rPr>
                <w:rFonts w:ascii="Times New Roman" w:eastAsia="Times New Roman" w:hAnsi="Times New Roman" w:cs="Times New Roman"/>
                <w:color w:val="000000"/>
                <w:spacing w:val="0"/>
                <w:w w:val="100"/>
                <w:position w:val="0"/>
              </w:rPr>
              <w:t>100.00%</w:t>
            </w:r>
          </w:p>
        </w:tc>
      </w:tr>
      <w:tr>
        <w:trPr>
          <w:trHeight w:val="403" w:hRule="exact"/>
        </w:trPr>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228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定性标准</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8" w:lineRule="exact"/>
              <w:ind w:left="0" w:right="0" w:firstLine="0"/>
              <w:jc w:val="left"/>
            </w:pPr>
            <w:r>
              <w:rPr>
                <w:color w:val="000000"/>
                <w:spacing w:val="0"/>
                <w:w w:val="100"/>
                <w:position w:val="0"/>
              </w:rPr>
              <w:t>详见</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日披露于 巨潮资讯网</w:t>
            </w:r>
          </w:p>
          <w:p>
            <w:pPr>
              <w:pStyle w:val="Style20"/>
              <w:keepNext w:val="0"/>
              <w:keepLines w:val="0"/>
              <w:widowControl w:val="0"/>
              <w:shd w:val="clear" w:color="auto" w:fill="auto"/>
              <w:bidi w:val="0"/>
              <w:spacing w:before="0" w:after="0" w:line="318"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上的 《</w:t>
            </w:r>
            <w:r>
              <w:rPr>
                <w:rFonts w:ascii="Times New Roman" w:eastAsia="Times New Roman" w:hAnsi="Times New Roman" w:cs="Times New Roman"/>
                <w:color w:val="000000"/>
                <w:spacing w:val="0"/>
                <w:w w:val="100"/>
                <w:position w:val="0"/>
              </w:rPr>
              <w:t>2016</w:t>
            </w:r>
            <w:r>
              <w:rPr>
                <w:color w:val="000000"/>
                <w:spacing w:val="0"/>
                <w:w w:val="100"/>
                <w:position w:val="0"/>
              </w:rPr>
              <w:t>年度内部控制评价报 告》中</w:t>
            </w:r>
            <w:r>
              <w:rPr>
                <w:rFonts w:ascii="Times New Roman" w:eastAsia="Times New Roman" w:hAnsi="Times New Roman" w:cs="Times New Roman"/>
                <w:color w:val="000000"/>
                <w:spacing w:val="0"/>
                <w:w w:val="100"/>
                <w:position w:val="0"/>
              </w:rPr>
              <w:t>"</w:t>
            </w:r>
            <w:r>
              <w:rPr>
                <w:color w:val="000000"/>
                <w:spacing w:val="0"/>
                <w:w w:val="100"/>
                <w:position w:val="0"/>
              </w:rPr>
              <w:t>四、（二）内部控制评 价工作依据及内部控制缺陷 认定标准</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8" w:lineRule="exact"/>
              <w:ind w:left="0" w:right="0" w:firstLine="0"/>
              <w:jc w:val="left"/>
            </w:pPr>
            <w:r>
              <w:rPr>
                <w:color w:val="000000"/>
                <w:spacing w:val="0"/>
                <w:w w:val="100"/>
                <w:position w:val="0"/>
              </w:rPr>
              <w:t>详见</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日披露于 巨潮资讯网</w:t>
            </w:r>
          </w:p>
          <w:p>
            <w:pPr>
              <w:pStyle w:val="Style20"/>
              <w:keepNext w:val="0"/>
              <w:keepLines w:val="0"/>
              <w:widowControl w:val="0"/>
              <w:shd w:val="clear" w:color="auto" w:fill="auto"/>
              <w:bidi w:val="0"/>
              <w:spacing w:before="0" w:after="0" w:line="318"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上的 《</w:t>
            </w:r>
            <w:r>
              <w:rPr>
                <w:rFonts w:ascii="Times New Roman" w:eastAsia="Times New Roman" w:hAnsi="Times New Roman" w:cs="Times New Roman"/>
                <w:color w:val="000000"/>
                <w:spacing w:val="0"/>
                <w:w w:val="100"/>
                <w:position w:val="0"/>
              </w:rPr>
              <w:t>2016</w:t>
            </w:r>
            <w:r>
              <w:rPr>
                <w:color w:val="000000"/>
                <w:spacing w:val="0"/>
                <w:w w:val="100"/>
                <w:position w:val="0"/>
              </w:rPr>
              <w:t>年度内部控制评价报 告》中</w:t>
            </w:r>
            <w:r>
              <w:rPr>
                <w:rFonts w:ascii="Times New Roman" w:eastAsia="Times New Roman" w:hAnsi="Times New Roman" w:cs="Times New Roman"/>
                <w:color w:val="000000"/>
                <w:spacing w:val="0"/>
                <w:w w:val="100"/>
                <w:position w:val="0"/>
              </w:rPr>
              <w:t>"</w:t>
            </w:r>
            <w:r>
              <w:rPr>
                <w:color w:val="000000"/>
                <w:spacing w:val="0"/>
                <w:w w:val="100"/>
                <w:position w:val="0"/>
              </w:rPr>
              <w:t>四、（二）内部控制评 价工作依据及内部控制缺陷 认定标准</w:t>
            </w:r>
            <w:r>
              <w:rPr>
                <w:rFonts w:ascii="Times New Roman" w:eastAsia="Times New Roman" w:hAnsi="Times New Roman" w:cs="Times New Roman"/>
                <w:color w:val="000000"/>
                <w:spacing w:val="0"/>
                <w:w w:val="100"/>
                <w:position w:val="0"/>
              </w:rPr>
              <w:t>”</w:t>
            </w: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4114"/>
        <w:gridCol w:w="2693"/>
        <w:gridCol w:w="2774"/>
      </w:tblGrid>
      <w:tr>
        <w:trPr>
          <w:trHeight w:val="227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详见</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日披露于 巨潮资讯网</w:t>
            </w:r>
          </w:p>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上的 《</w:t>
            </w:r>
            <w:r>
              <w:rPr>
                <w:rFonts w:ascii="Times New Roman" w:eastAsia="Times New Roman" w:hAnsi="Times New Roman" w:cs="Times New Roman"/>
                <w:color w:val="000000"/>
                <w:spacing w:val="0"/>
                <w:w w:val="100"/>
                <w:position w:val="0"/>
              </w:rPr>
              <w:t>2016</w:t>
            </w:r>
            <w:r>
              <w:rPr>
                <w:color w:val="000000"/>
                <w:spacing w:val="0"/>
                <w:w w:val="100"/>
                <w:position w:val="0"/>
              </w:rPr>
              <w:t>年度内部控制评价报 告》中</w:t>
            </w:r>
            <w:r>
              <w:rPr>
                <w:rFonts w:ascii="Times New Roman" w:eastAsia="Times New Roman" w:hAnsi="Times New Roman" w:cs="Times New Roman"/>
                <w:color w:val="000000"/>
                <w:spacing w:val="0"/>
                <w:w w:val="100"/>
                <w:position w:val="0"/>
              </w:rPr>
              <w:t>"</w:t>
            </w:r>
            <w:r>
              <w:rPr>
                <w:color w:val="000000"/>
                <w:spacing w:val="0"/>
                <w:w w:val="100"/>
                <w:position w:val="0"/>
              </w:rPr>
              <w:t>四、（二）内部控制评 价工作依据及内部控制缺陷 认定标准</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详见</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日披露于 巨潮资讯网</w:t>
            </w:r>
          </w:p>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上的 《</w:t>
            </w:r>
            <w:r>
              <w:rPr>
                <w:rFonts w:ascii="Times New Roman" w:eastAsia="Times New Roman" w:hAnsi="Times New Roman" w:cs="Times New Roman"/>
                <w:color w:val="000000"/>
                <w:spacing w:val="0"/>
                <w:w w:val="100"/>
                <w:position w:val="0"/>
              </w:rPr>
              <w:t>2016</w:t>
            </w:r>
            <w:r>
              <w:rPr>
                <w:color w:val="000000"/>
                <w:spacing w:val="0"/>
                <w:w w:val="100"/>
                <w:position w:val="0"/>
              </w:rPr>
              <w:t>年度内部控制评价报 告》中</w:t>
            </w:r>
            <w:r>
              <w:rPr>
                <w:rFonts w:ascii="Times New Roman" w:eastAsia="Times New Roman" w:hAnsi="Times New Roman" w:cs="Times New Roman"/>
                <w:color w:val="000000"/>
                <w:spacing w:val="0"/>
                <w:w w:val="100"/>
                <w:position w:val="0"/>
              </w:rPr>
              <w:t>"</w:t>
            </w:r>
            <w:r>
              <w:rPr>
                <w:color w:val="000000"/>
                <w:spacing w:val="0"/>
                <w:w w:val="100"/>
                <w:position w:val="0"/>
              </w:rPr>
              <w:t>四、（二）内部控制评 价工作依据及内部控制缺陷 认定标准</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5320" w:right="0" w:firstLine="0"/>
              <w:jc w:val="lef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5320" w:right="0" w:firstLine="0"/>
              <w:jc w:val="lef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5320" w:right="0" w:firstLine="0"/>
              <w:jc w:val="left"/>
            </w:pPr>
            <w:r>
              <w:rPr>
                <w:rFonts w:ascii="Times New Roman" w:eastAsia="Times New Roman" w:hAnsi="Times New Roman" w:cs="Times New Roman"/>
                <w:color w:val="000000"/>
                <w:spacing w:val="0"/>
                <w:w w:val="100"/>
                <w:position w:val="0"/>
              </w:rPr>
              <w:t>0</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5320" w:right="0" w:firstLine="0"/>
              <w:jc w:val="left"/>
            </w:pPr>
            <w:r>
              <w:rPr>
                <w:rFonts w:ascii="Times New Roman" w:eastAsia="Times New Roman" w:hAnsi="Times New Roman" w:cs="Times New Roman"/>
                <w:color w:val="000000"/>
                <w:spacing w:val="0"/>
                <w:w w:val="100"/>
                <w:position w:val="0"/>
              </w:rPr>
              <w:t>0</w:t>
            </w:r>
          </w:p>
        </w:tc>
      </w:tr>
    </w:tbl>
    <w:p>
      <w:pPr>
        <w:widowControl w:val="0"/>
        <w:spacing w:after="319" w:line="1" w:lineRule="exact"/>
      </w:pPr>
    </w:p>
    <w:p>
      <w:pPr>
        <w:pStyle w:val="Style33"/>
        <w:keepNext w:val="0"/>
        <w:keepLines w:val="0"/>
        <w:widowControl w:val="0"/>
        <w:shd w:val="clear" w:color="auto" w:fill="auto"/>
        <w:tabs>
          <w:tab w:pos="8899" w:val="left"/>
        </w:tabs>
        <w:bidi w:val="0"/>
        <w:spacing w:before="0" w:after="0" w:line="240" w:lineRule="auto"/>
        <w:ind w:left="0" w:right="0" w:firstLine="0"/>
        <w:jc w:val="both"/>
      </w:pPr>
      <w:bookmarkStart w:id="577" w:name="bookmark577"/>
      <w:r>
        <w:rPr>
          <w:b/>
          <w:bCs/>
          <w:color w:val="000000"/>
          <w:spacing w:val="0"/>
          <w:w w:val="100"/>
          <w:position w:val="0"/>
          <w:sz w:val="22"/>
          <w:szCs w:val="22"/>
        </w:rPr>
        <w:t>十、内部控制审计报告或鉴证报告</w:t>
        <w:tab/>
      </w:r>
      <w:r>
        <w:rPr>
          <w:color w:val="000000"/>
          <w:spacing w:val="0"/>
          <w:w w:val="100"/>
          <w:position w:val="0"/>
        </w:rPr>
        <w:t>不适用</w:t>
      </w:r>
      <w:bookmarkEnd w:id="577"/>
      <w:r>
        <w:br w:type="page"/>
      </w:r>
    </w:p>
    <w:p>
      <w:pPr>
        <w:pStyle w:val="Style12"/>
        <w:keepNext/>
        <w:keepLines/>
        <w:widowControl w:val="0"/>
        <w:shd w:val="clear" w:color="auto" w:fill="auto"/>
        <w:bidi w:val="0"/>
        <w:spacing w:before="0" w:after="480" w:line="240" w:lineRule="auto"/>
        <w:ind w:left="0" w:right="0" w:firstLine="0"/>
        <w:jc w:val="center"/>
      </w:pPr>
      <w:bookmarkStart w:id="578" w:name="bookmark578"/>
      <w:bookmarkStart w:id="579" w:name="bookmark579"/>
      <w:bookmarkStart w:id="580" w:name="bookmark580"/>
      <w:r>
        <w:rPr>
          <w:color w:val="000000"/>
          <w:spacing w:val="0"/>
          <w:w w:val="100"/>
          <w:position w:val="0"/>
        </w:rPr>
        <w:t>第十节公司债券相关情况</w:t>
      </w:r>
      <w:bookmarkEnd w:id="578"/>
      <w:bookmarkEnd w:id="579"/>
      <w:bookmarkEnd w:id="580"/>
    </w:p>
    <w:p>
      <w:pPr>
        <w:pStyle w:val="Style33"/>
        <w:keepNext w:val="0"/>
        <w:keepLines w:val="0"/>
        <w:widowControl w:val="0"/>
        <w:shd w:val="clear" w:color="auto" w:fill="auto"/>
        <w:tabs>
          <w:tab w:pos="9341" w:val="left"/>
        </w:tabs>
        <w:bidi w:val="0"/>
        <w:spacing w:before="0" w:after="360" w:line="317" w:lineRule="exact"/>
        <w:ind w:left="0" w:right="0" w:firstLine="0"/>
        <w:jc w:val="left"/>
      </w:pPr>
      <w:r>
        <w:rPr>
          <w:color w:val="000000"/>
          <w:spacing w:val="0"/>
          <w:w w:val="100"/>
          <w:position w:val="0"/>
        </w:rPr>
        <w:t>公司是否存在公开发行并在证券交易所上市，且在年度报告批准报出日未到期或到期未能全额兑付的公司 债券</w:t>
        <w:tab/>
        <w:t>是</w:t>
      </w:r>
    </w:p>
    <w:p>
      <w:pPr>
        <w:pStyle w:val="Style23"/>
        <w:keepNext/>
        <w:keepLines/>
        <w:widowControl w:val="0"/>
        <w:shd w:val="clear" w:color="auto" w:fill="auto"/>
        <w:bidi w:val="0"/>
        <w:spacing w:before="0" w:after="320" w:line="240" w:lineRule="auto"/>
        <w:ind w:left="0" w:right="0" w:firstLine="240"/>
        <w:jc w:val="left"/>
        <w:rPr>
          <w:sz w:val="22"/>
          <w:szCs w:val="22"/>
        </w:rPr>
      </w:pPr>
      <w:bookmarkStart w:id="581" w:name="bookmark581"/>
      <w:bookmarkStart w:id="582" w:name="bookmark582"/>
      <w:bookmarkStart w:id="583" w:name="bookmark583"/>
      <w:r>
        <w:rPr>
          <w:b/>
          <w:bCs/>
          <w:color w:val="000000"/>
          <w:spacing w:val="0"/>
          <w:w w:val="100"/>
          <w:position w:val="0"/>
          <w:sz w:val="22"/>
          <w:szCs w:val="22"/>
        </w:rPr>
        <w:t>、公司债券基本信息</w:t>
      </w:r>
      <w:bookmarkEnd w:id="581"/>
      <w:bookmarkEnd w:id="582"/>
      <w:bookmarkEnd w:id="583"/>
    </w:p>
    <w:tbl>
      <w:tblPr>
        <w:tblOverlap w:val="never"/>
        <w:jc w:val="center"/>
        <w:tblLayout w:type="fixed"/>
      </w:tblPr>
      <w:tblGrid>
        <w:gridCol w:w="1848"/>
        <w:gridCol w:w="994"/>
        <w:gridCol w:w="749"/>
        <w:gridCol w:w="1090"/>
        <w:gridCol w:w="994"/>
        <w:gridCol w:w="994"/>
        <w:gridCol w:w="710"/>
        <w:gridCol w:w="2203"/>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债券简称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债券代 码</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right"/>
            </w:pPr>
            <w:r>
              <w:rPr>
                <w:color w:val="000000"/>
                <w:spacing w:val="0"/>
                <w:w w:val="100"/>
                <w:position w:val="0"/>
              </w:rPr>
              <w:t>债券余额 （万元）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利率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还本付息方式</w:t>
            </w: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5" w:lineRule="exact"/>
              <w:ind w:left="0" w:right="0" w:firstLine="0"/>
              <w:jc w:val="both"/>
            </w:pPr>
            <w:r>
              <w:rPr>
                <w:color w:val="000000"/>
                <w:spacing w:val="0"/>
                <w:w w:val="100"/>
                <w:position w:val="0"/>
              </w:rPr>
              <w:t>广东国盛金控集团 股份有限公司</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年面向合格投资者 公开发行公司债券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w:t>
            </w:r>
            <w:r>
              <w:rPr>
                <w:color w:val="000000"/>
                <w:spacing w:val="0"/>
                <w:w w:val="100"/>
                <w:position w:val="0"/>
              </w:rPr>
              <w:t>国盛金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112485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采用单利按年计息，不 计复利，到期一次还本。 利息每年支付一次，最 后一期利息随本金的兑 付一起支付</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国盛证券有限责任 公司公开发行</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年公司债券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w:t>
            </w:r>
            <w:r>
              <w:rPr>
                <w:color w:val="000000"/>
                <w:spacing w:val="0"/>
                <w:w w:val="100"/>
                <w:position w:val="0"/>
              </w:rPr>
              <w:t>国盛</w:t>
            </w:r>
            <w:r>
              <w:rPr>
                <w:rFonts w:ascii="Times New Roman" w:eastAsia="Times New Roman" w:hAnsi="Times New Roman" w:cs="Times New Roman"/>
                <w:color w:val="000000"/>
                <w:spacing w:val="0"/>
                <w:w w:val="100"/>
                <w:position w:val="0"/>
              </w:rPr>
              <w:t>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136442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05</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05</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本期债券按年计息，不 计复利。每年付息一次、 到期一次还本。</w:t>
            </w:r>
          </w:p>
        </w:tc>
      </w:tr>
      <w:tr>
        <w:trPr>
          <w:trHeight w:val="403" w:hRule="exact"/>
        </w:trPr>
        <w:tc>
          <w:tcPr>
            <w:gridSpan w:val="2"/>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公司债券上市或转让的交易场 所</w:t>
            </w:r>
          </w:p>
        </w:tc>
        <w:tc>
          <w:tcPr>
            <w:gridSpan w:val="6"/>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w:t>
            </w:r>
            <w:r>
              <w:rPr>
                <w:color w:val="000000"/>
                <w:spacing w:val="0"/>
                <w:w w:val="100"/>
                <w:position w:val="0"/>
              </w:rPr>
              <w:t>国盛金</w:t>
            </w:r>
            <w:r>
              <w:rPr>
                <w:rFonts w:ascii="Times New Roman" w:eastAsia="Times New Roman" w:hAnsi="Times New Roman" w:cs="Times New Roman"/>
                <w:color w:val="000000"/>
                <w:spacing w:val="0"/>
                <w:w w:val="100"/>
                <w:position w:val="0"/>
              </w:rPr>
              <w:t>:</w:t>
            </w:r>
            <w:r>
              <w:rPr>
                <w:color w:val="000000"/>
                <w:spacing w:val="0"/>
                <w:w w:val="100"/>
                <w:position w:val="0"/>
              </w:rPr>
              <w:t>深圳证券交易所</w:t>
            </w:r>
          </w:p>
        </w:tc>
      </w:tr>
      <w:tr>
        <w:trPr>
          <w:trHeight w:val="398" w:hRule="exact"/>
        </w:trPr>
        <w:tc>
          <w:tcPr>
            <w:gridSpan w:val="2"/>
            <w:vMerge/>
            <w:tcBorders>
              <w:left w:val="single" w:sz="4"/>
            </w:tcBorders>
            <w:shd w:val="clear" w:color="auto" w:fill="D3D3D3"/>
            <w:vAlign w:val="center"/>
          </w:tcPr>
          <w:p>
            <w:pPr/>
          </w:p>
        </w:tc>
        <w:tc>
          <w:tcPr>
            <w:gridSpan w:val="6"/>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w:t>
            </w:r>
            <w:r>
              <w:rPr>
                <w:color w:val="000000"/>
                <w:spacing w:val="0"/>
                <w:w w:val="100"/>
                <w:position w:val="0"/>
              </w:rPr>
              <w:t>国盛</w:t>
            </w:r>
            <w:r>
              <w:rPr>
                <w:rFonts w:ascii="Times New Roman" w:eastAsia="Times New Roman" w:hAnsi="Times New Roman" w:cs="Times New Roman"/>
                <w:color w:val="000000"/>
                <w:spacing w:val="0"/>
                <w:w w:val="100"/>
                <w:position w:val="0"/>
              </w:rPr>
              <w:t>01:</w:t>
            </w:r>
            <w:r>
              <w:rPr>
                <w:color w:val="000000"/>
                <w:spacing w:val="0"/>
                <w:w w:val="100"/>
                <w:position w:val="0"/>
              </w:rPr>
              <w:t>上海证券交易所</w:t>
            </w:r>
          </w:p>
        </w:tc>
      </w:tr>
      <w:tr>
        <w:trPr>
          <w:trHeight w:val="5707" w:hRule="exact"/>
        </w:trPr>
        <w:tc>
          <w:tcPr>
            <w:gridSpan w:val="2"/>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投资者适当性安排</w:t>
            </w:r>
          </w:p>
        </w:tc>
        <w:tc>
          <w:tcPr>
            <w:gridSpan w:val="6"/>
            <w:tcBorders>
              <w:top w:val="single" w:sz="4"/>
              <w:left w:val="single" w:sz="4"/>
              <w:right w:val="single" w:sz="4"/>
            </w:tcBorders>
            <w:shd w:val="clear" w:color="auto" w:fill="FFFFFF"/>
            <w:vAlign w:val="center"/>
          </w:tcPr>
          <w:p>
            <w:pPr>
              <w:pStyle w:val="Style20"/>
              <w:keepNext w:val="0"/>
              <w:keepLines w:val="0"/>
              <w:widowControl w:val="0"/>
              <w:shd w:val="clear" w:color="auto" w:fill="auto"/>
              <w:tabs>
                <w:tab w:pos="3562" w:val="left"/>
              </w:tabs>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16</w:t>
            </w:r>
            <w:r>
              <w:rPr>
                <w:color w:val="000000"/>
                <w:spacing w:val="0"/>
                <w:w w:val="100"/>
                <w:position w:val="0"/>
              </w:rPr>
              <w:t>国盛金</w:t>
            </w:r>
            <w:r>
              <w:rPr>
                <w:rFonts w:ascii="Times New Roman" w:eastAsia="Times New Roman" w:hAnsi="Times New Roman" w:cs="Times New Roman"/>
                <w:color w:val="000000"/>
                <w:spacing w:val="0"/>
                <w:w w:val="100"/>
                <w:position w:val="0"/>
              </w:rPr>
              <w:t>:</w:t>
            </w:r>
            <w:r>
              <w:rPr>
                <w:color w:val="000000"/>
                <w:spacing w:val="0"/>
                <w:w w:val="100"/>
                <w:position w:val="0"/>
              </w:rPr>
              <w:t>本期债券面向《公司债券发行与交易管理办法》所规定的合格 投资者公开发行，合格投资者应当具备以下资质条件：（</w:t>
            </w:r>
            <w:r>
              <w:rPr>
                <w:rFonts w:ascii="Times New Roman" w:eastAsia="Times New Roman" w:hAnsi="Times New Roman" w:cs="Times New Roman"/>
                <w:color w:val="000000"/>
                <w:spacing w:val="0"/>
                <w:w w:val="100"/>
                <w:position w:val="0"/>
              </w:rPr>
              <w:t>1</w:t>
            </w:r>
            <w:r>
              <w:rPr>
                <w:color w:val="000000"/>
                <w:spacing w:val="0"/>
                <w:w w:val="100"/>
                <w:position w:val="0"/>
              </w:rPr>
              <w:t>）经有关金融监 管部门批准设立的金融机构，包括证券公司、基金管理公司及其子公司、 期货公司、商业银行、保险公司和信托公司等，以及经中国证券投资基金 业协会（以下简称基金业协会）登记的私募基金管理人；（</w:t>
            </w:r>
            <w:r>
              <w:rPr>
                <w:rFonts w:ascii="Times New Roman" w:eastAsia="Times New Roman" w:hAnsi="Times New Roman" w:cs="Times New Roman"/>
                <w:color w:val="000000"/>
                <w:spacing w:val="0"/>
                <w:w w:val="100"/>
                <w:position w:val="0"/>
              </w:rPr>
              <w:t>2</w:t>
            </w:r>
            <w:r>
              <w:rPr>
                <w:color w:val="000000"/>
                <w:spacing w:val="0"/>
                <w:w w:val="100"/>
                <w:position w:val="0"/>
              </w:rPr>
              <w:t>）上述金融机 构面向投资者发行的理财产品，包括但不限于证券公司资产管理产品、基 金及基金子公司产品、期货公司资产管理产品、银行理财产品、保险产品、 信托产品以及经基金业协会备案的私募基金；（</w:t>
            </w:r>
            <w:r>
              <w:rPr>
                <w:rFonts w:ascii="Times New Roman" w:eastAsia="Times New Roman" w:hAnsi="Times New Roman" w:cs="Times New Roman"/>
                <w:color w:val="000000"/>
                <w:spacing w:val="0"/>
                <w:w w:val="100"/>
                <w:position w:val="0"/>
              </w:rPr>
              <w:t>3</w:t>
            </w:r>
            <w:r>
              <w:rPr>
                <w:color w:val="000000"/>
                <w:spacing w:val="0"/>
                <w:w w:val="100"/>
                <w:position w:val="0"/>
              </w:rPr>
              <w:t>）净资产不低于人民币一 千万元的企事业单位法人、合伙企业；（</w:t>
            </w:r>
            <w:r>
              <w:rPr>
                <w:rFonts w:ascii="Times New Roman" w:eastAsia="Times New Roman" w:hAnsi="Times New Roman" w:cs="Times New Roman"/>
                <w:color w:val="000000"/>
                <w:spacing w:val="0"/>
                <w:w w:val="100"/>
                <w:position w:val="0"/>
              </w:rPr>
              <w:t>4</w:t>
            </w:r>
            <w:r>
              <w:rPr>
                <w:color w:val="000000"/>
                <w:spacing w:val="0"/>
                <w:w w:val="100"/>
                <w:position w:val="0"/>
              </w:rPr>
              <w:t>）合格境外机构投资者</w:t>
            </w:r>
            <w:r>
              <w:rPr>
                <w:color w:val="000000"/>
                <w:spacing w:val="0"/>
                <w:w w:val="100"/>
                <w:position w:val="0"/>
              </w:rPr>
              <w:t>（</w:t>
            </w:r>
            <w:r>
              <w:rPr>
                <w:rFonts w:ascii="Times New Roman" w:eastAsia="Times New Roman" w:hAnsi="Times New Roman" w:cs="Times New Roman"/>
                <w:color w:val="000000"/>
                <w:spacing w:val="0"/>
                <w:w w:val="100"/>
                <w:position w:val="0"/>
              </w:rPr>
              <w:t>QFII</w:t>
            </w:r>
            <w:r>
              <w:rPr>
                <w:color w:val="000000"/>
                <w:spacing w:val="0"/>
                <w:w w:val="100"/>
                <w:position w:val="0"/>
              </w:rPr>
              <w:t xml:space="preserve">）、 </w:t>
            </w:r>
            <w:r>
              <w:rPr>
                <w:color w:val="000000"/>
                <w:spacing w:val="0"/>
                <w:w w:val="100"/>
                <w:position w:val="0"/>
              </w:rPr>
              <w:t>人民币合格境外机构投资者</w:t>
            </w:r>
            <w:r>
              <w:rPr>
                <w:color w:val="000000"/>
                <w:spacing w:val="0"/>
                <w:w w:val="100"/>
                <w:position w:val="0"/>
              </w:rPr>
              <w:t>（</w:t>
            </w:r>
            <w:r>
              <w:rPr>
                <w:rFonts w:ascii="Times New Roman" w:eastAsia="Times New Roman" w:hAnsi="Times New Roman" w:cs="Times New Roman"/>
                <w:color w:val="000000"/>
                <w:spacing w:val="0"/>
                <w:w w:val="100"/>
                <w:position w:val="0"/>
              </w:rPr>
              <w:t>RQFII</w:t>
            </w:r>
            <w:r>
              <w:rPr>
                <w:color w:val="000000"/>
                <w:spacing w:val="0"/>
                <w:w w:val="100"/>
                <w:position w:val="0"/>
              </w:rPr>
              <w:t>）；</w:t>
              <w:tab/>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）社会保障基金、企业年金等养</w:t>
            </w:r>
          </w:p>
          <w:p>
            <w:pPr>
              <w:pStyle w:val="Style20"/>
              <w:keepNext w:val="0"/>
              <w:keepLines w:val="0"/>
              <w:widowControl w:val="0"/>
              <w:shd w:val="clear" w:color="auto" w:fill="auto"/>
              <w:bidi w:val="0"/>
              <w:spacing w:before="0" w:after="0" w:line="313" w:lineRule="exact"/>
              <w:ind w:left="0" w:right="0" w:firstLine="0"/>
              <w:jc w:val="left"/>
            </w:pPr>
            <w:r>
              <w:rPr>
                <w:color w:val="000000"/>
                <w:spacing w:val="0"/>
                <w:w w:val="100"/>
                <w:position w:val="0"/>
              </w:rPr>
              <w:t>老基金，慈善基金等社会公益基金；（</w:t>
            </w:r>
            <w:r>
              <w:rPr>
                <w:rFonts w:ascii="Times New Roman" w:eastAsia="Times New Roman" w:hAnsi="Times New Roman" w:cs="Times New Roman"/>
                <w:color w:val="000000"/>
                <w:spacing w:val="0"/>
                <w:w w:val="100"/>
                <w:position w:val="0"/>
              </w:rPr>
              <w:t>6</w:t>
            </w:r>
            <w:r>
              <w:rPr>
                <w:color w:val="000000"/>
                <w:spacing w:val="0"/>
                <w:w w:val="100"/>
                <w:position w:val="0"/>
              </w:rPr>
              <w:t>）名下金融资产不低于人民币三百 万元的个人投资者；（</w:t>
            </w:r>
            <w:r>
              <w:rPr>
                <w:rFonts w:ascii="Times New Roman" w:eastAsia="Times New Roman" w:hAnsi="Times New Roman" w:cs="Times New Roman"/>
                <w:color w:val="000000"/>
                <w:spacing w:val="0"/>
                <w:w w:val="100"/>
                <w:position w:val="0"/>
              </w:rPr>
              <w:t>7</w:t>
            </w:r>
            <w:r>
              <w:rPr>
                <w:color w:val="000000"/>
                <w:spacing w:val="0"/>
                <w:w w:val="100"/>
                <w:position w:val="0"/>
              </w:rPr>
              <w:t>）经中国证监会认可的其他合格投资者。此处所称 金融资产包括银行存款、股票、债券、基金份额、资产管理计划、银行理 财产品、信托计划、保险产品、期货权益等；理财产品、合伙企业拟将主 要资产投向单一债券，需要穿透核查最终投资者是否为合格投资者并合并 计算投资者人数，具体标准由基金业协会规定。公司发行的</w:t>
            </w:r>
            <w:r>
              <w:rPr>
                <w:rFonts w:ascii="Times New Roman" w:eastAsia="Times New Roman" w:hAnsi="Times New Roman" w:cs="Times New Roman"/>
                <w:color w:val="000000"/>
                <w:spacing w:val="0"/>
                <w:w w:val="100"/>
                <w:position w:val="0"/>
              </w:rPr>
              <w:t>“16</w:t>
            </w:r>
            <w:r>
              <w:rPr>
                <w:color w:val="000000"/>
                <w:spacing w:val="0"/>
                <w:w w:val="100"/>
                <w:position w:val="0"/>
              </w:rPr>
              <w:t>国盛金</w:t>
            </w:r>
            <w:r>
              <w:rPr>
                <w:rFonts w:ascii="Times New Roman" w:eastAsia="Times New Roman" w:hAnsi="Times New Roman" w:cs="Times New Roman"/>
                <w:color w:val="000000"/>
                <w:spacing w:val="0"/>
                <w:w w:val="100"/>
                <w:position w:val="0"/>
              </w:rPr>
              <w:t xml:space="preserve">” </w:t>
            </w:r>
            <w:r>
              <w:rPr>
                <w:color w:val="000000"/>
                <w:spacing w:val="0"/>
                <w:w w:val="100"/>
                <w:position w:val="0"/>
              </w:rPr>
              <w:t>设有发行人上调票面利率选择权和投资者回售选择权条款。报告期内，上 述两条款均未被执行。</w:t>
            </w:r>
          </w:p>
        </w:tc>
      </w:tr>
      <w:tr>
        <w:trPr>
          <w:trHeight w:val="998" w:hRule="exact"/>
        </w:trPr>
        <w:tc>
          <w:tcPr>
            <w:gridSpan w:val="2"/>
            <w:vMerge/>
            <w:tcBorders>
              <w:left w:val="single" w:sz="4"/>
              <w:bottom w:val="single" w:sz="4"/>
            </w:tcBorders>
            <w:shd w:val="clear" w:color="auto" w:fill="D3D3D3"/>
            <w:vAlign w:val="center"/>
          </w:tcPr>
          <w:p>
            <w:pPr/>
          </w:p>
        </w:tc>
        <w:tc>
          <w:tcPr>
            <w:gridSpan w:val="6"/>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16</w:t>
            </w:r>
            <w:r>
              <w:rPr>
                <w:color w:val="000000"/>
                <w:spacing w:val="0"/>
                <w:w w:val="100"/>
                <w:position w:val="0"/>
              </w:rPr>
              <w:t>国盛</w:t>
            </w:r>
            <w:r>
              <w:rPr>
                <w:rFonts w:ascii="Times New Roman" w:eastAsia="Times New Roman" w:hAnsi="Times New Roman" w:cs="Times New Roman"/>
                <w:color w:val="000000"/>
                <w:spacing w:val="0"/>
                <w:w w:val="100"/>
                <w:position w:val="0"/>
              </w:rPr>
              <w:t>01:</w:t>
            </w:r>
            <w:r>
              <w:rPr>
                <w:color w:val="000000"/>
                <w:spacing w:val="0"/>
                <w:w w:val="100"/>
                <w:position w:val="0"/>
              </w:rPr>
              <w:t>本期债券认购机构均为合格投资者。发行人将严格按照根据《证 券法》、《公司债券发行与交易管理办法》、《公司章程》等文件的相关规定， 进行公司债券存续期间各类财务报表、审计报告及可能影响投资者实现其</w:t>
            </w:r>
          </w:p>
        </w:tc>
      </w:tr>
    </w:tbl>
    <w:p>
      <w:pPr>
        <w:spacing w:lineRule="exact" w:line="1"/>
        <w:rPr>
          <w:sz w:val="2"/>
          <w:szCs w:val="2"/>
        </w:rPr>
      </w:pPr>
      <w:r>
        <w:br w:type="page"/>
      </w:r>
    </w:p>
    <w:tbl>
      <w:tblPr>
        <w:tblOverlap w:val="never"/>
        <w:jc w:val="center"/>
        <w:tblLayout w:type="fixed"/>
      </w:tblPr>
      <w:tblGrid>
        <w:gridCol w:w="2842"/>
        <w:gridCol w:w="6739"/>
      </w:tblGrid>
      <w:tr>
        <w:trPr>
          <w:trHeight w:val="365" w:hRule="exact"/>
        </w:trPr>
        <w:tc>
          <w:tcPr>
            <w:tcBorders>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公司债券兑付的重大事项的披露工作。</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rPr>
              <w:t>报告期内公司债券的付息兑付 情况</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公司债券附发行人或投资者选 择权条款、可交换条款等特殊 条款的，报告期内相关条款的 执行情况（如适用）。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16</w:t>
            </w:r>
            <w:r>
              <w:rPr>
                <w:color w:val="000000"/>
                <w:spacing w:val="0"/>
                <w:w w:val="100"/>
                <w:position w:val="0"/>
              </w:rPr>
              <w:t>国盛金</w:t>
            </w:r>
            <w:r>
              <w:rPr>
                <w:rFonts w:ascii="Times New Roman" w:eastAsia="Times New Roman" w:hAnsi="Times New Roman" w:cs="Times New Roman"/>
                <w:color w:val="000000"/>
                <w:spacing w:val="0"/>
                <w:w w:val="100"/>
                <w:position w:val="0"/>
              </w:rPr>
              <w:t>:</w:t>
            </w:r>
            <w:r>
              <w:rPr>
                <w:color w:val="000000"/>
                <w:spacing w:val="0"/>
                <w:w w:val="100"/>
                <w:position w:val="0"/>
              </w:rPr>
              <w:t>公司发行的</w:t>
            </w:r>
            <w:r>
              <w:rPr>
                <w:rFonts w:ascii="Times New Roman" w:eastAsia="Times New Roman" w:hAnsi="Times New Roman" w:cs="Times New Roman"/>
                <w:color w:val="000000"/>
                <w:spacing w:val="0"/>
                <w:w w:val="100"/>
                <w:position w:val="0"/>
              </w:rPr>
              <w:t>“16</w:t>
            </w:r>
            <w:r>
              <w:rPr>
                <w:color w:val="000000"/>
                <w:spacing w:val="0"/>
                <w:w w:val="100"/>
                <w:position w:val="0"/>
              </w:rPr>
              <w:t>国盛金</w:t>
            </w:r>
            <w:r>
              <w:rPr>
                <w:rFonts w:ascii="Times New Roman" w:eastAsia="Times New Roman" w:hAnsi="Times New Roman" w:cs="Times New Roman"/>
                <w:color w:val="000000"/>
                <w:spacing w:val="0"/>
                <w:w w:val="100"/>
                <w:position w:val="0"/>
              </w:rPr>
              <w:t>”</w:t>
            </w:r>
            <w:r>
              <w:rPr>
                <w:color w:val="000000"/>
                <w:spacing w:val="0"/>
                <w:w w:val="100"/>
                <w:position w:val="0"/>
              </w:rPr>
              <w:t>设有发行人上调票面利率选择权和投资 者回售选择权条款</w:t>
            </w:r>
            <w:r>
              <w:rPr>
                <w:rFonts w:ascii="Times New Roman" w:eastAsia="Times New Roman" w:hAnsi="Times New Roman" w:cs="Times New Roman"/>
                <w:color w:val="000000"/>
                <w:spacing w:val="0"/>
                <w:w w:val="100"/>
                <w:position w:val="0"/>
              </w:rPr>
              <w:t>.</w:t>
            </w:r>
          </w:p>
        </w:tc>
      </w:tr>
      <w:tr>
        <w:trPr>
          <w:trHeight w:val="720" w:hRule="exact"/>
        </w:trPr>
        <w:tc>
          <w:tcPr>
            <w:vMerge/>
            <w:tcBorders>
              <w:left w:val="single" w:sz="4"/>
              <w:bottom w:val="single" w:sz="4"/>
            </w:tcBorders>
            <w:shd w:val="clear" w:color="auto" w:fill="D3D3D3"/>
            <w:vAlign w:val="center"/>
          </w:tcPr>
          <w:p>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16</w:t>
            </w:r>
            <w:r>
              <w:rPr>
                <w:color w:val="000000"/>
                <w:spacing w:val="0"/>
                <w:w w:val="100"/>
                <w:position w:val="0"/>
              </w:rPr>
              <w:t>国盛</w:t>
            </w:r>
            <w:r>
              <w:rPr>
                <w:rFonts w:ascii="Times New Roman" w:eastAsia="Times New Roman" w:hAnsi="Times New Roman" w:cs="Times New Roman"/>
                <w:color w:val="000000"/>
                <w:spacing w:val="0"/>
                <w:w w:val="100"/>
                <w:position w:val="0"/>
              </w:rPr>
              <w:t>01:</w:t>
            </w:r>
            <w:r>
              <w:rPr>
                <w:color w:val="000000"/>
                <w:spacing w:val="0"/>
                <w:w w:val="100"/>
                <w:position w:val="0"/>
              </w:rPr>
              <w:t>本期债券的期限为</w:t>
            </w:r>
            <w:r>
              <w:rPr>
                <w:rFonts w:ascii="Times New Roman" w:eastAsia="Times New Roman" w:hAnsi="Times New Roman" w:cs="Times New Roman"/>
                <w:color w:val="000000"/>
                <w:spacing w:val="0"/>
                <w:w w:val="100"/>
                <w:position w:val="0"/>
              </w:rPr>
              <w:t>5</w:t>
            </w:r>
            <w:r>
              <w:rPr>
                <w:color w:val="000000"/>
                <w:spacing w:val="0"/>
                <w:w w:val="100"/>
                <w:position w:val="0"/>
              </w:rPr>
              <w:t>年，附第</w:t>
            </w:r>
            <w:r>
              <w:rPr>
                <w:rFonts w:ascii="Times New Roman" w:eastAsia="Times New Roman" w:hAnsi="Times New Roman" w:cs="Times New Roman"/>
                <w:color w:val="000000"/>
                <w:spacing w:val="0"/>
                <w:w w:val="100"/>
                <w:position w:val="0"/>
              </w:rPr>
              <w:t>3</w:t>
            </w:r>
            <w:r>
              <w:rPr>
                <w:color w:val="000000"/>
                <w:spacing w:val="0"/>
                <w:w w:val="100"/>
                <w:position w:val="0"/>
              </w:rPr>
              <w:t>年末发行人上调票面利率选 择权及投资者回售选择权。</w:t>
            </w:r>
          </w:p>
        </w:tc>
      </w:tr>
    </w:tbl>
    <w:p>
      <w:pPr>
        <w:widowControl w:val="0"/>
        <w:spacing w:after="339" w:line="1" w:lineRule="exact"/>
      </w:pPr>
    </w:p>
    <w:p>
      <w:pPr>
        <w:pStyle w:val="Style23"/>
        <w:keepNext/>
        <w:keepLines/>
        <w:widowControl w:val="0"/>
        <w:shd w:val="clear" w:color="auto" w:fill="auto"/>
        <w:bidi w:val="0"/>
        <w:spacing w:before="0" w:after="280" w:line="240" w:lineRule="auto"/>
        <w:ind w:left="0" w:right="0" w:firstLine="0"/>
        <w:jc w:val="left"/>
        <w:rPr>
          <w:sz w:val="22"/>
          <w:szCs w:val="22"/>
        </w:rPr>
      </w:pPr>
      <w:bookmarkStart w:id="584" w:name="bookmark584"/>
      <w:bookmarkStart w:id="585" w:name="bookmark585"/>
      <w:bookmarkStart w:id="586" w:name="bookmark586"/>
      <w:bookmarkStart w:id="587" w:name="bookmark587"/>
      <w:r>
        <w:rPr>
          <w:b/>
          <w:bCs/>
          <w:color w:val="000000"/>
          <w:spacing w:val="0"/>
          <w:w w:val="100"/>
          <w:position w:val="0"/>
          <w:sz w:val="22"/>
          <w:szCs w:val="22"/>
        </w:rPr>
        <w:t>二</w:t>
      </w:r>
      <w:bookmarkEnd w:id="586"/>
      <w:r>
        <w:rPr>
          <w:b/>
          <w:bCs/>
          <w:color w:val="000000"/>
          <w:spacing w:val="0"/>
          <w:w w:val="100"/>
          <w:position w:val="0"/>
          <w:sz w:val="22"/>
          <w:szCs w:val="22"/>
        </w:rPr>
        <w:t>、债券受托管理人和资信评级机构信息</w:t>
      </w:r>
      <w:bookmarkEnd w:id="584"/>
      <w:bookmarkEnd w:id="585"/>
      <w:bookmarkEnd w:id="587"/>
    </w:p>
    <w:tbl>
      <w:tblPr>
        <w:tblOverlap w:val="never"/>
        <w:jc w:val="center"/>
        <w:tblLayout w:type="fixed"/>
      </w:tblPr>
      <w:tblGrid>
        <w:gridCol w:w="571"/>
        <w:gridCol w:w="1416"/>
        <w:gridCol w:w="571"/>
        <w:gridCol w:w="2549"/>
        <w:gridCol w:w="566"/>
        <w:gridCol w:w="1512"/>
        <w:gridCol w:w="758"/>
        <w:gridCol w:w="1642"/>
      </w:tblGrid>
      <w:tr>
        <w:trPr>
          <w:trHeight w:val="403" w:hRule="exact"/>
        </w:trPr>
        <w:tc>
          <w:tcPr>
            <w:gridSpan w:val="8"/>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债券受托管理人：</w:t>
            </w:r>
          </w:p>
        </w:tc>
      </w:tr>
      <w:tr>
        <w:trPr>
          <w:trHeight w:val="946"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16</w:t>
            </w:r>
            <w:r>
              <w:rPr>
                <w:color w:val="000000"/>
                <w:spacing w:val="0"/>
                <w:w w:val="100"/>
                <w:position w:val="0"/>
              </w:rPr>
              <w:t>国盛金</w:t>
            </w:r>
            <w:r>
              <w:rPr>
                <w:rFonts w:ascii="Times New Roman" w:eastAsia="Times New Roman" w:hAnsi="Times New Roman" w:cs="Times New Roman"/>
                <w:color w:val="000000"/>
                <w:spacing w:val="0"/>
                <w:w w:val="100"/>
                <w:position w:val="0"/>
              </w:rPr>
              <w:t>:</w:t>
            </w:r>
            <w:r>
              <w:rPr>
                <w:color w:val="000000"/>
                <w:spacing w:val="0"/>
                <w:w w:val="100"/>
                <w:position w:val="0"/>
              </w:rPr>
              <w:t>恒泰 长财证券有限 责任公司</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办公 地址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恒泰长财证券有限责任公 司</w:t>
            </w:r>
            <w:r>
              <w:rPr>
                <w:rFonts w:ascii="Times New Roman" w:eastAsia="Times New Roman" w:hAnsi="Times New Roman" w:cs="Times New Roman"/>
                <w:color w:val="000000"/>
                <w:spacing w:val="0"/>
                <w:w w:val="100"/>
                <w:position w:val="0"/>
              </w:rPr>
              <w:t>:</w:t>
            </w:r>
            <w:r>
              <w:rPr>
                <w:color w:val="000000"/>
                <w:spacing w:val="0"/>
                <w:w w:val="100"/>
                <w:position w:val="0"/>
              </w:rPr>
              <w:t xml:space="preserve">北京市西城区金融大街 </w:t>
            </w:r>
            <w:r>
              <w:rPr>
                <w:rFonts w:ascii="Times New Roman" w:eastAsia="Times New Roman" w:hAnsi="Times New Roman" w:cs="Times New Roman"/>
                <w:color w:val="000000"/>
                <w:spacing w:val="0"/>
                <w:w w:val="100"/>
                <w:position w:val="0"/>
              </w:rPr>
              <w:t>33</w:t>
            </w:r>
            <w:r>
              <w:rPr>
                <w:color w:val="000000"/>
                <w:spacing w:val="0"/>
                <w:w w:val="100"/>
                <w:position w:val="0"/>
              </w:rPr>
              <w:t>号通泰大厦</w:t>
            </w:r>
            <w:r>
              <w:rPr>
                <w:rFonts w:ascii="Times New Roman" w:eastAsia="Times New Roman" w:hAnsi="Times New Roman" w:cs="Times New Roman"/>
                <w:color w:val="000000"/>
                <w:spacing w:val="0"/>
                <w:w w:val="100"/>
                <w:position w:val="0"/>
              </w:rPr>
              <w:t>C</w:t>
            </w:r>
            <w:r>
              <w:rPr>
                <w:color w:val="000000"/>
                <w:spacing w:val="0"/>
                <w:w w:val="100"/>
                <w:position w:val="0"/>
              </w:rPr>
              <w:t>座</w:t>
            </w:r>
            <w:r>
              <w:rPr>
                <w:rFonts w:ascii="Times New Roman" w:eastAsia="Times New Roman" w:hAnsi="Times New Roman" w:cs="Times New Roman"/>
                <w:color w:val="000000"/>
                <w:spacing w:val="0"/>
                <w:w w:val="100"/>
                <w:position w:val="0"/>
              </w:rPr>
              <w:t>5</w:t>
            </w:r>
            <w:r>
              <w:rPr>
                <w:color w:val="000000"/>
                <w:spacing w:val="0"/>
                <w:w w:val="100"/>
                <w:position w:val="0"/>
              </w:rPr>
              <w:t>层</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联系</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恒泰长财证券 有限责任公司</w:t>
            </w:r>
            <w:r>
              <w:rPr>
                <w:color w:val="000000"/>
                <w:spacing w:val="0"/>
                <w:w w:val="100"/>
                <w:position w:val="0"/>
              </w:rPr>
              <w:t>：</w:t>
            </w:r>
          </w:p>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李锦芳</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联系人 电话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恒泰长财证券有 限责任公司： </w:t>
            </w:r>
            <w:r>
              <w:rPr>
                <w:rFonts w:ascii="Times New Roman" w:eastAsia="Times New Roman" w:hAnsi="Times New Roman" w:cs="Times New Roman"/>
                <w:color w:val="000000"/>
                <w:spacing w:val="0"/>
                <w:w w:val="100"/>
                <w:position w:val="0"/>
              </w:rPr>
              <w:t>010-56673708</w:t>
            </w:r>
          </w:p>
        </w:tc>
      </w:tr>
      <w:tr>
        <w:trPr>
          <w:trHeight w:val="1262"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16</w:t>
            </w:r>
            <w:r>
              <w:rPr>
                <w:color w:val="000000"/>
                <w:spacing w:val="0"/>
                <w:w w:val="100"/>
                <w:position w:val="0"/>
              </w:rPr>
              <w:t>国盛</w:t>
            </w:r>
            <w:r>
              <w:rPr>
                <w:rFonts w:ascii="Times New Roman" w:eastAsia="Times New Roman" w:hAnsi="Times New Roman" w:cs="Times New Roman"/>
                <w:color w:val="000000"/>
                <w:spacing w:val="0"/>
                <w:w w:val="100"/>
                <w:position w:val="0"/>
              </w:rPr>
              <w:t>01:</w:t>
            </w:r>
            <w:r>
              <w:rPr>
                <w:color w:val="000000"/>
                <w:spacing w:val="0"/>
                <w:w w:val="100"/>
                <w:position w:val="0"/>
              </w:rPr>
              <w:t>光 大证券股份有 限公司</w:t>
            </w:r>
          </w:p>
        </w:tc>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光大证券股份有限公司：北 京市西城区复兴门外大街 </w:t>
            </w:r>
            <w:r>
              <w:rPr>
                <w:rFonts w:ascii="Times New Roman" w:eastAsia="Times New Roman" w:hAnsi="Times New Roman" w:cs="Times New Roman"/>
                <w:color w:val="000000"/>
                <w:spacing w:val="0"/>
                <w:w w:val="100"/>
                <w:position w:val="0"/>
              </w:rPr>
              <w:t>6</w:t>
            </w:r>
            <w:r>
              <w:rPr>
                <w:color w:val="000000"/>
                <w:spacing w:val="0"/>
                <w:w w:val="100"/>
                <w:position w:val="0"/>
              </w:rPr>
              <w:t>号光大大厦</w:t>
            </w:r>
            <w:r>
              <w:rPr>
                <w:rFonts w:ascii="Times New Roman" w:eastAsia="Times New Roman" w:hAnsi="Times New Roman" w:cs="Times New Roman"/>
                <w:color w:val="000000"/>
                <w:spacing w:val="0"/>
                <w:w w:val="100"/>
                <w:position w:val="0"/>
              </w:rPr>
              <w:t>16</w:t>
            </w:r>
            <w:r>
              <w:rPr>
                <w:color w:val="000000"/>
                <w:spacing w:val="0"/>
                <w:w w:val="100"/>
                <w:position w:val="0"/>
              </w:rPr>
              <w:t>楼</w:t>
            </w:r>
          </w:p>
        </w:tc>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光大证券股份</w:t>
            </w:r>
          </w:p>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有限公司：冯 伟、洪渤、杨奔、</w:t>
            </w:r>
          </w:p>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任伟鹏、赵妤</w:t>
            </w:r>
          </w:p>
        </w:tc>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317" w:lineRule="exact"/>
              <w:ind w:left="0" w:right="0" w:firstLine="0"/>
              <w:jc w:val="left"/>
            </w:pPr>
            <w:r>
              <w:rPr>
                <w:color w:val="000000"/>
                <w:spacing w:val="0"/>
                <w:w w:val="100"/>
                <w:position w:val="0"/>
              </w:rPr>
              <w:t>光大证券股份有 限公司：</w:t>
            </w:r>
          </w:p>
          <w:p>
            <w:pPr>
              <w:pStyle w:val="Style20"/>
              <w:keepNext w:val="0"/>
              <w:keepLines w:val="0"/>
              <w:widowControl w:val="0"/>
              <w:shd w:val="clear" w:color="auto" w:fill="auto"/>
              <w:bidi w:val="0"/>
              <w:spacing w:before="0" w:after="0" w:line="331" w:lineRule="auto"/>
              <w:ind w:left="0" w:right="0" w:firstLine="0"/>
              <w:jc w:val="left"/>
            </w:pPr>
            <w:r>
              <w:rPr>
                <w:rFonts w:ascii="Times New Roman" w:eastAsia="Times New Roman" w:hAnsi="Times New Roman" w:cs="Times New Roman"/>
                <w:color w:val="000000"/>
                <w:spacing w:val="0"/>
                <w:w w:val="100"/>
                <w:position w:val="0"/>
              </w:rPr>
              <w:t>010-56513142</w:t>
            </w:r>
          </w:p>
        </w:tc>
      </w:tr>
      <w:tr>
        <w:trPr>
          <w:trHeight w:val="322" w:hRule="exact"/>
        </w:trPr>
        <w:tc>
          <w:tcPr>
            <w:gridSpan w:val="8"/>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报告期内对公司债券进行跟踪评级的资信评级机构：</w:t>
            </w:r>
          </w:p>
        </w:tc>
      </w:tr>
      <w:tr>
        <w:trPr>
          <w:trHeight w:val="322"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w:t>
            </w:r>
            <w:r>
              <w:rPr>
                <w:color w:val="000000"/>
                <w:spacing w:val="0"/>
                <w:w w:val="100"/>
                <w:position w:val="0"/>
              </w:rPr>
              <w:t>国盛金</w:t>
            </w:r>
            <w:r>
              <w:rPr>
                <w:rFonts w:ascii="Times New Roman" w:eastAsia="Times New Roman" w:hAnsi="Times New Roman" w:cs="Times New Roman"/>
                <w:color w:val="000000"/>
                <w:spacing w:val="0"/>
                <w:w w:val="100"/>
                <w:position w:val="0"/>
              </w:rPr>
              <w:t>:</w:t>
            </w:r>
            <w:r>
              <w:rPr>
                <w:color w:val="000000"/>
                <w:spacing w:val="0"/>
                <w:w w:val="100"/>
                <w:position w:val="0"/>
              </w:rPr>
              <w:t>联合信用评级有限公司</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98" w:lineRule="exact"/>
              <w:ind w:left="0" w:right="0" w:firstLine="0"/>
              <w:jc w:val="left"/>
            </w:pPr>
            <w:r>
              <w:rPr>
                <w:color w:val="000000"/>
                <w:spacing w:val="0"/>
                <w:w w:val="100"/>
                <w:position w:val="0"/>
              </w:rPr>
              <w:t>办公 地址</w:t>
            </w:r>
          </w:p>
        </w:tc>
        <w:tc>
          <w:tcPr>
            <w:gridSpan w:val="3"/>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left"/>
            </w:pPr>
            <w:r>
              <w:rPr>
                <w:color w:val="000000"/>
                <w:spacing w:val="0"/>
                <w:w w:val="100"/>
                <w:position w:val="0"/>
              </w:rPr>
              <w:t>联合信用评级有限公司</w:t>
            </w:r>
            <w:r>
              <w:rPr>
                <w:rFonts w:ascii="Times New Roman" w:eastAsia="Times New Roman" w:hAnsi="Times New Roman" w:cs="Times New Roman"/>
                <w:color w:val="000000"/>
                <w:spacing w:val="0"/>
                <w:w w:val="100"/>
                <w:position w:val="0"/>
              </w:rPr>
              <w:t>:</w:t>
            </w:r>
            <w:r>
              <w:rPr>
                <w:color w:val="000000"/>
                <w:spacing w:val="0"/>
                <w:w w:val="100"/>
                <w:position w:val="0"/>
              </w:rPr>
              <w:t>北京市朝阳区建国 门外大街</w:t>
            </w:r>
            <w:r>
              <w:rPr>
                <w:rFonts w:ascii="Times New Roman" w:eastAsia="Times New Roman" w:hAnsi="Times New Roman" w:cs="Times New Roman"/>
                <w:color w:val="000000"/>
                <w:spacing w:val="0"/>
                <w:w w:val="100"/>
                <w:position w:val="0"/>
              </w:rPr>
              <w:t>2</w:t>
            </w:r>
            <w:r>
              <w:rPr>
                <w:color w:val="000000"/>
                <w:spacing w:val="0"/>
                <w:w w:val="100"/>
                <w:position w:val="0"/>
              </w:rPr>
              <w:t>号</w:t>
            </w:r>
            <w:r>
              <w:rPr>
                <w:rFonts w:ascii="Times New Roman" w:eastAsia="Times New Roman" w:hAnsi="Times New Roman" w:cs="Times New Roman"/>
                <w:color w:val="000000"/>
                <w:spacing w:val="0"/>
                <w:w w:val="100"/>
                <w:position w:val="0"/>
              </w:rPr>
              <w:t>PICC</w:t>
            </w:r>
            <w:r>
              <w:rPr>
                <w:color w:val="000000"/>
                <w:spacing w:val="0"/>
                <w:w w:val="100"/>
                <w:position w:val="0"/>
              </w:rPr>
              <w:t>大厦</w:t>
            </w:r>
            <w:r>
              <w:rPr>
                <w:rFonts w:ascii="Times New Roman" w:eastAsia="Times New Roman" w:hAnsi="Times New Roman" w:cs="Times New Roman"/>
                <w:color w:val="000000"/>
                <w:spacing w:val="0"/>
                <w:w w:val="100"/>
                <w:position w:val="0"/>
              </w:rPr>
              <w:t>12</w:t>
            </w:r>
            <w:r>
              <w:rPr>
                <w:color w:val="000000"/>
                <w:spacing w:val="0"/>
                <w:w w:val="100"/>
                <w:position w:val="0"/>
              </w:rPr>
              <w:t>层</w:t>
            </w:r>
          </w:p>
        </w:tc>
      </w:tr>
      <w:tr>
        <w:trPr>
          <w:trHeight w:val="322" w:hRule="exact"/>
        </w:trPr>
        <w:tc>
          <w:tcPr>
            <w:vMerge/>
            <w:tcBorders>
              <w:left w:val="single" w:sz="4"/>
            </w:tcBorders>
            <w:shd w:val="clear" w:color="auto" w:fill="D3D3D3"/>
            <w:vAlign w:val="center"/>
          </w:tcPr>
          <w:p>
            <w:pP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w:t>
            </w:r>
            <w:r>
              <w:rPr>
                <w:color w:val="000000"/>
                <w:spacing w:val="0"/>
                <w:w w:val="100"/>
                <w:position w:val="0"/>
              </w:rPr>
              <w:t>国盛</w:t>
            </w:r>
            <w:r>
              <w:rPr>
                <w:rFonts w:ascii="Times New Roman" w:eastAsia="Times New Roman" w:hAnsi="Times New Roman" w:cs="Times New Roman"/>
                <w:color w:val="000000"/>
                <w:spacing w:val="0"/>
                <w:w w:val="100"/>
                <w:position w:val="0"/>
              </w:rPr>
              <w:t>01:</w:t>
            </w:r>
            <w:r>
              <w:rPr>
                <w:color w:val="000000"/>
                <w:spacing w:val="0"/>
                <w:w w:val="100"/>
                <w:position w:val="0"/>
              </w:rPr>
              <w:t>联合信用评级有限公司</w:t>
            </w:r>
          </w:p>
        </w:tc>
        <w:tc>
          <w:tcPr>
            <w:vMerge/>
            <w:tcBorders>
              <w:left w:val="single" w:sz="4"/>
            </w:tcBorders>
            <w:shd w:val="clear" w:color="auto" w:fill="D3D3D3"/>
            <w:vAlign w:val="center"/>
          </w:tcPr>
          <w:p>
            <w:pPr/>
          </w:p>
        </w:tc>
        <w:tc>
          <w:tcPr>
            <w:gridSpan w:val="3"/>
            <w:vMerge/>
            <w:tcBorders>
              <w:left w:val="single" w:sz="4"/>
              <w:right w:val="single" w:sz="4"/>
            </w:tcBorders>
            <w:shd w:val="clear" w:color="auto" w:fill="FFFFFF"/>
            <w:vAlign w:val="center"/>
          </w:tcPr>
          <w:p>
            <w:pPr/>
          </w:p>
        </w:tc>
      </w:tr>
      <w:tr>
        <w:trPr>
          <w:trHeight w:val="955" w:hRule="exact"/>
        </w:trPr>
        <w:tc>
          <w:tcPr>
            <w:gridSpan w:val="4"/>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报告期内公司聘请的债券受托管理人、资信评级机构发生 的，变更的原因、履行的程序、对投资者利益的影响等 用）</w:t>
            </w:r>
          </w:p>
        </w:tc>
        <w:tc>
          <w:tcPr>
            <w:tcBorders>
              <w:top w:val="single" w:sz="4"/>
              <w:left w:val="single" w:sz="4"/>
              <w:bottom w:val="single" w:sz="4"/>
            </w:tcBorders>
            <w:shd w:val="clear" w:color="auto" w:fill="D3D3D3"/>
            <w:vAlign w:val="top"/>
          </w:tcPr>
          <w:p>
            <w:pPr>
              <w:pStyle w:val="Style20"/>
              <w:keepNext w:val="0"/>
              <w:keepLines w:val="0"/>
              <w:widowControl w:val="0"/>
              <w:shd w:val="clear" w:color="auto" w:fill="auto"/>
              <w:bidi w:val="0"/>
              <w:spacing w:before="0" w:after="0" w:line="293" w:lineRule="exact"/>
              <w:ind w:left="0" w:right="0" w:firstLine="0"/>
              <w:jc w:val="left"/>
            </w:pPr>
            <w:r>
              <w:rPr>
                <w:rFonts w:ascii="Times New Roman" w:eastAsia="Times New Roman" w:hAnsi="Times New Roman" w:cs="Times New Roman"/>
                <w:color w:val="000000"/>
                <w:spacing w:val="0"/>
                <w:w w:val="100"/>
                <w:position w:val="0"/>
              </w:rPr>
              <w:t>E</w:t>
            </w:r>
            <w:r>
              <w:rPr>
                <w:color w:val="000000"/>
                <w:spacing w:val="0"/>
                <w:w w:val="100"/>
                <w:position w:val="0"/>
              </w:rPr>
              <w:t>变更 如适</w:t>
            </w:r>
          </w:p>
        </w:tc>
        <w:tc>
          <w:tcPr>
            <w:gridSpan w:val="3"/>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无变更情况</w:t>
            </w:r>
          </w:p>
        </w:tc>
      </w:tr>
    </w:tbl>
    <w:p>
      <w:pPr>
        <w:widowControl w:val="0"/>
        <w:spacing w:after="339" w:line="1" w:lineRule="exact"/>
      </w:pPr>
    </w:p>
    <w:p>
      <w:pPr>
        <w:pStyle w:val="Style23"/>
        <w:keepNext/>
        <w:keepLines/>
        <w:widowControl w:val="0"/>
        <w:shd w:val="clear" w:color="auto" w:fill="auto"/>
        <w:bidi w:val="0"/>
        <w:spacing w:before="0" w:after="280" w:line="240" w:lineRule="auto"/>
        <w:ind w:left="0" w:right="0" w:firstLine="0"/>
        <w:jc w:val="left"/>
        <w:rPr>
          <w:sz w:val="22"/>
          <w:szCs w:val="22"/>
        </w:rPr>
      </w:pPr>
      <w:bookmarkStart w:id="588" w:name="bookmark588"/>
      <w:bookmarkStart w:id="589" w:name="bookmark589"/>
      <w:bookmarkStart w:id="590" w:name="bookmark590"/>
      <w:bookmarkStart w:id="591" w:name="bookmark591"/>
      <w:r>
        <w:rPr>
          <w:b/>
          <w:bCs/>
          <w:color w:val="000000"/>
          <w:spacing w:val="0"/>
          <w:w w:val="100"/>
          <w:position w:val="0"/>
          <w:sz w:val="22"/>
          <w:szCs w:val="22"/>
        </w:rPr>
        <w:t>三</w:t>
      </w:r>
      <w:bookmarkEnd w:id="590"/>
      <w:r>
        <w:rPr>
          <w:b/>
          <w:bCs/>
          <w:color w:val="000000"/>
          <w:spacing w:val="0"/>
          <w:w w:val="100"/>
          <w:position w:val="0"/>
          <w:sz w:val="22"/>
          <w:szCs w:val="22"/>
        </w:rPr>
        <w:t>、公司债券募集资金使用情况</w:t>
      </w:r>
      <w:bookmarkEnd w:id="588"/>
      <w:bookmarkEnd w:id="589"/>
      <w:bookmarkEnd w:id="591"/>
    </w:p>
    <w:p>
      <w:pPr>
        <w:pStyle w:val="Style33"/>
        <w:keepNext w:val="0"/>
        <w:keepLines w:val="0"/>
        <w:widowControl w:val="0"/>
        <w:shd w:val="clear" w:color="auto" w:fill="auto"/>
        <w:bidi w:val="0"/>
        <w:spacing w:before="0" w:after="340" w:line="317" w:lineRule="exact"/>
        <w:ind w:left="0" w:right="0" w:firstLine="440"/>
        <w:jc w:val="both"/>
      </w:pPr>
      <w:r>
        <w:rPr>
          <w:color w:val="000000"/>
          <w:spacing w:val="0"/>
          <w:w w:val="100"/>
          <w:position w:val="0"/>
        </w:rPr>
        <w:t>详见第四节、（五）募集资金使用情况</w:t>
      </w:r>
    </w:p>
    <w:p>
      <w:pPr>
        <w:pStyle w:val="Style23"/>
        <w:keepNext/>
        <w:keepLines/>
        <w:widowControl w:val="0"/>
        <w:shd w:val="clear" w:color="auto" w:fill="auto"/>
        <w:tabs>
          <w:tab w:pos="498" w:val="left"/>
        </w:tabs>
        <w:bidi w:val="0"/>
        <w:spacing w:before="0" w:after="280" w:line="240" w:lineRule="auto"/>
        <w:ind w:left="0" w:right="0" w:firstLine="0"/>
        <w:jc w:val="left"/>
        <w:rPr>
          <w:sz w:val="22"/>
          <w:szCs w:val="22"/>
        </w:rPr>
      </w:pPr>
      <w:bookmarkStart w:id="592" w:name="bookmark592"/>
      <w:bookmarkStart w:id="593" w:name="bookmark593"/>
      <w:bookmarkStart w:id="594" w:name="bookmark594"/>
      <w:bookmarkStart w:id="595" w:name="bookmark595"/>
      <w:r>
        <w:rPr>
          <w:b/>
          <w:bCs/>
          <w:color w:val="000000"/>
          <w:spacing w:val="0"/>
          <w:w w:val="100"/>
          <w:position w:val="0"/>
          <w:sz w:val="22"/>
          <w:szCs w:val="22"/>
        </w:rPr>
        <w:t>四</w:t>
      </w:r>
      <w:bookmarkEnd w:id="594"/>
      <w:r>
        <w:rPr>
          <w:b/>
          <w:bCs/>
          <w:color w:val="000000"/>
          <w:spacing w:val="0"/>
          <w:w w:val="100"/>
          <w:position w:val="0"/>
          <w:sz w:val="22"/>
          <w:szCs w:val="22"/>
        </w:rPr>
        <w:t>、</w:t>
        <w:tab/>
        <w:t>公司债券信息评级情况</w:t>
      </w:r>
      <w:bookmarkEnd w:id="592"/>
      <w:bookmarkEnd w:id="593"/>
      <w:bookmarkEnd w:id="595"/>
    </w:p>
    <w:p>
      <w:pPr>
        <w:pStyle w:val="Style33"/>
        <w:keepNext w:val="0"/>
        <w:keepLines w:val="0"/>
        <w:widowControl w:val="0"/>
        <w:shd w:val="clear" w:color="auto" w:fill="auto"/>
        <w:bidi w:val="0"/>
        <w:spacing w:before="0" w:after="0" w:line="317" w:lineRule="exact"/>
        <w:ind w:left="0" w:right="0" w:firstLine="440"/>
        <w:jc w:val="both"/>
      </w:pPr>
      <w:r>
        <w:rPr>
          <w:rFonts w:ascii="Times New Roman" w:eastAsia="Times New Roman" w:hAnsi="Times New Roman" w:cs="Times New Roman"/>
          <w:color w:val="000000"/>
          <w:spacing w:val="0"/>
          <w:w w:val="100"/>
          <w:position w:val="0"/>
        </w:rPr>
        <w:t>16</w:t>
      </w:r>
      <w:r>
        <w:rPr>
          <w:color w:val="000000"/>
          <w:spacing w:val="0"/>
          <w:w w:val="100"/>
          <w:position w:val="0"/>
        </w:rPr>
        <w:t>国盛金：</w:t>
      </w:r>
      <w:r>
        <w:rPr>
          <w:rFonts w:ascii="Times New Roman" w:eastAsia="Times New Roman" w:hAnsi="Times New Roman" w:cs="Times New Roman"/>
          <w:color w:val="000000"/>
          <w:spacing w:val="0"/>
          <w:w w:val="100"/>
          <w:position w:val="0"/>
        </w:rPr>
        <w:t>2016</w:t>
      </w:r>
      <w:r>
        <w:rPr>
          <w:color w:val="000000"/>
          <w:spacing w:val="0"/>
          <w:w w:val="100"/>
          <w:position w:val="0"/>
        </w:rPr>
        <w:t>年，联合评级对公司和公司发行的</w:t>
      </w:r>
      <w:r>
        <w:rPr>
          <w:rFonts w:ascii="Times New Roman" w:eastAsia="Times New Roman" w:hAnsi="Times New Roman" w:cs="Times New Roman"/>
          <w:color w:val="000000"/>
          <w:spacing w:val="0"/>
          <w:w w:val="100"/>
          <w:position w:val="0"/>
        </w:rPr>
        <w:t>“16</w:t>
      </w:r>
      <w:r>
        <w:rPr>
          <w:color w:val="000000"/>
          <w:spacing w:val="0"/>
          <w:w w:val="100"/>
          <w:position w:val="0"/>
        </w:rPr>
        <w:t>国盛金</w:t>
      </w:r>
      <w:r>
        <w:rPr>
          <w:rFonts w:ascii="Times New Roman" w:eastAsia="Times New Roman" w:hAnsi="Times New Roman" w:cs="Times New Roman"/>
          <w:color w:val="000000"/>
          <w:spacing w:val="0"/>
          <w:w w:val="100"/>
          <w:position w:val="0"/>
        </w:rPr>
        <w:t>''</w:t>
      </w:r>
      <w:r>
        <w:rPr>
          <w:color w:val="000000"/>
          <w:spacing w:val="0"/>
          <w:w w:val="100"/>
          <w:position w:val="0"/>
        </w:rPr>
        <w:t>债券的信用状况进行了综合分析和评 估。经审定，公司主体信用评级为</w:t>
      </w:r>
      <w:r>
        <w:rPr>
          <w:rFonts w:ascii="Times New Roman" w:eastAsia="Times New Roman" w:hAnsi="Times New Roman" w:cs="Times New Roman"/>
          <w:color w:val="000000"/>
          <w:spacing w:val="0"/>
          <w:w w:val="100"/>
          <w:position w:val="0"/>
        </w:rPr>
        <w:t>AA</w:t>
      </w:r>
      <w:r>
        <w:rPr>
          <w:color w:val="000000"/>
          <w:spacing w:val="0"/>
          <w:w w:val="100"/>
          <w:position w:val="0"/>
        </w:rPr>
        <w:t>,</w:t>
      </w:r>
      <w:r>
        <w:rPr>
          <w:color w:val="000000"/>
          <w:spacing w:val="0"/>
          <w:w w:val="100"/>
          <w:position w:val="0"/>
        </w:rPr>
        <w:t>评级展望为</w:t>
      </w:r>
      <w:r>
        <w:rPr>
          <w:rFonts w:ascii="Times New Roman" w:eastAsia="Times New Roman" w:hAnsi="Times New Roman" w:cs="Times New Roman"/>
          <w:color w:val="000000"/>
          <w:spacing w:val="0"/>
          <w:w w:val="100"/>
          <w:position w:val="0"/>
        </w:rPr>
        <w:t>“</w:t>
      </w:r>
      <w:r>
        <w:rPr>
          <w:color w:val="000000"/>
          <w:spacing w:val="0"/>
          <w:w w:val="100"/>
          <w:position w:val="0"/>
        </w:rPr>
        <w:t>稳定</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债券信用等级为</w:t>
      </w:r>
      <w:r>
        <w:rPr>
          <w:rFonts w:ascii="Times New Roman" w:eastAsia="Times New Roman" w:hAnsi="Times New Roman" w:cs="Times New Roman"/>
          <w:color w:val="000000"/>
          <w:spacing w:val="0"/>
          <w:w w:val="100"/>
          <w:position w:val="0"/>
        </w:rPr>
        <w:t>AA</w:t>
      </w:r>
      <w:r>
        <w:rPr>
          <w:color w:val="000000"/>
          <w:spacing w:val="0"/>
          <w:w w:val="100"/>
          <w:position w:val="0"/>
        </w:rPr>
        <w:t>。</w:t>
      </w:r>
      <w:r>
        <w:rPr>
          <w:color w:val="000000"/>
          <w:spacing w:val="0"/>
          <w:w w:val="100"/>
          <w:position w:val="0"/>
        </w:rPr>
        <w:t>公司于</w:t>
      </w:r>
      <w:r>
        <w:rPr>
          <w:rFonts w:ascii="Times New Roman" w:eastAsia="Times New Roman" w:hAnsi="Times New Roman" w:cs="Times New Roman"/>
          <w:color w:val="000000"/>
          <w:spacing w:val="0"/>
          <w:w w:val="100"/>
          <w:position w:val="0"/>
        </w:rPr>
        <w:t>2017</w:t>
      </w:r>
      <w:r>
        <w:rPr>
          <w:color w:val="000000"/>
          <w:spacing w:val="0"/>
          <w:w w:val="100"/>
          <w:position w:val="0"/>
        </w:rPr>
        <w:t>年四月底 前安排资信评估机构完成对公司和公司已发行债券的跟踪评级，并将跟踪评级报告于深圳证券交易所网站 公告。</w:t>
      </w:r>
    </w:p>
    <w:p>
      <w:pPr>
        <w:pStyle w:val="Style33"/>
        <w:keepNext w:val="0"/>
        <w:keepLines w:val="0"/>
        <w:widowControl w:val="0"/>
        <w:shd w:val="clear" w:color="auto" w:fill="auto"/>
        <w:bidi w:val="0"/>
        <w:spacing w:before="0" w:after="340" w:line="317" w:lineRule="exact"/>
        <w:ind w:left="0" w:right="0" w:firstLine="440"/>
        <w:jc w:val="both"/>
      </w:pPr>
      <w:r>
        <w:rPr>
          <w:rFonts w:ascii="Times New Roman" w:eastAsia="Times New Roman" w:hAnsi="Times New Roman" w:cs="Times New Roman"/>
          <w:color w:val="000000"/>
          <w:spacing w:val="0"/>
          <w:w w:val="100"/>
          <w:position w:val="0"/>
        </w:rPr>
        <w:t>16</w:t>
      </w:r>
      <w:r>
        <w:rPr>
          <w:color w:val="000000"/>
          <w:spacing w:val="0"/>
          <w:w w:val="100"/>
          <w:position w:val="0"/>
        </w:rPr>
        <w:t>国盛</w:t>
      </w:r>
      <w:r>
        <w:rPr>
          <w:rFonts w:ascii="Times New Roman" w:eastAsia="Times New Roman" w:hAnsi="Times New Roman" w:cs="Times New Roman"/>
          <w:color w:val="000000"/>
          <w:spacing w:val="0"/>
          <w:w w:val="100"/>
          <w:position w:val="0"/>
        </w:rPr>
        <w:t>01</w:t>
      </w:r>
      <w:r>
        <w:rPr>
          <w:color w:val="000000"/>
          <w:spacing w:val="0"/>
          <w:w w:val="100"/>
          <w:position w:val="0"/>
        </w:rPr>
        <w:t>：本期债券于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月发行,</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日联合信用评级有限公司出具了</w:t>
      </w:r>
      <w:r>
        <w:rPr>
          <w:rFonts w:ascii="Times New Roman" w:eastAsia="Times New Roman" w:hAnsi="Times New Roman" w:cs="Times New Roman"/>
          <w:color w:val="000000"/>
          <w:spacing w:val="0"/>
          <w:w w:val="100"/>
          <w:position w:val="0"/>
        </w:rPr>
        <w:t>“16</w:t>
      </w:r>
      <w:r>
        <w:rPr>
          <w:color w:val="000000"/>
          <w:spacing w:val="0"/>
          <w:w w:val="100"/>
          <w:position w:val="0"/>
        </w:rPr>
        <w:t>国盛</w:t>
      </w:r>
      <w:r>
        <w:rPr>
          <w:rFonts w:ascii="Times New Roman" w:eastAsia="Times New Roman" w:hAnsi="Times New Roman" w:cs="Times New Roman"/>
          <w:color w:val="000000"/>
          <w:spacing w:val="0"/>
          <w:w w:val="100"/>
          <w:position w:val="0"/>
        </w:rPr>
        <w:t xml:space="preserve">01” </w:t>
      </w:r>
      <w:r>
        <w:rPr>
          <w:color w:val="000000"/>
          <w:spacing w:val="0"/>
          <w:w w:val="100"/>
          <w:position w:val="0"/>
        </w:rPr>
        <w:t>债券跟踪评级公告，国盛证券主体长期信用等级为</w:t>
      </w:r>
      <w:r>
        <w:rPr>
          <w:rFonts w:ascii="Times New Roman" w:eastAsia="Times New Roman" w:hAnsi="Times New Roman" w:cs="Times New Roman"/>
          <w:color w:val="000000"/>
          <w:spacing w:val="0"/>
          <w:w w:val="100"/>
          <w:position w:val="0"/>
        </w:rPr>
        <w:t>AA</w:t>
      </w:r>
      <w:r>
        <w:rPr>
          <w:color w:val="000000"/>
          <w:spacing w:val="0"/>
          <w:w w:val="100"/>
          <w:position w:val="0"/>
        </w:rPr>
        <w:t>，</w:t>
      </w:r>
      <w:r>
        <w:rPr>
          <w:color w:val="000000"/>
          <w:spacing w:val="0"/>
          <w:w w:val="100"/>
          <w:position w:val="0"/>
        </w:rPr>
        <w:t>评级展望为</w:t>
      </w:r>
      <w:r>
        <w:rPr>
          <w:rFonts w:ascii="Times New Roman" w:eastAsia="Times New Roman" w:hAnsi="Times New Roman" w:cs="Times New Roman"/>
          <w:color w:val="000000"/>
          <w:spacing w:val="0"/>
          <w:w w:val="100"/>
          <w:position w:val="0"/>
        </w:rPr>
        <w:t>“</w:t>
      </w:r>
      <w:r>
        <w:rPr>
          <w:color w:val="000000"/>
          <w:spacing w:val="0"/>
          <w:w w:val="100"/>
          <w:position w:val="0"/>
        </w:rPr>
        <w:t>稳定</w:t>
      </w:r>
      <w:r>
        <w:rPr>
          <w:rFonts w:ascii="Times New Roman" w:eastAsia="Times New Roman" w:hAnsi="Times New Roman" w:cs="Times New Roman"/>
          <w:color w:val="000000"/>
          <w:spacing w:val="0"/>
          <w:w w:val="100"/>
          <w:position w:val="0"/>
        </w:rPr>
        <w:t>”</w:t>
      </w:r>
      <w:r>
        <w:rPr>
          <w:color w:val="000000"/>
          <w:spacing w:val="0"/>
          <w:w w:val="100"/>
          <w:position w:val="0"/>
        </w:rPr>
        <w:t>，债券信用等级为</w:t>
      </w:r>
      <w:r>
        <w:rPr>
          <w:rFonts w:ascii="Times New Roman" w:eastAsia="Times New Roman" w:hAnsi="Times New Roman" w:cs="Times New Roman"/>
          <w:color w:val="000000"/>
          <w:spacing w:val="0"/>
          <w:w w:val="100"/>
          <w:position w:val="0"/>
        </w:rPr>
        <w:t xml:space="preserve">AA </w:t>
      </w:r>
      <w:r>
        <w:rPr>
          <w:color w:val="000000"/>
          <w:spacing w:val="0"/>
          <w:w w:val="100"/>
          <w:position w:val="0"/>
        </w:rPr>
        <w:t>（信用等 级未发生变化）；该跟踪评级报告于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日在上交所债券网进行了公开披露。国盛证券</w:t>
      </w:r>
      <w:r>
        <w:rPr>
          <w:rFonts w:ascii="Times New Roman" w:eastAsia="Times New Roman" w:hAnsi="Times New Roman" w:cs="Times New Roman"/>
          <w:color w:val="000000"/>
          <w:spacing w:val="0"/>
          <w:w w:val="100"/>
          <w:position w:val="0"/>
        </w:rPr>
        <w:t>2016</w:t>
      </w:r>
      <w:r>
        <w:rPr>
          <w:color w:val="000000"/>
          <w:spacing w:val="0"/>
          <w:w w:val="100"/>
          <w:position w:val="0"/>
        </w:rPr>
        <w:t>年 审计报告工作尚未结束，按规定审计报告需在</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月末前披露，评级机构将不晚于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日做好跟踪评级公告工作。</w:t>
      </w:r>
    </w:p>
    <w:p>
      <w:pPr>
        <w:pStyle w:val="Style23"/>
        <w:keepNext/>
        <w:keepLines/>
        <w:widowControl w:val="0"/>
        <w:shd w:val="clear" w:color="auto" w:fill="auto"/>
        <w:tabs>
          <w:tab w:pos="517" w:val="left"/>
        </w:tabs>
        <w:bidi w:val="0"/>
        <w:spacing w:before="0" w:after="320" w:line="240" w:lineRule="auto"/>
        <w:ind w:left="0" w:right="0" w:firstLine="0"/>
        <w:jc w:val="left"/>
        <w:rPr>
          <w:sz w:val="22"/>
          <w:szCs w:val="22"/>
        </w:rPr>
      </w:pPr>
      <w:bookmarkStart w:id="596" w:name="bookmark596"/>
      <w:bookmarkStart w:id="597" w:name="bookmark597"/>
      <w:bookmarkStart w:id="598" w:name="bookmark598"/>
      <w:bookmarkStart w:id="599" w:name="bookmark599"/>
      <w:r>
        <w:rPr>
          <w:b/>
          <w:bCs/>
          <w:color w:val="000000"/>
          <w:spacing w:val="0"/>
          <w:w w:val="100"/>
          <w:position w:val="0"/>
          <w:sz w:val="22"/>
          <w:szCs w:val="22"/>
        </w:rPr>
        <w:t>五</w:t>
      </w:r>
      <w:bookmarkEnd w:id="598"/>
      <w:r>
        <w:rPr>
          <w:b/>
          <w:bCs/>
          <w:color w:val="000000"/>
          <w:spacing w:val="0"/>
          <w:w w:val="100"/>
          <w:position w:val="0"/>
          <w:sz w:val="22"/>
          <w:szCs w:val="22"/>
        </w:rPr>
        <w:t>、</w:t>
        <w:tab/>
        <w:t>公司债券增信机制、偿债计划及其他偿债保障措施</w:t>
      </w:r>
      <w:bookmarkEnd w:id="596"/>
      <w:bookmarkEnd w:id="597"/>
      <w:bookmarkEnd w:id="599"/>
    </w:p>
    <w:p>
      <w:pPr>
        <w:pStyle w:val="Style33"/>
        <w:keepNext w:val="0"/>
        <w:keepLines w:val="0"/>
        <w:widowControl w:val="0"/>
        <w:shd w:val="clear" w:color="auto" w:fill="auto"/>
        <w:tabs>
          <w:tab w:pos="1018" w:val="left"/>
        </w:tabs>
        <w:bidi w:val="0"/>
        <w:spacing w:before="0" w:after="0" w:line="316" w:lineRule="exact"/>
        <w:ind w:left="0" w:right="0" w:firstLine="420"/>
        <w:jc w:val="both"/>
      </w:pPr>
      <w:bookmarkStart w:id="600" w:name="bookmark600"/>
      <w:r>
        <w:rPr>
          <w:b/>
          <w:bCs/>
          <w:color w:val="000000"/>
          <w:spacing w:val="0"/>
          <w:w w:val="100"/>
          <w:position w:val="0"/>
        </w:rPr>
        <w:t>（</w:t>
      </w:r>
      <w:bookmarkEnd w:id="600"/>
      <w:r>
        <w:rPr>
          <w:b/>
          <w:bCs/>
          <w:color w:val="000000"/>
          <w:spacing w:val="0"/>
          <w:w w:val="100"/>
          <w:position w:val="0"/>
        </w:rPr>
        <w:t>一）</w:t>
        <w:tab/>
        <w:t>本期债券为无担保债券</w:t>
      </w:r>
    </w:p>
    <w:p>
      <w:pPr>
        <w:pStyle w:val="Style33"/>
        <w:keepNext w:val="0"/>
        <w:keepLines w:val="0"/>
        <w:widowControl w:val="0"/>
        <w:shd w:val="clear" w:color="auto" w:fill="auto"/>
        <w:tabs>
          <w:tab w:pos="1018" w:val="left"/>
        </w:tabs>
        <w:bidi w:val="0"/>
        <w:spacing w:before="0" w:after="120" w:line="316" w:lineRule="exact"/>
        <w:ind w:left="0" w:right="0" w:firstLine="420"/>
        <w:jc w:val="both"/>
      </w:pPr>
      <w:bookmarkStart w:id="601" w:name="bookmark601"/>
      <w:r>
        <w:rPr>
          <w:b/>
          <w:bCs/>
          <w:color w:val="000000"/>
          <w:spacing w:val="0"/>
          <w:w w:val="100"/>
          <w:position w:val="0"/>
        </w:rPr>
        <w:t>（</w:t>
      </w:r>
      <w:bookmarkEnd w:id="601"/>
      <w:r>
        <w:rPr>
          <w:b/>
          <w:bCs/>
          <w:color w:val="000000"/>
          <w:spacing w:val="0"/>
          <w:w w:val="100"/>
          <w:position w:val="0"/>
        </w:rPr>
        <w:t>二）</w:t>
        <w:tab/>
        <w:t>偿债计划及其他偿债保障措施</w:t>
      </w:r>
    </w:p>
    <w:p>
      <w:pPr>
        <w:pStyle w:val="Style33"/>
        <w:keepNext w:val="0"/>
        <w:keepLines w:val="0"/>
        <w:widowControl w:val="0"/>
        <w:shd w:val="clear" w:color="auto" w:fill="auto"/>
        <w:bidi w:val="0"/>
        <w:spacing w:before="0" w:after="0" w:line="331" w:lineRule="auto"/>
        <w:ind w:left="0" w:right="0" w:firstLine="540"/>
        <w:jc w:val="both"/>
      </w:pPr>
      <w:r>
        <w:rPr>
          <w:rFonts w:ascii="Times New Roman" w:eastAsia="Times New Roman" w:hAnsi="Times New Roman" w:cs="Times New Roman"/>
          <w:b/>
          <w:bCs/>
          <w:color w:val="000000"/>
          <w:spacing w:val="0"/>
          <w:w w:val="100"/>
          <w:position w:val="0"/>
        </w:rPr>
        <w:t>1</w:t>
      </w:r>
      <w:r>
        <w:rPr>
          <w:b/>
          <w:bCs/>
          <w:color w:val="000000"/>
          <w:spacing w:val="0"/>
          <w:w w:val="100"/>
          <w:position w:val="0"/>
        </w:rPr>
        <w:t>、</w:t>
      </w:r>
      <w:r>
        <w:rPr>
          <w:rFonts w:ascii="Times New Roman" w:eastAsia="Times New Roman" w:hAnsi="Times New Roman" w:cs="Times New Roman"/>
          <w:b/>
          <w:bCs/>
          <w:color w:val="000000"/>
          <w:spacing w:val="0"/>
          <w:w w:val="100"/>
          <w:position w:val="0"/>
        </w:rPr>
        <w:t>“16</w:t>
      </w:r>
      <w:r>
        <w:rPr>
          <w:b/>
          <w:bCs/>
          <w:color w:val="000000"/>
          <w:spacing w:val="0"/>
          <w:w w:val="100"/>
          <w:position w:val="0"/>
        </w:rPr>
        <w:t>国盛金</w:t>
      </w:r>
      <w:r>
        <w:rPr>
          <w:rFonts w:ascii="Times New Roman" w:eastAsia="Times New Roman" w:hAnsi="Times New Roman" w:cs="Times New Roman"/>
          <w:b/>
          <w:bCs/>
          <w:color w:val="000000"/>
          <w:spacing w:val="0"/>
          <w:w w:val="100"/>
          <w:position w:val="0"/>
        </w:rPr>
        <w:t>”</w:t>
      </w:r>
      <w:r>
        <w:rPr>
          <w:b/>
          <w:bCs/>
          <w:color w:val="000000"/>
          <w:spacing w:val="0"/>
          <w:w w:val="100"/>
          <w:position w:val="0"/>
        </w:rPr>
        <w:t>债券</w:t>
      </w:r>
    </w:p>
    <w:p>
      <w:pPr>
        <w:pStyle w:val="Style33"/>
        <w:keepNext w:val="0"/>
        <w:keepLines w:val="0"/>
        <w:widowControl w:val="0"/>
        <w:shd w:val="clear" w:color="auto" w:fill="auto"/>
        <w:tabs>
          <w:tab w:pos="933" w:val="left"/>
        </w:tabs>
        <w:bidi w:val="0"/>
        <w:spacing w:before="0" w:after="120" w:line="316" w:lineRule="exact"/>
        <w:ind w:left="0" w:right="0" w:firstLine="440"/>
        <w:jc w:val="both"/>
      </w:pPr>
      <w:bookmarkStart w:id="602" w:name="bookmark602"/>
      <w:r>
        <w:rPr>
          <w:b/>
          <w:bCs/>
          <w:color w:val="000000"/>
          <w:spacing w:val="0"/>
          <w:w w:val="100"/>
          <w:position w:val="0"/>
        </w:rPr>
        <w:t>（</w:t>
      </w:r>
      <w:bookmarkEnd w:id="602"/>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偿债计划</w:t>
      </w:r>
    </w:p>
    <w:p>
      <w:pPr>
        <w:pStyle w:val="Style33"/>
        <w:keepNext w:val="0"/>
        <w:keepLines w:val="0"/>
        <w:widowControl w:val="0"/>
        <w:shd w:val="clear" w:color="auto" w:fill="auto"/>
        <w:tabs>
          <w:tab w:pos="817" w:val="left"/>
        </w:tabs>
        <w:bidi w:val="0"/>
        <w:spacing w:before="0" w:after="0" w:line="331" w:lineRule="auto"/>
        <w:ind w:left="0" w:right="0" w:firstLine="440"/>
        <w:jc w:val="both"/>
      </w:pPr>
      <w:bookmarkStart w:id="603" w:name="bookmark603"/>
      <w:r>
        <w:rPr>
          <w:rFonts w:ascii="Times New Roman" w:eastAsia="Times New Roman" w:hAnsi="Times New Roman" w:cs="Times New Roman"/>
          <w:color w:val="000000"/>
          <w:spacing w:val="0"/>
          <w:w w:val="100"/>
          <w:position w:val="0"/>
        </w:rPr>
        <w:t>1</w:t>
      </w:r>
      <w:bookmarkEnd w:id="603"/>
      <w:r>
        <w:rPr>
          <w:color w:val="000000"/>
          <w:spacing w:val="0"/>
          <w:w w:val="100"/>
          <w:position w:val="0"/>
        </w:rPr>
        <w:t>）</w:t>
        <w:tab/>
        <w:t>利息的支付</w:t>
      </w:r>
    </w:p>
    <w:p>
      <w:pPr>
        <w:pStyle w:val="Style33"/>
        <w:keepNext w:val="0"/>
        <w:keepLines w:val="0"/>
        <w:widowControl w:val="0"/>
        <w:numPr>
          <w:ilvl w:val="0"/>
          <w:numId w:val="7"/>
        </w:numPr>
        <w:shd w:val="clear" w:color="auto" w:fill="auto"/>
        <w:tabs>
          <w:tab w:pos="790" w:val="left"/>
        </w:tabs>
        <w:bidi w:val="0"/>
        <w:spacing w:before="0" w:after="0" w:line="315" w:lineRule="exact"/>
        <w:ind w:left="0" w:right="0" w:firstLine="440"/>
        <w:jc w:val="both"/>
      </w:pPr>
      <w:bookmarkStart w:id="604" w:name="bookmark604"/>
      <w:bookmarkEnd w:id="604"/>
      <w:r>
        <w:rPr>
          <w:color w:val="000000"/>
          <w:spacing w:val="0"/>
          <w:w w:val="100"/>
          <w:position w:val="0"/>
        </w:rPr>
        <w:t>本次债券采用单利按年计息，不计复利，逾期不另计息。本次债券在存续期内每年付息一次，最后 一期利息随本金的兑付一起支付。本次债券存续期内每年的</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日为上一计息年度的付息日，如投资 者行使回售选择权，则其回售部分本次债券的付息日为</w:t>
      </w:r>
      <w:r>
        <w:rPr>
          <w:rFonts w:ascii="Times New Roman" w:eastAsia="Times New Roman" w:hAnsi="Times New Roman" w:cs="Times New Roman"/>
          <w:color w:val="000000"/>
          <w:spacing w:val="0"/>
          <w:w w:val="100"/>
          <w:position w:val="0"/>
        </w:rPr>
        <w:t>2017</w:t>
      </w:r>
      <w:r>
        <w:rPr>
          <w:color w:val="000000"/>
          <w:spacing w:val="0"/>
          <w:w w:val="100"/>
          <w:position w:val="0"/>
        </w:rPr>
        <w:t>年至</w:t>
      </w:r>
      <w:r>
        <w:rPr>
          <w:rFonts w:ascii="Times New Roman" w:eastAsia="Times New Roman" w:hAnsi="Times New Roman" w:cs="Times New Roman"/>
          <w:color w:val="000000"/>
          <w:spacing w:val="0"/>
          <w:w w:val="100"/>
          <w:position w:val="0"/>
        </w:rPr>
        <w:t>2019</w:t>
      </w:r>
      <w:r>
        <w:rPr>
          <w:color w:val="000000"/>
          <w:spacing w:val="0"/>
          <w:w w:val="100"/>
          <w:position w:val="0"/>
        </w:rPr>
        <w:t>年每年的</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日（如遇法定节假 日或休息日，则顺延至其后的第</w:t>
      </w:r>
      <w:r>
        <w:rPr>
          <w:rFonts w:ascii="Times New Roman" w:eastAsia="Times New Roman" w:hAnsi="Times New Roman" w:cs="Times New Roman"/>
          <w:color w:val="000000"/>
          <w:spacing w:val="0"/>
          <w:w w:val="100"/>
          <w:position w:val="0"/>
        </w:rPr>
        <w:t>1</w:t>
      </w:r>
      <w:r>
        <w:rPr>
          <w:color w:val="000000"/>
          <w:spacing w:val="0"/>
          <w:w w:val="100"/>
          <w:position w:val="0"/>
        </w:rPr>
        <w:t>个交易日）。</w:t>
      </w:r>
    </w:p>
    <w:p>
      <w:pPr>
        <w:pStyle w:val="Style33"/>
        <w:keepNext w:val="0"/>
        <w:keepLines w:val="0"/>
        <w:widowControl w:val="0"/>
        <w:numPr>
          <w:ilvl w:val="0"/>
          <w:numId w:val="7"/>
        </w:numPr>
        <w:shd w:val="clear" w:color="auto" w:fill="auto"/>
        <w:tabs>
          <w:tab w:pos="800" w:val="left"/>
        </w:tabs>
        <w:bidi w:val="0"/>
        <w:spacing w:before="0" w:after="0" w:line="317" w:lineRule="exact"/>
        <w:ind w:left="0" w:right="0" w:firstLine="440"/>
        <w:jc w:val="both"/>
      </w:pPr>
      <w:bookmarkStart w:id="605" w:name="bookmark605"/>
      <w:bookmarkEnd w:id="605"/>
      <w:r>
        <w:rPr>
          <w:color w:val="000000"/>
          <w:spacing w:val="0"/>
          <w:w w:val="100"/>
          <w:position w:val="0"/>
        </w:rPr>
        <w:t>本次债券利息的支付通过登记机构和有关机构办理。利息支付的具体事项将按照国家有关规定，由 发行人在中国证监会指定媒体上发布的付息公告中加以说明。</w:t>
      </w:r>
    </w:p>
    <w:p>
      <w:pPr>
        <w:pStyle w:val="Style33"/>
        <w:keepNext w:val="0"/>
        <w:keepLines w:val="0"/>
        <w:widowControl w:val="0"/>
        <w:numPr>
          <w:ilvl w:val="0"/>
          <w:numId w:val="7"/>
        </w:numPr>
        <w:shd w:val="clear" w:color="auto" w:fill="auto"/>
        <w:tabs>
          <w:tab w:pos="822" w:val="left"/>
        </w:tabs>
        <w:bidi w:val="0"/>
        <w:spacing w:before="0" w:after="120" w:line="316" w:lineRule="exact"/>
        <w:ind w:left="0" w:right="0" w:firstLine="440"/>
        <w:jc w:val="both"/>
      </w:pPr>
      <w:bookmarkStart w:id="606" w:name="bookmark606"/>
      <w:bookmarkEnd w:id="606"/>
      <w:r>
        <w:rPr>
          <w:color w:val="000000"/>
          <w:spacing w:val="0"/>
          <w:w w:val="100"/>
          <w:position w:val="0"/>
        </w:rPr>
        <w:t>根据国家税收法律、法规，投资者投资本次债券应缴纳的有关税费由投资者自行承担。</w:t>
      </w:r>
    </w:p>
    <w:p>
      <w:pPr>
        <w:pStyle w:val="Style33"/>
        <w:keepNext w:val="0"/>
        <w:keepLines w:val="0"/>
        <w:widowControl w:val="0"/>
        <w:shd w:val="clear" w:color="auto" w:fill="auto"/>
        <w:tabs>
          <w:tab w:pos="832" w:val="left"/>
        </w:tabs>
        <w:bidi w:val="0"/>
        <w:spacing w:before="0" w:after="0" w:line="331" w:lineRule="auto"/>
        <w:ind w:left="0" w:right="0" w:firstLine="440"/>
        <w:jc w:val="both"/>
      </w:pPr>
      <w:bookmarkStart w:id="607" w:name="bookmark607"/>
      <w:r>
        <w:rPr>
          <w:rFonts w:ascii="Times New Roman" w:eastAsia="Times New Roman" w:hAnsi="Times New Roman" w:cs="Times New Roman"/>
          <w:color w:val="000000"/>
          <w:spacing w:val="0"/>
          <w:w w:val="100"/>
          <w:position w:val="0"/>
        </w:rPr>
        <w:t>2</w:t>
      </w:r>
      <w:bookmarkEnd w:id="607"/>
      <w:r>
        <w:rPr>
          <w:color w:val="000000"/>
          <w:spacing w:val="0"/>
          <w:w w:val="100"/>
          <w:position w:val="0"/>
        </w:rPr>
        <w:t>）</w:t>
        <w:tab/>
        <w:t>本金的偿付</w:t>
      </w:r>
    </w:p>
    <w:p>
      <w:pPr>
        <w:pStyle w:val="Style33"/>
        <w:keepNext w:val="0"/>
        <w:keepLines w:val="0"/>
        <w:widowControl w:val="0"/>
        <w:numPr>
          <w:ilvl w:val="0"/>
          <w:numId w:val="9"/>
        </w:numPr>
        <w:shd w:val="clear" w:color="auto" w:fill="auto"/>
        <w:tabs>
          <w:tab w:pos="795" w:val="left"/>
        </w:tabs>
        <w:bidi w:val="0"/>
        <w:spacing w:before="0" w:after="0" w:line="320" w:lineRule="exact"/>
        <w:ind w:left="0" w:right="0" w:firstLine="440"/>
        <w:jc w:val="both"/>
      </w:pPr>
      <w:bookmarkStart w:id="608" w:name="bookmark608"/>
      <w:bookmarkEnd w:id="608"/>
      <w:r>
        <w:rPr>
          <w:color w:val="000000"/>
          <w:spacing w:val="0"/>
          <w:w w:val="100"/>
          <w:position w:val="0"/>
        </w:rPr>
        <w:t>本次债券到期一次还本。本次债券兑付日为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日，如投资者行使回售选择权，则其回 售部分债券的兑付日为</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日。如遇法定节假日或休息日，则顺延至其后的第</w:t>
      </w:r>
      <w:r>
        <w:rPr>
          <w:rFonts w:ascii="Times New Roman" w:eastAsia="Times New Roman" w:hAnsi="Times New Roman" w:cs="Times New Roman"/>
          <w:color w:val="000000"/>
          <w:spacing w:val="0"/>
          <w:w w:val="100"/>
          <w:position w:val="0"/>
        </w:rPr>
        <w:t>1</w:t>
      </w:r>
      <w:r>
        <w:rPr>
          <w:color w:val="000000"/>
          <w:spacing w:val="0"/>
          <w:w w:val="100"/>
          <w:position w:val="0"/>
        </w:rPr>
        <w:t>个交易日；顺 延期间兑付款项不另计利息。</w:t>
      </w:r>
    </w:p>
    <w:p>
      <w:pPr>
        <w:pStyle w:val="Style33"/>
        <w:keepNext w:val="0"/>
        <w:keepLines w:val="0"/>
        <w:widowControl w:val="0"/>
        <w:numPr>
          <w:ilvl w:val="0"/>
          <w:numId w:val="9"/>
        </w:numPr>
        <w:shd w:val="clear" w:color="auto" w:fill="auto"/>
        <w:tabs>
          <w:tab w:pos="800" w:val="left"/>
        </w:tabs>
        <w:bidi w:val="0"/>
        <w:spacing w:before="0" w:after="0" w:line="320" w:lineRule="exact"/>
        <w:ind w:left="0" w:right="0" w:firstLine="440"/>
        <w:jc w:val="both"/>
      </w:pPr>
      <w:bookmarkStart w:id="609" w:name="bookmark609"/>
      <w:bookmarkEnd w:id="609"/>
      <w:r>
        <w:rPr>
          <w:color w:val="000000"/>
          <w:spacing w:val="0"/>
          <w:w w:val="100"/>
          <w:position w:val="0"/>
        </w:rPr>
        <w:t>本次债券本金的兑付通过登记机构和有关机构办理。本金兑付的具体事项将按照国家有关规定，由 发行人在中国证监会指定媒体上发布的兑付公告中予以说明。</w:t>
      </w:r>
    </w:p>
    <w:p>
      <w:pPr>
        <w:pStyle w:val="Style33"/>
        <w:keepNext w:val="0"/>
        <w:keepLines w:val="0"/>
        <w:widowControl w:val="0"/>
        <w:shd w:val="clear" w:color="auto" w:fill="auto"/>
        <w:tabs>
          <w:tab w:pos="933" w:val="left"/>
        </w:tabs>
        <w:bidi w:val="0"/>
        <w:spacing w:before="0" w:after="0" w:line="316" w:lineRule="exact"/>
        <w:ind w:left="0" w:right="0" w:firstLine="440"/>
        <w:jc w:val="both"/>
      </w:pPr>
      <w:bookmarkStart w:id="610" w:name="bookmark610"/>
      <w:r>
        <w:rPr>
          <w:b/>
          <w:bCs/>
          <w:color w:val="000000"/>
          <w:spacing w:val="0"/>
          <w:w w:val="100"/>
          <w:position w:val="0"/>
        </w:rPr>
        <w:t>（</w:t>
      </w:r>
      <w:bookmarkEnd w:id="610"/>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偿债保障措施</w:t>
      </w:r>
    </w:p>
    <w:p>
      <w:pPr>
        <w:pStyle w:val="Style3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为了充分、有效地维护</w:t>
      </w:r>
      <w:r>
        <w:rPr>
          <w:rFonts w:ascii="Times New Roman" w:eastAsia="Times New Roman" w:hAnsi="Times New Roman" w:cs="Times New Roman"/>
          <w:color w:val="000000"/>
          <w:spacing w:val="0"/>
          <w:w w:val="100"/>
          <w:position w:val="0"/>
        </w:rPr>
        <w:t>“16</w:t>
      </w:r>
      <w:r>
        <w:rPr>
          <w:color w:val="000000"/>
          <w:spacing w:val="0"/>
          <w:w w:val="100"/>
          <w:position w:val="0"/>
        </w:rPr>
        <w:t>国盛金</w:t>
      </w:r>
      <w:r>
        <w:rPr>
          <w:rFonts w:ascii="Times New Roman" w:eastAsia="Times New Roman" w:hAnsi="Times New Roman" w:cs="Times New Roman"/>
          <w:color w:val="000000"/>
          <w:spacing w:val="0"/>
          <w:w w:val="100"/>
          <w:position w:val="0"/>
        </w:rPr>
        <w:t>”</w:t>
      </w:r>
      <w:r>
        <w:rPr>
          <w:color w:val="000000"/>
          <w:spacing w:val="0"/>
          <w:w w:val="100"/>
          <w:position w:val="0"/>
        </w:rPr>
        <w:t>债券持有人的利益，发行人为本次债券的按时、足额偿付做出一系 列安排，包括制定《债券持有人会议规则》、设立专门的偿付工作小组、制定并严格执行资金管理计划、 充分发挥债券受托管理人的作用和严格履行信息披露义务等，形成一套确保债券安全付息、兑付的保障措 施。</w:t>
      </w:r>
    </w:p>
    <w:p>
      <w:pPr>
        <w:pStyle w:val="Style33"/>
        <w:keepNext w:val="0"/>
        <w:keepLines w:val="0"/>
        <w:widowControl w:val="0"/>
        <w:shd w:val="clear" w:color="auto" w:fill="auto"/>
        <w:bidi w:val="0"/>
        <w:spacing w:before="0" w:after="120" w:line="331" w:lineRule="exact"/>
        <w:ind w:left="0" w:right="0" w:firstLine="440"/>
        <w:jc w:val="both"/>
      </w:pPr>
      <w:r>
        <w:rPr>
          <w:color w:val="000000"/>
          <w:spacing w:val="0"/>
          <w:w w:val="100"/>
          <w:position w:val="0"/>
        </w:rPr>
        <w:t>截至本报告出具之日，</w:t>
      </w:r>
      <w:r>
        <w:rPr>
          <w:rFonts w:ascii="Times New Roman" w:eastAsia="Times New Roman" w:hAnsi="Times New Roman" w:cs="Times New Roman"/>
          <w:color w:val="000000"/>
          <w:spacing w:val="0"/>
          <w:w w:val="100"/>
          <w:position w:val="0"/>
        </w:rPr>
        <w:t>“16</w:t>
      </w:r>
      <w:r>
        <w:rPr>
          <w:color w:val="000000"/>
          <w:spacing w:val="0"/>
          <w:w w:val="100"/>
          <w:position w:val="0"/>
        </w:rPr>
        <w:t>国盛金</w:t>
      </w:r>
      <w:r>
        <w:rPr>
          <w:rFonts w:ascii="Times New Roman" w:eastAsia="Times New Roman" w:hAnsi="Times New Roman" w:cs="Times New Roman"/>
          <w:color w:val="000000"/>
          <w:spacing w:val="0"/>
          <w:w w:val="100"/>
          <w:position w:val="0"/>
        </w:rPr>
        <w:t>''</w:t>
      </w:r>
      <w:r>
        <w:rPr>
          <w:color w:val="000000"/>
          <w:spacing w:val="0"/>
          <w:w w:val="100"/>
          <w:position w:val="0"/>
        </w:rPr>
        <w:t>未发生利息支付及本金兑付事项；公司严格按照</w:t>
      </w:r>
      <w:r>
        <w:rPr>
          <w:rFonts w:ascii="Times New Roman" w:eastAsia="Times New Roman" w:hAnsi="Times New Roman" w:cs="Times New Roman"/>
          <w:color w:val="000000"/>
          <w:spacing w:val="0"/>
          <w:w w:val="100"/>
          <w:position w:val="0"/>
        </w:rPr>
        <w:t>“16</w:t>
      </w:r>
      <w:r>
        <w:rPr>
          <w:color w:val="000000"/>
          <w:spacing w:val="0"/>
          <w:w w:val="100"/>
          <w:position w:val="0"/>
        </w:rPr>
        <w:t>国盛金</w:t>
      </w:r>
      <w:r>
        <w:rPr>
          <w:rFonts w:ascii="Times New Roman" w:eastAsia="Times New Roman" w:hAnsi="Times New Roman" w:cs="Times New Roman"/>
          <w:color w:val="000000"/>
          <w:spacing w:val="0"/>
          <w:w w:val="100"/>
          <w:position w:val="0"/>
        </w:rPr>
        <w:t>''</w:t>
      </w:r>
      <w:r>
        <w:rPr>
          <w:color w:val="000000"/>
          <w:spacing w:val="0"/>
          <w:w w:val="100"/>
          <w:position w:val="0"/>
        </w:rPr>
        <w:t>的募集 说明书相关承诺履行偿债保障措施，切实、有效的保护债券持有人的利益。</w:t>
      </w:r>
    </w:p>
    <w:p>
      <w:pPr>
        <w:pStyle w:val="Style33"/>
        <w:keepNext w:val="0"/>
        <w:keepLines w:val="0"/>
        <w:widowControl w:val="0"/>
        <w:shd w:val="clear" w:color="auto" w:fill="auto"/>
        <w:bidi w:val="0"/>
        <w:spacing w:before="0" w:after="0" w:line="346" w:lineRule="auto"/>
        <w:ind w:left="0" w:right="0" w:firstLine="440"/>
        <w:jc w:val="both"/>
      </w:pPr>
      <w:r>
        <w:rPr>
          <w:rFonts w:ascii="Times New Roman" w:eastAsia="Times New Roman" w:hAnsi="Times New Roman" w:cs="Times New Roman"/>
          <w:b/>
          <w:bCs/>
          <w:color w:val="000000"/>
          <w:spacing w:val="0"/>
          <w:w w:val="100"/>
          <w:position w:val="0"/>
        </w:rPr>
        <w:t>2</w:t>
      </w:r>
      <w:r>
        <w:rPr>
          <w:b/>
          <w:bCs/>
          <w:color w:val="000000"/>
          <w:spacing w:val="0"/>
          <w:w w:val="100"/>
          <w:position w:val="0"/>
        </w:rPr>
        <w:t>、“</w:t>
      </w:r>
      <w:r>
        <w:rPr>
          <w:rFonts w:ascii="Times New Roman" w:eastAsia="Times New Roman" w:hAnsi="Times New Roman" w:cs="Times New Roman"/>
          <w:b/>
          <w:bCs/>
          <w:color w:val="000000"/>
          <w:spacing w:val="0"/>
          <w:w w:val="100"/>
          <w:position w:val="0"/>
        </w:rPr>
        <w:t>16</w:t>
      </w:r>
      <w:r>
        <w:rPr>
          <w:b/>
          <w:bCs/>
          <w:color w:val="000000"/>
          <w:spacing w:val="0"/>
          <w:w w:val="100"/>
          <w:position w:val="0"/>
        </w:rPr>
        <w:t>国盛</w:t>
      </w:r>
      <w:r>
        <w:rPr>
          <w:rFonts w:ascii="Times New Roman" w:eastAsia="Times New Roman" w:hAnsi="Times New Roman" w:cs="Times New Roman"/>
          <w:b/>
          <w:bCs/>
          <w:color w:val="000000"/>
          <w:spacing w:val="0"/>
          <w:w w:val="100"/>
          <w:position w:val="0"/>
        </w:rPr>
        <w:t>01</w:t>
      </w:r>
      <w:r>
        <w:rPr>
          <w:b/>
          <w:bCs/>
          <w:color w:val="000000"/>
          <w:spacing w:val="0"/>
          <w:w w:val="100"/>
          <w:position w:val="0"/>
        </w:rPr>
        <w:t>"</w:t>
      </w:r>
      <w:r>
        <w:rPr>
          <w:b/>
          <w:bCs/>
          <w:color w:val="000000"/>
          <w:spacing w:val="0"/>
          <w:w w:val="100"/>
          <w:position w:val="0"/>
        </w:rPr>
        <w:t>债券</w:t>
      </w:r>
    </w:p>
    <w:p>
      <w:pPr>
        <w:pStyle w:val="Style33"/>
        <w:keepNext w:val="0"/>
        <w:keepLines w:val="0"/>
        <w:widowControl w:val="0"/>
        <w:shd w:val="clear" w:color="auto" w:fill="auto"/>
        <w:tabs>
          <w:tab w:pos="933" w:val="left"/>
        </w:tabs>
        <w:bidi w:val="0"/>
        <w:spacing w:before="0" w:after="120" w:line="316" w:lineRule="exact"/>
        <w:ind w:left="0" w:right="0" w:firstLine="440"/>
        <w:jc w:val="both"/>
      </w:pPr>
      <w:bookmarkStart w:id="611" w:name="bookmark611"/>
      <w:r>
        <w:rPr>
          <w:b/>
          <w:bCs/>
          <w:color w:val="000000"/>
          <w:spacing w:val="0"/>
          <w:w w:val="100"/>
          <w:position w:val="0"/>
        </w:rPr>
        <w:t>（</w:t>
      </w:r>
      <w:bookmarkEnd w:id="611"/>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偿债计划：</w:t>
      </w:r>
    </w:p>
    <w:p>
      <w:pPr>
        <w:pStyle w:val="Style33"/>
        <w:keepNext w:val="0"/>
        <w:keepLines w:val="0"/>
        <w:widowControl w:val="0"/>
        <w:shd w:val="clear" w:color="auto" w:fill="auto"/>
        <w:tabs>
          <w:tab w:pos="817" w:val="left"/>
        </w:tabs>
        <w:bidi w:val="0"/>
        <w:spacing w:before="0" w:after="0" w:line="331" w:lineRule="auto"/>
        <w:ind w:left="0" w:right="0" w:firstLine="440"/>
        <w:jc w:val="both"/>
      </w:pPr>
      <w:bookmarkStart w:id="612" w:name="bookmark612"/>
      <w:r>
        <w:rPr>
          <w:rFonts w:ascii="Times New Roman" w:eastAsia="Times New Roman" w:hAnsi="Times New Roman" w:cs="Times New Roman"/>
          <w:color w:val="000000"/>
          <w:spacing w:val="0"/>
          <w:w w:val="100"/>
          <w:position w:val="0"/>
        </w:rPr>
        <w:t>1</w:t>
      </w:r>
      <w:bookmarkEnd w:id="612"/>
      <w:r>
        <w:rPr>
          <w:color w:val="000000"/>
          <w:spacing w:val="0"/>
          <w:w w:val="100"/>
          <w:position w:val="0"/>
        </w:rPr>
        <w:t>）</w:t>
        <w:tab/>
        <w:t>利息的支付</w:t>
      </w:r>
    </w:p>
    <w:p>
      <w:pPr>
        <w:pStyle w:val="Style33"/>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本期债券采用单利按年计息，不计复利，逾期不另计息。本期债券在存续期内每年付息一次，最后一 期利息随本金的兑付一起支付。本期债券存续期内每年的</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日为上一计息年度的付息日，如投资者 行使回售选择权，则其回售部分本期债券的付息日为</w:t>
      </w:r>
      <w:r>
        <w:rPr>
          <w:rFonts w:ascii="Times New Roman" w:eastAsia="Times New Roman" w:hAnsi="Times New Roman" w:cs="Times New Roman"/>
          <w:color w:val="000000"/>
          <w:spacing w:val="0"/>
          <w:w w:val="100"/>
          <w:position w:val="0"/>
        </w:rPr>
        <w:t>2017</w:t>
      </w:r>
      <w:r>
        <w:rPr>
          <w:color w:val="000000"/>
          <w:spacing w:val="0"/>
          <w:w w:val="100"/>
          <w:position w:val="0"/>
        </w:rPr>
        <w:t>年至</w:t>
      </w:r>
      <w:r>
        <w:rPr>
          <w:rFonts w:ascii="Times New Roman" w:eastAsia="Times New Roman" w:hAnsi="Times New Roman" w:cs="Times New Roman"/>
          <w:color w:val="000000"/>
          <w:spacing w:val="0"/>
          <w:w w:val="100"/>
          <w:position w:val="0"/>
        </w:rPr>
        <w:t>2019</w:t>
      </w:r>
      <w:r>
        <w:rPr>
          <w:color w:val="000000"/>
          <w:spacing w:val="0"/>
          <w:w w:val="100"/>
          <w:position w:val="0"/>
        </w:rPr>
        <w:t>年每年的</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日（如遇法定节假日 或休息日，则顺延至其后的第</w:t>
      </w:r>
      <w:r>
        <w:rPr>
          <w:rFonts w:ascii="Times New Roman" w:eastAsia="Times New Roman" w:hAnsi="Times New Roman" w:cs="Times New Roman"/>
          <w:color w:val="000000"/>
          <w:spacing w:val="0"/>
          <w:w w:val="100"/>
          <w:position w:val="0"/>
        </w:rPr>
        <w:t>1</w:t>
      </w:r>
      <w:r>
        <w:rPr>
          <w:color w:val="000000"/>
          <w:spacing w:val="0"/>
          <w:w w:val="100"/>
          <w:position w:val="0"/>
        </w:rPr>
        <w:t>个交易日）。</w:t>
      </w:r>
    </w:p>
    <w:p>
      <w:pPr>
        <w:pStyle w:val="Style33"/>
        <w:keepNext w:val="0"/>
        <w:keepLines w:val="0"/>
        <w:widowControl w:val="0"/>
        <w:shd w:val="clear" w:color="auto" w:fill="auto"/>
        <w:tabs>
          <w:tab w:pos="832" w:val="left"/>
        </w:tabs>
        <w:bidi w:val="0"/>
        <w:spacing w:before="0" w:after="0" w:line="331" w:lineRule="auto"/>
        <w:ind w:left="0" w:right="0" w:firstLine="440"/>
        <w:jc w:val="both"/>
      </w:pPr>
      <w:bookmarkStart w:id="613" w:name="bookmark613"/>
      <w:r>
        <w:rPr>
          <w:rFonts w:ascii="Times New Roman" w:eastAsia="Times New Roman" w:hAnsi="Times New Roman" w:cs="Times New Roman"/>
          <w:color w:val="000000"/>
          <w:spacing w:val="0"/>
          <w:w w:val="100"/>
          <w:position w:val="0"/>
        </w:rPr>
        <w:t>2</w:t>
      </w:r>
      <w:bookmarkEnd w:id="613"/>
      <w:r>
        <w:rPr>
          <w:color w:val="000000"/>
          <w:spacing w:val="0"/>
          <w:w w:val="100"/>
          <w:position w:val="0"/>
        </w:rPr>
        <w:t>）</w:t>
        <w:tab/>
        <w:t>本金的偿付</w:t>
      </w:r>
    </w:p>
    <w:p>
      <w:pPr>
        <w:pStyle w:val="Style33"/>
        <w:keepNext w:val="0"/>
        <w:keepLines w:val="0"/>
        <w:widowControl w:val="0"/>
        <w:shd w:val="clear" w:color="auto" w:fill="auto"/>
        <w:bidi w:val="0"/>
        <w:spacing w:before="0" w:after="0" w:line="338" w:lineRule="exact"/>
        <w:ind w:left="0" w:right="0" w:firstLine="440"/>
        <w:jc w:val="both"/>
      </w:pPr>
      <w:r>
        <w:rPr>
          <w:color w:val="000000"/>
          <w:spacing w:val="0"/>
          <w:w w:val="100"/>
          <w:position w:val="0"/>
        </w:rPr>
        <w:t>本期债券到期一次还本。本期债券兑付日为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日，如投资者行使回售选择权，则其回售 部分本期债券的到期日为</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日。如遇法定节假日或休息日，则顺延至其后的第</w:t>
      </w:r>
      <w:r>
        <w:rPr>
          <w:rFonts w:ascii="Times New Roman" w:eastAsia="Times New Roman" w:hAnsi="Times New Roman" w:cs="Times New Roman"/>
          <w:color w:val="000000"/>
          <w:spacing w:val="0"/>
          <w:w w:val="100"/>
          <w:position w:val="0"/>
        </w:rPr>
        <w:t>1</w:t>
      </w:r>
      <w:r>
        <w:rPr>
          <w:color w:val="000000"/>
          <w:spacing w:val="0"/>
          <w:w w:val="100"/>
          <w:position w:val="0"/>
        </w:rPr>
        <w:t>个交易日。 报告其内，本期债券尚无还本付息事宜。</w:t>
      </w:r>
    </w:p>
    <w:p>
      <w:pPr>
        <w:pStyle w:val="Style33"/>
        <w:keepNext w:val="0"/>
        <w:keepLines w:val="0"/>
        <w:widowControl w:val="0"/>
        <w:shd w:val="clear" w:color="auto" w:fill="auto"/>
        <w:tabs>
          <w:tab w:pos="933" w:val="left"/>
        </w:tabs>
        <w:bidi w:val="0"/>
        <w:spacing w:before="0" w:after="0" w:line="338" w:lineRule="exact"/>
        <w:ind w:left="0" w:right="0" w:firstLine="440"/>
        <w:jc w:val="both"/>
      </w:pPr>
      <w:bookmarkStart w:id="614" w:name="bookmark614"/>
      <w:r>
        <w:rPr>
          <w:b/>
          <w:bCs/>
          <w:color w:val="000000"/>
          <w:spacing w:val="0"/>
          <w:w w:val="100"/>
          <w:position w:val="0"/>
        </w:rPr>
        <w:t>（</w:t>
      </w:r>
      <w:bookmarkEnd w:id="614"/>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偿债保障措施：</w:t>
      </w:r>
    </w:p>
    <w:p>
      <w:pPr>
        <w:pStyle w:val="Style33"/>
        <w:keepNext w:val="0"/>
        <w:keepLines w:val="0"/>
        <w:widowControl w:val="0"/>
        <w:shd w:val="clear" w:color="auto" w:fill="auto"/>
        <w:tabs>
          <w:tab w:pos="817" w:val="left"/>
        </w:tabs>
        <w:bidi w:val="0"/>
        <w:spacing w:before="0" w:after="0" w:line="314" w:lineRule="exact"/>
        <w:ind w:left="0" w:right="0" w:firstLine="440"/>
        <w:jc w:val="both"/>
      </w:pPr>
      <w:bookmarkStart w:id="615" w:name="bookmark615"/>
      <w:r>
        <w:rPr>
          <w:rFonts w:ascii="Times New Roman" w:eastAsia="Times New Roman" w:hAnsi="Times New Roman" w:cs="Times New Roman"/>
          <w:color w:val="000000"/>
          <w:spacing w:val="0"/>
          <w:w w:val="100"/>
          <w:position w:val="0"/>
        </w:rPr>
        <w:t>1</w:t>
      </w:r>
      <w:bookmarkEnd w:id="615"/>
      <w:r>
        <w:rPr>
          <w:color w:val="000000"/>
          <w:spacing w:val="0"/>
          <w:w w:val="100"/>
          <w:position w:val="0"/>
        </w:rPr>
        <w:t>）</w:t>
        <w:tab/>
        <w:t>本公司和债券受托管理人已按照《公司债券发行与交易管理办法》的要求制定了本期债券的《债 券持有人会议规则》，约定债券持有人通过债券持有人会议行使权利的范围、程序和其他重要事项，为保 障本期债券的本息及时足额偿付做出了合理的制度安排。</w:t>
      </w:r>
    </w:p>
    <w:p>
      <w:pPr>
        <w:pStyle w:val="Style33"/>
        <w:keepNext w:val="0"/>
        <w:keepLines w:val="0"/>
        <w:widowControl w:val="0"/>
        <w:shd w:val="clear" w:color="auto" w:fill="auto"/>
        <w:tabs>
          <w:tab w:pos="392" w:val="left"/>
        </w:tabs>
        <w:bidi w:val="0"/>
        <w:spacing w:before="0" w:after="0" w:line="316" w:lineRule="exact"/>
        <w:ind w:left="0" w:right="0" w:firstLine="440"/>
        <w:jc w:val="both"/>
      </w:pPr>
      <w:bookmarkStart w:id="616" w:name="bookmark616"/>
      <w:r>
        <w:rPr>
          <w:rFonts w:ascii="Times New Roman" w:eastAsia="Times New Roman" w:hAnsi="Times New Roman" w:cs="Times New Roman"/>
          <w:color w:val="000000"/>
          <w:spacing w:val="0"/>
          <w:w w:val="100"/>
          <w:position w:val="0"/>
        </w:rPr>
        <w:t>2</w:t>
      </w:r>
      <w:bookmarkEnd w:id="616"/>
      <w:r>
        <w:rPr>
          <w:color w:val="000000"/>
          <w:spacing w:val="0"/>
          <w:w w:val="100"/>
          <w:position w:val="0"/>
        </w:rPr>
        <w:t>）</w:t>
        <w:tab/>
        <w:t xml:space="preserve">公司将在每年的财务预算中落实安排本期债券本息的兑付资金，保证本息如期偿付，保证债券持 </w:t>
      </w:r>
      <w:r>
        <w:rPr>
          <w:color w:val="000000"/>
          <w:spacing w:val="0"/>
          <w:w w:val="100"/>
          <w:position w:val="0"/>
        </w:rPr>
        <w:t>有人的利益。在利息和到期本金偿付日之前十五个工作日内，公司将组成偿付工作小组，负责利息和本金 的偿付及与之相关的工作。</w:t>
      </w:r>
    </w:p>
    <w:p>
      <w:pPr>
        <w:pStyle w:val="Style33"/>
        <w:keepNext w:val="0"/>
        <w:keepLines w:val="0"/>
        <w:widowControl w:val="0"/>
        <w:shd w:val="clear" w:color="auto" w:fill="auto"/>
        <w:tabs>
          <w:tab w:pos="787" w:val="left"/>
        </w:tabs>
        <w:bidi w:val="0"/>
        <w:spacing w:before="0" w:after="0" w:line="314" w:lineRule="exact"/>
        <w:ind w:left="0" w:right="0" w:firstLine="440"/>
        <w:jc w:val="both"/>
      </w:pPr>
      <w:bookmarkStart w:id="617" w:name="bookmark617"/>
      <w:r>
        <w:rPr>
          <w:rFonts w:ascii="Times New Roman" w:eastAsia="Times New Roman" w:hAnsi="Times New Roman" w:cs="Times New Roman"/>
          <w:color w:val="000000"/>
          <w:spacing w:val="0"/>
          <w:w w:val="100"/>
          <w:position w:val="0"/>
        </w:rPr>
        <w:t>3</w:t>
      </w:r>
      <w:bookmarkEnd w:id="617"/>
      <w:r>
        <w:rPr>
          <w:color w:val="000000"/>
          <w:spacing w:val="0"/>
          <w:w w:val="100"/>
          <w:position w:val="0"/>
        </w:rPr>
        <w:t>）</w:t>
        <w:tab/>
        <w:t>公司根据债务结构情况进一步加强公司的资产负债管理、流动性管理、募集资金使用管理、资金 管理等，并将根据债券本息未来到期应付情况制定年度、月度资金运用计划，保证资金按计划调度，及时、 足额地准备偿债资金用于每年的利息支付以及到期本金的兑付，以充分保障投资者的利益。</w:t>
      </w:r>
    </w:p>
    <w:p>
      <w:pPr>
        <w:pStyle w:val="Style33"/>
        <w:keepNext w:val="0"/>
        <w:keepLines w:val="0"/>
        <w:widowControl w:val="0"/>
        <w:shd w:val="clear" w:color="auto" w:fill="auto"/>
        <w:tabs>
          <w:tab w:pos="792" w:val="left"/>
        </w:tabs>
        <w:bidi w:val="0"/>
        <w:spacing w:before="0" w:after="0" w:line="312" w:lineRule="exact"/>
        <w:ind w:left="0" w:right="0" w:firstLine="440"/>
        <w:jc w:val="both"/>
      </w:pPr>
      <w:bookmarkStart w:id="618" w:name="bookmark618"/>
      <w:r>
        <w:rPr>
          <w:rFonts w:ascii="Times New Roman" w:eastAsia="Times New Roman" w:hAnsi="Times New Roman" w:cs="Times New Roman"/>
          <w:color w:val="000000"/>
          <w:spacing w:val="0"/>
          <w:w w:val="100"/>
          <w:position w:val="0"/>
        </w:rPr>
        <w:t>4</w:t>
      </w:r>
      <w:bookmarkEnd w:id="618"/>
      <w:r>
        <w:rPr>
          <w:color w:val="000000"/>
          <w:spacing w:val="0"/>
          <w:w w:val="100"/>
          <w:position w:val="0"/>
        </w:rPr>
        <w:t>）</w:t>
        <w:tab/>
        <w:t>本期债券由债券受托管理人代表债券持有人对公司的相关情况进行监督，并在债券本息无法按时 偿付时，代表债券持有人采取一切必要及可行的措施，保护债券持有人的正当利益。本公司将严格按照《债 券受托管理协议》的约定，配合债券受托管理人履行职责，定期向债券受托管理人报送公司履行承诺的情 况，并在公司可能出现债券违约时及时通知债券受托管理人，便于债券受托管理人及时依据《债券受托管 理协议》采取必要的措施。</w:t>
      </w:r>
    </w:p>
    <w:p>
      <w:pPr>
        <w:pStyle w:val="Style33"/>
        <w:keepNext w:val="0"/>
        <w:keepLines w:val="0"/>
        <w:widowControl w:val="0"/>
        <w:shd w:val="clear" w:color="auto" w:fill="auto"/>
        <w:bidi w:val="0"/>
        <w:spacing w:before="0" w:after="0" w:line="322" w:lineRule="exact"/>
        <w:ind w:left="0" w:right="0" w:firstLine="440"/>
        <w:jc w:val="both"/>
      </w:pPr>
      <w:bookmarkStart w:id="619" w:name="bookmark619"/>
      <w:r>
        <w:rPr>
          <w:rFonts w:ascii="Times New Roman" w:eastAsia="Times New Roman" w:hAnsi="Times New Roman" w:cs="Times New Roman"/>
          <w:color w:val="000000"/>
          <w:spacing w:val="0"/>
          <w:w w:val="100"/>
          <w:position w:val="0"/>
        </w:rPr>
        <w:t>5</w:t>
      </w:r>
      <w:bookmarkEnd w:id="619"/>
      <w:r>
        <w:rPr>
          <w:color w:val="000000"/>
          <w:spacing w:val="0"/>
          <w:w w:val="100"/>
          <w:position w:val="0"/>
        </w:rPr>
        <w:t>） 本公司遵循真实、准确、完整的信息披露原则，使公司偿债能力、募集资金使用等情况受到债券 持有人、债券受托管理人和股东的监督，防范偿债风险。</w:t>
      </w:r>
    </w:p>
    <w:p>
      <w:pPr>
        <w:pStyle w:val="Style33"/>
        <w:keepNext w:val="0"/>
        <w:keepLines w:val="0"/>
        <w:widowControl w:val="0"/>
        <w:shd w:val="clear" w:color="auto" w:fill="auto"/>
        <w:tabs>
          <w:tab w:pos="797" w:val="left"/>
        </w:tabs>
        <w:bidi w:val="0"/>
        <w:spacing w:before="0" w:after="0" w:line="318" w:lineRule="exact"/>
        <w:ind w:left="0" w:right="0" w:firstLine="440"/>
        <w:jc w:val="both"/>
      </w:pPr>
      <w:bookmarkStart w:id="620" w:name="bookmark620"/>
      <w:r>
        <w:rPr>
          <w:rFonts w:ascii="Times New Roman" w:eastAsia="Times New Roman" w:hAnsi="Times New Roman" w:cs="Times New Roman"/>
          <w:color w:val="000000"/>
          <w:spacing w:val="0"/>
          <w:w w:val="100"/>
          <w:position w:val="0"/>
        </w:rPr>
        <w:t>6</w:t>
      </w:r>
      <w:bookmarkEnd w:id="620"/>
      <w:r>
        <w:rPr>
          <w:color w:val="000000"/>
          <w:spacing w:val="0"/>
          <w:w w:val="100"/>
          <w:position w:val="0"/>
        </w:rPr>
        <w:t>）</w:t>
        <w:tab/>
        <w:t>公司承诺：公司出现预计不能或者到期未能按期偿付本次发行公司债券的本息时，根据中国法律、 法规及监管部门等的要求，将至少采取如下偿债保障措施：</w:t>
      </w:r>
      <w:r>
        <w:rPr>
          <w:rFonts w:ascii="Times New Roman" w:eastAsia="Times New Roman" w:hAnsi="Times New Roman" w:cs="Times New Roman"/>
          <w:color w:val="000000"/>
          <w:spacing w:val="0"/>
          <w:w w:val="100"/>
          <w:position w:val="0"/>
        </w:rPr>
        <w:t>1</w:t>
      </w:r>
      <w:r>
        <w:rPr>
          <w:color w:val="000000"/>
          <w:spacing w:val="0"/>
          <w:w w:val="100"/>
          <w:position w:val="0"/>
        </w:rPr>
        <w:t>、不向股东分配利润；</w:t>
      </w:r>
      <w:r>
        <w:rPr>
          <w:rFonts w:ascii="Times New Roman" w:eastAsia="Times New Roman" w:hAnsi="Times New Roman" w:cs="Times New Roman"/>
          <w:color w:val="000000"/>
          <w:spacing w:val="0"/>
          <w:w w:val="100"/>
          <w:position w:val="0"/>
        </w:rPr>
        <w:t>2</w:t>
      </w:r>
      <w:r>
        <w:rPr>
          <w:color w:val="000000"/>
          <w:spacing w:val="0"/>
          <w:w w:val="100"/>
          <w:position w:val="0"/>
        </w:rPr>
        <w:t>、暂缓重大对外投资、 收购兼并等资本性支出项目的实施；</w:t>
      </w:r>
      <w:r>
        <w:rPr>
          <w:rFonts w:ascii="Times New Roman" w:eastAsia="Times New Roman" w:hAnsi="Times New Roman" w:cs="Times New Roman"/>
          <w:color w:val="000000"/>
          <w:spacing w:val="0"/>
          <w:w w:val="100"/>
          <w:position w:val="0"/>
        </w:rPr>
        <w:t>3</w:t>
      </w:r>
      <w:r>
        <w:rPr>
          <w:color w:val="000000"/>
          <w:spacing w:val="0"/>
          <w:w w:val="100"/>
          <w:position w:val="0"/>
        </w:rPr>
        <w:t>、调减或停发董事和高级管理人员的工资和奖金；</w:t>
      </w:r>
      <w:r>
        <w:rPr>
          <w:rFonts w:ascii="Times New Roman" w:eastAsia="Times New Roman" w:hAnsi="Times New Roman" w:cs="Times New Roman"/>
          <w:color w:val="000000"/>
          <w:spacing w:val="0"/>
          <w:w w:val="100"/>
          <w:position w:val="0"/>
        </w:rPr>
        <w:t>4</w:t>
      </w:r>
      <w:r>
        <w:rPr>
          <w:color w:val="000000"/>
          <w:spacing w:val="0"/>
          <w:w w:val="100"/>
          <w:position w:val="0"/>
        </w:rPr>
        <w:t>、主要责任人不 得调离。</w:t>
      </w:r>
    </w:p>
    <w:p>
      <w:pPr>
        <w:pStyle w:val="Style33"/>
        <w:keepNext w:val="0"/>
        <w:keepLines w:val="0"/>
        <w:widowControl w:val="0"/>
        <w:shd w:val="clear" w:color="auto" w:fill="auto"/>
        <w:bidi w:val="0"/>
        <w:spacing w:before="0" w:after="360" w:line="317" w:lineRule="exact"/>
        <w:ind w:left="0" w:right="0" w:firstLine="440"/>
        <w:jc w:val="left"/>
      </w:pPr>
      <w:r>
        <w:rPr>
          <w:color w:val="000000"/>
          <w:spacing w:val="0"/>
          <w:w w:val="100"/>
          <w:position w:val="0"/>
        </w:rPr>
        <w:t>报告期内，公司严格执行上述计划与偿债保障措施，与募集说明书的相关承诺一致。</w:t>
      </w:r>
    </w:p>
    <w:p>
      <w:pPr>
        <w:pStyle w:val="Style23"/>
        <w:keepNext/>
        <w:keepLines/>
        <w:widowControl w:val="0"/>
        <w:shd w:val="clear" w:color="auto" w:fill="auto"/>
        <w:tabs>
          <w:tab w:pos="499" w:val="left"/>
        </w:tabs>
        <w:bidi w:val="0"/>
        <w:spacing w:before="0" w:after="360" w:line="240" w:lineRule="auto"/>
        <w:ind w:left="0" w:right="0" w:firstLine="0"/>
        <w:jc w:val="left"/>
        <w:rPr>
          <w:sz w:val="22"/>
          <w:szCs w:val="22"/>
        </w:rPr>
      </w:pPr>
      <w:bookmarkStart w:id="621" w:name="bookmark621"/>
      <w:bookmarkStart w:id="622" w:name="bookmark622"/>
      <w:bookmarkStart w:id="623" w:name="bookmark623"/>
      <w:bookmarkStart w:id="624" w:name="bookmark624"/>
      <w:r>
        <w:rPr>
          <w:b/>
          <w:bCs/>
          <w:color w:val="000000"/>
          <w:spacing w:val="0"/>
          <w:w w:val="100"/>
          <w:position w:val="0"/>
          <w:sz w:val="22"/>
          <w:szCs w:val="22"/>
        </w:rPr>
        <w:t>六</w:t>
      </w:r>
      <w:bookmarkEnd w:id="623"/>
      <w:r>
        <w:rPr>
          <w:b/>
          <w:bCs/>
          <w:color w:val="000000"/>
          <w:spacing w:val="0"/>
          <w:w w:val="100"/>
          <w:position w:val="0"/>
          <w:sz w:val="22"/>
          <w:szCs w:val="22"/>
        </w:rPr>
        <w:t>、</w:t>
        <w:tab/>
        <w:t>报告期内债券持有人会议的召开情况</w:t>
      </w:r>
      <w:bookmarkEnd w:id="621"/>
      <w:bookmarkEnd w:id="622"/>
      <w:bookmarkEnd w:id="624"/>
    </w:p>
    <w:p>
      <w:pPr>
        <w:pStyle w:val="Style33"/>
        <w:keepNext w:val="0"/>
        <w:keepLines w:val="0"/>
        <w:widowControl w:val="0"/>
        <w:shd w:val="clear" w:color="auto" w:fill="auto"/>
        <w:bidi w:val="0"/>
        <w:spacing w:before="0" w:after="0" w:line="331" w:lineRule="auto"/>
        <w:ind w:left="0" w:right="0" w:firstLine="440"/>
        <w:jc w:val="left"/>
      </w:pPr>
      <w:r>
        <w:rPr>
          <w:rFonts w:ascii="Times New Roman" w:eastAsia="Times New Roman" w:hAnsi="Times New Roman" w:cs="Times New Roman"/>
          <w:color w:val="000000"/>
          <w:spacing w:val="0"/>
          <w:w w:val="100"/>
          <w:position w:val="0"/>
        </w:rPr>
        <w:t>16</w:t>
      </w:r>
      <w:r>
        <w:rPr>
          <w:color w:val="000000"/>
          <w:spacing w:val="0"/>
          <w:w w:val="100"/>
          <w:position w:val="0"/>
        </w:rPr>
        <w:t>国盛</w:t>
      </w:r>
      <w:r>
        <w:rPr>
          <w:rFonts w:ascii="Times New Roman" w:eastAsia="Times New Roman" w:hAnsi="Times New Roman" w:cs="Times New Roman"/>
          <w:color w:val="000000"/>
          <w:spacing w:val="0"/>
          <w:w w:val="100"/>
          <w:position w:val="0"/>
        </w:rPr>
        <w:t>01</w:t>
      </w:r>
      <w:r>
        <w:rPr>
          <w:color w:val="000000"/>
          <w:spacing w:val="0"/>
          <w:w w:val="100"/>
          <w:position w:val="0"/>
        </w:rPr>
        <w:t>：报告期内，本期债券未召开债券持有人会议。</w:t>
      </w:r>
    </w:p>
    <w:p>
      <w:pPr>
        <w:pStyle w:val="Style33"/>
        <w:keepNext w:val="0"/>
        <w:keepLines w:val="0"/>
        <w:widowControl w:val="0"/>
        <w:shd w:val="clear" w:color="auto" w:fill="auto"/>
        <w:bidi w:val="0"/>
        <w:spacing w:before="0" w:after="280" w:line="331" w:lineRule="auto"/>
        <w:ind w:left="0" w:right="0" w:firstLine="440"/>
        <w:jc w:val="left"/>
      </w:pPr>
      <w:r>
        <w:rPr>
          <w:rFonts w:ascii="Times New Roman" w:eastAsia="Times New Roman" w:hAnsi="Times New Roman" w:cs="Times New Roman"/>
          <w:color w:val="000000"/>
          <w:spacing w:val="0"/>
          <w:w w:val="100"/>
          <w:position w:val="0"/>
        </w:rPr>
        <w:t>16</w:t>
      </w:r>
      <w:r>
        <w:rPr>
          <w:color w:val="000000"/>
          <w:spacing w:val="0"/>
          <w:w w:val="100"/>
          <w:position w:val="0"/>
        </w:rPr>
        <w:t>国盛金：报告期内，本期债券未召开债券持有人会议。</w:t>
      </w:r>
    </w:p>
    <w:p>
      <w:pPr>
        <w:pStyle w:val="Style23"/>
        <w:keepNext/>
        <w:keepLines/>
        <w:widowControl w:val="0"/>
        <w:shd w:val="clear" w:color="auto" w:fill="auto"/>
        <w:tabs>
          <w:tab w:pos="499" w:val="left"/>
        </w:tabs>
        <w:bidi w:val="0"/>
        <w:spacing w:before="0" w:after="280" w:line="240" w:lineRule="auto"/>
        <w:ind w:left="0" w:right="0" w:firstLine="0"/>
        <w:jc w:val="left"/>
        <w:rPr>
          <w:sz w:val="22"/>
          <w:szCs w:val="22"/>
        </w:rPr>
      </w:pPr>
      <w:bookmarkStart w:id="625" w:name="bookmark625"/>
      <w:bookmarkStart w:id="626" w:name="bookmark626"/>
      <w:bookmarkStart w:id="627" w:name="bookmark627"/>
      <w:bookmarkStart w:id="628" w:name="bookmark628"/>
      <w:r>
        <w:rPr>
          <w:b/>
          <w:bCs/>
          <w:color w:val="000000"/>
          <w:spacing w:val="0"/>
          <w:w w:val="100"/>
          <w:position w:val="0"/>
          <w:sz w:val="22"/>
          <w:szCs w:val="22"/>
        </w:rPr>
        <w:t>七</w:t>
      </w:r>
      <w:bookmarkEnd w:id="627"/>
      <w:r>
        <w:rPr>
          <w:b/>
          <w:bCs/>
          <w:color w:val="000000"/>
          <w:spacing w:val="0"/>
          <w:w w:val="100"/>
          <w:position w:val="0"/>
          <w:sz w:val="22"/>
          <w:szCs w:val="22"/>
        </w:rPr>
        <w:t>、</w:t>
        <w:tab/>
        <w:t>报告期内债券受托管理人履行职责的情况</w:t>
      </w:r>
      <w:bookmarkEnd w:id="625"/>
      <w:bookmarkEnd w:id="626"/>
      <w:bookmarkEnd w:id="628"/>
    </w:p>
    <w:p>
      <w:pPr>
        <w:pStyle w:val="Style33"/>
        <w:keepNext w:val="0"/>
        <w:keepLines w:val="0"/>
        <w:widowControl w:val="0"/>
        <w:shd w:val="clear" w:color="auto" w:fill="auto"/>
        <w:tabs>
          <w:tab w:pos="775" w:val="left"/>
        </w:tabs>
        <w:bidi w:val="0"/>
        <w:spacing w:before="0" w:after="0" w:line="317" w:lineRule="exact"/>
        <w:ind w:left="0" w:right="0" w:firstLine="440"/>
        <w:jc w:val="both"/>
      </w:pPr>
      <w:bookmarkStart w:id="629" w:name="bookmark629"/>
      <w:r>
        <w:rPr>
          <w:rFonts w:ascii="Times New Roman" w:eastAsia="Times New Roman" w:hAnsi="Times New Roman" w:cs="Times New Roman"/>
          <w:color w:val="000000"/>
          <w:spacing w:val="0"/>
          <w:w w:val="100"/>
          <w:position w:val="0"/>
        </w:rPr>
        <w:t>1</w:t>
      </w:r>
      <w:bookmarkEnd w:id="629"/>
      <w:r>
        <w:rPr>
          <w:color w:val="000000"/>
          <w:spacing w:val="0"/>
          <w:w w:val="100"/>
          <w:position w:val="0"/>
        </w:rPr>
        <w:t>、</w:t>
        <w:tab/>
        <w:t>“</w:t>
      </w:r>
      <w:r>
        <w:rPr>
          <w:rFonts w:ascii="Times New Roman" w:eastAsia="Times New Roman" w:hAnsi="Times New Roman" w:cs="Times New Roman"/>
          <w:color w:val="000000"/>
          <w:spacing w:val="0"/>
          <w:w w:val="100"/>
          <w:position w:val="0"/>
        </w:rPr>
        <w:t>16</w:t>
      </w:r>
      <w:r>
        <w:rPr>
          <w:color w:val="000000"/>
          <w:spacing w:val="0"/>
          <w:w w:val="100"/>
          <w:position w:val="0"/>
        </w:rPr>
        <w:t>国盛金”债券受托管理人勤勉尽责，切实防范可能存在的风险，切实督促公司在深交所网站 披露各项定期及不定期报告，</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月底前并将于深交所网站披露</w:t>
      </w:r>
      <w:r>
        <w:rPr>
          <w:rFonts w:ascii="Times New Roman" w:eastAsia="Times New Roman" w:hAnsi="Times New Roman" w:cs="Times New Roman"/>
          <w:color w:val="000000"/>
          <w:spacing w:val="0"/>
          <w:w w:val="100"/>
          <w:position w:val="0"/>
        </w:rPr>
        <w:t>2016</w:t>
      </w:r>
      <w:r>
        <w:rPr>
          <w:color w:val="000000"/>
          <w:spacing w:val="0"/>
          <w:w w:val="100"/>
          <w:position w:val="0"/>
        </w:rPr>
        <w:t>年受托管理事务报告，提请投 资者及时关注。</w:t>
      </w:r>
    </w:p>
    <w:p>
      <w:pPr>
        <w:pStyle w:val="Style33"/>
        <w:keepNext w:val="0"/>
        <w:keepLines w:val="0"/>
        <w:widowControl w:val="0"/>
        <w:shd w:val="clear" w:color="auto" w:fill="auto"/>
        <w:tabs>
          <w:tab w:pos="775" w:val="left"/>
        </w:tabs>
        <w:bidi w:val="0"/>
        <w:spacing w:before="0" w:after="360" w:line="317" w:lineRule="exact"/>
        <w:ind w:left="0" w:right="0" w:firstLine="440"/>
        <w:jc w:val="both"/>
      </w:pPr>
      <w:bookmarkStart w:id="630" w:name="bookmark630"/>
      <w:r>
        <w:rPr>
          <w:rFonts w:ascii="Times New Roman" w:eastAsia="Times New Roman" w:hAnsi="Times New Roman" w:cs="Times New Roman"/>
          <w:color w:val="000000"/>
          <w:spacing w:val="0"/>
          <w:w w:val="100"/>
          <w:position w:val="0"/>
        </w:rPr>
        <w:t>2</w:t>
      </w:r>
      <w:bookmarkEnd w:id="630"/>
      <w:r>
        <w:rPr>
          <w:color w:val="000000"/>
          <w:spacing w:val="0"/>
          <w:w w:val="100"/>
          <w:position w:val="0"/>
        </w:rPr>
        <w:t>、</w:t>
        <w:tab/>
        <w:t>“</w:t>
      </w:r>
      <w:r>
        <w:rPr>
          <w:rFonts w:ascii="Times New Roman" w:eastAsia="Times New Roman" w:hAnsi="Times New Roman" w:cs="Times New Roman"/>
          <w:color w:val="000000"/>
          <w:spacing w:val="0"/>
          <w:w w:val="100"/>
          <w:position w:val="0"/>
        </w:rPr>
        <w:t>16</w:t>
      </w:r>
      <w:r>
        <w:rPr>
          <w:color w:val="000000"/>
          <w:spacing w:val="0"/>
          <w:w w:val="100"/>
          <w:position w:val="0"/>
        </w:rPr>
        <w:t>国盛</w:t>
      </w:r>
      <w:r>
        <w:rPr>
          <w:rFonts w:ascii="Times New Roman" w:eastAsia="Times New Roman" w:hAnsi="Times New Roman" w:cs="Times New Roman"/>
          <w:color w:val="000000"/>
          <w:spacing w:val="0"/>
          <w:w w:val="100"/>
          <w:position w:val="0"/>
        </w:rPr>
        <w:t>01</w:t>
      </w:r>
      <w:r>
        <w:rPr>
          <w:color w:val="000000"/>
          <w:spacing w:val="0"/>
          <w:w w:val="100"/>
          <w:position w:val="0"/>
        </w:rPr>
        <w:t>”债券受托管理人勤勉尽责，切实防范可能存在的风险，切实督促公司在深交所网站 披露各项定期及不定期报告，并将于深交所网站披露</w:t>
      </w:r>
      <w:r>
        <w:rPr>
          <w:rFonts w:ascii="Times New Roman" w:eastAsia="Times New Roman" w:hAnsi="Times New Roman" w:cs="Times New Roman"/>
          <w:color w:val="000000"/>
          <w:spacing w:val="0"/>
          <w:w w:val="100"/>
          <w:position w:val="0"/>
        </w:rPr>
        <w:t>2016</w:t>
      </w:r>
      <w:r>
        <w:rPr>
          <w:color w:val="000000"/>
          <w:spacing w:val="0"/>
          <w:w w:val="100"/>
          <w:position w:val="0"/>
        </w:rPr>
        <w:t>年受托管理事务报告，提请投资者及时关注。本 期债券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月末发行，当年无受托事务报告；</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日会在上证信息网披露定期受托报告。</w:t>
      </w:r>
    </w:p>
    <w:p>
      <w:pPr>
        <w:pStyle w:val="Style23"/>
        <w:keepNext/>
        <w:keepLines/>
        <w:widowControl w:val="0"/>
        <w:shd w:val="clear" w:color="auto" w:fill="auto"/>
        <w:tabs>
          <w:tab w:pos="499" w:val="left"/>
        </w:tabs>
        <w:bidi w:val="0"/>
        <w:spacing w:before="0" w:after="360" w:line="240" w:lineRule="auto"/>
        <w:ind w:left="0" w:right="0" w:firstLine="0"/>
        <w:jc w:val="left"/>
        <w:rPr>
          <w:sz w:val="22"/>
          <w:szCs w:val="22"/>
        </w:rPr>
      </w:pPr>
      <w:bookmarkStart w:id="631" w:name="bookmark631"/>
      <w:bookmarkStart w:id="632" w:name="bookmark632"/>
      <w:bookmarkStart w:id="633" w:name="bookmark633"/>
      <w:bookmarkStart w:id="634" w:name="bookmark634"/>
      <w:r>
        <w:rPr>
          <w:b/>
          <w:bCs/>
          <w:color w:val="000000"/>
          <w:spacing w:val="0"/>
          <w:w w:val="100"/>
          <w:position w:val="0"/>
          <w:sz w:val="22"/>
          <w:szCs w:val="22"/>
        </w:rPr>
        <w:t>八</w:t>
      </w:r>
      <w:bookmarkEnd w:id="633"/>
      <w:r>
        <w:rPr>
          <w:b/>
          <w:bCs/>
          <w:color w:val="000000"/>
          <w:spacing w:val="0"/>
          <w:w w:val="100"/>
          <w:position w:val="0"/>
          <w:sz w:val="22"/>
          <w:szCs w:val="22"/>
        </w:rPr>
        <w:t>、</w:t>
        <w:tab/>
        <w:t>截至报告期末公司近</w:t>
      </w:r>
      <w:r>
        <w:rPr>
          <w:rFonts w:ascii="Times New Roman" w:eastAsia="Times New Roman" w:hAnsi="Times New Roman" w:cs="Times New Roman"/>
          <w:b/>
          <w:bCs/>
          <w:color w:val="000000"/>
          <w:spacing w:val="0"/>
          <w:w w:val="100"/>
          <w:position w:val="0"/>
          <w:sz w:val="24"/>
          <w:szCs w:val="24"/>
        </w:rPr>
        <w:t>2</w:t>
      </w:r>
      <w:r>
        <w:rPr>
          <w:b/>
          <w:bCs/>
          <w:color w:val="000000"/>
          <w:spacing w:val="0"/>
          <w:w w:val="100"/>
          <w:position w:val="0"/>
          <w:sz w:val="22"/>
          <w:szCs w:val="22"/>
        </w:rPr>
        <w:t>年的主要会计数据和财务指标</w:t>
      </w:r>
      <w:bookmarkEnd w:id="631"/>
      <w:bookmarkEnd w:id="632"/>
      <w:bookmarkEnd w:id="634"/>
    </w:p>
    <w:p>
      <w:pPr>
        <w:pStyle w:val="Style26"/>
        <w:keepNext w:val="0"/>
        <w:keepLines w:val="0"/>
        <w:widowControl w:val="0"/>
        <w:shd w:val="clear" w:color="auto" w:fill="auto"/>
        <w:bidi w:val="0"/>
        <w:spacing w:before="0" w:after="0" w:line="240" w:lineRule="auto"/>
        <w:ind w:left="8578" w:right="0" w:firstLine="0"/>
        <w:jc w:val="left"/>
      </w:pPr>
      <w:r>
        <w:rPr>
          <w:color w:val="000000"/>
          <w:spacing w:val="0"/>
          <w:w w:val="100"/>
          <w:position w:val="0"/>
        </w:rPr>
        <w:t>单位：万元</w:t>
      </w:r>
    </w:p>
    <w:tbl>
      <w:tblPr>
        <w:tblOverlap w:val="never"/>
        <w:jc w:val="center"/>
        <w:tblLayout w:type="fixed"/>
      </w:tblPr>
      <w:tblGrid>
        <w:gridCol w:w="3686"/>
        <w:gridCol w:w="1982"/>
        <w:gridCol w:w="1982"/>
        <w:gridCol w:w="2002"/>
      </w:tblGrid>
      <w:tr>
        <w:trPr>
          <w:trHeight w:val="34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同期变动率</w:t>
            </w:r>
          </w:p>
        </w:tc>
      </w:tr>
      <w:tr>
        <w:trPr>
          <w:trHeight w:val="33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息税折旧摊销前利润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85,356.98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8,756.47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874.79%</w:t>
            </w:r>
          </w:p>
        </w:tc>
      </w:tr>
      <w:tr>
        <w:trPr>
          <w:trHeight w:val="33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522,498.27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-2,577.32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-20372.93%</w:t>
            </w:r>
          </w:p>
        </w:tc>
      </w:tr>
      <w:tr>
        <w:trPr>
          <w:trHeight w:val="33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965,746.08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-23,973.22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-4128.44%</w:t>
            </w:r>
          </w:p>
        </w:tc>
      </w:tr>
      <w:tr>
        <w:trPr>
          <w:trHeight w:val="33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期末现金及现金等价物余额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869,203.31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4,074.99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21100.00%</w:t>
            </w:r>
          </w:p>
        </w:tc>
      </w:tr>
      <w:tr>
        <w:trPr>
          <w:trHeight w:val="33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流动比率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2.61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-0.71</w:t>
            </w:r>
          </w:p>
        </w:tc>
      </w:tr>
      <w:tr>
        <w:trPr>
          <w:trHeight w:val="33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0.26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0.29</w:t>
            </w:r>
          </w:p>
        </w:tc>
      </w:tr>
      <w:tr>
        <w:trPr>
          <w:trHeight w:val="346"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速动比率</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2.13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w:t>
            </w:r>
          </w:p>
        </w:tc>
      </w:tr>
    </w:tbl>
    <w:tbl>
      <w:tblPr>
        <w:tblOverlap w:val="never"/>
        <w:jc w:val="center"/>
        <w:tblLayout w:type="fixed"/>
      </w:tblPr>
      <w:tblGrid>
        <w:gridCol w:w="3691"/>
        <w:gridCol w:w="1982"/>
        <w:gridCol w:w="1982"/>
        <w:gridCol w:w="2002"/>
      </w:tblGrid>
      <w:tr>
        <w:trPr>
          <w:trHeight w:val="326" w:hRule="exact"/>
        </w:trPr>
        <w:tc>
          <w:tcPr>
            <w:tcBorders>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EBITDA</w:t>
            </w:r>
            <w:r>
              <w:rPr>
                <w:color w:val="000000"/>
                <w:spacing w:val="0"/>
                <w:w w:val="100"/>
                <w:position w:val="0"/>
              </w:rPr>
              <w:t>全部债务比</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0.06</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0.33</w:t>
            </w:r>
          </w:p>
        </w:tc>
        <w:tc>
          <w:tcPr>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-0.27</w:t>
            </w:r>
          </w:p>
        </w:tc>
      </w:tr>
      <w:tr>
        <w:trPr>
          <w:trHeight w:val="33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利息保障倍数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3.92</w:t>
            </w:r>
          </w:p>
        </w:tc>
      </w:tr>
      <w:tr>
        <w:trPr>
          <w:trHeight w:val="33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现金利息保障倍数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-71.52</w:t>
            </w:r>
          </w:p>
        </w:tc>
      </w:tr>
      <w:tr>
        <w:trPr>
          <w:trHeight w:val="33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EBITDA</w:t>
            </w:r>
            <w:r>
              <w:rPr>
                <w:color w:val="000000"/>
                <w:spacing w:val="0"/>
                <w:w w:val="100"/>
                <w:position w:val="0"/>
              </w:rPr>
              <w:t>利息保障倍数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3.80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w:t>
            </w:r>
          </w:p>
        </w:tc>
      </w:tr>
      <w:tr>
        <w:trPr>
          <w:trHeight w:val="33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贷款偿还率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0.00%</w:t>
            </w:r>
          </w:p>
        </w:tc>
      </w:tr>
      <w:tr>
        <w:trPr>
          <w:trHeight w:val="346"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利息偿付率</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0.00%</w:t>
            </w:r>
          </w:p>
        </w:tc>
      </w:tr>
    </w:tbl>
    <w:p>
      <w:pPr>
        <w:pStyle w:val="Style26"/>
        <w:keepNext w:val="0"/>
        <w:keepLines w:val="0"/>
        <w:widowControl w:val="0"/>
        <w:shd w:val="clear" w:color="auto" w:fill="auto"/>
        <w:tabs>
          <w:tab w:pos="7968" w:val="left"/>
        </w:tabs>
        <w:bidi w:val="0"/>
        <w:spacing w:before="0" w:after="100" w:line="240" w:lineRule="auto"/>
        <w:ind w:left="403" w:right="0" w:firstLine="0"/>
        <w:jc w:val="left"/>
      </w:pPr>
      <w:r>
        <w:rPr>
          <w:color w:val="000000"/>
          <w:spacing w:val="0"/>
          <w:w w:val="100"/>
          <w:position w:val="0"/>
        </w:rPr>
        <w:t>上述会计数据和财务指标同比变动超过</w:t>
      </w:r>
      <w:r>
        <w:rPr>
          <w:rFonts w:ascii="Times New Roman" w:eastAsia="Times New Roman" w:hAnsi="Times New Roman" w:cs="Times New Roman"/>
          <w:color w:val="000000"/>
          <w:spacing w:val="0"/>
          <w:w w:val="100"/>
          <w:position w:val="0"/>
        </w:rPr>
        <w:t>30%</w:t>
      </w:r>
      <w:r>
        <w:rPr>
          <w:color w:val="000000"/>
          <w:spacing w:val="0"/>
          <w:w w:val="100"/>
          <w:position w:val="0"/>
        </w:rPr>
        <w:t>的主要原因</w:t>
        <w:tab/>
      </w: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403" w:right="0" w:firstLine="0"/>
        <w:jc w:val="left"/>
      </w:pPr>
      <w:r>
        <w:rPr>
          <w:color w:val="000000"/>
          <w:spacing w:val="0"/>
          <w:w w:val="100"/>
          <w:position w:val="0"/>
        </w:rPr>
        <w:t>报告期内，国盛证券纳入合并报表范围，受证券业务特征影响。</w:t>
      </w:r>
    </w:p>
    <w:p>
      <w:pPr>
        <w:widowControl w:val="0"/>
        <w:spacing w:after="359" w:line="1" w:lineRule="exact"/>
      </w:pPr>
    </w:p>
    <w:p>
      <w:pPr>
        <w:pStyle w:val="Style23"/>
        <w:keepNext/>
        <w:keepLines/>
        <w:widowControl w:val="0"/>
        <w:shd w:val="clear" w:color="auto" w:fill="auto"/>
        <w:bidi w:val="0"/>
        <w:spacing w:before="0" w:after="280" w:line="240" w:lineRule="auto"/>
        <w:ind w:left="0" w:right="0" w:firstLine="0"/>
        <w:jc w:val="left"/>
        <w:rPr>
          <w:sz w:val="22"/>
          <w:szCs w:val="22"/>
        </w:rPr>
      </w:pPr>
      <w:bookmarkStart w:id="635" w:name="bookmark635"/>
      <w:bookmarkStart w:id="636" w:name="bookmark636"/>
      <w:bookmarkStart w:id="637" w:name="bookmark637"/>
      <w:bookmarkStart w:id="638" w:name="bookmark638"/>
      <w:r>
        <w:rPr>
          <w:b/>
          <w:bCs/>
          <w:color w:val="000000"/>
          <w:spacing w:val="0"/>
          <w:w w:val="100"/>
          <w:position w:val="0"/>
          <w:sz w:val="22"/>
          <w:szCs w:val="22"/>
        </w:rPr>
        <w:t>九</w:t>
      </w:r>
      <w:bookmarkEnd w:id="637"/>
      <w:r>
        <w:rPr>
          <w:b/>
          <w:bCs/>
          <w:color w:val="000000"/>
          <w:spacing w:val="0"/>
          <w:w w:val="100"/>
          <w:position w:val="0"/>
          <w:sz w:val="22"/>
          <w:szCs w:val="22"/>
        </w:rPr>
        <w:t>、报告期内对其他债券和债务融资工具的付息兑付情况</w:t>
      </w:r>
      <w:bookmarkEnd w:id="635"/>
      <w:bookmarkEnd w:id="636"/>
      <w:bookmarkEnd w:id="638"/>
    </w:p>
    <w:p>
      <w:pPr>
        <w:pStyle w:val="Style33"/>
        <w:keepNext w:val="0"/>
        <w:keepLines w:val="0"/>
        <w:widowControl w:val="0"/>
        <w:shd w:val="clear" w:color="auto" w:fill="auto"/>
        <w:bidi w:val="0"/>
        <w:spacing w:before="0" w:after="360" w:line="298" w:lineRule="exact"/>
        <w:ind w:left="0" w:right="0" w:firstLine="420"/>
        <w:jc w:val="both"/>
      </w:pPr>
      <w:r>
        <w:rPr>
          <w:color w:val="000000"/>
          <w:spacing w:val="0"/>
          <w:w w:val="100"/>
          <w:position w:val="0"/>
        </w:rPr>
        <w:t>报告期内，子公司国盛证券发生拆入资金付息</w:t>
      </w:r>
      <w:r>
        <w:rPr>
          <w:rFonts w:ascii="Times New Roman" w:eastAsia="Times New Roman" w:hAnsi="Times New Roman" w:cs="Times New Roman"/>
          <w:color w:val="000000"/>
          <w:spacing w:val="0"/>
          <w:w w:val="100"/>
          <w:position w:val="0"/>
        </w:rPr>
        <w:t>1,755.79</w:t>
      </w:r>
      <w:r>
        <w:rPr>
          <w:color w:val="000000"/>
          <w:spacing w:val="0"/>
          <w:w w:val="100"/>
          <w:position w:val="0"/>
        </w:rPr>
        <w:t>万元，卖出回购证券款（两融收益权）付息</w:t>
      </w:r>
      <w:r>
        <w:rPr>
          <w:rFonts w:ascii="Times New Roman" w:eastAsia="Times New Roman" w:hAnsi="Times New Roman" w:cs="Times New Roman"/>
          <w:color w:val="000000"/>
          <w:spacing w:val="0"/>
          <w:w w:val="100"/>
          <w:position w:val="0"/>
        </w:rPr>
        <w:t xml:space="preserve">863.72 </w:t>
      </w:r>
      <w:r>
        <w:rPr>
          <w:color w:val="000000"/>
          <w:spacing w:val="0"/>
          <w:w w:val="100"/>
          <w:position w:val="0"/>
        </w:rPr>
        <w:t>元，卖出回购证券款（自营回购）付息</w:t>
      </w:r>
      <w:r>
        <w:rPr>
          <w:rFonts w:ascii="Times New Roman" w:eastAsia="Times New Roman" w:hAnsi="Times New Roman" w:cs="Times New Roman"/>
          <w:color w:val="000000"/>
          <w:spacing w:val="0"/>
          <w:w w:val="100"/>
          <w:position w:val="0"/>
        </w:rPr>
        <w:t>847.01</w:t>
      </w:r>
      <w:r>
        <w:rPr>
          <w:color w:val="000000"/>
          <w:spacing w:val="0"/>
          <w:w w:val="100"/>
          <w:position w:val="0"/>
        </w:rPr>
        <w:t>万元，应付债券（收益凭证）付息</w:t>
      </w:r>
      <w:r>
        <w:rPr>
          <w:rFonts w:ascii="Times New Roman" w:eastAsia="Times New Roman" w:hAnsi="Times New Roman" w:cs="Times New Roman"/>
          <w:color w:val="000000"/>
          <w:spacing w:val="0"/>
          <w:w w:val="100"/>
          <w:position w:val="0"/>
        </w:rPr>
        <w:t>4,032.15</w:t>
      </w:r>
      <w:r>
        <w:rPr>
          <w:color w:val="000000"/>
          <w:spacing w:val="0"/>
          <w:w w:val="100"/>
          <w:position w:val="0"/>
        </w:rPr>
        <w:t>万元。</w:t>
      </w:r>
    </w:p>
    <w:p>
      <w:pPr>
        <w:pStyle w:val="Style23"/>
        <w:keepNext/>
        <w:keepLines/>
        <w:widowControl w:val="0"/>
        <w:shd w:val="clear" w:color="auto" w:fill="auto"/>
        <w:bidi w:val="0"/>
        <w:spacing w:before="0" w:after="280" w:line="240" w:lineRule="auto"/>
        <w:ind w:left="0" w:right="0" w:firstLine="0"/>
        <w:jc w:val="left"/>
        <w:rPr>
          <w:sz w:val="22"/>
          <w:szCs w:val="22"/>
        </w:rPr>
      </w:pPr>
      <w:bookmarkStart w:id="639" w:name="bookmark639"/>
      <w:bookmarkStart w:id="640" w:name="bookmark640"/>
      <w:bookmarkStart w:id="641" w:name="bookmark641"/>
      <w:r>
        <w:rPr>
          <w:b/>
          <w:bCs/>
          <w:color w:val="000000"/>
          <w:spacing w:val="0"/>
          <w:w w:val="100"/>
          <w:position w:val="0"/>
          <w:sz w:val="22"/>
          <w:szCs w:val="22"/>
        </w:rPr>
        <w:t>十、报告期内获得的银行授信情况、使用情况以及偿还银行贷款的情况</w:t>
      </w:r>
      <w:bookmarkEnd w:id="639"/>
      <w:bookmarkEnd w:id="640"/>
      <w:bookmarkEnd w:id="641"/>
    </w:p>
    <w:p>
      <w:pPr>
        <w:pStyle w:val="Style33"/>
        <w:keepNext w:val="0"/>
        <w:keepLines w:val="0"/>
        <w:widowControl w:val="0"/>
        <w:shd w:val="clear" w:color="auto" w:fill="auto"/>
        <w:bidi w:val="0"/>
        <w:spacing w:before="0" w:after="360" w:line="331" w:lineRule="exact"/>
        <w:ind w:left="0" w:right="0" w:firstLine="420"/>
        <w:jc w:val="both"/>
      </w:pPr>
      <w:r>
        <w:rPr>
          <w:color w:val="000000"/>
          <w:spacing w:val="0"/>
          <w:w w:val="100"/>
          <w:position w:val="0"/>
        </w:rPr>
        <w:t>报告期内，公司及子公司合计获得银行授信</w:t>
      </w:r>
      <w:r>
        <w:rPr>
          <w:rFonts w:ascii="Times New Roman" w:eastAsia="Times New Roman" w:hAnsi="Times New Roman" w:cs="Times New Roman"/>
          <w:color w:val="000000"/>
          <w:spacing w:val="0"/>
          <w:w w:val="100"/>
          <w:position w:val="0"/>
        </w:rPr>
        <w:t>181.90</w:t>
      </w:r>
      <w:r>
        <w:rPr>
          <w:color w:val="000000"/>
          <w:spacing w:val="0"/>
          <w:w w:val="100"/>
          <w:position w:val="0"/>
        </w:rPr>
        <w:t>亿元，已实际使用</w:t>
      </w:r>
      <w:r>
        <w:rPr>
          <w:rFonts w:ascii="Times New Roman" w:eastAsia="Times New Roman" w:hAnsi="Times New Roman" w:cs="Times New Roman"/>
          <w:color w:val="000000"/>
          <w:spacing w:val="0"/>
          <w:w w:val="100"/>
          <w:position w:val="0"/>
        </w:rPr>
        <w:t>13.89</w:t>
      </w:r>
      <w:r>
        <w:rPr>
          <w:color w:val="000000"/>
          <w:spacing w:val="0"/>
          <w:w w:val="100"/>
          <w:position w:val="0"/>
        </w:rPr>
        <w:t>亿元，所有到期贷款都已 按时偿还。</w:t>
      </w:r>
    </w:p>
    <w:p>
      <w:pPr>
        <w:pStyle w:val="Style23"/>
        <w:keepNext/>
        <w:keepLines/>
        <w:widowControl w:val="0"/>
        <w:shd w:val="clear" w:color="auto" w:fill="auto"/>
        <w:bidi w:val="0"/>
        <w:spacing w:before="0" w:after="280" w:line="240" w:lineRule="auto"/>
        <w:ind w:left="0" w:right="0" w:firstLine="0"/>
        <w:jc w:val="left"/>
        <w:rPr>
          <w:sz w:val="22"/>
          <w:szCs w:val="22"/>
        </w:rPr>
      </w:pPr>
      <w:bookmarkStart w:id="642" w:name="bookmark642"/>
      <w:bookmarkStart w:id="643" w:name="bookmark643"/>
      <w:bookmarkStart w:id="644" w:name="bookmark644"/>
      <w:r>
        <w:rPr>
          <w:b/>
          <w:bCs/>
          <w:color w:val="000000"/>
          <w:spacing w:val="0"/>
          <w:w w:val="100"/>
          <w:position w:val="0"/>
          <w:sz w:val="22"/>
          <w:szCs w:val="22"/>
        </w:rPr>
        <w:t>十一、报告期内执行公司债券募集说明书相关约定或承诺的情况</w:t>
      </w:r>
      <w:bookmarkEnd w:id="642"/>
      <w:bookmarkEnd w:id="643"/>
      <w:bookmarkEnd w:id="644"/>
    </w:p>
    <w:p>
      <w:pPr>
        <w:pStyle w:val="Style33"/>
        <w:keepNext w:val="0"/>
        <w:keepLines w:val="0"/>
        <w:widowControl w:val="0"/>
        <w:shd w:val="clear" w:color="auto" w:fill="auto"/>
        <w:tabs>
          <w:tab w:pos="1009" w:val="left"/>
        </w:tabs>
        <w:bidi w:val="0"/>
        <w:spacing w:before="0" w:after="0" w:line="316" w:lineRule="exact"/>
        <w:ind w:left="0" w:right="0" w:firstLine="420"/>
        <w:jc w:val="both"/>
      </w:pPr>
      <w:bookmarkStart w:id="645" w:name="bookmark645"/>
      <w:r>
        <w:rPr>
          <w:color w:val="000000"/>
          <w:spacing w:val="0"/>
          <w:w w:val="100"/>
          <w:position w:val="0"/>
        </w:rPr>
        <w:t>（</w:t>
      </w:r>
      <w:bookmarkEnd w:id="645"/>
      <w:r>
        <w:rPr>
          <w:color w:val="000000"/>
          <w:spacing w:val="0"/>
          <w:w w:val="100"/>
          <w:position w:val="0"/>
        </w:rPr>
        <w:t>一）</w:t>
        <w:tab/>
        <w:t>“</w:t>
      </w:r>
      <w:r>
        <w:rPr>
          <w:rFonts w:ascii="Times New Roman" w:eastAsia="Times New Roman" w:hAnsi="Times New Roman" w:cs="Times New Roman"/>
          <w:color w:val="000000"/>
          <w:spacing w:val="0"/>
          <w:w w:val="100"/>
          <w:position w:val="0"/>
        </w:rPr>
        <w:t>16</w:t>
      </w:r>
      <w:r>
        <w:rPr>
          <w:color w:val="000000"/>
          <w:spacing w:val="0"/>
          <w:w w:val="100"/>
          <w:position w:val="0"/>
        </w:rPr>
        <w:t>国盛金”</w:t>
      </w:r>
    </w:p>
    <w:p>
      <w:pPr>
        <w:pStyle w:val="Style33"/>
        <w:keepNext w:val="0"/>
        <w:keepLines w:val="0"/>
        <w:widowControl w:val="0"/>
        <w:shd w:val="clear" w:color="auto" w:fill="auto"/>
        <w:bidi w:val="0"/>
        <w:spacing w:before="0" w:after="0" w:line="316" w:lineRule="exact"/>
        <w:ind w:left="0" w:right="0" w:firstLine="420"/>
        <w:jc w:val="both"/>
      </w:pPr>
      <w:r>
        <w:rPr>
          <w:color w:val="000000"/>
          <w:spacing w:val="0"/>
          <w:w w:val="100"/>
          <w:position w:val="0"/>
        </w:rPr>
        <w:t>报告期内公司已严格执行募集说明书相关约定和承诺。</w:t>
      </w:r>
    </w:p>
    <w:p>
      <w:pPr>
        <w:pStyle w:val="Style33"/>
        <w:keepNext w:val="0"/>
        <w:keepLines w:val="0"/>
        <w:widowControl w:val="0"/>
        <w:shd w:val="clear" w:color="auto" w:fill="auto"/>
        <w:tabs>
          <w:tab w:pos="1009" w:val="left"/>
        </w:tabs>
        <w:bidi w:val="0"/>
        <w:spacing w:before="0" w:after="0" w:line="316" w:lineRule="exact"/>
        <w:ind w:left="0" w:right="0" w:firstLine="420"/>
        <w:jc w:val="both"/>
      </w:pPr>
      <w:bookmarkStart w:id="646" w:name="bookmark646"/>
      <w:r>
        <w:rPr>
          <w:color w:val="000000"/>
          <w:spacing w:val="0"/>
          <w:w w:val="100"/>
          <w:position w:val="0"/>
        </w:rPr>
        <w:t>（</w:t>
      </w:r>
      <w:bookmarkEnd w:id="646"/>
      <w:r>
        <w:rPr>
          <w:color w:val="000000"/>
          <w:spacing w:val="0"/>
          <w:w w:val="100"/>
          <w:position w:val="0"/>
        </w:rPr>
        <w:t>二）</w:t>
        <w:tab/>
        <w:t>“</w:t>
      </w:r>
      <w:r>
        <w:rPr>
          <w:rFonts w:ascii="Times New Roman" w:eastAsia="Times New Roman" w:hAnsi="Times New Roman" w:cs="Times New Roman"/>
          <w:color w:val="000000"/>
          <w:spacing w:val="0"/>
          <w:w w:val="100"/>
          <w:position w:val="0"/>
        </w:rPr>
        <w:t xml:space="preserve">16 </w:t>
      </w:r>
      <w:r>
        <w:rPr>
          <w:color w:val="000000"/>
          <w:spacing w:val="0"/>
          <w:w w:val="100"/>
          <w:position w:val="0"/>
        </w:rPr>
        <w:t xml:space="preserve">国盛 </w:t>
      </w:r>
      <w:r>
        <w:rPr>
          <w:rFonts w:ascii="Times New Roman" w:eastAsia="Times New Roman" w:hAnsi="Times New Roman" w:cs="Times New Roman"/>
          <w:color w:val="000000"/>
          <w:spacing w:val="0"/>
          <w:w w:val="100"/>
          <w:position w:val="0"/>
        </w:rPr>
        <w:t>01</w:t>
      </w:r>
      <w:r>
        <w:rPr>
          <w:color w:val="000000"/>
          <w:spacing w:val="0"/>
          <w:w w:val="100"/>
          <w:position w:val="0"/>
        </w:rPr>
        <w:t>”</w:t>
      </w:r>
    </w:p>
    <w:p>
      <w:pPr>
        <w:pStyle w:val="Style33"/>
        <w:keepNext w:val="0"/>
        <w:keepLines w:val="0"/>
        <w:widowControl w:val="0"/>
        <w:shd w:val="clear" w:color="auto" w:fill="auto"/>
        <w:tabs>
          <w:tab w:pos="790" w:val="left"/>
        </w:tabs>
        <w:bidi w:val="0"/>
        <w:spacing w:before="0" w:after="0" w:line="316" w:lineRule="exact"/>
        <w:ind w:left="0" w:right="0" w:firstLine="420"/>
        <w:jc w:val="both"/>
      </w:pPr>
      <w:bookmarkStart w:id="647" w:name="bookmark647"/>
      <w:r>
        <w:rPr>
          <w:color w:val="000000"/>
          <w:spacing w:val="0"/>
          <w:w w:val="100"/>
          <w:position w:val="0"/>
        </w:rPr>
        <w:t>1</w:t>
      </w:r>
      <w:bookmarkEnd w:id="647"/>
      <w:r>
        <w:rPr>
          <w:color w:val="000000"/>
          <w:spacing w:val="0"/>
          <w:w w:val="100"/>
          <w:position w:val="0"/>
        </w:rPr>
        <w:t>、</w:t>
        <w:tab/>
        <w:t>公司承诺：公司出现预计不能或者到期未能按期偿付本次发行公司债券的本息时，根据中国法律、 法规及监管部门等的要求，将至少采取如下偿债保障措施：</w:t>
      </w:r>
    </w:p>
    <w:p>
      <w:pPr>
        <w:pStyle w:val="Style33"/>
        <w:keepNext w:val="0"/>
        <w:keepLines w:val="0"/>
        <w:widowControl w:val="0"/>
        <w:shd w:val="clear" w:color="auto" w:fill="auto"/>
        <w:tabs>
          <w:tab w:pos="908" w:val="left"/>
        </w:tabs>
        <w:bidi w:val="0"/>
        <w:spacing w:before="0" w:after="0" w:line="316" w:lineRule="exact"/>
        <w:ind w:left="0" w:right="0" w:firstLine="420"/>
        <w:jc w:val="both"/>
      </w:pPr>
      <w:bookmarkStart w:id="648" w:name="bookmark648"/>
      <w:r>
        <w:rPr>
          <w:color w:val="000000"/>
          <w:spacing w:val="0"/>
          <w:w w:val="100"/>
          <w:position w:val="0"/>
        </w:rPr>
        <w:t>（</w:t>
      </w:r>
      <w:bookmarkEnd w:id="648"/>
      <w:r>
        <w:rPr>
          <w:color w:val="000000"/>
          <w:spacing w:val="0"/>
          <w:w w:val="100"/>
          <w:position w:val="0"/>
        </w:rPr>
        <w:t>1）</w:t>
        <w:tab/>
      </w:r>
      <w:r>
        <w:rPr>
          <w:color w:val="000000"/>
          <w:spacing w:val="0"/>
          <w:w w:val="100"/>
          <w:position w:val="0"/>
        </w:rPr>
        <w:t>不向股东分配利润；</w:t>
      </w:r>
    </w:p>
    <w:p>
      <w:pPr>
        <w:pStyle w:val="Style33"/>
        <w:keepNext w:val="0"/>
        <w:keepLines w:val="0"/>
        <w:widowControl w:val="0"/>
        <w:shd w:val="clear" w:color="auto" w:fill="auto"/>
        <w:tabs>
          <w:tab w:pos="908" w:val="left"/>
        </w:tabs>
        <w:bidi w:val="0"/>
        <w:spacing w:before="0" w:after="0" w:line="316" w:lineRule="exact"/>
        <w:ind w:left="0" w:right="0" w:firstLine="420"/>
        <w:jc w:val="left"/>
      </w:pPr>
      <w:bookmarkStart w:id="649" w:name="bookmark649"/>
      <w:r>
        <w:rPr>
          <w:color w:val="000000"/>
          <w:spacing w:val="0"/>
          <w:w w:val="100"/>
          <w:position w:val="0"/>
        </w:rPr>
        <w:t>（</w:t>
      </w:r>
      <w:bookmarkEnd w:id="649"/>
      <w:r>
        <w:rPr>
          <w:rFonts w:ascii="Times New Roman" w:eastAsia="Times New Roman" w:hAnsi="Times New Roman" w:cs="Times New Roman"/>
          <w:color w:val="000000"/>
          <w:spacing w:val="0"/>
          <w:w w:val="100"/>
          <w:position w:val="0"/>
        </w:rPr>
        <w:t>2</w:t>
      </w:r>
      <w:r>
        <w:rPr>
          <w:color w:val="000000"/>
          <w:spacing w:val="0"/>
          <w:w w:val="100"/>
          <w:position w:val="0"/>
        </w:rPr>
        <w:t>）</w:t>
        <w:tab/>
        <w:t>暂缓重大对外投资、收购兼并等资本性支出项目的实施；</w:t>
      </w:r>
    </w:p>
    <w:p>
      <w:pPr>
        <w:pStyle w:val="Style33"/>
        <w:keepNext w:val="0"/>
        <w:keepLines w:val="0"/>
        <w:widowControl w:val="0"/>
        <w:shd w:val="clear" w:color="auto" w:fill="auto"/>
        <w:tabs>
          <w:tab w:pos="908" w:val="left"/>
        </w:tabs>
        <w:bidi w:val="0"/>
        <w:spacing w:before="0" w:after="0" w:line="316" w:lineRule="exact"/>
        <w:ind w:left="0" w:right="0" w:firstLine="420"/>
        <w:jc w:val="left"/>
      </w:pPr>
      <w:bookmarkStart w:id="650" w:name="bookmark650"/>
      <w:r>
        <w:rPr>
          <w:color w:val="000000"/>
          <w:spacing w:val="0"/>
          <w:w w:val="100"/>
          <w:position w:val="0"/>
        </w:rPr>
        <w:t>（</w:t>
      </w:r>
      <w:bookmarkEnd w:id="650"/>
      <w:r>
        <w:rPr>
          <w:color w:val="000000"/>
          <w:spacing w:val="0"/>
          <w:w w:val="100"/>
          <w:position w:val="0"/>
        </w:rPr>
        <w:t>3）</w:t>
        <w:tab/>
      </w:r>
      <w:r>
        <w:rPr>
          <w:color w:val="000000"/>
          <w:spacing w:val="0"/>
          <w:w w:val="100"/>
          <w:position w:val="0"/>
        </w:rPr>
        <w:t>调减或停发董事和高级管理人员的工资和奖金；</w:t>
      </w:r>
    </w:p>
    <w:p>
      <w:pPr>
        <w:pStyle w:val="Style33"/>
        <w:keepNext w:val="0"/>
        <w:keepLines w:val="0"/>
        <w:widowControl w:val="0"/>
        <w:shd w:val="clear" w:color="auto" w:fill="auto"/>
        <w:tabs>
          <w:tab w:pos="908" w:val="left"/>
        </w:tabs>
        <w:bidi w:val="0"/>
        <w:spacing w:before="0" w:after="0" w:line="316" w:lineRule="exact"/>
        <w:ind w:left="0" w:right="0" w:firstLine="420"/>
        <w:jc w:val="left"/>
      </w:pPr>
      <w:bookmarkStart w:id="651" w:name="bookmark651"/>
      <w:r>
        <w:rPr>
          <w:color w:val="000000"/>
          <w:spacing w:val="0"/>
          <w:w w:val="100"/>
          <w:position w:val="0"/>
        </w:rPr>
        <w:t>（</w:t>
      </w:r>
      <w:bookmarkEnd w:id="651"/>
      <w:r>
        <w:rPr>
          <w:rFonts w:ascii="Times New Roman" w:eastAsia="Times New Roman" w:hAnsi="Times New Roman" w:cs="Times New Roman"/>
          <w:color w:val="000000"/>
          <w:spacing w:val="0"/>
          <w:w w:val="100"/>
          <w:position w:val="0"/>
        </w:rPr>
        <w:t>4</w:t>
      </w:r>
      <w:r>
        <w:rPr>
          <w:color w:val="000000"/>
          <w:spacing w:val="0"/>
          <w:w w:val="100"/>
          <w:position w:val="0"/>
        </w:rPr>
        <w:t>）</w:t>
        <w:tab/>
        <w:t>主要责任人不得调离。</w:t>
      </w:r>
    </w:p>
    <w:p>
      <w:pPr>
        <w:pStyle w:val="Style33"/>
        <w:keepNext w:val="0"/>
        <w:keepLines w:val="0"/>
        <w:widowControl w:val="0"/>
        <w:shd w:val="clear" w:color="auto" w:fill="auto"/>
        <w:bidi w:val="0"/>
        <w:spacing w:before="0" w:after="0" w:line="316" w:lineRule="exact"/>
        <w:ind w:left="0" w:right="0" w:firstLine="420"/>
        <w:jc w:val="left"/>
      </w:pPr>
      <w:r>
        <w:rPr>
          <w:color w:val="000000"/>
          <w:spacing w:val="0"/>
          <w:w w:val="100"/>
          <w:position w:val="0"/>
        </w:rPr>
        <w:t>报告期内，公司未出现预计不能或者到期未能按期偿付本次发行公司债券的本息情况，因此不涉及上 述承诺执行。</w:t>
      </w:r>
    </w:p>
    <w:p>
      <w:pPr>
        <w:pStyle w:val="Style33"/>
        <w:keepNext w:val="0"/>
        <w:keepLines w:val="0"/>
        <w:widowControl w:val="0"/>
        <w:shd w:val="clear" w:color="auto" w:fill="auto"/>
        <w:tabs>
          <w:tab w:pos="790" w:val="left"/>
        </w:tabs>
        <w:bidi w:val="0"/>
        <w:spacing w:before="0" w:after="0" w:line="316" w:lineRule="exact"/>
        <w:ind w:left="0" w:right="0" w:firstLine="420"/>
        <w:jc w:val="left"/>
      </w:pPr>
      <w:bookmarkStart w:id="652" w:name="bookmark652"/>
      <w:r>
        <w:rPr>
          <w:rFonts w:ascii="Times New Roman" w:eastAsia="Times New Roman" w:hAnsi="Times New Roman" w:cs="Times New Roman"/>
          <w:color w:val="000000"/>
          <w:spacing w:val="0"/>
          <w:w w:val="100"/>
          <w:position w:val="0"/>
        </w:rPr>
        <w:t>2</w:t>
      </w:r>
      <w:bookmarkEnd w:id="652"/>
      <w:r>
        <w:rPr>
          <w:color w:val="000000"/>
          <w:spacing w:val="0"/>
          <w:w w:val="100"/>
          <w:position w:val="0"/>
        </w:rPr>
        <w:t>、</w:t>
        <w:tab/>
        <w:t>公司承诺：募集资金用途合法合规，不用于偿还政府性债务或公益性项目建设。发行人承诺本次 发行公司债券不增加政府性债务规模，本次公司债券发行后形成的债务不纳入到政府性债务。</w:t>
      </w:r>
    </w:p>
    <w:p>
      <w:pPr>
        <w:pStyle w:val="Style33"/>
        <w:keepNext w:val="0"/>
        <w:keepLines w:val="0"/>
        <w:widowControl w:val="0"/>
        <w:shd w:val="clear" w:color="auto" w:fill="auto"/>
        <w:bidi w:val="0"/>
        <w:spacing w:before="0" w:after="360" w:line="316" w:lineRule="exact"/>
        <w:ind w:left="0" w:right="0" w:firstLine="420"/>
        <w:jc w:val="left"/>
      </w:pPr>
      <w:r>
        <w:rPr>
          <w:color w:val="000000"/>
          <w:spacing w:val="0"/>
          <w:w w:val="100"/>
          <w:position w:val="0"/>
        </w:rPr>
        <w:t>报告期内，公司已使用公司债券募集资金</w:t>
      </w:r>
      <w:r>
        <w:rPr>
          <w:rFonts w:ascii="Times New Roman" w:eastAsia="Times New Roman" w:hAnsi="Times New Roman" w:cs="Times New Roman"/>
          <w:color w:val="000000"/>
          <w:spacing w:val="0"/>
          <w:w w:val="100"/>
          <w:position w:val="0"/>
        </w:rPr>
        <w:t>85,000</w:t>
      </w:r>
      <w:r>
        <w:rPr>
          <w:color w:val="000000"/>
          <w:spacing w:val="0"/>
          <w:w w:val="100"/>
          <w:position w:val="0"/>
        </w:rPr>
        <w:t>万元（不含己支付的发行费用），用于补充流动资金, 尚未使用的公司债券募集资金</w:t>
      </w:r>
      <w:r>
        <w:rPr>
          <w:rFonts w:ascii="Times New Roman" w:eastAsia="Times New Roman" w:hAnsi="Times New Roman" w:cs="Times New Roman"/>
          <w:color w:val="000000"/>
          <w:spacing w:val="0"/>
          <w:w w:val="100"/>
          <w:position w:val="0"/>
        </w:rPr>
        <w:t>15,000</w:t>
      </w:r>
      <w:r>
        <w:rPr>
          <w:color w:val="000000"/>
          <w:spacing w:val="0"/>
          <w:w w:val="100"/>
          <w:position w:val="0"/>
        </w:rPr>
        <w:t>万元，占该次募集资金总额的</w:t>
      </w:r>
      <w:r>
        <w:rPr>
          <w:rFonts w:ascii="Times New Roman" w:eastAsia="Times New Roman" w:hAnsi="Times New Roman" w:cs="Times New Roman"/>
          <w:color w:val="000000"/>
          <w:spacing w:val="0"/>
          <w:w w:val="100"/>
          <w:position w:val="0"/>
        </w:rPr>
        <w:t>15%</w:t>
      </w:r>
      <w:r>
        <w:rPr>
          <w:color w:val="000000"/>
          <w:spacing w:val="0"/>
          <w:w w:val="100"/>
          <w:position w:val="0"/>
        </w:rPr>
        <w:t>,存放在公司基本结算存款账户用 于公司日常营运周转。本期债券募集资金未用于偿还政府性债务或公益性项目建设，不增加政府性债务规 模，形成的债务不纳入到政府性债务，公司相关承诺已严格执行，对投资者利益无影响。</w:t>
      </w:r>
    </w:p>
    <w:p>
      <w:pPr>
        <w:pStyle w:val="Style23"/>
        <w:keepNext/>
        <w:keepLines/>
        <w:widowControl w:val="0"/>
        <w:shd w:val="clear" w:color="auto" w:fill="auto"/>
        <w:bidi w:val="0"/>
        <w:spacing w:before="0" w:after="280" w:line="240" w:lineRule="auto"/>
        <w:ind w:left="0" w:right="0" w:firstLine="0"/>
        <w:jc w:val="left"/>
        <w:rPr>
          <w:sz w:val="22"/>
          <w:szCs w:val="22"/>
        </w:rPr>
      </w:pPr>
      <w:bookmarkStart w:id="653" w:name="bookmark653"/>
      <w:bookmarkStart w:id="654" w:name="bookmark654"/>
      <w:bookmarkStart w:id="655" w:name="bookmark655"/>
      <w:r>
        <w:rPr>
          <w:b/>
          <w:bCs/>
          <w:color w:val="000000"/>
          <w:spacing w:val="0"/>
          <w:w w:val="100"/>
          <w:position w:val="0"/>
          <w:sz w:val="22"/>
          <w:szCs w:val="22"/>
        </w:rPr>
        <w:t>十二、报告期内发生的重大事项</w:t>
      </w:r>
      <w:bookmarkEnd w:id="653"/>
      <w:bookmarkEnd w:id="654"/>
      <w:bookmarkEnd w:id="655"/>
    </w:p>
    <w:p>
      <w:pPr>
        <w:pStyle w:val="Style33"/>
        <w:keepNext w:val="0"/>
        <w:keepLines w:val="0"/>
        <w:widowControl w:val="0"/>
        <w:shd w:val="clear" w:color="auto" w:fill="auto"/>
        <w:bidi w:val="0"/>
        <w:spacing w:before="0" w:after="380" w:line="312" w:lineRule="exact"/>
        <w:ind w:left="0" w:right="0" w:firstLine="420"/>
        <w:jc w:val="both"/>
      </w:pPr>
      <w:r>
        <w:rPr>
          <w:color w:val="000000"/>
          <w:spacing w:val="0"/>
          <w:w w:val="100"/>
          <w:position w:val="0"/>
        </w:rPr>
        <w:t>截至</w:t>
      </w:r>
      <w:r>
        <w:rPr>
          <w:color w:val="000000"/>
          <w:spacing w:val="0"/>
          <w:w w:val="100"/>
          <w:position w:val="0"/>
        </w:rPr>
        <w:t>2015</w:t>
      </w:r>
      <w:r>
        <w:rPr>
          <w:color w:val="000000"/>
          <w:spacing w:val="0"/>
          <w:w w:val="100"/>
          <w:position w:val="0"/>
        </w:rPr>
        <w:t>年末，公司借款余额为</w:t>
      </w:r>
      <w:r>
        <w:rPr>
          <w:color w:val="000000"/>
          <w:spacing w:val="0"/>
          <w:w w:val="100"/>
          <w:position w:val="0"/>
        </w:rPr>
        <w:t>3,000.00</w:t>
      </w:r>
      <w:r>
        <w:rPr>
          <w:color w:val="000000"/>
          <w:spacing w:val="0"/>
          <w:w w:val="100"/>
          <w:position w:val="0"/>
        </w:rPr>
        <w:t>万元，净资产为</w:t>
      </w:r>
      <w:r>
        <w:rPr>
          <w:color w:val="000000"/>
          <w:spacing w:val="0"/>
          <w:w w:val="100"/>
          <w:position w:val="0"/>
        </w:rPr>
        <w:t>77,846.99</w:t>
      </w:r>
      <w:r>
        <w:rPr>
          <w:color w:val="000000"/>
          <w:spacing w:val="0"/>
          <w:w w:val="100"/>
          <w:position w:val="0"/>
        </w:rPr>
        <w:t>万元。受报告期国盛证券纳入合 并报表范围及发行公司债券等因素影响，公司报告期累计新增借款</w:t>
      </w:r>
      <w:r>
        <w:rPr>
          <w:color w:val="000000"/>
          <w:spacing w:val="0"/>
          <w:w w:val="100"/>
          <w:position w:val="0"/>
        </w:rPr>
        <w:t xml:space="preserve">704, </w:t>
      </w:r>
      <w:r>
        <w:rPr>
          <w:color w:val="000000"/>
          <w:spacing w:val="0"/>
          <w:w w:val="100"/>
          <w:position w:val="0"/>
        </w:rPr>
        <w:t>851.68</w:t>
      </w:r>
      <w:r>
        <w:rPr>
          <w:color w:val="000000"/>
          <w:spacing w:val="0"/>
          <w:w w:val="100"/>
          <w:position w:val="0"/>
        </w:rPr>
        <w:t xml:space="preserve">万元，其中公司债券 </w:t>
      </w:r>
      <w:r>
        <w:rPr>
          <w:color w:val="000000"/>
          <w:spacing w:val="0"/>
          <w:w w:val="100"/>
          <w:position w:val="0"/>
        </w:rPr>
        <w:t>439,474.12</w:t>
      </w:r>
      <w:r>
        <w:rPr>
          <w:color w:val="000000"/>
          <w:spacing w:val="0"/>
          <w:w w:val="100"/>
          <w:position w:val="0"/>
        </w:rPr>
        <w:t>万元、银行贷款</w:t>
      </w:r>
      <w:r>
        <w:rPr>
          <w:color w:val="000000"/>
          <w:spacing w:val="0"/>
          <w:w w:val="100"/>
          <w:position w:val="0"/>
        </w:rPr>
        <w:t>2,177.56</w:t>
      </w:r>
      <w:r>
        <w:rPr>
          <w:color w:val="000000"/>
          <w:spacing w:val="0"/>
          <w:w w:val="100"/>
          <w:position w:val="0"/>
        </w:rPr>
        <w:t>万元、拆入资金</w:t>
      </w:r>
      <w:r>
        <w:rPr>
          <w:color w:val="000000"/>
          <w:spacing w:val="0"/>
          <w:w w:val="100"/>
          <w:position w:val="0"/>
        </w:rPr>
        <w:t>185,000.00</w:t>
      </w:r>
      <w:r>
        <w:rPr>
          <w:color w:val="000000"/>
          <w:spacing w:val="0"/>
          <w:w w:val="100"/>
          <w:position w:val="0"/>
        </w:rPr>
        <w:t>万元、卖出回购金融资产款</w:t>
      </w:r>
      <w:r>
        <w:rPr>
          <w:color w:val="000000"/>
          <w:spacing w:val="0"/>
          <w:w w:val="100"/>
          <w:position w:val="0"/>
        </w:rPr>
        <w:t>78,200.0</w:t>
      </w:r>
      <w:r>
        <w:rPr>
          <w:color w:val="000000"/>
          <w:spacing w:val="0"/>
          <w:w w:val="100"/>
          <w:position w:val="0"/>
        </w:rPr>
        <w:t xml:space="preserve">。万 </w:t>
      </w:r>
      <w:r>
        <w:rPr>
          <w:color w:val="000000"/>
          <w:spacing w:val="0"/>
          <w:w w:val="100"/>
          <w:position w:val="0"/>
        </w:rPr>
        <w:t>元，期末借款余额为</w:t>
      </w:r>
      <w:r>
        <w:rPr>
          <w:color w:val="000000"/>
          <w:spacing w:val="0"/>
          <w:w w:val="100"/>
          <w:position w:val="0"/>
        </w:rPr>
        <w:t>707,851.68</w:t>
      </w:r>
      <w:r>
        <w:rPr>
          <w:color w:val="000000"/>
          <w:spacing w:val="0"/>
          <w:w w:val="100"/>
          <w:position w:val="0"/>
        </w:rPr>
        <w:t>万元。公司</w:t>
      </w:r>
      <w:r>
        <w:rPr>
          <w:color w:val="000000"/>
          <w:spacing w:val="0"/>
          <w:w w:val="100"/>
          <w:position w:val="0"/>
        </w:rPr>
        <w:t>2016</w:t>
      </w:r>
      <w:r>
        <w:rPr>
          <w:color w:val="000000"/>
          <w:spacing w:val="0"/>
          <w:w w:val="100"/>
          <w:position w:val="0"/>
        </w:rPr>
        <w:t>年度累计新增借款金额占</w:t>
      </w:r>
      <w:r>
        <w:rPr>
          <w:color w:val="000000"/>
          <w:spacing w:val="0"/>
          <w:w w:val="100"/>
          <w:position w:val="0"/>
        </w:rPr>
        <w:t>2015</w:t>
      </w:r>
      <w:r>
        <w:rPr>
          <w:color w:val="000000"/>
          <w:spacing w:val="0"/>
          <w:w w:val="100"/>
          <w:position w:val="0"/>
        </w:rPr>
        <w:t>年末净资产的</w:t>
      </w:r>
      <w:r>
        <w:rPr>
          <w:color w:val="000000"/>
          <w:spacing w:val="0"/>
          <w:w w:val="100"/>
          <w:position w:val="0"/>
        </w:rPr>
        <w:t>905.43%</w:t>
      </w:r>
      <w:r>
        <w:rPr>
          <w:color w:val="000000"/>
          <w:spacing w:val="0"/>
          <w:w w:val="100"/>
          <w:position w:val="0"/>
        </w:rPr>
        <w:t>。</w:t>
      </w:r>
    </w:p>
    <w:p>
      <w:pPr>
        <w:pStyle w:val="Style23"/>
        <w:keepNext/>
        <w:keepLines/>
        <w:widowControl w:val="0"/>
        <w:shd w:val="clear" w:color="auto" w:fill="auto"/>
        <w:bidi w:val="0"/>
        <w:spacing w:before="0" w:after="0" w:line="240" w:lineRule="auto"/>
        <w:ind w:left="0" w:right="0" w:firstLine="0"/>
        <w:jc w:val="left"/>
        <w:rPr>
          <w:sz w:val="22"/>
          <w:szCs w:val="22"/>
        </w:rPr>
        <w:sectPr>
          <w:footnotePr>
            <w:pos w:val="pageBottom"/>
            <w:numFmt w:val="decimal"/>
            <w:numRestart w:val="continuous"/>
          </w:footnotePr>
          <w:pgSz w:w="11900" w:h="16840"/>
          <w:pgMar w:top="1393" w:right="1026" w:bottom="1523" w:left="1086" w:header="0" w:footer="3" w:gutter="0"/>
          <w:cols w:space="720"/>
          <w:noEndnote/>
          <w:rtlGutter w:val="0"/>
          <w:docGrid w:linePitch="360"/>
        </w:sectPr>
      </w:pPr>
      <w:bookmarkStart w:id="656" w:name="bookmark656"/>
      <w:bookmarkStart w:id="657" w:name="bookmark657"/>
      <w:bookmarkStart w:id="658" w:name="bookmark658"/>
      <w:r>
        <w:rPr>
          <w:b/>
          <w:bCs/>
          <w:color w:val="000000"/>
          <w:spacing w:val="0"/>
          <w:w w:val="100"/>
          <w:position w:val="0"/>
          <w:sz w:val="22"/>
          <w:szCs w:val="22"/>
        </w:rPr>
        <w:t>十三、本期债券不存在保证人。</w:t>
      </w:r>
      <w:bookmarkEnd w:id="656"/>
      <w:bookmarkEnd w:id="657"/>
      <w:bookmarkEnd w:id="658"/>
    </w:p>
    <w:p>
      <w:pPr>
        <w:pStyle w:val="Style12"/>
        <w:keepNext/>
        <w:keepLines/>
        <w:widowControl w:val="0"/>
        <w:shd w:val="clear" w:color="auto" w:fill="auto"/>
        <w:bidi w:val="0"/>
        <w:spacing w:before="500" w:after="540" w:line="240" w:lineRule="auto"/>
        <w:ind w:left="0" w:right="0" w:firstLine="0"/>
        <w:jc w:val="center"/>
      </w:pPr>
      <w:bookmarkStart w:id="659" w:name="bookmark659"/>
      <w:bookmarkStart w:id="660" w:name="bookmark660"/>
      <w:bookmarkStart w:id="661" w:name="bookmark661"/>
      <w:r>
        <w:rPr>
          <w:color w:val="000000"/>
          <w:spacing w:val="0"/>
          <w:w w:val="100"/>
          <w:position w:val="0"/>
        </w:rPr>
        <w:t>第十一节财务报告</w:t>
      </w:r>
      <w:bookmarkEnd w:id="659"/>
      <w:bookmarkEnd w:id="660"/>
      <w:bookmarkEnd w:id="661"/>
    </w:p>
    <w:p>
      <w:pPr>
        <w:pStyle w:val="Style23"/>
        <w:keepNext/>
        <w:keepLines/>
        <w:widowControl w:val="0"/>
        <w:shd w:val="clear" w:color="auto" w:fill="auto"/>
        <w:bidi w:val="0"/>
        <w:spacing w:before="0" w:after="320" w:line="240" w:lineRule="auto"/>
        <w:ind w:left="0" w:right="0" w:firstLine="0"/>
        <w:jc w:val="both"/>
        <w:rPr>
          <w:sz w:val="22"/>
          <w:szCs w:val="22"/>
        </w:rPr>
      </w:pPr>
      <w:bookmarkStart w:id="662" w:name="bookmark662"/>
      <w:bookmarkStart w:id="663" w:name="bookmark663"/>
      <w:bookmarkStart w:id="664" w:name="bookmark664"/>
      <w:r>
        <w:rPr>
          <w:b/>
          <w:bCs/>
          <w:color w:val="000000"/>
          <w:spacing w:val="0"/>
          <w:w w:val="100"/>
          <w:position w:val="0"/>
          <w:sz w:val="22"/>
          <w:szCs w:val="22"/>
        </w:rPr>
        <w:t>一、审计报告</w:t>
      </w:r>
      <w:bookmarkEnd w:id="662"/>
      <w:bookmarkEnd w:id="663"/>
      <w:bookmarkEnd w:id="664"/>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信会师报字</w:t>
            </w:r>
            <w:r>
              <w:rPr>
                <w:rFonts w:ascii="Times New Roman" w:eastAsia="Times New Roman" w:hAnsi="Times New Roman" w:cs="Times New Roman"/>
                <w:color w:val="000000"/>
                <w:spacing w:val="0"/>
                <w:w w:val="100"/>
                <w:position w:val="0"/>
              </w:rPr>
              <w:t>［2017］</w:t>
            </w:r>
            <w:r>
              <w:rPr>
                <w:color w:val="000000"/>
                <w:spacing w:val="0"/>
                <w:w w:val="100"/>
                <w:position w:val="0"/>
              </w:rPr>
              <w:t>第</w:t>
            </w:r>
            <w:r>
              <w:rPr>
                <w:rFonts w:ascii="Times New Roman" w:eastAsia="Times New Roman" w:hAnsi="Times New Roman" w:cs="Times New Roman"/>
                <w:color w:val="000000"/>
                <w:spacing w:val="0"/>
                <w:w w:val="100"/>
                <w:position w:val="0"/>
              </w:rPr>
              <w:t>ZA10364</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杨志平、潘留焱</w:t>
            </w:r>
          </w:p>
        </w:tc>
      </w:tr>
    </w:tbl>
    <w:p>
      <w:pPr>
        <w:widowControl w:val="0"/>
        <w:spacing w:after="59" w:line="1" w:lineRule="exact"/>
      </w:pPr>
    </w:p>
    <w:p>
      <w:pPr>
        <w:pStyle w:val="Style33"/>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审计报告正文</w:t>
      </w:r>
    </w:p>
    <w:p>
      <w:pPr>
        <w:pStyle w:val="Style33"/>
        <w:keepNext w:val="0"/>
        <w:keepLines w:val="0"/>
        <w:widowControl w:val="0"/>
        <w:shd w:val="clear" w:color="auto" w:fill="auto"/>
        <w:bidi w:val="0"/>
        <w:spacing w:before="0" w:after="0" w:line="320" w:lineRule="exact"/>
        <w:ind w:left="0" w:right="0" w:firstLine="6820"/>
        <w:jc w:val="both"/>
      </w:pPr>
      <w:r>
        <w:rPr>
          <w:color w:val="000000"/>
          <w:spacing w:val="0"/>
          <w:w w:val="100"/>
          <w:position w:val="0"/>
        </w:rPr>
        <w:t>信会师报字</w:t>
      </w:r>
      <w:r>
        <w:rPr>
          <w:color w:val="000000"/>
          <w:spacing w:val="0"/>
          <w:w w:val="100"/>
          <w:position w:val="0"/>
        </w:rPr>
        <w:t>［2017］</w:t>
      </w:r>
      <w:r>
        <w:rPr>
          <w:color w:val="000000"/>
          <w:spacing w:val="0"/>
          <w:w w:val="100"/>
          <w:position w:val="0"/>
        </w:rPr>
        <w:t>第</w:t>
      </w:r>
      <w:r>
        <w:rPr>
          <w:color w:val="000000"/>
          <w:spacing w:val="0"/>
          <w:w w:val="100"/>
          <w:position w:val="0"/>
        </w:rPr>
        <w:t>ZA10364</w:t>
      </w:r>
      <w:r>
        <w:rPr>
          <w:color w:val="000000"/>
          <w:spacing w:val="0"/>
          <w:w w:val="100"/>
          <w:position w:val="0"/>
        </w:rPr>
        <w:t xml:space="preserve">号 </w:t>
      </w:r>
      <w:r>
        <w:rPr>
          <w:b/>
          <w:bCs/>
          <w:color w:val="000000"/>
          <w:spacing w:val="0"/>
          <w:w w:val="100"/>
          <w:position w:val="0"/>
        </w:rPr>
        <w:t>广东国盛金控集团股份有限公司全体股东：</w:t>
      </w:r>
    </w:p>
    <w:p>
      <w:pPr>
        <w:pStyle w:val="Style33"/>
        <w:keepNext w:val="0"/>
        <w:keepLines w:val="0"/>
        <w:widowControl w:val="0"/>
        <w:shd w:val="clear" w:color="auto" w:fill="auto"/>
        <w:bidi w:val="0"/>
        <w:spacing w:before="0" w:after="0" w:line="320" w:lineRule="exact"/>
        <w:ind w:left="0" w:right="0" w:firstLine="440"/>
        <w:jc w:val="both"/>
      </w:pPr>
      <w:r>
        <w:rPr>
          <w:color w:val="000000"/>
          <w:spacing w:val="0"/>
          <w:w w:val="100"/>
          <w:position w:val="0"/>
        </w:rPr>
        <w:t>我们审计了后附的广东国盛金控集团股份有限公司（以下简称贵公司）财务报表，包括</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 xml:space="preserve">31 </w:t>
      </w:r>
      <w:r>
        <w:rPr>
          <w:color w:val="000000"/>
          <w:spacing w:val="0"/>
          <w:w w:val="100"/>
          <w:position w:val="0"/>
        </w:rPr>
        <w:t>日的合并及公司资产负债表，</w:t>
      </w:r>
      <w:r>
        <w:rPr>
          <w:color w:val="000000"/>
          <w:spacing w:val="0"/>
          <w:w w:val="100"/>
          <w:position w:val="0"/>
        </w:rPr>
        <w:t>2016</w:t>
      </w:r>
      <w:r>
        <w:rPr>
          <w:color w:val="000000"/>
          <w:spacing w:val="0"/>
          <w:w w:val="100"/>
          <w:position w:val="0"/>
        </w:rPr>
        <w:t>年度的合并及公司利润表、合并及公司现金流量表、合并及公司所有者 权益变动表以及财务报表附注。</w:t>
      </w:r>
    </w:p>
    <w:p>
      <w:pPr>
        <w:pStyle w:val="Style33"/>
        <w:keepNext w:val="0"/>
        <w:keepLines w:val="0"/>
        <w:widowControl w:val="0"/>
        <w:shd w:val="clear" w:color="auto" w:fill="auto"/>
        <w:tabs>
          <w:tab w:pos="909" w:val="left"/>
        </w:tabs>
        <w:bidi w:val="0"/>
        <w:spacing w:before="0" w:after="0" w:line="320" w:lineRule="exact"/>
        <w:ind w:left="0" w:right="0" w:firstLine="440"/>
        <w:jc w:val="both"/>
      </w:pPr>
      <w:bookmarkStart w:id="665" w:name="bookmark665"/>
      <w:r>
        <w:rPr>
          <w:color w:val="000000"/>
          <w:spacing w:val="0"/>
          <w:w w:val="100"/>
          <w:position w:val="0"/>
        </w:rPr>
        <w:t>一</w:t>
      </w:r>
      <w:bookmarkEnd w:id="665"/>
      <w:r>
        <w:rPr>
          <w:color w:val="000000"/>
          <w:spacing w:val="0"/>
          <w:w w:val="100"/>
          <w:position w:val="0"/>
        </w:rPr>
        <w:t>、</w:t>
        <w:tab/>
        <w:t>管理层对财务报表的责任</w:t>
      </w:r>
    </w:p>
    <w:p>
      <w:pPr>
        <w:pStyle w:val="Style33"/>
        <w:keepNext w:val="0"/>
        <w:keepLines w:val="0"/>
        <w:widowControl w:val="0"/>
        <w:shd w:val="clear" w:color="auto" w:fill="auto"/>
        <w:bidi w:val="0"/>
        <w:spacing w:before="0" w:after="0" w:line="293" w:lineRule="exact"/>
        <w:ind w:left="0" w:right="0" w:firstLine="440"/>
        <w:jc w:val="both"/>
      </w:pPr>
      <w:r>
        <w:rPr>
          <w:color w:val="000000"/>
          <w:spacing w:val="0"/>
          <w:w w:val="100"/>
          <w:position w:val="0"/>
        </w:rPr>
        <w:t>编制和公允列报财务报表是贵公司管理层的责任。这种责任包括：</w:t>
      </w:r>
      <w:r>
        <w:rPr>
          <w:color w:val="000000"/>
          <w:spacing w:val="0"/>
          <w:w w:val="100"/>
          <w:position w:val="0"/>
        </w:rPr>
        <w:t>（1）</w:t>
      </w:r>
      <w:r>
        <w:rPr>
          <w:color w:val="000000"/>
          <w:spacing w:val="0"/>
          <w:w w:val="100"/>
          <w:position w:val="0"/>
        </w:rPr>
        <w:t>按照企业会计准则的规定编 制财务报表，并使其实现公允反映；</w:t>
      </w:r>
      <w:r>
        <w:rPr>
          <w:color w:val="000000"/>
          <w:spacing w:val="0"/>
          <w:w w:val="100"/>
          <w:position w:val="0"/>
        </w:rPr>
        <w:t>（2）</w:t>
      </w:r>
      <w:r>
        <w:rPr>
          <w:color w:val="000000"/>
          <w:spacing w:val="0"/>
          <w:w w:val="100"/>
          <w:position w:val="0"/>
        </w:rPr>
        <w:t>设计、执行和维护必要的内部控制，以使财务报表不存在由于 舞弊或错误导致的重大错报。</w:t>
      </w:r>
    </w:p>
    <w:p>
      <w:pPr>
        <w:pStyle w:val="Style33"/>
        <w:keepNext w:val="0"/>
        <w:keepLines w:val="0"/>
        <w:widowControl w:val="0"/>
        <w:shd w:val="clear" w:color="auto" w:fill="auto"/>
        <w:tabs>
          <w:tab w:pos="909" w:val="left"/>
        </w:tabs>
        <w:bidi w:val="0"/>
        <w:spacing w:before="0" w:after="0" w:line="293" w:lineRule="exact"/>
        <w:ind w:left="0" w:right="0" w:firstLine="440"/>
        <w:jc w:val="both"/>
      </w:pPr>
      <w:bookmarkStart w:id="666" w:name="bookmark666"/>
      <w:r>
        <w:rPr>
          <w:color w:val="000000"/>
          <w:spacing w:val="0"/>
          <w:w w:val="100"/>
          <w:position w:val="0"/>
        </w:rPr>
        <w:t>二</w:t>
      </w:r>
      <w:bookmarkEnd w:id="666"/>
      <w:r>
        <w:rPr>
          <w:color w:val="000000"/>
          <w:spacing w:val="0"/>
          <w:w w:val="100"/>
          <w:position w:val="0"/>
        </w:rPr>
        <w:t>、</w:t>
        <w:tab/>
        <w:t>注册会计师的责任</w:t>
      </w:r>
    </w:p>
    <w:p>
      <w:pPr>
        <w:pStyle w:val="Style33"/>
        <w:keepNext w:val="0"/>
        <w:keepLines w:val="0"/>
        <w:widowControl w:val="0"/>
        <w:shd w:val="clear" w:color="auto" w:fill="auto"/>
        <w:bidi w:val="0"/>
        <w:spacing w:before="0" w:after="0" w:line="293" w:lineRule="exact"/>
        <w:ind w:left="0" w:right="0" w:firstLine="440"/>
        <w:jc w:val="both"/>
      </w:pPr>
      <w:r>
        <w:rPr>
          <w:color w:val="000000"/>
          <w:spacing w:val="0"/>
          <w:w w:val="100"/>
          <w:position w:val="0"/>
        </w:rPr>
        <w:t>我们的责任是在执行审计工作的基础上对财务报表发表审计意见。我们按照中国注册会计师审计准则 的规定执行了审计工作。中国注册会计师审计准则要求我们遵守中国注册会计师职业道德守则，计划和执 行审计工作以对财务报表是否不存在重大错报获取合理保证。</w:t>
      </w:r>
    </w:p>
    <w:p>
      <w:pPr>
        <w:pStyle w:val="Style33"/>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审计工作涉及实施审计程序，以获取有关财务报表金额和披露的审计证据。选择的审计程序取决于注 册会计师的判断，包括对由于舞弊或错误导致的财务报表重大错报风险的评估。在进行风险评估时，注册 会计师考虑与财务报表编制和公允列报相关的内部控制，以设计恰当的审计程序，但目的并非对内部控制 的有效性发表意见。审计工作还包括评价管理层选用会计政策的恰当性和作出会计估计的合理性，以及评 价财务报表的总体列报。</w:t>
      </w:r>
    </w:p>
    <w:p>
      <w:pPr>
        <w:pStyle w:val="Style33"/>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我们相信，我们获取的审计证据是充分、适当的，为发表审计意见提供了基础。</w:t>
      </w:r>
    </w:p>
    <w:p>
      <w:pPr>
        <w:pStyle w:val="Style33"/>
        <w:keepNext w:val="0"/>
        <w:keepLines w:val="0"/>
        <w:widowControl w:val="0"/>
        <w:shd w:val="clear" w:color="auto" w:fill="auto"/>
        <w:tabs>
          <w:tab w:pos="909" w:val="left"/>
        </w:tabs>
        <w:bidi w:val="0"/>
        <w:spacing w:before="0" w:after="0" w:line="311" w:lineRule="exact"/>
        <w:ind w:left="0" w:right="0" w:firstLine="440"/>
        <w:jc w:val="both"/>
      </w:pPr>
      <w:bookmarkStart w:id="667" w:name="bookmark667"/>
      <w:r>
        <w:rPr>
          <w:color w:val="000000"/>
          <w:spacing w:val="0"/>
          <w:w w:val="100"/>
          <w:position w:val="0"/>
        </w:rPr>
        <w:t>三</w:t>
      </w:r>
      <w:bookmarkEnd w:id="667"/>
      <w:r>
        <w:rPr>
          <w:color w:val="000000"/>
          <w:spacing w:val="0"/>
          <w:w w:val="100"/>
          <w:position w:val="0"/>
        </w:rPr>
        <w:t>、</w:t>
        <w:tab/>
        <w:t>审计意见</w:t>
      </w:r>
    </w:p>
    <w:p>
      <w:pPr>
        <w:pStyle w:val="Style33"/>
        <w:keepNext w:val="0"/>
        <w:keepLines w:val="0"/>
        <w:widowControl w:val="0"/>
        <w:shd w:val="clear" w:color="auto" w:fill="auto"/>
        <w:bidi w:val="0"/>
        <w:spacing w:before="0" w:after="320" w:line="311" w:lineRule="exact"/>
        <w:ind w:left="0" w:right="0" w:firstLine="440"/>
        <w:jc w:val="both"/>
      </w:pPr>
      <w:r>
        <w:rPr>
          <w:color w:val="000000"/>
          <w:spacing w:val="0"/>
          <w:w w:val="100"/>
          <w:position w:val="0"/>
        </w:rPr>
        <w:t>我们认为，贵公司财务报表在所有重大方面按照企业会计准则的规定编制，公允反映了贵公司</w:t>
      </w:r>
      <w:r>
        <w:rPr>
          <w:color w:val="000000"/>
          <w:spacing w:val="0"/>
          <w:w w:val="100"/>
          <w:position w:val="0"/>
        </w:rPr>
        <w:t>2016</w:t>
      </w:r>
      <w:r>
        <w:rPr>
          <w:color w:val="000000"/>
          <w:spacing w:val="0"/>
          <w:w w:val="100"/>
          <w:position w:val="0"/>
        </w:rPr>
        <w:t xml:space="preserve">年 </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日的合并及公司财务状况以及</w:t>
      </w:r>
      <w:r>
        <w:rPr>
          <w:color w:val="000000"/>
          <w:spacing w:val="0"/>
          <w:w w:val="100"/>
          <w:position w:val="0"/>
        </w:rPr>
        <w:t>2016</w:t>
      </w:r>
      <w:r>
        <w:rPr>
          <w:color w:val="000000"/>
          <w:spacing w:val="0"/>
          <w:w w:val="100"/>
          <w:position w:val="0"/>
        </w:rPr>
        <w:t>年度的合并及公司经营成果和现金流量。</w:t>
      </w:r>
    </w:p>
    <w:p>
      <w:pPr>
        <w:pStyle w:val="Style33"/>
        <w:keepNext w:val="0"/>
        <w:keepLines w:val="0"/>
        <w:widowControl w:val="0"/>
        <w:shd w:val="clear" w:color="auto" w:fill="auto"/>
        <w:tabs>
          <w:tab w:pos="6154" w:val="left"/>
        </w:tabs>
        <w:bidi w:val="0"/>
        <w:spacing w:before="0" w:after="0" w:line="311" w:lineRule="exact"/>
        <w:ind w:left="0" w:right="0" w:firstLine="540"/>
        <w:jc w:val="both"/>
      </w:pPr>
      <w:r>
        <w:rPr>
          <w:color w:val="000000"/>
          <w:spacing w:val="0"/>
          <w:w w:val="100"/>
          <w:position w:val="0"/>
        </w:rPr>
        <w:t>立信会计师事务所</w:t>
        <w:tab/>
        <w:t>中国注册会计师：杨志平</w:t>
      </w:r>
    </w:p>
    <w:p>
      <w:pPr>
        <w:pStyle w:val="Style33"/>
        <w:keepNext w:val="0"/>
        <w:keepLines w:val="0"/>
        <w:widowControl w:val="0"/>
        <w:shd w:val="clear" w:color="auto" w:fill="auto"/>
        <w:tabs>
          <w:tab w:pos="6154" w:val="left"/>
        </w:tabs>
        <w:bidi w:val="0"/>
        <w:spacing w:before="0" w:after="320" w:line="311" w:lineRule="exact"/>
        <w:ind w:left="0" w:right="0" w:firstLine="540"/>
        <w:jc w:val="both"/>
      </w:pPr>
      <w:r>
        <w:rPr>
          <w:color w:val="000000"/>
          <w:spacing w:val="0"/>
          <w:w w:val="100"/>
          <w:position w:val="0"/>
        </w:rPr>
        <w:t>（特殊普通合伙）</w:t>
        <w:tab/>
        <w:t>中国注册会计师：潘留焱</w:t>
      </w:r>
    </w:p>
    <w:p>
      <w:pPr>
        <w:pStyle w:val="Style33"/>
        <w:keepNext w:val="0"/>
        <w:keepLines w:val="0"/>
        <w:widowControl w:val="0"/>
        <w:shd w:val="clear" w:color="auto" w:fill="auto"/>
        <w:tabs>
          <w:tab w:pos="6154" w:val="left"/>
        </w:tabs>
        <w:bidi w:val="0"/>
        <w:spacing w:before="0" w:after="180" w:line="311" w:lineRule="exact"/>
        <w:ind w:left="0" w:right="0" w:firstLine="540"/>
        <w:jc w:val="both"/>
      </w:pPr>
      <w:r>
        <w:rPr>
          <w:color w:val="000000"/>
          <w:spacing w:val="0"/>
          <w:w w:val="100"/>
          <w:position w:val="0"/>
        </w:rPr>
        <w:t>中国</w:t>
      </w:r>
      <w:r>
        <w:rPr>
          <w:rFonts w:ascii="Times New Roman" w:eastAsia="Times New Roman" w:hAnsi="Times New Roman" w:cs="Times New Roman"/>
          <w:color w:val="000000"/>
          <w:spacing w:val="0"/>
          <w:w w:val="100"/>
          <w:position w:val="0"/>
        </w:rPr>
        <w:t>•</w:t>
      </w:r>
      <w:r>
        <w:rPr>
          <w:color w:val="000000"/>
          <w:spacing w:val="0"/>
          <w:w w:val="100"/>
          <w:position w:val="0"/>
        </w:rPr>
        <w:t>上海</w:t>
        <w:tab/>
        <w:t>二</w:t>
      </w:r>
      <w:r>
        <w:rPr>
          <w:color w:val="000000"/>
          <w:spacing w:val="0"/>
          <w:w w:val="100"/>
          <w:position w:val="0"/>
        </w:rPr>
        <w:t>O</w:t>
      </w:r>
      <w:r>
        <w:rPr>
          <w:color w:val="000000"/>
          <w:spacing w:val="0"/>
          <w:w w:val="100"/>
          <w:position w:val="0"/>
        </w:rPr>
        <w:t>一七年二月二十七日</w:t>
      </w:r>
      <w:r>
        <w:br w:type="page"/>
      </w:r>
    </w:p>
    <w:p>
      <w:pPr>
        <w:pStyle w:val="Style23"/>
        <w:keepNext/>
        <w:keepLines/>
        <w:widowControl w:val="0"/>
        <w:shd w:val="clear" w:color="auto" w:fill="auto"/>
        <w:bidi w:val="0"/>
        <w:spacing w:before="0" w:after="360" w:line="240" w:lineRule="auto"/>
        <w:ind w:left="0" w:right="0" w:firstLine="0"/>
        <w:jc w:val="left"/>
        <w:rPr>
          <w:sz w:val="22"/>
          <w:szCs w:val="22"/>
        </w:rPr>
      </w:pPr>
      <w:bookmarkStart w:id="668" w:name="bookmark668"/>
      <w:bookmarkStart w:id="669" w:name="bookmark669"/>
      <w:bookmarkStart w:id="670" w:name="bookmark670"/>
      <w:r>
        <w:rPr>
          <w:b/>
          <w:bCs/>
          <w:color w:val="000000"/>
          <w:spacing w:val="0"/>
          <w:w w:val="100"/>
          <w:position w:val="0"/>
          <w:sz w:val="22"/>
          <w:szCs w:val="22"/>
        </w:rPr>
        <w:t>二、财务报表</w:t>
      </w:r>
      <w:bookmarkEnd w:id="668"/>
      <w:bookmarkEnd w:id="669"/>
      <w:bookmarkEnd w:id="670"/>
    </w:p>
    <w:p>
      <w:pPr>
        <w:pStyle w:val="Style33"/>
        <w:keepNext w:val="0"/>
        <w:keepLines w:val="0"/>
        <w:widowControl w:val="0"/>
        <w:shd w:val="clear" w:color="auto" w:fill="auto"/>
        <w:bidi w:val="0"/>
        <w:spacing w:before="0" w:after="420" w:line="240" w:lineRule="auto"/>
        <w:ind w:left="0" w:right="0" w:firstLine="440"/>
        <w:jc w:val="left"/>
      </w:pPr>
      <w:r>
        <w:rPr>
          <w:color w:val="000000"/>
          <w:spacing w:val="0"/>
          <w:w w:val="100"/>
          <w:position w:val="0"/>
        </w:rPr>
        <w:t>财务附注中报表的单位为：人民币元</w:t>
      </w:r>
    </w:p>
    <w:p>
      <w:pPr>
        <w:pStyle w:val="Style23"/>
        <w:keepNext/>
        <w:keepLines/>
        <w:widowControl w:val="0"/>
        <w:shd w:val="clear" w:color="auto" w:fill="auto"/>
        <w:bidi w:val="0"/>
        <w:spacing w:before="0" w:after="360" w:line="240" w:lineRule="auto"/>
        <w:ind w:left="0" w:right="0"/>
        <w:jc w:val="left"/>
        <w:rPr>
          <w:sz w:val="32"/>
          <w:szCs w:val="32"/>
        </w:rPr>
      </w:pPr>
      <w:bookmarkStart w:id="671" w:name="bookmark671"/>
      <w:bookmarkStart w:id="672" w:name="bookmark672"/>
      <w:bookmarkStart w:id="673" w:name="bookmark673"/>
      <w:r>
        <w:rPr>
          <w:rFonts w:ascii="Cambria" w:eastAsia="Cambria" w:hAnsi="Cambria" w:cs="Cambria"/>
          <w:b/>
          <w:bCs/>
          <w:color w:val="000000"/>
          <w:spacing w:val="0"/>
          <w:w w:val="100"/>
          <w:position w:val="0"/>
          <w:sz w:val="32"/>
          <w:szCs w:val="32"/>
        </w:rPr>
        <w:t>1</w:t>
      </w:r>
      <w:r>
        <w:rPr>
          <w:b/>
          <w:bCs/>
          <w:color w:val="000000"/>
          <w:spacing w:val="0"/>
          <w:w w:val="100"/>
          <w:position w:val="0"/>
          <w:sz w:val="32"/>
          <w:szCs w:val="32"/>
        </w:rPr>
        <w:t>、合并资产负债表</w:t>
      </w:r>
      <w:bookmarkEnd w:id="671"/>
      <w:bookmarkEnd w:id="672"/>
      <w:bookmarkEnd w:id="673"/>
    </w:p>
    <w:p>
      <w:pPr>
        <w:pStyle w:val="Style26"/>
        <w:keepNext w:val="0"/>
        <w:keepLines w:val="0"/>
        <w:widowControl w:val="0"/>
        <w:shd w:val="clear" w:color="auto" w:fill="auto"/>
        <w:tabs>
          <w:tab w:pos="8707" w:val="left"/>
        </w:tabs>
        <w:bidi w:val="0"/>
        <w:spacing w:before="0" w:after="0" w:line="240" w:lineRule="auto"/>
        <w:ind w:left="0" w:right="0" w:firstLine="0"/>
        <w:jc w:val="center"/>
      </w:pPr>
      <w:r>
        <w:rPr>
          <w:color w:val="000000"/>
          <w:spacing w:val="0"/>
          <w:w w:val="100"/>
          <w:position w:val="0"/>
        </w:rPr>
        <w:t>编制单位：广东国盛金控集团股份有限公司</w:t>
        <w:tab/>
        <w:t>单位：元</w:t>
      </w:r>
    </w:p>
    <w:tbl>
      <w:tblPr>
        <w:tblOverlap w:val="never"/>
        <w:jc w:val="center"/>
        <w:tblLayout w:type="fixed"/>
      </w:tblPr>
      <w:tblGrid>
        <w:gridCol w:w="6264"/>
        <w:gridCol w:w="1714"/>
        <w:gridCol w:w="1718"/>
      </w:tblGrid>
      <w:tr>
        <w:trPr>
          <w:trHeight w:val="32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7,759,033,183.29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64,125,510.44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结算备付金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957,069,741.92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融出资金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2,212,372,777.03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以公允价值计量且其变动计入当期损益的金融资产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2,412,043,481.70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95,795,734.34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190,430,774.17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482,870,617.36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298,181,657.77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18,314,067.95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8,104,244.02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存出保证金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492,250,149.38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79,049,176.92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17,307,846.04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1,811,234.58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买入返售金融资产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2,967,617,540.00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存货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232,085,149.63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122,513,629.38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421,620,507.49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4,149,817.19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18,147,429,973.05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689,316,867.55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发放贷款及垫款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4,129,240,891.56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持有至到期投资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264"/>
        <w:gridCol w:w="1714"/>
        <w:gridCol w:w="1718"/>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66,331,578.31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335,084,140.29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301,566,266.83</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5,787,113.55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9,327,951.85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53,617,185.45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35,808,012.88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商誉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3,162,030,950.83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18,288,070.78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5,831,321.82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11,505,029.64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941,098.95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1,235,104.71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2,090,012.25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7,783,120,065.12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355,564,664.58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25,930,550,038.17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1,044,881,532.13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51,775,584.20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30,000,000.00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拆入资金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1,850,000,000.00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以公允价值计量且其变动计入当期损益的金融负债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111,584,979.41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116,873,274.27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305,713,420.10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79,435,487.56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47,484,937.67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2,352,802.35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卖出回购金融资产款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782,000,000.00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57,188,965.89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11,338,035.82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110,119,508.21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16,464,221.95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65,433,443.10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40,437.00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72,250,139.04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7,578,406.88</w:t>
            </w:r>
          </w:p>
        </w:tc>
      </w:tr>
    </w:tbl>
    <w:p>
      <w:pPr>
        <w:spacing w:lineRule="exact" w:line="1"/>
        <w:rPr>
          <w:sz w:val="2"/>
          <w:szCs w:val="2"/>
        </w:rPr>
      </w:pPr>
      <w:r>
        <w:br w:type="page"/>
      </w:r>
    </w:p>
    <w:tbl>
      <w:tblPr>
        <w:tblOverlap w:val="never"/>
        <w:jc w:val="center"/>
        <w:tblLayout w:type="fixed"/>
      </w:tblPr>
      <w:tblGrid>
        <w:gridCol w:w="6264"/>
        <w:gridCol w:w="1714"/>
        <w:gridCol w:w="1718"/>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代理买卖证券款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6,094,628,075.85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2,255,084.13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9,550,434,137.60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264,082,665.83</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应付债券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4,394,741,242.78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3,670,000.00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1,670,000.00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33,819,002.74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658,968.56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375,000,000.00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4,807,230,245.52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2,328,968.56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14,357,664,383.12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266,411,634.39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股本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936,127,750.00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200,000,000.00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10,022,606,084.61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429,089,779.67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-36,295,218.25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40,336,352.49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32,819,438.83</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未分配利润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601,307,611.10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110,678,933.94</w:t>
            </w:r>
          </w:p>
        </w:tc>
      </w:tr>
    </w:tbl>
    <w:p>
      <w:pPr>
        <w:spacing w:lineRule="exact" w:line="1"/>
        <w:rPr>
          <w:sz w:val="2"/>
          <w:szCs w:val="2"/>
        </w:rPr>
      </w:pPr>
      <w:r>
        <w:br w:type="page"/>
      </w:r>
    </w:p>
    <w:tbl>
      <w:tblPr>
        <w:tblOverlap w:val="never"/>
        <w:jc w:val="left"/>
        <w:tblLayout w:type="fixed"/>
      </w:tblPr>
      <w:tblGrid>
        <w:gridCol w:w="6264"/>
        <w:gridCol w:w="1714"/>
        <w:gridCol w:w="1718"/>
      </w:tblGrid>
      <w:tr>
        <w:trPr>
          <w:trHeight w:val="403" w:hRule="exact"/>
        </w:trPr>
        <w:tc>
          <w:tcPr>
            <w:tcBorders>
              <w:top w:val="single" w:sz="4"/>
              <w:left w:val="single" w:sz="4"/>
            </w:tcBorders>
            <w:shd w:val="clear" w:color="auto" w:fill="D3D3D3"/>
            <w:vAlign w:val="center"/>
          </w:tcPr>
          <w:p>
            <w:pPr>
              <w:pStyle w:val="Style20"/>
              <w:keepNext w:val="0"/>
              <w:keepLines w:val="0"/>
              <w:framePr w:w="9696" w:h="1622" w:hSpace="14" w:vSpace="590" w:wrap="notBeside" w:vAnchor="text" w:hAnchor="text" w:x="17" w:y="1"/>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0"/>
              <w:keepNext w:val="0"/>
              <w:keepLines w:val="0"/>
              <w:framePr w:w="9696" w:h="1622" w:hSpace="14" w:vSpace="590" w:wrap="notBeside" w:vAnchor="text" w:hAnchor="text" w:x="17" w:y="1"/>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11,564,082,579.95</w:t>
            </w:r>
          </w:p>
        </w:tc>
        <w:tc>
          <w:tcPr>
            <w:tcBorders>
              <w:top w:val="single" w:sz="4"/>
              <w:left w:val="single" w:sz="4"/>
              <w:right w:val="single" w:sz="4"/>
            </w:tcBorders>
            <w:shd w:val="clear" w:color="auto" w:fill="FFFFFF"/>
            <w:vAlign w:val="center"/>
          </w:tcPr>
          <w:p>
            <w:pPr>
              <w:pStyle w:val="Style20"/>
              <w:keepNext w:val="0"/>
              <w:keepLines w:val="0"/>
              <w:framePr w:w="9696" w:h="1622" w:hSpace="14" w:vSpace="590" w:wrap="notBeside" w:vAnchor="text" w:hAnchor="text" w:x="17" w:y="1"/>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772,588,152.44</w:t>
            </w:r>
          </w:p>
        </w:tc>
      </w:tr>
      <w:tr>
        <w:trPr>
          <w:trHeight w:val="403" w:hRule="exact"/>
        </w:trPr>
        <w:tc>
          <w:tcPr>
            <w:tcBorders>
              <w:top w:val="single" w:sz="4"/>
              <w:left w:val="single" w:sz="4"/>
            </w:tcBorders>
            <w:shd w:val="clear" w:color="auto" w:fill="D3D3D3"/>
            <w:vAlign w:val="center"/>
          </w:tcPr>
          <w:p>
            <w:pPr>
              <w:pStyle w:val="Style20"/>
              <w:keepNext w:val="0"/>
              <w:keepLines w:val="0"/>
              <w:framePr w:w="9696" w:h="1622" w:hSpace="14" w:vSpace="590" w:wrap="notBeside" w:vAnchor="text" w:hAnchor="text" w:x="17" w:y="1"/>
              <w:widowControl w:val="0"/>
              <w:shd w:val="clear" w:color="auto" w:fill="auto"/>
              <w:bidi w:val="0"/>
              <w:spacing w:before="0" w:after="0" w:line="240" w:lineRule="auto"/>
              <w:ind w:left="0" w:right="0" w:firstLine="44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0"/>
              <w:keepNext w:val="0"/>
              <w:keepLines w:val="0"/>
              <w:framePr w:w="9696" w:h="1622" w:hSpace="14" w:vSpace="590" w:wrap="notBeside" w:vAnchor="text" w:hAnchor="text" w:x="17" w:y="1"/>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8,803,075.10</w:t>
            </w:r>
          </w:p>
        </w:tc>
        <w:tc>
          <w:tcPr>
            <w:tcBorders>
              <w:top w:val="single" w:sz="4"/>
              <w:left w:val="single" w:sz="4"/>
              <w:right w:val="single" w:sz="4"/>
            </w:tcBorders>
            <w:shd w:val="clear" w:color="auto" w:fill="FFFFFF"/>
            <w:vAlign w:val="center"/>
          </w:tcPr>
          <w:p>
            <w:pPr>
              <w:pStyle w:val="Style20"/>
              <w:keepNext w:val="0"/>
              <w:keepLines w:val="0"/>
              <w:framePr w:w="9696" w:h="1622" w:hSpace="14" w:vSpace="590" w:wrap="notBeside" w:vAnchor="text" w:hAnchor="text" w:x="17" w:y="1"/>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5,881,745.30</w:t>
            </w:r>
          </w:p>
        </w:tc>
      </w:tr>
      <w:tr>
        <w:trPr>
          <w:trHeight w:val="403" w:hRule="exact"/>
        </w:trPr>
        <w:tc>
          <w:tcPr>
            <w:tcBorders>
              <w:top w:val="single" w:sz="4"/>
              <w:left w:val="single" w:sz="4"/>
            </w:tcBorders>
            <w:shd w:val="clear" w:color="auto" w:fill="D3D3D3"/>
            <w:vAlign w:val="center"/>
          </w:tcPr>
          <w:p>
            <w:pPr>
              <w:pStyle w:val="Style20"/>
              <w:keepNext w:val="0"/>
              <w:keepLines w:val="0"/>
              <w:framePr w:w="9696" w:h="1622" w:hSpace="14" w:vSpace="590" w:wrap="notBeside" w:vAnchor="text" w:hAnchor="text" w:x="17" w:y="1"/>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0"/>
              <w:keepNext w:val="0"/>
              <w:keepLines w:val="0"/>
              <w:framePr w:w="9696" w:h="1622" w:hSpace="14" w:vSpace="590" w:wrap="notBeside" w:vAnchor="text" w:hAnchor="text" w:x="17" w:y="1"/>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11,572,885,655.05</w:t>
            </w:r>
          </w:p>
        </w:tc>
        <w:tc>
          <w:tcPr>
            <w:tcBorders>
              <w:top w:val="single" w:sz="4"/>
              <w:left w:val="single" w:sz="4"/>
              <w:right w:val="single" w:sz="4"/>
            </w:tcBorders>
            <w:shd w:val="clear" w:color="auto" w:fill="FFFFFF"/>
            <w:vAlign w:val="center"/>
          </w:tcPr>
          <w:p>
            <w:pPr>
              <w:pStyle w:val="Style20"/>
              <w:keepNext w:val="0"/>
              <w:keepLines w:val="0"/>
              <w:framePr w:w="9696" w:h="1622" w:hSpace="14" w:vSpace="590" w:wrap="notBeside" w:vAnchor="text" w:hAnchor="text" w:x="17" w:y="1"/>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778,469,897.74</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framePr w:w="9696" w:h="1622" w:hSpace="14" w:vSpace="590" w:wrap="notBeside" w:vAnchor="text" w:hAnchor="text" w:x="17" w:y="1"/>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0"/>
              <w:keepNext w:val="0"/>
              <w:keepLines w:val="0"/>
              <w:framePr w:w="9696" w:h="1622" w:hSpace="14" w:vSpace="590" w:wrap="notBeside" w:vAnchor="text" w:hAnchor="text" w:x="17" w:y="1"/>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25,930,550,038.17</w:t>
            </w:r>
          </w:p>
        </w:tc>
        <w:tc>
          <w:tcPr>
            <w:tcBorders>
              <w:top w:val="single" w:sz="4"/>
              <w:left w:val="single" w:sz="4"/>
              <w:bottom w:val="single" w:sz="4"/>
              <w:right w:val="single" w:sz="4"/>
            </w:tcBorders>
            <w:shd w:val="clear" w:color="auto" w:fill="FFFFFF"/>
            <w:vAlign w:val="center"/>
          </w:tcPr>
          <w:p>
            <w:pPr>
              <w:pStyle w:val="Style20"/>
              <w:keepNext w:val="0"/>
              <w:keepLines w:val="0"/>
              <w:framePr w:w="9696" w:h="1622" w:hSpace="14" w:vSpace="590" w:wrap="notBeside" w:vAnchor="text" w:hAnchor="text" w:x="17"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1,044,881,532.13</w:t>
            </w:r>
          </w:p>
        </w:tc>
      </w:tr>
    </w:tbl>
    <w:p>
      <w:pPr>
        <w:pStyle w:val="Style26"/>
        <w:keepNext w:val="0"/>
        <w:keepLines w:val="0"/>
        <w:framePr w:w="1714" w:h="264" w:hSpace="2" w:wrap="notBeside" w:vAnchor="text" w:hAnchor="text" w:x="3" w:y="1950"/>
        <w:widowControl w:val="0"/>
        <w:shd w:val="clear" w:color="auto" w:fill="auto"/>
        <w:bidi w:val="0"/>
        <w:spacing w:before="0" w:after="0" w:line="240" w:lineRule="auto"/>
        <w:ind w:left="0" w:right="0" w:firstLine="0"/>
        <w:jc w:val="left"/>
      </w:pPr>
      <w:r>
        <w:rPr>
          <w:color w:val="000000"/>
          <w:spacing w:val="0"/>
          <w:w w:val="100"/>
          <w:position w:val="0"/>
        </w:rPr>
        <w:t>法定代表人：杜力</w:t>
      </w:r>
    </w:p>
    <w:p>
      <w:pPr>
        <w:pStyle w:val="Style26"/>
        <w:keepNext w:val="0"/>
        <w:keepLines w:val="0"/>
        <w:framePr w:w="2549" w:h="264" w:hSpace="2" w:wrap="notBeside" w:vAnchor="text" w:hAnchor="text" w:x="3262" w:y="1950"/>
        <w:widowControl w:val="0"/>
        <w:shd w:val="clear" w:color="auto" w:fill="auto"/>
        <w:bidi w:val="0"/>
        <w:spacing w:before="0" w:after="0" w:line="240" w:lineRule="auto"/>
        <w:ind w:left="0" w:right="0" w:firstLine="0"/>
        <w:jc w:val="center"/>
      </w:pPr>
      <w:r>
        <w:rPr>
          <w:color w:val="000000"/>
          <w:spacing w:val="0"/>
          <w:w w:val="100"/>
          <w:position w:val="0"/>
        </w:rPr>
        <w:t>主管会计工作负责人：赵岑</w:t>
      </w:r>
    </w:p>
    <w:p>
      <w:pPr>
        <w:pStyle w:val="Style26"/>
        <w:keepNext w:val="0"/>
        <w:keepLines w:val="0"/>
        <w:framePr w:w="2131" w:h="264" w:hSpace="2" w:wrap="notBeside" w:vAnchor="text" w:hAnchor="text" w:x="7452" w:y="1950"/>
        <w:widowControl w:val="0"/>
        <w:shd w:val="clear" w:color="auto" w:fill="auto"/>
        <w:bidi w:val="0"/>
        <w:spacing w:before="0" w:after="0" w:line="240" w:lineRule="auto"/>
        <w:ind w:left="0" w:right="0" w:firstLine="0"/>
        <w:jc w:val="left"/>
      </w:pPr>
      <w:r>
        <w:rPr>
          <w:color w:val="000000"/>
          <w:spacing w:val="0"/>
          <w:w w:val="100"/>
          <w:position w:val="0"/>
        </w:rPr>
        <w:t>会计机构负责人：赵岑</w:t>
      </w:r>
    </w:p>
    <w:p>
      <w:pPr>
        <w:widowControl w:val="0"/>
        <w:spacing w:line="1" w:lineRule="exact"/>
      </w:pPr>
    </w:p>
    <w:p>
      <w:pPr>
        <w:pStyle w:val="Style30"/>
        <w:keepNext/>
        <w:keepLines/>
        <w:widowControl w:val="0"/>
        <w:shd w:val="clear" w:color="auto" w:fill="auto"/>
        <w:bidi w:val="0"/>
        <w:spacing w:before="0" w:after="340" w:line="240" w:lineRule="auto"/>
        <w:ind w:left="0" w:right="0" w:firstLine="0"/>
        <w:jc w:val="left"/>
      </w:pPr>
      <w:bookmarkStart w:id="674" w:name="bookmark674"/>
      <w:bookmarkStart w:id="675" w:name="bookmark675"/>
      <w:bookmarkStart w:id="676" w:name="bookmark676"/>
      <w:r>
        <w:rPr>
          <w:rFonts w:ascii="Times New Roman" w:eastAsia="Times New Roman" w:hAnsi="Times New Roman" w:cs="Times New Roman"/>
          <w:color w:val="000000"/>
          <w:spacing w:val="0"/>
          <w:w w:val="100"/>
          <w:position w:val="0"/>
        </w:rPr>
        <w:t>2</w:t>
      </w:r>
      <w:r>
        <w:rPr>
          <w:color w:val="000000"/>
          <w:spacing w:val="0"/>
          <w:w w:val="100"/>
          <w:position w:val="0"/>
        </w:rPr>
        <w:t>、母公司资产负债表</w:t>
      </w:r>
      <w:bookmarkEnd w:id="674"/>
      <w:bookmarkEnd w:id="675"/>
      <w:bookmarkEnd w:id="67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264"/>
        <w:gridCol w:w="1714"/>
        <w:gridCol w:w="1718"/>
      </w:tblGrid>
      <w:tr>
        <w:trPr>
          <w:trHeight w:val="32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713,432,749.17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47,990,675.16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以公允价值计量且其变动计入当期损益的金融资产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11,266,409.44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158,976,986.93</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7,605,147.55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193,504,674.44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6,399,119.87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2,180,241,537.29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46,915,511.25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存货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228,007.20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77,339,238.01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412,353,025.03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3,597,930.72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3,325,126,875.68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534,724,136.38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10,781,652,375.62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141,112,700.00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16,044,334.73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390,148.16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194,864,856.10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3,327,823.65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固定资产清理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264"/>
        <w:gridCol w:w="1714"/>
        <w:gridCol w:w="1718"/>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8,182,550.95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171,773.61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5,119,763.05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1,218,161.96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788,975.38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1,188,743.00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67,288.60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10,784,621,202.35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369,508,292.46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14,109,748,078.03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904,232,428.84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以公允价值计量且其变动计入当期损益的金融负债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116,873,274.27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46,740,805.89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56,472,268.74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6,626,228.91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1,553,874.50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2,429,094.58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4,680,577.41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1,237,199.73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4,321,451.08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11,891,666.66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4,161,471.50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7,280,790.29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437,930.44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73,524,397.71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191,182,236.29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应付债券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2,916,373,994.54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专项应付款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264"/>
        <w:gridCol w:w="1714"/>
        <w:gridCol w:w="1718"/>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3,670,000.00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1,670,000.00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1,108.06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377,045.95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2,920,045,102.60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2,047,045.95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2,993,569,500.31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193,229,282.24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股本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936,127,750.00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200,000,000.00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10,021,687,302.84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427,808,758.31</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40,336,352.49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32,819,438.83</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118,027,172.39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50,374,949.46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11,116,178,577.72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711,003,146.60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14,109,748,078.03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904,232,428.84</w:t>
            </w:r>
          </w:p>
        </w:tc>
      </w:tr>
    </w:tbl>
    <w:p>
      <w:pPr>
        <w:pStyle w:val="Style26"/>
        <w:keepNext w:val="0"/>
        <w:keepLines w:val="0"/>
        <w:widowControl w:val="0"/>
        <w:shd w:val="clear" w:color="auto" w:fill="auto"/>
        <w:bidi w:val="0"/>
        <w:spacing w:before="0" w:after="0" w:line="240" w:lineRule="auto"/>
        <w:ind w:left="0" w:right="0" w:firstLine="0"/>
        <w:jc w:val="left"/>
      </w:pPr>
      <w:bookmarkStart w:id="677" w:name="bookmark677"/>
      <w:r>
        <w:rPr>
          <w:rFonts w:ascii="Times New Roman" w:eastAsia="Times New Roman" w:hAnsi="Times New Roman" w:cs="Times New Roman"/>
          <w:b/>
          <w:bCs/>
          <w:color w:val="000000"/>
          <w:spacing w:val="0"/>
          <w:w w:val="100"/>
          <w:position w:val="0"/>
        </w:rPr>
        <w:t>3</w:t>
      </w:r>
      <w:r>
        <w:rPr>
          <w:b/>
          <w:bCs/>
          <w:color w:val="000000"/>
          <w:spacing w:val="0"/>
          <w:w w:val="100"/>
          <w:position w:val="0"/>
        </w:rPr>
        <w:t>、合并利润表</w:t>
      </w:r>
      <w:bookmarkEnd w:id="677"/>
    </w:p>
    <w:p>
      <w:pPr>
        <w:widowControl w:val="0"/>
        <w:spacing w:after="33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264"/>
        <w:gridCol w:w="1714"/>
        <w:gridCol w:w="1718"/>
      </w:tblGrid>
      <w:tr>
        <w:trPr>
          <w:trHeight w:val="32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1,641,860,329.98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1,049,493,193.33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823,254,691.70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1,049,493,193.33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08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335,514,816.76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080" w:right="0" w:firstLine="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080" w:right="0" w:firstLine="0"/>
              <w:jc w:val="left"/>
            </w:pPr>
            <w:r>
              <w:rPr>
                <w:color w:val="000000"/>
                <w:spacing w:val="0"/>
                <w:w w:val="100"/>
                <w:position w:val="0"/>
              </w:rPr>
              <w:t>手续费及佣金收入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483,090,821.52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1,284,116,034.89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1,023,176,847.88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其中：营业成本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684,491,530.17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906,896,335.09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08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107,628,562.44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080" w:right="0" w:firstLine="0"/>
              <w:jc w:val="left"/>
            </w:pPr>
            <w:r>
              <w:rPr>
                <w:color w:val="000000"/>
                <w:spacing w:val="0"/>
                <w:w w:val="100"/>
                <w:position w:val="0"/>
              </w:rPr>
              <w:t>手续费及佣金支出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101,870,980.70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080" w:right="0" w:firstLine="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080" w:right="0" w:firstLine="0"/>
              <w:jc w:val="left"/>
            </w:pPr>
            <w:r>
              <w:rPr>
                <w:color w:val="000000"/>
                <w:spacing w:val="0"/>
                <w:w w:val="100"/>
                <w:position w:val="0"/>
              </w:rPr>
              <w:t>赔付支出净额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264"/>
        <w:gridCol w:w="1714"/>
        <w:gridCol w:w="1718"/>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080" w:right="0" w:firstLine="0"/>
              <w:jc w:val="left"/>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080" w:right="0" w:firstLine="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080" w:right="0" w:firstLine="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080" w:right="0" w:firstLine="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14,136,985.82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6,052,400.05</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08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27,475,614.25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25,361,276.40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08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361,398,447.76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60,792,140.43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08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-15,326,148.61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21,285,621.15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080" w:right="0" w:firstLine="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2,440,062.36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2,789,074.76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加：公允价值变动收益（损失以</w:t>
            </w:r>
            <w:r>
              <w:rPr>
                <w:i/>
                <w:iCs/>
                <w:color w:val="000000"/>
                <w:spacing w:val="0"/>
                <w:w w:val="100"/>
                <w:position w:val="0"/>
              </w:rPr>
              <w:t>"</w:t>
            </w:r>
            <w:r>
              <w:rPr>
                <w:i/>
                <w:iCs/>
                <w:color w:val="000000"/>
                <w:spacing w:val="0"/>
                <w:w w:val="100"/>
                <w:position w:val="0"/>
                <w:sz w:val="13"/>
                <w:szCs w:val="13"/>
              </w:rPr>
              <w:t>―</w:t>
            </w:r>
            <w:r>
              <w:rPr>
                <w:i/>
                <w:iCs/>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140,390,574.39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6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171,181,192.88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6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2,726,738.75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60"/>
              <w:jc w:val="left"/>
            </w:pPr>
            <w:r>
              <w:rPr>
                <w:color w:val="000000"/>
                <w:spacing w:val="0"/>
                <w:w w:val="100"/>
                <w:position w:val="0"/>
              </w:rPr>
              <w:t>汇兑收益（损失以</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1,187,898.59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670,503,960.95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26,316,345.45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13,127,740.24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6,902,376.82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60"/>
              <w:jc w:val="left"/>
            </w:pPr>
            <w:r>
              <w:rPr>
                <w:color w:val="000000"/>
                <w:spacing w:val="0"/>
                <w:w w:val="100"/>
                <w:position w:val="0"/>
              </w:rPr>
              <w:t>其中：非流动资产处置利得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82,053.68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34,077.90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6,479,617.97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1,623,114.76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6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1,077,523.60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1,120,005.14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677,152,083.22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31,595,607.51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178,313,545.40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5,550,407.41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498,838,537.82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26,045,200.10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498,145,590.82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26,163,454.80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少数股东损益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692,947.00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-118,254.70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-36,295,218.25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归属母公司所有者的其他综合收益的税后净额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-36,295,218.25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（一）以后不能重分类进损益的其他综合收益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1080"/>
              <w:jc w:val="left"/>
            </w:pPr>
            <w:r>
              <w:rPr>
                <w:rFonts w:ascii="Times New Roman" w:eastAsia="Times New Roman" w:hAnsi="Times New Roman" w:cs="Times New Roman"/>
                <w:color w:val="000000"/>
                <w:spacing w:val="0"/>
                <w:w w:val="100"/>
                <w:position w:val="0"/>
              </w:rPr>
              <w:t>2.</w:t>
            </w:r>
            <w:r>
              <w:rPr>
                <w:color w:val="000000"/>
                <w:spacing w:val="0"/>
                <w:w w:val="100"/>
                <w:position w:val="0"/>
              </w:rPr>
              <w:t>权益法下在被投资单位不能重分类进损益的其他综合 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（二）以后将重分类进损益的其他综合收益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-36,295,218.25</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1080"/>
              <w:jc w:val="left"/>
            </w:pPr>
            <w:r>
              <w:rPr>
                <w:rFonts w:ascii="Times New Roman" w:eastAsia="Times New Roman" w:hAnsi="Times New Roman" w:cs="Times New Roman"/>
                <w:color w:val="000000"/>
                <w:spacing w:val="0"/>
                <w:w w:val="100"/>
                <w:position w:val="0"/>
              </w:rPr>
              <w:t>1.</w:t>
            </w:r>
            <w:r>
              <w:rPr>
                <w:color w:val="000000"/>
                <w:spacing w:val="0"/>
                <w:w w:val="100"/>
                <w:position w:val="0"/>
              </w:rPr>
              <w:t>权益法下在被投资单位以后将重分类进损益的其他综 合收益中享有的份额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-4,023,508.45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可供出售金融资产公允价值变动损益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-32,355,788.85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持有至到期投资重分类为可供出售金融资产损益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现金流量套期损益的有效部分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外币财务报表折算差额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84,079.05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left"/>
        <w:tblLayout w:type="fixed"/>
      </w:tblPr>
      <w:tblGrid>
        <w:gridCol w:w="6264"/>
        <w:gridCol w:w="1714"/>
        <w:gridCol w:w="1718"/>
      </w:tblGrid>
      <w:tr>
        <w:trPr>
          <w:trHeight w:val="403" w:hRule="exact"/>
        </w:trPr>
        <w:tc>
          <w:tcPr>
            <w:tcBorders>
              <w:top w:val="single" w:sz="4"/>
              <w:left w:val="single" w:sz="4"/>
            </w:tcBorders>
            <w:shd w:val="clear" w:color="auto" w:fill="D3D3D3"/>
            <w:vAlign w:val="center"/>
          </w:tcPr>
          <w:p>
            <w:pPr>
              <w:pStyle w:val="Style20"/>
              <w:keepNext w:val="0"/>
              <w:keepLines w:val="0"/>
              <w:framePr w:w="9696" w:h="3230" w:hSpace="14" w:vSpace="590" w:wrap="notBeside" w:vAnchor="text" w:hAnchor="text" w:x="17" w:y="1"/>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其他</w:t>
            </w:r>
          </w:p>
        </w:tc>
        <w:tc>
          <w:tcPr>
            <w:tcBorders>
              <w:top w:val="single" w:sz="4"/>
              <w:left w:val="single" w:sz="4"/>
            </w:tcBorders>
            <w:shd w:val="clear" w:color="auto" w:fill="FFFFFF"/>
            <w:vAlign w:val="top"/>
          </w:tcPr>
          <w:p>
            <w:pPr>
              <w:framePr w:w="9696" w:h="3230" w:hSpace="14" w:vSpace="590" w:wrap="notBeside" w:vAnchor="text" w:hAnchor="text" w:x="17" w:y="1"/>
              <w:widowControl w:val="0"/>
              <w:rPr>
                <w:sz w:val="10"/>
                <w:szCs w:val="10"/>
              </w:rPr>
            </w:pPr>
          </w:p>
        </w:tc>
        <w:tc>
          <w:tcPr>
            <w:tcBorders>
              <w:top w:val="single" w:sz="4"/>
              <w:left w:val="single" w:sz="4"/>
              <w:right w:val="single" w:sz="4"/>
            </w:tcBorders>
            <w:shd w:val="clear" w:color="auto" w:fill="FFFFFF"/>
            <w:vAlign w:val="top"/>
          </w:tcPr>
          <w:p>
            <w:pPr>
              <w:framePr w:w="9696" w:h="3230" w:hSpace="14" w:vSpace="590" w:wrap="notBeside" w:vAnchor="text" w:hAnchor="text" w:x="17" w:y="1"/>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framePr w:w="9696" w:h="3230" w:hSpace="14" w:vSpace="590" w:wrap="notBeside" w:vAnchor="text" w:hAnchor="text" w:x="17" w:y="1"/>
              <w:widowControl w:val="0"/>
              <w:shd w:val="clear" w:color="auto" w:fill="auto"/>
              <w:bidi w:val="0"/>
              <w:spacing w:before="0" w:after="0" w:line="240" w:lineRule="auto"/>
              <w:ind w:left="0" w:right="0" w:firstLine="440"/>
              <w:jc w:val="left"/>
            </w:pPr>
            <w:r>
              <w:rPr>
                <w:color w:val="000000"/>
                <w:spacing w:val="0"/>
                <w:w w:val="100"/>
                <w:position w:val="0"/>
              </w:rPr>
              <w:t>归属于少数股东的其他综合收益的税后净额</w:t>
            </w:r>
          </w:p>
        </w:tc>
        <w:tc>
          <w:tcPr>
            <w:tcBorders>
              <w:top w:val="single" w:sz="4"/>
              <w:left w:val="single" w:sz="4"/>
            </w:tcBorders>
            <w:shd w:val="clear" w:color="auto" w:fill="FFFFFF"/>
            <w:vAlign w:val="top"/>
          </w:tcPr>
          <w:p>
            <w:pPr>
              <w:framePr w:w="9696" w:h="3230" w:hSpace="14" w:vSpace="590" w:wrap="notBeside" w:vAnchor="text" w:hAnchor="text" w:x="17" w:y="1"/>
              <w:widowControl w:val="0"/>
              <w:rPr>
                <w:sz w:val="10"/>
                <w:szCs w:val="10"/>
              </w:rPr>
            </w:pPr>
          </w:p>
        </w:tc>
        <w:tc>
          <w:tcPr>
            <w:tcBorders>
              <w:top w:val="single" w:sz="4"/>
              <w:left w:val="single" w:sz="4"/>
              <w:right w:val="single" w:sz="4"/>
            </w:tcBorders>
            <w:shd w:val="clear" w:color="auto" w:fill="FFFFFF"/>
            <w:vAlign w:val="top"/>
          </w:tcPr>
          <w:p>
            <w:pPr>
              <w:framePr w:w="9696" w:h="3230" w:hSpace="14" w:vSpace="590" w:wrap="notBeside" w:vAnchor="text" w:hAnchor="text" w:x="17" w:y="1"/>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framePr w:w="9696" w:h="3230" w:hSpace="14" w:vSpace="590" w:wrap="notBeside" w:vAnchor="text" w:hAnchor="text" w:x="17" w:y="1"/>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0"/>
              <w:keepNext w:val="0"/>
              <w:keepLines w:val="0"/>
              <w:framePr w:w="9696" w:h="3230" w:hSpace="14" w:vSpace="590" w:wrap="notBeside" w:vAnchor="text" w:hAnchor="text" w:x="17" w:y="1"/>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462,543,319.57</w:t>
            </w:r>
          </w:p>
        </w:tc>
        <w:tc>
          <w:tcPr>
            <w:tcBorders>
              <w:top w:val="single" w:sz="4"/>
              <w:left w:val="single" w:sz="4"/>
              <w:right w:val="single" w:sz="4"/>
            </w:tcBorders>
            <w:shd w:val="clear" w:color="auto" w:fill="FFFFFF"/>
            <w:vAlign w:val="center"/>
          </w:tcPr>
          <w:p>
            <w:pPr>
              <w:pStyle w:val="Style20"/>
              <w:keepNext w:val="0"/>
              <w:keepLines w:val="0"/>
              <w:framePr w:w="9696" w:h="3230" w:hSpace="14" w:vSpace="590" w:wrap="notBeside" w:vAnchor="text" w:hAnchor="text" w:x="17" w:y="1"/>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26,045,200.10</w:t>
            </w:r>
          </w:p>
        </w:tc>
      </w:tr>
      <w:tr>
        <w:trPr>
          <w:trHeight w:val="403" w:hRule="exact"/>
        </w:trPr>
        <w:tc>
          <w:tcPr>
            <w:tcBorders>
              <w:top w:val="single" w:sz="4"/>
              <w:left w:val="single" w:sz="4"/>
            </w:tcBorders>
            <w:shd w:val="clear" w:color="auto" w:fill="D3D3D3"/>
            <w:vAlign w:val="center"/>
          </w:tcPr>
          <w:p>
            <w:pPr>
              <w:pStyle w:val="Style20"/>
              <w:keepNext w:val="0"/>
              <w:keepLines w:val="0"/>
              <w:framePr w:w="9696" w:h="3230" w:hSpace="14" w:vSpace="590" w:wrap="notBeside" w:vAnchor="text" w:hAnchor="text" w:x="17" w:y="1"/>
              <w:widowControl w:val="0"/>
              <w:shd w:val="clear" w:color="auto" w:fill="auto"/>
              <w:bidi w:val="0"/>
              <w:spacing w:before="0" w:after="0" w:line="240" w:lineRule="auto"/>
              <w:ind w:left="0" w:right="0" w:firstLine="440"/>
              <w:jc w:val="left"/>
            </w:pPr>
            <w:r>
              <w:rPr>
                <w:color w:val="000000"/>
                <w:spacing w:val="0"/>
                <w:w w:val="100"/>
                <w:position w:val="0"/>
              </w:rPr>
              <w:t>归属于母公司所有者的综合收益总额</w:t>
            </w:r>
          </w:p>
        </w:tc>
        <w:tc>
          <w:tcPr>
            <w:tcBorders>
              <w:top w:val="single" w:sz="4"/>
              <w:left w:val="single" w:sz="4"/>
            </w:tcBorders>
            <w:shd w:val="clear" w:color="auto" w:fill="FFFFFF"/>
            <w:vAlign w:val="center"/>
          </w:tcPr>
          <w:p>
            <w:pPr>
              <w:pStyle w:val="Style20"/>
              <w:keepNext w:val="0"/>
              <w:keepLines w:val="0"/>
              <w:framePr w:w="9696" w:h="3230" w:hSpace="14" w:vSpace="590" w:wrap="notBeside" w:vAnchor="text" w:hAnchor="text" w:x="17" w:y="1"/>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461,850,372.57</w:t>
            </w:r>
          </w:p>
        </w:tc>
        <w:tc>
          <w:tcPr>
            <w:tcBorders>
              <w:top w:val="single" w:sz="4"/>
              <w:left w:val="single" w:sz="4"/>
              <w:right w:val="single" w:sz="4"/>
            </w:tcBorders>
            <w:shd w:val="clear" w:color="auto" w:fill="FFFFFF"/>
            <w:vAlign w:val="center"/>
          </w:tcPr>
          <w:p>
            <w:pPr>
              <w:pStyle w:val="Style20"/>
              <w:keepNext w:val="0"/>
              <w:keepLines w:val="0"/>
              <w:framePr w:w="9696" w:h="3230" w:hSpace="14" w:vSpace="590" w:wrap="notBeside" w:vAnchor="text" w:hAnchor="text" w:x="17" w:y="1"/>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26,163,454.80</w:t>
            </w:r>
          </w:p>
        </w:tc>
      </w:tr>
      <w:tr>
        <w:trPr>
          <w:trHeight w:val="398" w:hRule="exact"/>
        </w:trPr>
        <w:tc>
          <w:tcPr>
            <w:tcBorders>
              <w:top w:val="single" w:sz="4"/>
              <w:left w:val="single" w:sz="4"/>
            </w:tcBorders>
            <w:shd w:val="clear" w:color="auto" w:fill="D3D3D3"/>
            <w:vAlign w:val="center"/>
          </w:tcPr>
          <w:p>
            <w:pPr>
              <w:pStyle w:val="Style20"/>
              <w:keepNext w:val="0"/>
              <w:keepLines w:val="0"/>
              <w:framePr w:w="9696" w:h="3230" w:hSpace="14" w:vSpace="590" w:wrap="notBeside" w:vAnchor="text" w:hAnchor="text" w:x="17" w:y="1"/>
              <w:widowControl w:val="0"/>
              <w:shd w:val="clear" w:color="auto" w:fill="auto"/>
              <w:bidi w:val="0"/>
              <w:spacing w:before="0" w:after="0" w:line="240" w:lineRule="auto"/>
              <w:ind w:left="0" w:right="0" w:firstLine="44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0"/>
              <w:keepNext w:val="0"/>
              <w:keepLines w:val="0"/>
              <w:framePr w:w="9696" w:h="3230" w:hSpace="14" w:vSpace="590" w:wrap="notBeside" w:vAnchor="text" w:hAnchor="text" w:x="17"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692,947.00</w:t>
            </w:r>
          </w:p>
        </w:tc>
        <w:tc>
          <w:tcPr>
            <w:tcBorders>
              <w:top w:val="single" w:sz="4"/>
              <w:left w:val="single" w:sz="4"/>
              <w:right w:val="single" w:sz="4"/>
            </w:tcBorders>
            <w:shd w:val="clear" w:color="auto" w:fill="FFFFFF"/>
            <w:vAlign w:val="center"/>
          </w:tcPr>
          <w:p>
            <w:pPr>
              <w:pStyle w:val="Style20"/>
              <w:keepNext w:val="0"/>
              <w:keepLines w:val="0"/>
              <w:framePr w:w="9696" w:h="3230" w:hSpace="14" w:vSpace="590" w:wrap="notBeside" w:vAnchor="text" w:hAnchor="text" w:x="17"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-118,254.70</w:t>
            </w:r>
          </w:p>
        </w:tc>
      </w:tr>
      <w:tr>
        <w:trPr>
          <w:trHeight w:val="403" w:hRule="exact"/>
        </w:trPr>
        <w:tc>
          <w:tcPr>
            <w:tcBorders>
              <w:top w:val="single" w:sz="4"/>
              <w:left w:val="single" w:sz="4"/>
            </w:tcBorders>
            <w:shd w:val="clear" w:color="auto" w:fill="D3D3D3"/>
            <w:vAlign w:val="center"/>
          </w:tcPr>
          <w:p>
            <w:pPr>
              <w:pStyle w:val="Style20"/>
              <w:keepNext w:val="0"/>
              <w:keepLines w:val="0"/>
              <w:framePr w:w="9696" w:h="3230" w:hSpace="14" w:vSpace="590" w:wrap="notBeside" w:vAnchor="text" w:hAnchor="text" w:x="17" w:y="1"/>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framePr w:w="9696" w:h="3230" w:hSpace="14" w:vSpace="590" w:wrap="notBeside" w:vAnchor="text" w:hAnchor="text" w:x="17" w:y="1"/>
              <w:widowControl w:val="0"/>
              <w:rPr>
                <w:sz w:val="10"/>
                <w:szCs w:val="10"/>
              </w:rPr>
            </w:pPr>
          </w:p>
        </w:tc>
        <w:tc>
          <w:tcPr>
            <w:tcBorders>
              <w:top w:val="single" w:sz="4"/>
              <w:left w:val="single" w:sz="4"/>
              <w:right w:val="single" w:sz="4"/>
            </w:tcBorders>
            <w:shd w:val="clear" w:color="auto" w:fill="D3D3D3"/>
            <w:vAlign w:val="top"/>
          </w:tcPr>
          <w:p>
            <w:pPr>
              <w:framePr w:w="9696" w:h="3230" w:hSpace="14" w:vSpace="590" w:wrap="notBeside" w:vAnchor="text" w:hAnchor="text" w:x="17" w:y="1"/>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framePr w:w="9696" w:h="3230" w:hSpace="14" w:vSpace="590" w:wrap="notBeside" w:vAnchor="text" w:hAnchor="text" w:x="17" w:y="1"/>
              <w:widowControl w:val="0"/>
              <w:shd w:val="clear" w:color="auto" w:fill="auto"/>
              <w:bidi w:val="0"/>
              <w:spacing w:before="0" w:after="0" w:line="240" w:lineRule="auto"/>
              <w:ind w:left="0" w:right="0" w:firstLine="44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0"/>
              <w:keepNext w:val="0"/>
              <w:keepLines w:val="0"/>
              <w:framePr w:w="9696" w:h="3230" w:hSpace="14" w:vSpace="590" w:wrap="notBeside" w:vAnchor="text" w:hAnchor="text" w:x="17"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0.7915</w:t>
            </w:r>
          </w:p>
        </w:tc>
        <w:tc>
          <w:tcPr>
            <w:tcBorders>
              <w:top w:val="single" w:sz="4"/>
              <w:left w:val="single" w:sz="4"/>
              <w:right w:val="single" w:sz="4"/>
            </w:tcBorders>
            <w:shd w:val="clear" w:color="auto" w:fill="FFFFFF"/>
            <w:vAlign w:val="center"/>
          </w:tcPr>
          <w:p>
            <w:pPr>
              <w:pStyle w:val="Style20"/>
              <w:keepNext w:val="0"/>
              <w:keepLines w:val="0"/>
              <w:framePr w:w="9696" w:h="3230" w:hSpace="14" w:vSpace="590" w:wrap="notBeside" w:vAnchor="text" w:hAnchor="text" w:x="17"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0.1308</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framePr w:w="9696" w:h="3230" w:hSpace="14" w:vSpace="590" w:wrap="notBeside" w:vAnchor="text" w:hAnchor="text" w:x="17" w:y="1"/>
              <w:widowControl w:val="0"/>
              <w:shd w:val="clear" w:color="auto" w:fill="auto"/>
              <w:bidi w:val="0"/>
              <w:spacing w:before="0" w:after="0" w:line="240" w:lineRule="auto"/>
              <w:ind w:left="0" w:right="0" w:firstLine="44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0"/>
              <w:keepNext w:val="0"/>
              <w:keepLines w:val="0"/>
              <w:framePr w:w="9696" w:h="3230" w:hSpace="14" w:vSpace="590" w:wrap="notBeside" w:vAnchor="text" w:hAnchor="text" w:x="17"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0.7915</w:t>
            </w:r>
          </w:p>
        </w:tc>
        <w:tc>
          <w:tcPr>
            <w:tcBorders>
              <w:top w:val="single" w:sz="4"/>
              <w:left w:val="single" w:sz="4"/>
              <w:bottom w:val="single" w:sz="4"/>
              <w:right w:val="single" w:sz="4"/>
            </w:tcBorders>
            <w:shd w:val="clear" w:color="auto" w:fill="FFFFFF"/>
            <w:vAlign w:val="center"/>
          </w:tcPr>
          <w:p>
            <w:pPr>
              <w:pStyle w:val="Style20"/>
              <w:keepNext w:val="0"/>
              <w:keepLines w:val="0"/>
              <w:framePr w:w="9696" w:h="3230" w:hSpace="14" w:vSpace="590" w:wrap="notBeside" w:vAnchor="text" w:hAnchor="text" w:x="17"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0.1308</w:t>
            </w:r>
          </w:p>
        </w:tc>
      </w:tr>
    </w:tbl>
    <w:p>
      <w:pPr>
        <w:pStyle w:val="Style26"/>
        <w:keepNext w:val="0"/>
        <w:keepLines w:val="0"/>
        <w:framePr w:w="1714" w:h="264" w:hSpace="2" w:wrap="notBeside" w:vAnchor="text" w:hAnchor="text" w:x="3" w:y="3558"/>
        <w:widowControl w:val="0"/>
        <w:shd w:val="clear" w:color="auto" w:fill="auto"/>
        <w:bidi w:val="0"/>
        <w:spacing w:before="0" w:after="0" w:line="240" w:lineRule="auto"/>
        <w:ind w:left="0" w:right="0" w:firstLine="0"/>
        <w:jc w:val="left"/>
      </w:pPr>
      <w:r>
        <w:rPr>
          <w:color w:val="000000"/>
          <w:spacing w:val="0"/>
          <w:w w:val="100"/>
          <w:position w:val="0"/>
        </w:rPr>
        <w:t>法定代表人：杜力</w:t>
      </w:r>
    </w:p>
    <w:p>
      <w:pPr>
        <w:pStyle w:val="Style26"/>
        <w:keepNext w:val="0"/>
        <w:keepLines w:val="0"/>
        <w:framePr w:w="2549" w:h="264" w:hSpace="2" w:wrap="notBeside" w:vAnchor="text" w:hAnchor="text" w:x="3363" w:y="3558"/>
        <w:widowControl w:val="0"/>
        <w:shd w:val="clear" w:color="auto" w:fill="auto"/>
        <w:bidi w:val="0"/>
        <w:spacing w:before="0" w:after="0" w:line="240" w:lineRule="auto"/>
        <w:ind w:left="0" w:right="0" w:firstLine="0"/>
        <w:jc w:val="center"/>
      </w:pPr>
      <w:r>
        <w:rPr>
          <w:color w:val="000000"/>
          <w:spacing w:val="0"/>
          <w:w w:val="100"/>
          <w:position w:val="0"/>
        </w:rPr>
        <w:t>主管会计工作负责人：赵岑</w:t>
      </w:r>
    </w:p>
    <w:p>
      <w:pPr>
        <w:pStyle w:val="Style26"/>
        <w:keepNext w:val="0"/>
        <w:keepLines w:val="0"/>
        <w:framePr w:w="2131" w:h="264" w:hSpace="2" w:wrap="notBeside" w:vAnchor="text" w:hAnchor="text" w:x="7452" w:y="3558"/>
        <w:widowControl w:val="0"/>
        <w:shd w:val="clear" w:color="auto" w:fill="auto"/>
        <w:bidi w:val="0"/>
        <w:spacing w:before="0" w:after="0" w:line="240" w:lineRule="auto"/>
        <w:ind w:left="0" w:right="0" w:firstLine="0"/>
        <w:jc w:val="left"/>
      </w:pPr>
      <w:r>
        <w:rPr>
          <w:color w:val="000000"/>
          <w:spacing w:val="0"/>
          <w:w w:val="100"/>
          <w:position w:val="0"/>
        </w:rPr>
        <w:t>会计机构负责人：赵岑</w:t>
      </w:r>
    </w:p>
    <w:p>
      <w:pPr>
        <w:widowControl w:val="0"/>
        <w:spacing w:line="1" w:lineRule="exact"/>
      </w:pPr>
    </w:p>
    <w:p>
      <w:pPr>
        <w:pStyle w:val="Style30"/>
        <w:keepNext/>
        <w:keepLines/>
        <w:widowControl w:val="0"/>
        <w:shd w:val="clear" w:color="auto" w:fill="auto"/>
        <w:bidi w:val="0"/>
        <w:spacing w:before="0" w:after="360" w:line="240" w:lineRule="auto"/>
        <w:ind w:left="0" w:right="0" w:firstLine="0"/>
        <w:jc w:val="left"/>
      </w:pPr>
      <w:bookmarkStart w:id="678" w:name="bookmark678"/>
      <w:bookmarkStart w:id="679" w:name="bookmark679"/>
      <w:bookmarkStart w:id="680" w:name="bookmark680"/>
      <w:bookmarkStart w:id="681" w:name="bookmark681"/>
      <w:r>
        <w:rPr>
          <w:rFonts w:ascii="Times New Roman" w:eastAsia="Times New Roman" w:hAnsi="Times New Roman" w:cs="Times New Roman"/>
          <w:color w:val="000000"/>
          <w:spacing w:val="0"/>
          <w:w w:val="100"/>
          <w:position w:val="0"/>
        </w:rPr>
        <w:t>4</w:t>
      </w:r>
      <w:bookmarkEnd w:id="680"/>
      <w:r>
        <w:rPr>
          <w:color w:val="000000"/>
          <w:spacing w:val="0"/>
          <w:w w:val="100"/>
          <w:position w:val="0"/>
        </w:rPr>
        <w:t>、母公司利润表</w:t>
      </w:r>
      <w:bookmarkEnd w:id="678"/>
      <w:bookmarkEnd w:id="679"/>
      <w:bookmarkEnd w:id="68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264"/>
        <w:gridCol w:w="1714"/>
        <w:gridCol w:w="1718"/>
      </w:tblGrid>
      <w:tr>
        <w:trPr>
          <w:trHeight w:val="32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308,291,275.39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826,155,747.09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270,815,127.90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744,347,922.64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6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1,339,592.52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3,418,863.82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6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7,975,801.35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18,358,417.14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6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23,849,065.95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40,172,869.70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6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-20,532,237.90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14,916,933.96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6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2,229,072.42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2,395,326.65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加：公允价值变动收益（损失以</w:t>
            </w:r>
            <w:r>
              <w:rPr>
                <w:i/>
                <w:iCs/>
                <w:color w:val="000000"/>
                <w:spacing w:val="0"/>
                <w:w w:val="100"/>
                <w:position w:val="0"/>
              </w:rPr>
              <w:t>"</w:t>
            </w:r>
            <w:r>
              <w:rPr>
                <w:i/>
                <w:iCs/>
                <w:color w:val="000000"/>
                <w:spacing w:val="0"/>
                <w:w w:val="100"/>
                <w:position w:val="0"/>
                <w:sz w:val="13"/>
                <w:szCs w:val="13"/>
              </w:rPr>
              <w:t>―</w:t>
            </w:r>
            <w:r>
              <w:rPr>
                <w:i/>
                <w:iCs/>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6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54,500,000.00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6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77,114,853.15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2,545,413.18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7,706,599.48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6,144,327.38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60"/>
              <w:jc w:val="left"/>
            </w:pPr>
            <w:r>
              <w:rPr>
                <w:color w:val="000000"/>
                <w:spacing w:val="0"/>
                <w:w w:val="100"/>
                <w:position w:val="0"/>
              </w:rPr>
              <w:t>其中：非流动资产处置利得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34,077.90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1,668,549.91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1,078,154.51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6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449,569.95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638,242.54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83,152,902.72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7,611,586.05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7,983,766.13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1,521,330.67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75,169,136.59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6,090,255.38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（一）以后不能重分类进损益的其他综合收益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重新计量设定受益计划净负债或净资产的变动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264"/>
        <w:gridCol w:w="1714"/>
        <w:gridCol w:w="1718"/>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1080"/>
              <w:jc w:val="both"/>
            </w:pPr>
            <w:r>
              <w:rPr>
                <w:rFonts w:ascii="Times New Roman" w:eastAsia="Times New Roman" w:hAnsi="Times New Roman" w:cs="Times New Roman"/>
                <w:color w:val="000000"/>
                <w:spacing w:val="0"/>
                <w:w w:val="100"/>
                <w:position w:val="0"/>
              </w:rPr>
              <w:t>2.</w:t>
            </w:r>
            <w:r>
              <w:rPr>
                <w:color w:val="000000"/>
                <w:spacing w:val="0"/>
                <w:w w:val="100"/>
                <w:position w:val="0"/>
              </w:rPr>
              <w:t>权益法下在被投资单位不能重分类进损益的其他综合 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（二）以后将重分类进损益的其他综合收益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1080"/>
              <w:jc w:val="both"/>
            </w:pPr>
            <w:r>
              <w:rPr>
                <w:rFonts w:ascii="Times New Roman" w:eastAsia="Times New Roman" w:hAnsi="Times New Roman" w:cs="Times New Roman"/>
                <w:color w:val="000000"/>
                <w:spacing w:val="0"/>
                <w:w w:val="100"/>
                <w:position w:val="0"/>
              </w:rPr>
              <w:t>1.</w:t>
            </w:r>
            <w:r>
              <w:rPr>
                <w:color w:val="000000"/>
                <w:spacing w:val="0"/>
                <w:w w:val="100"/>
                <w:position w:val="0"/>
              </w:rPr>
              <w:t>权益法下在被投资单位以后将重分类进损益的其他综 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可供出售金融资产公允价值变动损益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持有至到期投资重分类为可供出售金融资产损益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现金流量套期损益的有效部分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75,169,136.59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6,090,255.38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0.1194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0.0305</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0.1194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0.0305</w:t>
            </w:r>
          </w:p>
        </w:tc>
      </w:tr>
    </w:tbl>
    <w:p>
      <w:pPr>
        <w:pStyle w:val="Style26"/>
        <w:keepNext w:val="0"/>
        <w:keepLines w:val="0"/>
        <w:widowControl w:val="0"/>
        <w:shd w:val="clear" w:color="auto" w:fill="auto"/>
        <w:bidi w:val="0"/>
        <w:spacing w:before="0" w:after="0" w:line="240" w:lineRule="auto"/>
        <w:ind w:left="0" w:right="0" w:firstLine="0"/>
        <w:jc w:val="left"/>
      </w:pPr>
      <w:bookmarkStart w:id="682" w:name="bookmark682"/>
      <w:r>
        <w:rPr>
          <w:rFonts w:ascii="Times New Roman" w:eastAsia="Times New Roman" w:hAnsi="Times New Roman" w:cs="Times New Roman"/>
          <w:b/>
          <w:bCs/>
          <w:color w:val="000000"/>
          <w:spacing w:val="0"/>
          <w:w w:val="100"/>
          <w:position w:val="0"/>
        </w:rPr>
        <w:t>5</w:t>
      </w:r>
      <w:r>
        <w:rPr>
          <w:b/>
          <w:bCs/>
          <w:color w:val="000000"/>
          <w:spacing w:val="0"/>
          <w:w w:val="100"/>
          <w:position w:val="0"/>
        </w:rPr>
        <w:t>、合并现金流量表</w:t>
      </w:r>
      <w:bookmarkEnd w:id="682"/>
    </w:p>
    <w:p>
      <w:pPr>
        <w:widowControl w:val="0"/>
        <w:spacing w:after="31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264"/>
        <w:gridCol w:w="1714"/>
        <w:gridCol w:w="1718"/>
      </w:tblGrid>
      <w:tr>
        <w:trPr>
          <w:trHeight w:val="32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1,112,837,596.18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1,210,669,353.34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440"/>
              <w:jc w:val="left"/>
            </w:pPr>
            <w:r>
              <w:rPr>
                <w:color w:val="000000"/>
                <w:spacing w:val="0"/>
                <w:w w:val="100"/>
                <w:position w:val="0"/>
              </w:rPr>
              <w:t>处置以公允价值计量且其变动计入当期损益的金融资产净增加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收取利息、手续费及佣金的现金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1,114,443,864.39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拆入资金净增加额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1,540,000,000.00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3,766,827.37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71,627,280.71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11,222,596.49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3,838,908,741.28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1,225,658,777.20</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购买商品、接受劳务支付的现金</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686,154,779.27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752,266,646.32</w:t>
            </w:r>
          </w:p>
        </w:tc>
      </w:tr>
    </w:tbl>
    <w:p>
      <w:pPr>
        <w:spacing w:lineRule="exact" w:line="1"/>
        <w:rPr>
          <w:sz w:val="2"/>
          <w:szCs w:val="2"/>
        </w:rPr>
      </w:pPr>
      <w:r>
        <w:br w:type="page"/>
      </w:r>
    </w:p>
    <w:tbl>
      <w:tblPr>
        <w:tblOverlap w:val="never"/>
        <w:jc w:val="center"/>
        <w:tblLayout w:type="fixed"/>
      </w:tblPr>
      <w:tblGrid>
        <w:gridCol w:w="6264"/>
        <w:gridCol w:w="1714"/>
        <w:gridCol w:w="1718"/>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E1FFFF"/>
            <w:vAlign w:val="center"/>
          </w:tcPr>
          <w:p>
            <w:pPr>
              <w:pStyle w:val="Style20"/>
              <w:keepNext w:val="0"/>
              <w:keepLines w:val="0"/>
              <w:widowControl w:val="0"/>
              <w:shd w:val="clear" w:color="auto" w:fill="auto"/>
              <w:bidi w:val="0"/>
              <w:spacing w:before="0" w:after="0" w:line="317" w:lineRule="exact"/>
              <w:ind w:left="0" w:right="0" w:firstLine="440"/>
              <w:jc w:val="left"/>
            </w:pPr>
            <w:r>
              <w:rPr>
                <w:color w:val="000000"/>
                <w:spacing w:val="0"/>
                <w:w w:val="100"/>
                <w:position w:val="0"/>
              </w:rPr>
              <w:t>处置以公允价值计量且其变动计入当期损益的金融资产净减少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3,866,566,946.56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1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回购业务资金净减少额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2,742,392,934.10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融出资金净增加额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234,772,167.31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代理买卖证券支付的现金净额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1,401,687,856.97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支付利息、手续费及佣金的现金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254,347,478.17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264,899,171.54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103,395,305.80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187,014,179.61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61,323,953.37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434,819,732.10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41,944,420.24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10,072,655,245.63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958,930,325.73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-6,233,746,504.35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266,728,451.47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32,900,000.00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39,383.35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处置固定资产、无形资产和其他长期资产收回的现金净额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669,014.72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105,161.98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9,132,721,810.22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9,166,330,208.29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105,161.98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购建固定资产、无形资产和其他长期资产支付的现金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27,177,467.11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25,878,390.48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449,170,000.00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3,465,000,057.86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3,941,347,524.97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25,878,390.48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5,224,982,683.32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-25,773,228.50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6,865,006,352.39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其中：子公司吸收少数股东投资收到的现金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100,000,000.00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219,802,933.47</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发行债券收到的现金</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4,710,000,000.00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264"/>
        <w:gridCol w:w="1714"/>
        <w:gridCol w:w="1718"/>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11,675,006,352.39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225,802,933.47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2,008,750,000.00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362,302,933.47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8,795,570.93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103,232,193.54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其中：子公司支付给少数股东的股利、利润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2,017,545,570.93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465,535,127.01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9,657,460,781.46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-239,732,193.54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2,586,215.39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199,926.70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8,651,283,175.82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1,422,956.13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40,749,878.15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39,326,922.02</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8,692,033,053.97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40,749,878.15</w:t>
            </w:r>
          </w:p>
        </w:tc>
      </w:tr>
    </w:tbl>
    <w:p>
      <w:pPr>
        <w:pStyle w:val="Style26"/>
        <w:keepNext w:val="0"/>
        <w:keepLines w:val="0"/>
        <w:widowControl w:val="0"/>
        <w:shd w:val="clear" w:color="auto" w:fill="auto"/>
        <w:bidi w:val="0"/>
        <w:spacing w:before="0" w:after="0" w:line="240" w:lineRule="auto"/>
        <w:ind w:left="0" w:right="0" w:firstLine="0"/>
        <w:jc w:val="left"/>
      </w:pPr>
      <w:bookmarkStart w:id="683" w:name="bookmark683"/>
      <w:r>
        <w:rPr>
          <w:rFonts w:ascii="Times New Roman" w:eastAsia="Times New Roman" w:hAnsi="Times New Roman" w:cs="Times New Roman"/>
          <w:b/>
          <w:bCs/>
          <w:color w:val="000000"/>
          <w:spacing w:val="0"/>
          <w:w w:val="100"/>
          <w:position w:val="0"/>
        </w:rPr>
        <w:t>6</w:t>
      </w:r>
      <w:r>
        <w:rPr>
          <w:b/>
          <w:bCs/>
          <w:color w:val="000000"/>
          <w:spacing w:val="0"/>
          <w:w w:val="100"/>
          <w:position w:val="0"/>
        </w:rPr>
        <w:t>、母公司现金流量表</w:t>
      </w:r>
      <w:bookmarkEnd w:id="683"/>
    </w:p>
    <w:p>
      <w:pPr>
        <w:widowControl w:val="0"/>
        <w:spacing w:after="33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264"/>
        <w:gridCol w:w="1714"/>
        <w:gridCol w:w="1718"/>
      </w:tblGrid>
      <w:tr>
        <w:trPr>
          <w:trHeight w:val="32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577,150,486.04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1,134,719,342.30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3,766,827.37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73,030,302.73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13,096,936.28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650,180,788.77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1,151,583,105.95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214,151,549.36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751,039,084.67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15,922,046.25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43,954,786.18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19,753,960.34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35,025,709.14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23,626,209.14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76,099,454.49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273,453,765.09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906,119,034.48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376,727,023.68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245,464,071.47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54,500,000.00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处置固定资产、无形资产和其他长期资产收回的现金净额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359,845.49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10,469,386.96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54,859,845.49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10,469,386.96</w:t>
            </w:r>
          </w:p>
        </w:tc>
      </w:tr>
    </w:tbl>
    <w:p>
      <w:pPr>
        <w:spacing w:lineRule="exact" w:line="1"/>
        <w:rPr>
          <w:sz w:val="2"/>
          <w:szCs w:val="2"/>
        </w:rPr>
      </w:pPr>
      <w:r>
        <w:br w:type="page"/>
      </w:r>
    </w:p>
    <w:tbl>
      <w:tblPr>
        <w:tblOverlap w:val="never"/>
        <w:jc w:val="center"/>
        <w:tblLayout w:type="fixed"/>
      </w:tblPr>
      <w:tblGrid>
        <w:gridCol w:w="6264"/>
        <w:gridCol w:w="1714"/>
        <w:gridCol w:w="1718"/>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购建固定资产、无形资产和其他长期资产支付的现金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2,137,998.81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19,699,972.19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405,000,000.00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6,895,599,058.70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12,100,000.00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2,214,830,000.00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9,517,567,057.51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31,799,972.19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-9,462,707,212.02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-21,330,585.23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6,865,006,352.39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139,802,933.47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发行债券收到的现金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2,910,000,000.00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9,775,006,352.39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139,802,933.47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262,302,933.47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1,627,393.72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96,728,469.43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1,627,393.72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359,031,402.90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9,773,378,958.67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-219,228,469.43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948,510.94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200,192.08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688,347,281.27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5,105,208.89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24,615,042.87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19,509,833.98</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712,962,324.14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24,615,042.87</w:t>
            </w:r>
          </w:p>
        </w:tc>
      </w:tr>
    </w:tbl>
    <w:p>
      <w:pPr>
        <w:sectPr>
          <w:footnotePr>
            <w:pos w:val="pageBottom"/>
            <w:numFmt w:val="decimal"/>
            <w:numRestart w:val="continuous"/>
          </w:footnotePr>
          <w:pgSz w:w="11900" w:h="16840"/>
          <w:pgMar w:top="1441" w:right="1076" w:bottom="1499" w:left="1108" w:header="0" w:footer="3" w:gutter="0"/>
          <w:cols w:space="720"/>
          <w:noEndnote/>
          <w:rtlGutter w:val="0"/>
          <w:docGrid w:linePitch="360"/>
        </w:sectPr>
      </w:pPr>
    </w:p>
    <w:p>
      <w:pPr>
        <w:pStyle w:val="Style30"/>
        <w:keepNext/>
        <w:keepLines/>
        <w:widowControl w:val="0"/>
        <w:shd w:val="clear" w:color="auto" w:fill="auto"/>
        <w:bidi w:val="0"/>
        <w:spacing w:before="0" w:after="360" w:line="240" w:lineRule="auto"/>
        <w:ind w:left="0" w:right="0" w:firstLine="0"/>
        <w:jc w:val="left"/>
      </w:pPr>
      <w:bookmarkStart w:id="684" w:name="bookmark684"/>
      <w:bookmarkStart w:id="685" w:name="bookmark685"/>
      <w:bookmarkStart w:id="686" w:name="bookmark686"/>
      <w:bookmarkStart w:id="687" w:name="bookmark687"/>
      <w:r>
        <w:rPr>
          <w:rFonts w:ascii="Times New Roman" w:eastAsia="Times New Roman" w:hAnsi="Times New Roman" w:cs="Times New Roman"/>
          <w:color w:val="000000"/>
          <w:spacing w:val="0"/>
          <w:w w:val="100"/>
          <w:position w:val="0"/>
        </w:rPr>
        <w:t>7</w:t>
      </w:r>
      <w:bookmarkEnd w:id="686"/>
      <w:r>
        <w:rPr>
          <w:color w:val="000000"/>
          <w:spacing w:val="0"/>
          <w:w w:val="100"/>
          <w:position w:val="0"/>
        </w:rPr>
        <w:t>、合并所有者权益变动表</w:t>
      </w:r>
      <w:bookmarkEnd w:id="684"/>
      <w:bookmarkEnd w:id="685"/>
      <w:bookmarkEnd w:id="687"/>
    </w:p>
    <w:p>
      <w:pPr>
        <w:pStyle w:val="Style33"/>
        <w:keepNext w:val="0"/>
        <w:keepLines w:val="0"/>
        <w:widowControl w:val="0"/>
        <w:shd w:val="clear" w:color="auto" w:fill="auto"/>
        <w:bidi w:val="0"/>
        <w:spacing w:before="0" w:after="120" w:line="240" w:lineRule="auto"/>
        <w:ind w:left="0" w:right="0" w:firstLine="420"/>
        <w:jc w:val="left"/>
      </w:pPr>
      <w:r>
        <w:rPr>
          <w:color w:val="000000"/>
          <w:spacing w:val="0"/>
          <w:w w:val="100"/>
          <w:position w:val="0"/>
        </w:rPr>
        <w:t>本期金额</w:t>
      </w:r>
    </w:p>
    <w:p>
      <w:pPr>
        <w:pStyle w:val="Style26"/>
        <w:keepNext w:val="0"/>
        <w:keepLines w:val="0"/>
        <w:widowControl w:val="0"/>
        <w:shd w:val="clear" w:color="auto" w:fill="auto"/>
        <w:bidi w:val="0"/>
        <w:spacing w:before="0" w:after="0" w:line="240" w:lineRule="auto"/>
        <w:ind w:left="13234"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2419"/>
        <w:gridCol w:w="1277"/>
        <w:gridCol w:w="283"/>
        <w:gridCol w:w="283"/>
        <w:gridCol w:w="283"/>
        <w:gridCol w:w="1416"/>
        <w:gridCol w:w="566"/>
        <w:gridCol w:w="1416"/>
        <w:gridCol w:w="427"/>
        <w:gridCol w:w="1133"/>
        <w:gridCol w:w="710"/>
        <w:gridCol w:w="1277"/>
        <w:gridCol w:w="1133"/>
        <w:gridCol w:w="1426"/>
      </w:tblGrid>
      <w:tr>
        <w:trPr>
          <w:trHeight w:val="326"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w:t>
            </w:r>
          </w:p>
        </w:tc>
      </w:tr>
      <w:tr>
        <w:trPr>
          <w:trHeight w:val="322"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少数股东权</w:t>
            </w:r>
          </w:p>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u w:val="single"/>
              </w:rPr>
              <w:t>益</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所有者权益合计</w:t>
            </w:r>
          </w:p>
        </w:tc>
      </w:tr>
      <w:tr>
        <w:trPr>
          <w:trHeight w:val="63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其他权益 工具</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其他综合收益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专项 储备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一般风 险准备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未分配利润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94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优</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先</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永</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续</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429,089,779.67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32,819,438.83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110,678,933.94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5,881,745.30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778,469,897.74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429,089,779.67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32,819,438.83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110,678,933.94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5,881,745.30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778,469,897.74</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83" w:lineRule="exact"/>
              <w:ind w:left="0" w:right="0" w:firstLine="0"/>
              <w:jc w:val="left"/>
              <w:rPr>
                <w:sz w:val="17"/>
                <w:szCs w:val="17"/>
              </w:rPr>
            </w:pPr>
            <w:r>
              <w:rPr>
                <w:color w:val="000000"/>
                <w:spacing w:val="0"/>
                <w:w w:val="100"/>
                <w:position w:val="0"/>
                <w:sz w:val="17"/>
                <w:szCs w:val="17"/>
              </w:rPr>
              <w:t>三、本期增减变动金额（减少 以号填列）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736,127,750.00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9,593,516,304.94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-36,295,218.25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7,516,913.66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490,628,677.16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2,921,329.80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10,794,415,757.31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-36,379,297.30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498,145,590.82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692,947.00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462,459,240.52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（二）所有者投入和减少资本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736,127,750.00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9,593,878,544.53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10,330,006,294.53</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.股东投入的普通股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736,127,750.00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9,593,878,544.53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10,330,006,294.53</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3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其他权益工具持有者投入资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color w:val="000000"/>
                <w:spacing w:val="0"/>
                <w:w w:val="100"/>
                <w:position w:val="0"/>
                <w:sz w:val="17"/>
                <w:szCs w:val="17"/>
              </w:rPr>
              <w:t>股份支付计入所有者权益的 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19"/>
        <w:gridCol w:w="1277"/>
        <w:gridCol w:w="283"/>
        <w:gridCol w:w="283"/>
        <w:gridCol w:w="283"/>
        <w:gridCol w:w="1416"/>
        <w:gridCol w:w="566"/>
        <w:gridCol w:w="1416"/>
        <w:gridCol w:w="427"/>
        <w:gridCol w:w="1133"/>
        <w:gridCol w:w="710"/>
        <w:gridCol w:w="1277"/>
        <w:gridCol w:w="1133"/>
        <w:gridCol w:w="1426"/>
      </w:tblGrid>
      <w:tr>
        <w:trPr>
          <w:trHeight w:val="43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7,516,913.66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-7,516,913.66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7,516,913.66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-7,516,913.66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color w:val="000000"/>
                <w:spacing w:val="0"/>
                <w:w w:val="100"/>
                <w:position w:val="0"/>
                <w:sz w:val="17"/>
                <w:szCs w:val="17"/>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17"/>
                <w:szCs w:val="17"/>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-362,239.59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84,079.05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2,228,382.80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1,950,222.26</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936,127,750.00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10,022,606,084.61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-36,295,218.25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40,336,352.49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601,307,611.10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8,803,075.10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11,572,885,655.05</w:t>
            </w:r>
          </w:p>
        </w:tc>
      </w:tr>
    </w:tbl>
    <w:p>
      <w:pPr>
        <w:widowControl w:val="0"/>
        <w:spacing w:after="439" w:line="1" w:lineRule="exact"/>
      </w:pPr>
    </w:p>
    <w:p>
      <w:pPr>
        <w:pStyle w:val="Style60"/>
        <w:keepNext w:val="0"/>
        <w:keepLines w:val="0"/>
        <w:widowControl w:val="0"/>
        <w:shd w:val="clear" w:color="auto" w:fill="auto"/>
        <w:bidi w:val="0"/>
        <w:spacing w:before="0" w:after="140" w:line="240" w:lineRule="auto"/>
        <w:ind w:left="0" w:right="0" w:firstLine="420"/>
        <w:jc w:val="left"/>
      </w:pPr>
      <w:r>
        <w:rPr>
          <w:color w:val="000000"/>
          <w:spacing w:val="0"/>
          <w:w w:val="100"/>
          <w:position w:val="0"/>
          <w:u w:val="none"/>
        </w:rPr>
        <w:t>上期金额</w:t>
      </w:r>
    </w:p>
    <w:p>
      <w:pPr>
        <w:pStyle w:val="Style60"/>
        <w:keepNext w:val="0"/>
        <w:keepLines w:val="0"/>
        <w:widowControl w:val="0"/>
        <w:shd w:val="clear" w:color="auto" w:fill="auto"/>
        <w:bidi w:val="0"/>
        <w:spacing w:before="0" w:after="80" w:line="240" w:lineRule="auto"/>
        <w:ind w:left="0" w:right="0" w:firstLine="0"/>
        <w:jc w:val="right"/>
      </w:pPr>
      <w:r>
        <w:rPr>
          <w:color w:val="000000"/>
          <w:spacing w:val="0"/>
          <w:w w:val="100"/>
          <w:position w:val="0"/>
          <w:u w:val="none"/>
        </w:rPr>
        <w:t>单位：元</w:t>
      </w:r>
    </w:p>
    <w:tbl>
      <w:tblPr>
        <w:tblOverlap w:val="never"/>
        <w:jc w:val="center"/>
        <w:tblLayout w:type="fixed"/>
      </w:tblPr>
      <w:tblGrid>
        <w:gridCol w:w="2419"/>
        <w:gridCol w:w="1277"/>
        <w:gridCol w:w="283"/>
        <w:gridCol w:w="283"/>
        <w:gridCol w:w="283"/>
        <w:gridCol w:w="1416"/>
        <w:gridCol w:w="566"/>
        <w:gridCol w:w="1416"/>
        <w:gridCol w:w="427"/>
        <w:gridCol w:w="1133"/>
        <w:gridCol w:w="710"/>
        <w:gridCol w:w="1277"/>
        <w:gridCol w:w="1133"/>
        <w:gridCol w:w="1426"/>
      </w:tblGrid>
      <w:tr>
        <w:trPr>
          <w:trHeight w:val="326"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w:t>
            </w:r>
          </w:p>
        </w:tc>
      </w:tr>
      <w:tr>
        <w:trPr>
          <w:trHeight w:val="322"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少数股东权</w:t>
            </w:r>
          </w:p>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u w:val="single"/>
              </w:rPr>
              <w:t>益</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所有者权益合计</w:t>
            </w:r>
          </w:p>
        </w:tc>
      </w:tr>
      <w:tr>
        <w:trPr>
          <w:trHeight w:val="634"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其他权益 工具</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其他综合收益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专项 储备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一般风 险准备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未分配利润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64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优</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先</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永</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续</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其 他</w:t>
            </w: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2419"/>
        <w:gridCol w:w="1277"/>
        <w:gridCol w:w="283"/>
        <w:gridCol w:w="283"/>
        <w:gridCol w:w="283"/>
        <w:gridCol w:w="1416"/>
        <w:gridCol w:w="566"/>
        <w:gridCol w:w="1416"/>
        <w:gridCol w:w="427"/>
        <w:gridCol w:w="1133"/>
        <w:gridCol w:w="710"/>
        <w:gridCol w:w="1277"/>
        <w:gridCol w:w="1133"/>
        <w:gridCol w:w="1426"/>
      </w:tblGrid>
      <w:tr>
        <w:trPr>
          <w:trHeight w:val="35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429,089,779.67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32,210,413.29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165,124,504.68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826,424,697.64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429,089,779.67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32,210,413.29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165,124,504.68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826,424,697.64</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83" w:lineRule="exact"/>
              <w:ind w:left="0" w:right="0" w:firstLine="0"/>
              <w:jc w:val="left"/>
              <w:rPr>
                <w:sz w:val="17"/>
                <w:szCs w:val="17"/>
              </w:rPr>
            </w:pPr>
            <w:r>
              <w:rPr>
                <w:color w:val="000000"/>
                <w:spacing w:val="0"/>
                <w:w w:val="100"/>
                <w:position w:val="0"/>
                <w:sz w:val="17"/>
                <w:szCs w:val="17"/>
              </w:rPr>
              <w:t>三、本期增减变动金额（减少 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609,025.54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-54,445,570.74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5,881,745.30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-47,954,799.90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26,163,454.80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-118,254.70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26,045,200.10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.股东投入的普通股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其他权益工具持有者投入资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color w:val="000000"/>
                <w:spacing w:val="0"/>
                <w:w w:val="100"/>
                <w:position w:val="0"/>
                <w:sz w:val="17"/>
                <w:szCs w:val="17"/>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609,025.54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-80,609,025.54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-80,000,000.00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609,025.54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-609,025.54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color w:val="000000"/>
                <w:spacing w:val="0"/>
                <w:w w:val="100"/>
                <w:position w:val="0"/>
                <w:sz w:val="17"/>
                <w:szCs w:val="17"/>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-80,000,000.00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17"/>
                <w:szCs w:val="17"/>
              </w:rPr>
              <w:t>资本公积转增资本（或股本）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19"/>
        <w:gridCol w:w="1277"/>
        <w:gridCol w:w="283"/>
        <w:gridCol w:w="283"/>
        <w:gridCol w:w="283"/>
        <w:gridCol w:w="1416"/>
        <w:gridCol w:w="566"/>
        <w:gridCol w:w="1416"/>
        <w:gridCol w:w="427"/>
        <w:gridCol w:w="1133"/>
        <w:gridCol w:w="710"/>
        <w:gridCol w:w="1277"/>
        <w:gridCol w:w="1133"/>
        <w:gridCol w:w="1426"/>
      </w:tblGrid>
      <w:tr>
        <w:trPr>
          <w:trHeight w:val="43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429,089,779.67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32,819,438.83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110,678,933.94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5,881,745.30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778,469,897.74</w:t>
            </w:r>
          </w:p>
        </w:tc>
      </w:tr>
    </w:tbl>
    <w:p>
      <w:pPr>
        <w:widowControl w:val="0"/>
        <w:spacing w:after="319" w:line="1" w:lineRule="exact"/>
      </w:pPr>
    </w:p>
    <w:p>
      <w:pPr>
        <w:pStyle w:val="Style30"/>
        <w:keepNext/>
        <w:keepLines/>
        <w:widowControl w:val="0"/>
        <w:shd w:val="clear" w:color="auto" w:fill="auto"/>
        <w:bidi w:val="0"/>
        <w:spacing w:before="0" w:after="400" w:line="240" w:lineRule="auto"/>
        <w:ind w:left="0" w:right="0" w:firstLine="0"/>
        <w:jc w:val="left"/>
      </w:pPr>
      <w:bookmarkStart w:id="688" w:name="bookmark688"/>
      <w:bookmarkStart w:id="689" w:name="bookmark689"/>
      <w:bookmarkStart w:id="690" w:name="bookmark690"/>
      <w:bookmarkStart w:id="691" w:name="bookmark691"/>
      <w:r>
        <w:rPr>
          <w:rFonts w:ascii="Times New Roman" w:eastAsia="Times New Roman" w:hAnsi="Times New Roman" w:cs="Times New Roman"/>
          <w:color w:val="000000"/>
          <w:spacing w:val="0"/>
          <w:w w:val="100"/>
          <w:position w:val="0"/>
        </w:rPr>
        <w:t>8</w:t>
      </w:r>
      <w:bookmarkEnd w:id="690"/>
      <w:r>
        <w:rPr>
          <w:color w:val="000000"/>
          <w:spacing w:val="0"/>
          <w:w w:val="100"/>
          <w:position w:val="0"/>
        </w:rPr>
        <w:t>、母公司所有者权益变动表</w:t>
      </w:r>
      <w:bookmarkEnd w:id="688"/>
      <w:bookmarkEnd w:id="689"/>
      <w:bookmarkEnd w:id="691"/>
    </w:p>
    <w:p>
      <w:pPr>
        <w:pStyle w:val="Style60"/>
        <w:keepNext w:val="0"/>
        <w:keepLines w:val="0"/>
        <w:widowControl w:val="0"/>
        <w:shd w:val="clear" w:color="auto" w:fill="auto"/>
        <w:bidi w:val="0"/>
        <w:spacing w:before="0" w:after="120" w:line="240" w:lineRule="auto"/>
        <w:ind w:left="0" w:right="0" w:firstLine="420"/>
        <w:jc w:val="left"/>
      </w:pPr>
      <w:r>
        <w:rPr>
          <w:color w:val="000000"/>
          <w:spacing w:val="0"/>
          <w:w w:val="100"/>
          <w:position w:val="0"/>
          <w:u w:val="none"/>
        </w:rPr>
        <w:t>本期金额</w:t>
      </w:r>
    </w:p>
    <w:p>
      <w:pPr>
        <w:pStyle w:val="Style26"/>
        <w:keepNext w:val="0"/>
        <w:keepLines w:val="0"/>
        <w:widowControl w:val="0"/>
        <w:shd w:val="clear" w:color="auto" w:fill="auto"/>
        <w:bidi w:val="0"/>
        <w:spacing w:before="0" w:after="0" w:line="240" w:lineRule="auto"/>
        <w:ind w:left="13234"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2702"/>
        <w:gridCol w:w="1560"/>
        <w:gridCol w:w="850"/>
        <w:gridCol w:w="850"/>
        <w:gridCol w:w="566"/>
        <w:gridCol w:w="1416"/>
        <w:gridCol w:w="427"/>
        <w:gridCol w:w="994"/>
        <w:gridCol w:w="566"/>
        <w:gridCol w:w="1277"/>
        <w:gridCol w:w="1272"/>
        <w:gridCol w:w="1570"/>
      </w:tblGrid>
      <w:tr>
        <w:trPr>
          <w:trHeight w:val="326"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1"/>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w:t>
            </w:r>
          </w:p>
        </w:tc>
      </w:tr>
      <w:tr>
        <w:trPr>
          <w:trHeight w:val="322"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减：</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库存</w:t>
            </w:r>
          </w:p>
          <w:p>
            <w:pPr>
              <w:pStyle w:val="Style20"/>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股</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其他综合收</w:t>
            </w:r>
          </w:p>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u w:val="single"/>
              </w:rPr>
              <w:t>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专项 储备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未分配利润</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所有者权益合计</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优先股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427,808,758.31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32,819,438.83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50,374,949.46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711,003,146.60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427,808,758.31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32,819,438.83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50,374,949.46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711,003,146.60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 xml:space="preserve">三、本期增减变动金额（减少以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736,127,750.00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9,593,878,544.53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7,516,913.66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67,652,222.93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10,405,175,431.12</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（一）综合收益总额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75,169,136.59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75,169,136.59</w:t>
            </w:r>
          </w:p>
        </w:tc>
      </w:tr>
    </w:tbl>
    <w:p>
      <w:pPr>
        <w:spacing w:lineRule="exact" w:line="1"/>
        <w:rPr>
          <w:sz w:val="2"/>
          <w:szCs w:val="2"/>
        </w:rPr>
      </w:pPr>
      <w:r>
        <w:br w:type="page"/>
      </w:r>
    </w:p>
    <w:tbl>
      <w:tblPr>
        <w:tblOverlap w:val="never"/>
        <w:jc w:val="center"/>
        <w:tblLayout w:type="fixed"/>
      </w:tblPr>
      <w:tblGrid>
        <w:gridCol w:w="2702"/>
        <w:gridCol w:w="1560"/>
        <w:gridCol w:w="850"/>
        <w:gridCol w:w="850"/>
        <w:gridCol w:w="566"/>
        <w:gridCol w:w="1416"/>
        <w:gridCol w:w="427"/>
        <w:gridCol w:w="994"/>
        <w:gridCol w:w="566"/>
        <w:gridCol w:w="1277"/>
        <w:gridCol w:w="1272"/>
        <w:gridCol w:w="1570"/>
      </w:tblGrid>
      <w:tr>
        <w:trPr>
          <w:trHeight w:val="43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（二）所有者投入和减少资本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736,127,750.00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9,593,878,544.53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10,330,006,294.53</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.股东投入的普通股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736,127,750.00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9,593,878,544.53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10,330,006,294.53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.股份支付计入所有者权益的金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7,516,913.66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-7,516,913.66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7,516,913.66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-7,516,913.66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936,127,750.00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10,021,687,302.84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40,336,352.49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118,027,172.39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11,116,178,577.72</w:t>
            </w:r>
          </w:p>
        </w:tc>
      </w:tr>
    </w:tbl>
    <w:p>
      <w:pPr>
        <w:widowControl w:val="0"/>
        <w:spacing w:after="459" w:line="1" w:lineRule="exact"/>
      </w:pPr>
    </w:p>
    <w:p>
      <w:pPr>
        <w:pStyle w:val="Style60"/>
        <w:keepNext w:val="0"/>
        <w:keepLines w:val="0"/>
        <w:widowControl w:val="0"/>
        <w:shd w:val="clear" w:color="auto" w:fill="auto"/>
        <w:bidi w:val="0"/>
        <w:spacing w:before="0" w:after="140" w:line="240" w:lineRule="auto"/>
        <w:ind w:left="0" w:right="0" w:firstLine="420"/>
        <w:jc w:val="left"/>
      </w:pPr>
      <w:r>
        <w:rPr>
          <w:color w:val="000000"/>
          <w:spacing w:val="0"/>
          <w:w w:val="100"/>
          <w:position w:val="0"/>
          <w:u w:val="none"/>
        </w:rPr>
        <w:t>上期金额</w:t>
      </w:r>
    </w:p>
    <w:p>
      <w:pPr>
        <w:pStyle w:val="Style60"/>
        <w:keepNext w:val="0"/>
        <w:keepLines w:val="0"/>
        <w:widowControl w:val="0"/>
        <w:shd w:val="clear" w:color="auto" w:fill="auto"/>
        <w:bidi w:val="0"/>
        <w:spacing w:before="0" w:after="80" w:line="240" w:lineRule="auto"/>
        <w:ind w:left="0" w:right="0" w:firstLine="0"/>
        <w:jc w:val="right"/>
      </w:pPr>
      <w:r>
        <w:rPr>
          <w:color w:val="000000"/>
          <w:spacing w:val="0"/>
          <w:w w:val="100"/>
          <w:position w:val="0"/>
          <w:u w:val="none"/>
        </w:rPr>
        <w:t>单位：元</w:t>
      </w:r>
    </w:p>
    <w:tbl>
      <w:tblPr>
        <w:tblOverlap w:val="never"/>
        <w:jc w:val="center"/>
        <w:tblLayout w:type="fixed"/>
      </w:tblPr>
      <w:tblGrid>
        <w:gridCol w:w="2702"/>
        <w:gridCol w:w="11347"/>
      </w:tblGrid>
      <w:tr>
        <w:trPr>
          <w:trHeight w:val="336"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w:t>
            </w:r>
          </w:p>
        </w:tc>
      </w:tr>
    </w:tbl>
    <w:p>
      <w:pPr>
        <w:spacing w:lineRule="exact" w:line="1"/>
        <w:rPr>
          <w:sz w:val="2"/>
          <w:szCs w:val="2"/>
        </w:rPr>
      </w:pPr>
      <w:r>
        <w:br w:type="page"/>
      </w:r>
    </w:p>
    <w:tbl>
      <w:tblPr>
        <w:tblOverlap w:val="never"/>
        <w:jc w:val="center"/>
        <w:tblLayout w:type="fixed"/>
      </w:tblPr>
      <w:tblGrid>
        <w:gridCol w:w="2702"/>
        <w:gridCol w:w="1560"/>
        <w:gridCol w:w="850"/>
        <w:gridCol w:w="850"/>
        <w:gridCol w:w="566"/>
        <w:gridCol w:w="1416"/>
        <w:gridCol w:w="427"/>
        <w:gridCol w:w="994"/>
        <w:gridCol w:w="566"/>
        <w:gridCol w:w="1277"/>
        <w:gridCol w:w="1272"/>
        <w:gridCol w:w="1570"/>
      </w:tblGrid>
      <w:tr>
        <w:trPr>
          <w:trHeight w:val="355"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减：</w:t>
            </w:r>
          </w:p>
          <w:p>
            <w:pPr>
              <w:pStyle w:val="Style20"/>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库存</w:t>
            </w:r>
          </w:p>
          <w:p>
            <w:pPr>
              <w:pStyle w:val="Style20"/>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股</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其他综合收</w:t>
            </w:r>
          </w:p>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u w:val="single"/>
              </w:rPr>
              <w:t>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专项 储备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未分配利润</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140" w:firstLine="0"/>
              <w:jc w:val="right"/>
              <w:rPr>
                <w:sz w:val="17"/>
                <w:szCs w:val="17"/>
              </w:rPr>
            </w:pPr>
            <w:r>
              <w:rPr>
                <w:color w:val="000000"/>
                <w:spacing w:val="0"/>
                <w:w w:val="100"/>
                <w:position w:val="0"/>
                <w:sz w:val="17"/>
                <w:szCs w:val="17"/>
              </w:rPr>
              <w:t>所有者权益合计</w:t>
            </w:r>
          </w:p>
        </w:tc>
      </w:tr>
      <w:tr>
        <w:trPr>
          <w:trHeight w:val="624"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优先股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427,808,758.31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32,210,413.29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124,893,719.62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784,912,891.22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427,808,758.31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32,210,413.29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124,893,719.62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784,912,891.22</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 xml:space="preserve">三、本期增减变动金额（减少以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609,025.54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-74,518,770.16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-73,909,744.62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6,090,255.38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6,090,255.38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.股东投入的普通股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.股份支付计入所有者权益的金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609,025.54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-80,609,025.54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-80,000,000.00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609,025.54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-609,025.54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-80,000,000.00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.盈余公积转增资本（或股本）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702"/>
        <w:gridCol w:w="1560"/>
        <w:gridCol w:w="850"/>
        <w:gridCol w:w="850"/>
        <w:gridCol w:w="566"/>
        <w:gridCol w:w="1416"/>
        <w:gridCol w:w="427"/>
        <w:gridCol w:w="994"/>
        <w:gridCol w:w="566"/>
        <w:gridCol w:w="1277"/>
        <w:gridCol w:w="1272"/>
        <w:gridCol w:w="1570"/>
      </w:tblGrid>
      <w:tr>
        <w:trPr>
          <w:trHeight w:val="43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427,808,758.31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32,819,438.83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50,374,949.46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711,003,146.60</w:t>
            </w:r>
          </w:p>
        </w:tc>
      </w:tr>
    </w:tbl>
    <w:p>
      <w:pPr>
        <w:sectPr>
          <w:headerReference w:type="default" r:id="rId39"/>
          <w:footerReference w:type="default" r:id="rId40"/>
          <w:footnotePr>
            <w:pos w:val="pageBottom"/>
            <w:numFmt w:val="decimal"/>
            <w:numRestart w:val="continuous"/>
          </w:footnotePr>
          <w:pgSz w:w="16840" w:h="11900" w:orient="landscape"/>
          <w:pgMar w:top="1140" w:right="1359" w:bottom="1265" w:left="1431" w:header="0" w:footer="3" w:gutter="0"/>
          <w:cols w:space="720"/>
          <w:noEndnote/>
          <w:rtlGutter w:val="0"/>
          <w:docGrid w:linePitch="360"/>
        </w:sectPr>
      </w:pPr>
    </w:p>
    <w:p>
      <w:pPr>
        <w:pStyle w:val="Style23"/>
        <w:keepNext/>
        <w:keepLines/>
        <w:widowControl w:val="0"/>
        <w:shd w:val="clear" w:color="auto" w:fill="auto"/>
        <w:bidi w:val="0"/>
        <w:spacing w:before="0" w:after="300" w:line="240" w:lineRule="auto"/>
        <w:ind w:left="0" w:right="0" w:firstLine="0"/>
        <w:jc w:val="both"/>
        <w:rPr>
          <w:sz w:val="22"/>
          <w:szCs w:val="22"/>
        </w:rPr>
      </w:pPr>
      <w:bookmarkStart w:id="692" w:name="bookmark692"/>
      <w:bookmarkStart w:id="693" w:name="bookmark693"/>
      <w:bookmarkStart w:id="694" w:name="bookmark694"/>
      <w:bookmarkStart w:id="695" w:name="bookmark695"/>
      <w:r>
        <w:rPr>
          <w:b/>
          <w:bCs/>
          <w:color w:val="000000"/>
          <w:spacing w:val="0"/>
          <w:w w:val="100"/>
          <w:position w:val="0"/>
          <w:sz w:val="22"/>
          <w:szCs w:val="22"/>
        </w:rPr>
        <w:t>三</w:t>
      </w:r>
      <w:bookmarkEnd w:id="694"/>
      <w:r>
        <w:rPr>
          <w:b/>
          <w:bCs/>
          <w:color w:val="000000"/>
          <w:spacing w:val="0"/>
          <w:w w:val="100"/>
          <w:position w:val="0"/>
          <w:sz w:val="22"/>
          <w:szCs w:val="22"/>
        </w:rPr>
        <w:t>、公司基本情况</w:t>
      </w:r>
      <w:bookmarkEnd w:id="692"/>
      <w:bookmarkEnd w:id="693"/>
      <w:bookmarkEnd w:id="695"/>
    </w:p>
    <w:p>
      <w:pPr>
        <w:pStyle w:val="Style33"/>
        <w:keepNext w:val="0"/>
        <w:keepLines w:val="0"/>
        <w:widowControl w:val="0"/>
        <w:shd w:val="clear" w:color="auto" w:fill="auto"/>
        <w:tabs>
          <w:tab w:pos="7869" w:val="left"/>
        </w:tabs>
        <w:bidi w:val="0"/>
        <w:spacing w:before="0" w:after="0" w:line="311" w:lineRule="exact"/>
        <w:ind w:left="0" w:right="0" w:firstLine="440"/>
        <w:jc w:val="both"/>
      </w:pPr>
      <w:r>
        <w:rPr>
          <w:color w:val="000000"/>
          <w:spacing w:val="0"/>
          <w:w w:val="100"/>
          <w:position w:val="0"/>
        </w:rPr>
        <w:t>广东国盛金控集团股份有限公司（以下简称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公司</w:t>
      </w:r>
      <w:r>
        <w:rPr>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本公司''，于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日由广东华声电器 股份有限公司更名而来）系于</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日，经广东省对外贸易经济合作厅《关于合资企业广东华 声电器实业有限公司转制为外商投资股份有限公司的批复》（粤外经贸资字【</w:t>
      </w:r>
      <w:r>
        <w:rPr>
          <w:rFonts w:ascii="Times New Roman" w:eastAsia="Times New Roman" w:hAnsi="Times New Roman" w:cs="Times New Roman"/>
          <w:color w:val="000000"/>
          <w:spacing w:val="0"/>
          <w:w w:val="100"/>
          <w:position w:val="0"/>
        </w:rPr>
        <w:t>2010</w:t>
      </w:r>
      <w:r>
        <w:rPr>
          <w:color w:val="000000"/>
          <w:spacing w:val="0"/>
          <w:w w:val="100"/>
          <w:position w:val="0"/>
        </w:rPr>
        <w:t>】</w:t>
      </w:r>
      <w:r>
        <w:rPr>
          <w:rFonts w:ascii="Times New Roman" w:eastAsia="Times New Roman" w:hAnsi="Times New Roman" w:cs="Times New Roman"/>
          <w:color w:val="000000"/>
          <w:spacing w:val="0"/>
          <w:w w:val="100"/>
          <w:position w:val="0"/>
        </w:rPr>
        <w:t>363</w:t>
      </w:r>
      <w:r>
        <w:rPr>
          <w:color w:val="000000"/>
          <w:spacing w:val="0"/>
          <w:w w:val="100"/>
          <w:position w:val="0"/>
        </w:rPr>
        <w:t>号）核准，由广 东华声电器实业有限公司以截至</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日的净资产</w:t>
      </w:r>
      <w:r>
        <w:rPr>
          <w:rFonts w:ascii="Times New Roman" w:eastAsia="Times New Roman" w:hAnsi="Times New Roman" w:cs="Times New Roman"/>
          <w:color w:val="000000"/>
          <w:spacing w:val="0"/>
          <w:w w:val="100"/>
          <w:position w:val="0"/>
        </w:rPr>
        <w:t>293,141,214.80</w:t>
      </w:r>
      <w:r>
        <w:rPr>
          <w:color w:val="000000"/>
          <w:spacing w:val="0"/>
          <w:w w:val="100"/>
          <w:position w:val="0"/>
        </w:rPr>
        <w:t>元按</w:t>
      </w:r>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0.5117</w:t>
      </w:r>
      <w:r>
        <w:rPr>
          <w:color w:val="000000"/>
          <w:spacing w:val="0"/>
          <w:w w:val="100"/>
          <w:position w:val="0"/>
        </w:rPr>
        <w:t>的比例折为</w:t>
      </w:r>
    </w:p>
    <w:p>
      <w:pPr>
        <w:pStyle w:val="Style33"/>
        <w:keepNext w:val="0"/>
        <w:keepLines w:val="0"/>
        <w:widowControl w:val="0"/>
        <w:shd w:val="clear" w:color="auto" w:fill="auto"/>
        <w:bidi w:val="0"/>
        <w:spacing w:before="0" w:after="0" w:line="311" w:lineRule="exact"/>
        <w:ind w:left="0" w:right="0" w:firstLine="0"/>
        <w:jc w:val="left"/>
      </w:pPr>
      <w:r>
        <w:rPr>
          <w:rFonts w:ascii="Times New Roman" w:eastAsia="Times New Roman" w:hAnsi="Times New Roman" w:cs="Times New Roman"/>
          <w:color w:val="000000"/>
          <w:spacing w:val="0"/>
          <w:w w:val="100"/>
          <w:position w:val="0"/>
        </w:rPr>
        <w:t>15,000</w:t>
      </w:r>
      <w:r>
        <w:rPr>
          <w:color w:val="000000"/>
          <w:spacing w:val="0"/>
          <w:w w:val="100"/>
          <w:position w:val="0"/>
        </w:rPr>
        <w:t>万股普通股，每股面值为</w:t>
      </w:r>
      <w:r>
        <w:rPr>
          <w:rFonts w:ascii="Times New Roman" w:eastAsia="Times New Roman" w:hAnsi="Times New Roman" w:cs="Times New Roman"/>
          <w:color w:val="000000"/>
          <w:spacing w:val="0"/>
          <w:w w:val="100"/>
          <w:position w:val="0"/>
        </w:rPr>
        <w:t>1</w:t>
      </w:r>
      <w:r>
        <w:rPr>
          <w:color w:val="000000"/>
          <w:spacing w:val="0"/>
          <w:w w:val="100"/>
          <w:position w:val="0"/>
        </w:rPr>
        <w:t>元，整体改制变更为股份有限公司。改制后，本公司的股本总额为</w:t>
      </w:r>
      <w:r>
        <w:rPr>
          <w:rFonts w:ascii="Times New Roman" w:eastAsia="Times New Roman" w:hAnsi="Times New Roman" w:cs="Times New Roman"/>
          <w:color w:val="000000"/>
          <w:spacing w:val="0"/>
          <w:w w:val="100"/>
          <w:position w:val="0"/>
        </w:rPr>
        <w:t xml:space="preserve">15,000 </w:t>
      </w:r>
      <w:r>
        <w:rPr>
          <w:color w:val="000000"/>
          <w:spacing w:val="0"/>
          <w:w w:val="100"/>
          <w:position w:val="0"/>
        </w:rPr>
        <w:t>万元，本次出资业经立信大华会计师事务所有限公司出具的立信大华验字【</w:t>
      </w:r>
      <w:r>
        <w:rPr>
          <w:rFonts w:ascii="Times New Roman" w:eastAsia="Times New Roman" w:hAnsi="Times New Roman" w:cs="Times New Roman"/>
          <w:color w:val="000000"/>
          <w:spacing w:val="0"/>
          <w:w w:val="100"/>
          <w:position w:val="0"/>
        </w:rPr>
        <w:t>2010</w:t>
      </w:r>
      <w:r>
        <w:rPr>
          <w:color w:val="000000"/>
          <w:spacing w:val="0"/>
          <w:w w:val="100"/>
          <w:position w:val="0"/>
        </w:rPr>
        <w:t>】</w:t>
      </w:r>
      <w:r>
        <w:rPr>
          <w:rFonts w:ascii="Times New Roman" w:eastAsia="Times New Roman" w:hAnsi="Times New Roman" w:cs="Times New Roman"/>
          <w:color w:val="000000"/>
          <w:spacing w:val="0"/>
          <w:w w:val="100"/>
          <w:position w:val="0"/>
        </w:rPr>
        <w:t>155</w:t>
      </w:r>
      <w:r>
        <w:rPr>
          <w:color w:val="000000"/>
          <w:spacing w:val="0"/>
          <w:w w:val="100"/>
          <w:position w:val="0"/>
        </w:rPr>
        <w:t>号验资报告验证。 同时公司名称变更为广东华声电器股份有限公司。公司的企业法人营业执照注册号：</w:t>
      </w:r>
      <w:r>
        <w:rPr>
          <w:rFonts w:ascii="Times New Roman" w:eastAsia="Times New Roman" w:hAnsi="Times New Roman" w:cs="Times New Roman"/>
          <w:color w:val="000000"/>
          <w:spacing w:val="0"/>
          <w:w w:val="100"/>
          <w:position w:val="0"/>
        </w:rPr>
        <w:t>440681400005369</w:t>
      </w:r>
      <w:r>
        <w:rPr>
          <w:color w:val="000000"/>
          <w:spacing w:val="0"/>
          <w:w w:val="100"/>
          <w:position w:val="0"/>
        </w:rPr>
        <w:t>。</w:t>
      </w:r>
    </w:p>
    <w:p>
      <w:pPr>
        <w:pStyle w:val="Style33"/>
        <w:keepNext w:val="0"/>
        <w:keepLines w:val="0"/>
        <w:widowControl w:val="0"/>
        <w:shd w:val="clear" w:color="auto" w:fill="auto"/>
        <w:bidi w:val="0"/>
        <w:spacing w:before="0" w:after="0" w:line="311" w:lineRule="exact"/>
        <w:ind w:left="0" w:right="0" w:firstLine="44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日，经中国证券监督管理委员会证监许可【</w:t>
      </w:r>
      <w:r>
        <w:rPr>
          <w:rFonts w:ascii="Times New Roman" w:eastAsia="Times New Roman" w:hAnsi="Times New Roman" w:cs="Times New Roman"/>
          <w:color w:val="000000"/>
          <w:spacing w:val="0"/>
          <w:w w:val="100"/>
          <w:position w:val="0"/>
        </w:rPr>
        <w:t>2012</w:t>
      </w:r>
      <w:r>
        <w:rPr>
          <w:color w:val="000000"/>
          <w:spacing w:val="0"/>
          <w:w w:val="100"/>
          <w:position w:val="0"/>
        </w:rPr>
        <w:t>】</w:t>
      </w:r>
      <w:r>
        <w:rPr>
          <w:rFonts w:ascii="Times New Roman" w:eastAsia="Times New Roman" w:hAnsi="Times New Roman" w:cs="Times New Roman"/>
          <w:color w:val="000000"/>
          <w:spacing w:val="0"/>
          <w:w w:val="100"/>
          <w:position w:val="0"/>
        </w:rPr>
        <w:t>363</w:t>
      </w:r>
      <w:r>
        <w:rPr>
          <w:color w:val="000000"/>
          <w:spacing w:val="0"/>
          <w:w w:val="100"/>
          <w:position w:val="0"/>
        </w:rPr>
        <w:t>号文《关于核准广东华声电器 股份有限公司首次公开发行股票的批复》的核准，同意公司向社会公众公开发行人民币普通股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 xml:space="preserve">股） </w:t>
      </w:r>
      <w:r>
        <w:rPr>
          <w:rFonts w:ascii="Times New Roman" w:eastAsia="Times New Roman" w:hAnsi="Times New Roman" w:cs="Times New Roman"/>
          <w:color w:val="000000"/>
          <w:spacing w:val="0"/>
          <w:w w:val="100"/>
          <w:position w:val="0"/>
        </w:rPr>
        <w:t>5000</w:t>
      </w:r>
      <w:r>
        <w:rPr>
          <w:color w:val="000000"/>
          <w:spacing w:val="0"/>
          <w:w w:val="100"/>
          <w:position w:val="0"/>
        </w:rPr>
        <w:t>万股。公司于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日向社会公众投资者定价发行人民币普通股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5000</w:t>
      </w:r>
      <w:r>
        <w:rPr>
          <w:color w:val="000000"/>
          <w:spacing w:val="0"/>
          <w:w w:val="100"/>
          <w:position w:val="0"/>
        </w:rPr>
        <w:t>万股，每股 面值人民币</w:t>
      </w:r>
      <w:r>
        <w:rPr>
          <w:rFonts w:ascii="Times New Roman" w:eastAsia="Times New Roman" w:hAnsi="Times New Roman" w:cs="Times New Roman"/>
          <w:color w:val="000000"/>
          <w:spacing w:val="0"/>
          <w:w w:val="100"/>
          <w:position w:val="0"/>
        </w:rPr>
        <w:t>1.00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每股发行认购价格为人民币</w:t>
      </w:r>
      <w:r>
        <w:rPr>
          <w:rFonts w:ascii="Times New Roman" w:eastAsia="Times New Roman" w:hAnsi="Times New Roman" w:cs="Times New Roman"/>
          <w:color w:val="000000"/>
          <w:spacing w:val="0"/>
          <w:w w:val="100"/>
          <w:position w:val="0"/>
        </w:rPr>
        <w:t>7.30</w:t>
      </w:r>
      <w:r>
        <w:rPr>
          <w:color w:val="000000"/>
          <w:spacing w:val="0"/>
          <w:w w:val="100"/>
          <w:position w:val="0"/>
        </w:rPr>
        <w:t>元，共计募集人民币</w:t>
      </w:r>
      <w:r>
        <w:rPr>
          <w:rFonts w:ascii="Times New Roman" w:eastAsia="Times New Roman" w:hAnsi="Times New Roman" w:cs="Times New Roman"/>
          <w:color w:val="000000"/>
          <w:spacing w:val="0"/>
          <w:w w:val="100"/>
          <w:position w:val="0"/>
        </w:rPr>
        <w:t>36,500</w:t>
      </w:r>
      <w:r>
        <w:rPr>
          <w:color w:val="000000"/>
          <w:spacing w:val="0"/>
          <w:w w:val="100"/>
          <w:position w:val="0"/>
        </w:rPr>
        <w:t>万元。经此发行，注册 资本变更为人民币</w:t>
      </w:r>
      <w:r>
        <w:rPr>
          <w:rFonts w:ascii="Times New Roman" w:eastAsia="Times New Roman" w:hAnsi="Times New Roman" w:cs="Times New Roman"/>
          <w:color w:val="000000"/>
          <w:spacing w:val="0"/>
          <w:w w:val="100"/>
          <w:position w:val="0"/>
        </w:rPr>
        <w:t>20,000</w:t>
      </w:r>
      <w:r>
        <w:rPr>
          <w:color w:val="000000"/>
          <w:spacing w:val="0"/>
          <w:w w:val="100"/>
          <w:position w:val="0"/>
        </w:rPr>
        <w:t>万元，本次变更业经立信会计师事务所（特殊普通合伙）出具的信会师报字 【</w:t>
      </w:r>
      <w:r>
        <w:rPr>
          <w:rFonts w:ascii="Times New Roman" w:eastAsia="Times New Roman" w:hAnsi="Times New Roman" w:cs="Times New Roman"/>
          <w:color w:val="000000"/>
          <w:spacing w:val="0"/>
          <w:w w:val="100"/>
          <w:position w:val="0"/>
        </w:rPr>
        <w:t>2012</w:t>
      </w:r>
      <w:r>
        <w:rPr>
          <w:color w:val="000000"/>
          <w:spacing w:val="0"/>
          <w:w w:val="100"/>
          <w:position w:val="0"/>
        </w:rPr>
        <w:t>】第</w:t>
      </w:r>
      <w:r>
        <w:rPr>
          <w:rFonts w:ascii="Times New Roman" w:eastAsia="Times New Roman" w:hAnsi="Times New Roman" w:cs="Times New Roman"/>
          <w:color w:val="000000"/>
          <w:spacing w:val="0"/>
          <w:w w:val="100"/>
          <w:position w:val="0"/>
        </w:rPr>
        <w:t>310187</w:t>
      </w:r>
      <w:r>
        <w:rPr>
          <w:color w:val="000000"/>
          <w:spacing w:val="0"/>
          <w:w w:val="100"/>
          <w:position w:val="0"/>
        </w:rPr>
        <w:t>号验资报告验证。本公司</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月在深圳证券交易所上市。</w:t>
      </w:r>
    </w:p>
    <w:p>
      <w:pPr>
        <w:pStyle w:val="Style33"/>
        <w:keepNext w:val="0"/>
        <w:keepLines w:val="0"/>
        <w:widowControl w:val="0"/>
        <w:shd w:val="clear" w:color="auto" w:fill="auto"/>
        <w:bidi w:val="0"/>
        <w:spacing w:before="0" w:after="0" w:line="310" w:lineRule="exact"/>
        <w:ind w:left="0" w:right="0" w:firstLine="440"/>
        <w:jc w:val="both"/>
      </w:pPr>
      <w:r>
        <w:rPr>
          <w:color w:val="000000"/>
          <w:spacing w:val="0"/>
          <w:w w:val="100"/>
          <w:position w:val="0"/>
        </w:rPr>
        <w:t>经中国证券监督管理委员会《关于核准广东华声电器股份有限公司向中江国际信托股份有限公司等 发行股份购买资产并募集配套资金的批复》（证监许可【</w:t>
      </w:r>
      <w:r>
        <w:rPr>
          <w:color w:val="000000"/>
          <w:spacing w:val="0"/>
          <w:w w:val="100"/>
          <w:position w:val="0"/>
        </w:rPr>
        <w:t>2016</w:t>
      </w:r>
      <w:r>
        <w:rPr>
          <w:color w:val="000000"/>
          <w:spacing w:val="0"/>
          <w:w w:val="100"/>
          <w:position w:val="0"/>
        </w:rPr>
        <w:t>】</w:t>
      </w:r>
      <w:r>
        <w:rPr>
          <w:color w:val="000000"/>
          <w:spacing w:val="0"/>
          <w:w w:val="100"/>
          <w:position w:val="0"/>
        </w:rPr>
        <w:t>657</w:t>
      </w:r>
      <w:r>
        <w:rPr>
          <w:color w:val="000000"/>
          <w:spacing w:val="0"/>
          <w:w w:val="100"/>
          <w:position w:val="0"/>
        </w:rPr>
        <w:t>号）核准，公司向中江国际信托股份 有限公司等单位发行股份购买资产并募集配套资金。本次发行后，公司总股本变更为</w:t>
      </w:r>
      <w:r>
        <w:rPr>
          <w:color w:val="000000"/>
          <w:spacing w:val="0"/>
          <w:w w:val="100"/>
          <w:position w:val="0"/>
        </w:rPr>
        <w:t>93,612.7750</w:t>
      </w:r>
      <w:r>
        <w:rPr>
          <w:color w:val="000000"/>
          <w:spacing w:val="0"/>
          <w:w w:val="100"/>
          <w:position w:val="0"/>
        </w:rPr>
        <w:t>万元, 并经立信会计师事务所（特殊普通合伙）出具的信会师报字</w:t>
      </w:r>
      <w:r>
        <w:rPr>
          <w:color w:val="000000"/>
          <w:spacing w:val="0"/>
          <w:w w:val="100"/>
          <w:position w:val="0"/>
        </w:rPr>
        <w:t>［2016］</w:t>
      </w:r>
      <w:r>
        <w:rPr>
          <w:color w:val="000000"/>
          <w:spacing w:val="0"/>
          <w:w w:val="100"/>
          <w:position w:val="0"/>
        </w:rPr>
        <w:t>第</w:t>
      </w:r>
      <w:r>
        <w:rPr>
          <w:color w:val="000000"/>
          <w:spacing w:val="0"/>
          <w:w w:val="100"/>
          <w:position w:val="0"/>
        </w:rPr>
        <w:t>114648</w:t>
      </w:r>
      <w:r>
        <w:rPr>
          <w:color w:val="000000"/>
          <w:spacing w:val="0"/>
          <w:w w:val="100"/>
          <w:position w:val="0"/>
        </w:rPr>
        <w:t>号验资报告验证。本次发行 股份于</w:t>
      </w: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19</w:t>
      </w:r>
      <w:r>
        <w:rPr>
          <w:color w:val="000000"/>
          <w:spacing w:val="0"/>
          <w:w w:val="100"/>
          <w:position w:val="0"/>
        </w:rPr>
        <w:t>日在深圳证券交易所上市。</w:t>
      </w:r>
    </w:p>
    <w:p>
      <w:pPr>
        <w:pStyle w:val="Style33"/>
        <w:keepNext w:val="0"/>
        <w:keepLines w:val="0"/>
        <w:widowControl w:val="0"/>
        <w:shd w:val="clear" w:color="auto" w:fill="auto"/>
        <w:bidi w:val="0"/>
        <w:spacing w:before="0" w:after="0" w:line="318" w:lineRule="exact"/>
        <w:ind w:left="0" w:right="0" w:firstLine="440"/>
        <w:jc w:val="both"/>
      </w:pPr>
      <w:r>
        <w:rPr>
          <w:color w:val="000000"/>
          <w:spacing w:val="0"/>
          <w:w w:val="100"/>
          <w:position w:val="0"/>
        </w:rPr>
        <w:t>截止</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日，本公司累计发行股本总数</w:t>
      </w:r>
      <w:r>
        <w:rPr>
          <w:color w:val="000000"/>
          <w:spacing w:val="0"/>
          <w:w w:val="100"/>
          <w:position w:val="0"/>
        </w:rPr>
        <w:t>93,612.7750</w:t>
      </w:r>
      <w:r>
        <w:rPr>
          <w:color w:val="000000"/>
          <w:spacing w:val="0"/>
          <w:w w:val="100"/>
          <w:position w:val="0"/>
        </w:rPr>
        <w:t>万股，注册资本为人民币</w:t>
      </w:r>
      <w:r>
        <w:rPr>
          <w:color w:val="000000"/>
          <w:spacing w:val="0"/>
          <w:w w:val="100"/>
          <w:position w:val="0"/>
        </w:rPr>
        <w:t xml:space="preserve">93,612.7750 </w:t>
      </w:r>
      <w:r>
        <w:rPr>
          <w:color w:val="000000"/>
          <w:spacing w:val="0"/>
          <w:w w:val="100"/>
          <w:position w:val="0"/>
        </w:rPr>
        <w:t>万元，统一社会信用代码：</w:t>
      </w:r>
      <w:r>
        <w:rPr>
          <w:color w:val="000000"/>
          <w:spacing w:val="0"/>
          <w:w w:val="100"/>
          <w:position w:val="0"/>
        </w:rPr>
        <w:t>91440606617655613W，</w:t>
      </w:r>
      <w:r>
        <w:rPr>
          <w:color w:val="000000"/>
          <w:spacing w:val="0"/>
          <w:w w:val="100"/>
          <w:position w:val="0"/>
        </w:rPr>
        <w:t>法定代表人：杜力，住所：佛山市顺德区容桂街道华 口昌宝东路</w:t>
      </w:r>
      <w:r>
        <w:rPr>
          <w:color w:val="000000"/>
          <w:spacing w:val="0"/>
          <w:w w:val="100"/>
          <w:position w:val="0"/>
        </w:rPr>
        <w:t>13</w:t>
      </w:r>
      <w:r>
        <w:rPr>
          <w:color w:val="000000"/>
          <w:spacing w:val="0"/>
          <w:w w:val="100"/>
          <w:position w:val="0"/>
        </w:rPr>
        <w:t>号。本公司经营范围：控股公司服务，股权投资，投资管理与咨询，金融信息服务；电器 连接线，电源线销售（依法须经批准的项目，经相关部门批准后方可开展经营活动）。</w:t>
      </w:r>
    </w:p>
    <w:p>
      <w:pPr>
        <w:pStyle w:val="Style33"/>
        <w:keepNext w:val="0"/>
        <w:keepLines w:val="0"/>
        <w:widowControl w:val="0"/>
        <w:shd w:val="clear" w:color="auto" w:fill="auto"/>
        <w:bidi w:val="0"/>
        <w:spacing w:before="0" w:after="340" w:line="312" w:lineRule="exact"/>
        <w:ind w:left="0" w:right="0" w:firstLine="440"/>
        <w:jc w:val="both"/>
      </w:pPr>
      <w:r>
        <w:rPr>
          <w:color w:val="000000"/>
          <w:spacing w:val="0"/>
          <w:w w:val="100"/>
          <w:position w:val="0"/>
        </w:rPr>
        <w:t>本公司的母公司为深圳前海财智发展投资中心（有限合伙）及其一致行动人深圳前海财智远大投资 中心（有限合伙）、北京凤凰财鑫股权投资中心（有限合伙）、北京凤凰财智创新投资中心（有限合伙）， 本公司的实际控制人为杜力及其一致行动人张巍。</w:t>
      </w:r>
    </w:p>
    <w:p>
      <w:pPr>
        <w:pStyle w:val="Style33"/>
        <w:keepNext w:val="0"/>
        <w:keepLines w:val="0"/>
        <w:widowControl w:val="0"/>
        <w:shd w:val="clear" w:color="auto" w:fill="auto"/>
        <w:bidi w:val="0"/>
        <w:spacing w:before="0" w:after="160" w:line="311" w:lineRule="exact"/>
        <w:ind w:left="0" w:right="0" w:firstLine="44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日止，本公司合并财务报表范围内子公司如下:</w:t>
      </w:r>
    </w:p>
    <w:p>
      <w:pPr>
        <w:pStyle w:val="Style33"/>
        <w:keepNext w:val="0"/>
        <w:keepLines w:val="0"/>
        <w:widowControl w:val="0"/>
        <w:pBdr>
          <w:bottom w:val="single" w:sz="4" w:space="0" w:color="auto"/>
        </w:pBdr>
        <w:shd w:val="clear" w:color="auto" w:fill="auto"/>
        <w:bidi w:val="0"/>
        <w:spacing w:before="0" w:after="160" w:line="311" w:lineRule="exact"/>
        <w:ind w:left="0" w:right="0" w:firstLine="620"/>
        <w:jc w:val="both"/>
      </w:pPr>
      <w:r>
        <w:rPr>
          <w:color w:val="000000"/>
          <w:spacing w:val="0"/>
          <w:w w:val="100"/>
          <w:position w:val="0"/>
        </w:rPr>
        <w:t>子公司名称</w:t>
      </w:r>
    </w:p>
    <w:p>
      <w:pPr>
        <w:pStyle w:val="Style33"/>
        <w:keepNext w:val="0"/>
        <w:keepLines w:val="0"/>
        <w:widowControl w:val="0"/>
        <w:pBdr>
          <w:bottom w:val="single" w:sz="4" w:space="0" w:color="auto"/>
        </w:pBdr>
        <w:shd w:val="clear" w:color="auto" w:fill="auto"/>
        <w:bidi w:val="0"/>
        <w:spacing w:before="0" w:after="160" w:line="311" w:lineRule="exact"/>
        <w:ind w:left="0" w:right="0" w:firstLine="620"/>
        <w:jc w:val="both"/>
      </w:pPr>
      <w:r>
        <w:rPr>
          <w:color w:val="000000"/>
          <w:spacing w:val="0"/>
          <w:w w:val="100"/>
          <w:position w:val="0"/>
        </w:rPr>
        <w:t>深圳华声前海投资有限公司（以下简称“深圳华声”）</w:t>
      </w:r>
    </w:p>
    <w:p>
      <w:pPr>
        <w:pStyle w:val="Style33"/>
        <w:keepNext w:val="0"/>
        <w:keepLines w:val="0"/>
        <w:widowControl w:val="0"/>
        <w:pBdr>
          <w:bottom w:val="single" w:sz="4" w:space="0" w:color="auto"/>
        </w:pBdr>
        <w:shd w:val="clear" w:color="auto" w:fill="auto"/>
        <w:bidi w:val="0"/>
        <w:spacing w:before="0" w:after="240" w:line="311" w:lineRule="exact"/>
        <w:ind w:left="0" w:right="0" w:firstLine="620"/>
        <w:jc w:val="both"/>
      </w:pPr>
      <w:r>
        <w:rPr>
          <w:color w:val="000000"/>
          <w:spacing w:val="0"/>
          <w:w w:val="100"/>
          <w:position w:val="0"/>
        </w:rPr>
        <w:t>广东华声电器实业有限公司（以下简称“华声实业”）</w:t>
      </w:r>
    </w:p>
    <w:p>
      <w:pPr>
        <w:pStyle w:val="Style41"/>
        <w:keepNext w:val="0"/>
        <w:keepLines w:val="0"/>
        <w:widowControl w:val="0"/>
        <w:pBdr>
          <w:bottom w:val="single" w:sz="4" w:space="0" w:color="auto"/>
        </w:pBdr>
        <w:shd w:val="clear" w:color="auto" w:fill="auto"/>
        <w:bidi w:val="0"/>
        <w:spacing w:before="0" w:after="160" w:line="240" w:lineRule="auto"/>
        <w:ind w:left="0" w:right="0" w:firstLine="620"/>
        <w:jc w:val="both"/>
      </w:pPr>
      <w:r>
        <w:rPr>
          <w:color w:val="000000"/>
          <w:spacing w:val="0"/>
          <w:w w:val="100"/>
          <w:position w:val="0"/>
        </w:rPr>
        <w:t xml:space="preserve">Wa Sung Investment Limited </w:t>
      </w:r>
      <w:r>
        <w:rPr>
          <w:rFonts w:ascii="SimSun" w:eastAsia="SimSun" w:hAnsi="SimSun" w:cs="SimSun"/>
          <w:color w:val="000000"/>
          <w:spacing w:val="0"/>
          <w:w w:val="100"/>
          <w:position w:val="0"/>
        </w:rPr>
        <w:t>（以下简称“华声香港”）</w:t>
      </w:r>
    </w:p>
    <w:p>
      <w:pPr>
        <w:pStyle w:val="Style33"/>
        <w:keepNext w:val="0"/>
        <w:keepLines w:val="0"/>
        <w:widowControl w:val="0"/>
        <w:pBdr>
          <w:bottom w:val="single" w:sz="4" w:space="0" w:color="auto"/>
        </w:pBdr>
        <w:shd w:val="clear" w:color="auto" w:fill="auto"/>
        <w:bidi w:val="0"/>
        <w:spacing w:before="0" w:after="160" w:line="311" w:lineRule="exact"/>
        <w:ind w:left="0" w:right="0" w:firstLine="620"/>
        <w:jc w:val="both"/>
      </w:pPr>
      <w:r>
        <w:rPr>
          <w:color w:val="000000"/>
          <w:spacing w:val="0"/>
          <w:w w:val="100"/>
          <w:position w:val="0"/>
        </w:rPr>
        <w:t>国盛证券有限责任公司（以下简称"国盛证券</w:t>
      </w:r>
      <w:r>
        <w:rPr>
          <w:color w:val="000000"/>
          <w:spacing w:val="0"/>
          <w:w w:val="100"/>
          <w:position w:val="0"/>
        </w:rPr>
        <w:t>”）</w:t>
      </w:r>
    </w:p>
    <w:p>
      <w:pPr>
        <w:pStyle w:val="Style33"/>
        <w:keepNext w:val="0"/>
        <w:keepLines w:val="0"/>
        <w:widowControl w:val="0"/>
        <w:pBdr>
          <w:bottom w:val="single" w:sz="4" w:space="0" w:color="auto"/>
        </w:pBdr>
        <w:shd w:val="clear" w:color="auto" w:fill="auto"/>
        <w:bidi w:val="0"/>
        <w:spacing w:before="0" w:after="440" w:line="311" w:lineRule="exact"/>
        <w:ind w:left="0" w:right="0" w:firstLine="620"/>
        <w:jc w:val="both"/>
      </w:pPr>
      <w:r>
        <w:rPr>
          <w:color w:val="000000"/>
          <w:spacing w:val="0"/>
          <w:w w:val="100"/>
          <w:position w:val="0"/>
        </w:rPr>
        <w:t>深圳前海国盛科技有限公司（以下简称“前海科技”）</w:t>
      </w:r>
    </w:p>
    <w:p>
      <w:pPr>
        <w:pStyle w:val="Style33"/>
        <w:keepNext w:val="0"/>
        <w:keepLines w:val="0"/>
        <w:widowControl w:val="0"/>
        <w:shd w:val="clear" w:color="auto" w:fill="auto"/>
        <w:bidi w:val="0"/>
        <w:spacing w:before="0" w:after="240" w:line="240" w:lineRule="auto"/>
        <w:ind w:left="0" w:right="0" w:firstLine="44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日止，本公司合并财务报表范围内孙公司如下:</w:t>
      </w:r>
    </w:p>
    <w:p>
      <w:pPr>
        <w:pStyle w:val="Style33"/>
        <w:keepNext w:val="0"/>
        <w:keepLines w:val="0"/>
        <w:widowControl w:val="0"/>
        <w:pBdr>
          <w:top w:val="single" w:sz="4" w:space="0" w:color="auto"/>
          <w:bottom w:val="single" w:sz="4" w:space="0" w:color="auto"/>
        </w:pBdr>
        <w:shd w:val="clear" w:color="auto" w:fill="auto"/>
        <w:bidi w:val="0"/>
        <w:spacing w:before="0" w:after="300" w:line="240" w:lineRule="auto"/>
        <w:ind w:left="0" w:right="0" w:firstLine="0"/>
        <w:jc w:val="center"/>
      </w:pPr>
      <w:r>
        <w:rPr>
          <w:color w:val="000000"/>
          <w:spacing w:val="0"/>
          <w:w w:val="100"/>
          <w:position w:val="0"/>
        </w:rPr>
        <w:t>子公司名称</w:t>
      </w:r>
    </w:p>
    <w:p>
      <w:pPr>
        <w:pStyle w:val="Style33"/>
        <w:keepNext w:val="0"/>
        <w:keepLines w:val="0"/>
        <w:widowControl w:val="0"/>
        <w:pBdr>
          <w:bottom w:val="single" w:sz="4" w:space="0" w:color="auto"/>
        </w:pBdr>
        <w:shd w:val="clear" w:color="auto" w:fill="auto"/>
        <w:bidi w:val="0"/>
        <w:spacing w:before="0" w:after="160" w:line="240" w:lineRule="auto"/>
        <w:ind w:left="0" w:right="0" w:firstLine="720"/>
        <w:jc w:val="both"/>
      </w:pPr>
      <w:r>
        <w:rPr>
          <w:color w:val="000000"/>
          <w:spacing w:val="0"/>
          <w:w w:val="100"/>
          <w:position w:val="0"/>
        </w:rPr>
        <w:t>江信国盛期货有限责任公司（以下简称''国盛期货</w:t>
      </w:r>
      <w:r>
        <w:rPr>
          <w:color w:val="000000"/>
          <w:spacing w:val="0"/>
          <w:w w:val="100"/>
          <w:position w:val="0"/>
        </w:rPr>
        <w:t>”）</w:t>
      </w:r>
    </w:p>
    <w:p>
      <w:pPr>
        <w:pStyle w:val="Style33"/>
        <w:keepNext w:val="0"/>
        <w:keepLines w:val="0"/>
        <w:widowControl w:val="0"/>
        <w:pBdr>
          <w:top w:val="single" w:sz="4" w:space="0" w:color="auto"/>
          <w:bottom w:val="single" w:sz="4" w:space="0" w:color="auto"/>
        </w:pBdr>
        <w:shd w:val="clear" w:color="auto" w:fill="auto"/>
        <w:bidi w:val="0"/>
        <w:spacing w:before="0" w:after="160" w:line="314" w:lineRule="exact"/>
        <w:ind w:left="0" w:right="0" w:firstLine="740"/>
        <w:jc w:val="left"/>
      </w:pPr>
      <w:r>
        <w:rPr>
          <w:color w:val="000000"/>
          <w:spacing w:val="0"/>
          <w:w w:val="100"/>
          <w:position w:val="0"/>
        </w:rPr>
        <w:t>国盛证券资产管理有限公司（以下简称"国盛资管</w:t>
      </w:r>
      <w:r>
        <w:rPr>
          <w:color w:val="000000"/>
          <w:spacing w:val="0"/>
          <w:w w:val="100"/>
          <w:position w:val="0"/>
        </w:rPr>
        <w:t>”）</w:t>
      </w:r>
    </w:p>
    <w:p>
      <w:pPr>
        <w:pStyle w:val="Style33"/>
        <w:keepNext w:val="0"/>
        <w:keepLines w:val="0"/>
        <w:widowControl w:val="0"/>
        <w:pBdr>
          <w:bottom w:val="single" w:sz="4" w:space="0" w:color="auto"/>
        </w:pBdr>
        <w:shd w:val="clear" w:color="auto" w:fill="auto"/>
        <w:bidi w:val="0"/>
        <w:spacing w:before="0" w:after="160" w:line="314" w:lineRule="exact"/>
        <w:ind w:left="0" w:right="0" w:firstLine="740"/>
        <w:jc w:val="left"/>
      </w:pPr>
      <w:r>
        <w:rPr>
          <w:color w:val="000000"/>
          <w:spacing w:val="0"/>
          <w:w w:val="100"/>
          <w:position w:val="0"/>
        </w:rPr>
        <w:t>上海全钰股权投资有限公司（以下简称“全钰投资”）</w:t>
      </w:r>
    </w:p>
    <w:p>
      <w:pPr>
        <w:pStyle w:val="Style33"/>
        <w:keepNext w:val="0"/>
        <w:keepLines w:val="0"/>
        <w:widowControl w:val="0"/>
        <w:pBdr>
          <w:bottom w:val="single" w:sz="4" w:space="0" w:color="auto"/>
        </w:pBdr>
        <w:shd w:val="clear" w:color="auto" w:fill="auto"/>
        <w:bidi w:val="0"/>
        <w:spacing w:before="0" w:after="160" w:line="314" w:lineRule="exact"/>
        <w:ind w:left="0" w:right="0" w:firstLine="740"/>
        <w:jc w:val="left"/>
      </w:pPr>
      <w:r>
        <w:rPr>
          <w:color w:val="000000"/>
          <w:spacing w:val="0"/>
          <w:w w:val="100"/>
          <w:position w:val="0"/>
        </w:rPr>
        <w:t>扬州华声电子实业有限公司（以下简称“扬州华声，，）</w:t>
      </w:r>
    </w:p>
    <w:p>
      <w:pPr>
        <w:pStyle w:val="Style33"/>
        <w:keepNext w:val="0"/>
        <w:keepLines w:val="0"/>
        <w:widowControl w:val="0"/>
        <w:pBdr>
          <w:bottom w:val="single" w:sz="4" w:space="0" w:color="auto"/>
        </w:pBdr>
        <w:shd w:val="clear" w:color="auto" w:fill="auto"/>
        <w:bidi w:val="0"/>
        <w:spacing w:before="0" w:after="160" w:line="314" w:lineRule="exact"/>
        <w:ind w:left="0" w:right="0" w:firstLine="740"/>
        <w:jc w:val="left"/>
      </w:pPr>
      <w:r>
        <w:rPr>
          <w:color w:val="000000"/>
          <w:spacing w:val="0"/>
          <w:w w:val="100"/>
          <w:position w:val="0"/>
        </w:rPr>
        <w:t>扬州华声电器装配有限公司（以下简称“扬州装配”）</w:t>
      </w:r>
    </w:p>
    <w:p>
      <w:pPr>
        <w:pStyle w:val="Style33"/>
        <w:keepNext w:val="0"/>
        <w:keepLines w:val="0"/>
        <w:widowControl w:val="0"/>
        <w:pBdr>
          <w:bottom w:val="single" w:sz="4" w:space="0" w:color="auto"/>
        </w:pBdr>
        <w:shd w:val="clear" w:color="auto" w:fill="auto"/>
        <w:bidi w:val="0"/>
        <w:spacing w:before="0" w:after="160" w:line="314" w:lineRule="exact"/>
        <w:ind w:left="0" w:right="0" w:firstLine="740"/>
        <w:jc w:val="left"/>
      </w:pPr>
      <w:r>
        <w:rPr>
          <w:color w:val="000000"/>
          <w:spacing w:val="0"/>
          <w:w w:val="100"/>
          <w:position w:val="0"/>
        </w:rPr>
        <w:t>佛山市华声电子装配有限责任公司（以下简称''佛山装配'，）</w:t>
      </w:r>
    </w:p>
    <w:p>
      <w:pPr>
        <w:pStyle w:val="Style33"/>
        <w:keepNext w:val="0"/>
        <w:keepLines w:val="0"/>
        <w:widowControl w:val="0"/>
        <w:pBdr>
          <w:bottom w:val="single" w:sz="4" w:space="0" w:color="auto"/>
        </w:pBdr>
        <w:shd w:val="clear" w:color="auto" w:fill="auto"/>
        <w:bidi w:val="0"/>
        <w:spacing w:before="0" w:after="260" w:line="314" w:lineRule="exact"/>
        <w:ind w:left="0" w:right="0" w:firstLine="740"/>
        <w:jc w:val="left"/>
      </w:pPr>
      <w:r>
        <w:rPr>
          <w:color w:val="000000"/>
          <w:spacing w:val="0"/>
          <w:w w:val="100"/>
          <w:position w:val="0"/>
        </w:rPr>
        <w:t>广东华声电缆有限公司（以下简称''华声电缆'，）</w:t>
      </w:r>
    </w:p>
    <w:p>
      <w:pPr>
        <w:pStyle w:val="Style41"/>
        <w:keepNext w:val="0"/>
        <w:keepLines w:val="0"/>
        <w:widowControl w:val="0"/>
        <w:shd w:val="clear" w:color="auto" w:fill="auto"/>
        <w:bidi w:val="0"/>
        <w:spacing w:before="0" w:after="40" w:line="240" w:lineRule="auto"/>
        <w:ind w:left="0" w:right="0" w:firstLine="740"/>
        <w:jc w:val="left"/>
      </w:pPr>
      <w:r>
        <w:rPr>
          <w:color w:val="000000"/>
          <w:spacing w:val="0"/>
          <w:w w:val="100"/>
          <w:position w:val="0"/>
        </w:rPr>
        <w:t xml:space="preserve">Wa Sung International Investment Limited </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华声国际投资有限公司）（以下简称</w:t>
      </w:r>
      <w:r>
        <w:rPr>
          <w:rFonts w:ascii="SimSun" w:eastAsia="SimSun" w:hAnsi="SimSun" w:cs="SimSun"/>
          <w:color w:val="000000"/>
          <w:spacing w:val="0"/>
          <w:w w:val="100"/>
          <w:position w:val="0"/>
        </w:rPr>
        <w:t>"</w:t>
      </w:r>
      <w:r>
        <w:rPr>
          <w:color w:val="000000"/>
          <w:spacing w:val="0"/>
          <w:w w:val="100"/>
          <w:position w:val="0"/>
        </w:rPr>
        <w:t>BVI</w:t>
      </w:r>
    </w:p>
    <w:p>
      <w:pPr>
        <w:pStyle w:val="Style33"/>
        <w:keepNext w:val="0"/>
        <w:keepLines w:val="0"/>
        <w:widowControl w:val="0"/>
        <w:pBdr>
          <w:bottom w:val="single" w:sz="4" w:space="0" w:color="auto"/>
        </w:pBdr>
        <w:shd w:val="clear" w:color="auto" w:fill="auto"/>
        <w:bidi w:val="0"/>
        <w:spacing w:before="0" w:after="260" w:line="314" w:lineRule="exact"/>
        <w:ind w:left="0" w:right="0" w:firstLine="740"/>
        <w:jc w:val="both"/>
      </w:pPr>
      <w:r>
        <w:rPr>
          <w:color w:val="000000"/>
          <w:spacing w:val="0"/>
          <w:w w:val="100"/>
          <w:position w:val="0"/>
        </w:rPr>
        <w:t>华声'，）</w:t>
      </w:r>
    </w:p>
    <w:p>
      <w:pPr>
        <w:pStyle w:val="Style41"/>
        <w:keepNext w:val="0"/>
        <w:keepLines w:val="0"/>
        <w:widowControl w:val="0"/>
        <w:shd w:val="clear" w:color="auto" w:fill="auto"/>
        <w:bidi w:val="0"/>
        <w:spacing w:before="0" w:after="40" w:line="240" w:lineRule="auto"/>
        <w:ind w:left="0" w:right="0" w:firstLine="740"/>
        <w:jc w:val="left"/>
      </w:pPr>
      <w:r>
        <w:rPr>
          <w:color w:val="000000"/>
          <w:spacing w:val="0"/>
          <w:w w:val="100"/>
          <w:position w:val="0"/>
        </w:rPr>
        <w:t xml:space="preserve">Huasheng Internet Investment Management Limited </w:t>
      </w:r>
      <w:r>
        <w:rPr>
          <w:rFonts w:ascii="SimSun" w:eastAsia="SimSun" w:hAnsi="SimSun" w:cs="SimSun"/>
          <w:color w:val="000000"/>
          <w:spacing w:val="0"/>
          <w:w w:val="100"/>
          <w:position w:val="0"/>
        </w:rPr>
        <w:t>（华声互联网投资管理有限公司）</w:t>
      </w:r>
    </w:p>
    <w:p>
      <w:pPr>
        <w:pStyle w:val="Style33"/>
        <w:keepNext w:val="0"/>
        <w:keepLines w:val="0"/>
        <w:widowControl w:val="0"/>
        <w:pBdr>
          <w:bottom w:val="single" w:sz="4" w:space="0" w:color="auto"/>
        </w:pBdr>
        <w:shd w:val="clear" w:color="auto" w:fill="auto"/>
        <w:bidi w:val="0"/>
        <w:spacing w:before="0" w:after="40" w:line="314" w:lineRule="exact"/>
        <w:ind w:left="0" w:right="0" w:firstLine="740"/>
        <w:jc w:val="both"/>
      </w:pPr>
      <w:r>
        <w:rPr>
          <w:color w:val="000000"/>
          <w:spacing w:val="0"/>
          <w:w w:val="100"/>
          <w:position w:val="0"/>
        </w:rPr>
        <w:t>（以下简称“开曼华声”）</w:t>
      </w:r>
    </w:p>
    <w:p>
      <w:pPr>
        <w:pStyle w:val="Style33"/>
        <w:keepNext w:val="0"/>
        <w:keepLines w:val="0"/>
        <w:widowControl w:val="0"/>
        <w:shd w:val="clear" w:color="auto" w:fill="auto"/>
        <w:bidi w:val="0"/>
        <w:spacing w:before="0" w:after="380" w:line="314" w:lineRule="exact"/>
        <w:ind w:left="0" w:right="0" w:firstLine="440"/>
        <w:jc w:val="left"/>
      </w:pPr>
      <w:r>
        <w:rPr>
          <w:color w:val="000000"/>
          <w:spacing w:val="0"/>
          <w:w w:val="100"/>
          <w:position w:val="0"/>
        </w:rPr>
        <w:t>本期合并财务报表范围及其变化情况详见本附注</w:t>
      </w:r>
      <w:r>
        <w:rPr>
          <w:rFonts w:ascii="Times New Roman" w:eastAsia="Times New Roman" w:hAnsi="Times New Roman" w:cs="Times New Roman"/>
          <w:color w:val="000000"/>
          <w:spacing w:val="0"/>
          <w:w w:val="100"/>
          <w:position w:val="0"/>
        </w:rPr>
        <w:t>“</w:t>
      </w:r>
      <w:r>
        <w:rPr>
          <w:color w:val="000000"/>
          <w:spacing w:val="0"/>
          <w:w w:val="100"/>
          <w:position w:val="0"/>
        </w:rPr>
        <w:t>八、合并范围的变更</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九、在其他主体中的权益</w:t>
      </w:r>
    </w:p>
    <w:p>
      <w:pPr>
        <w:pStyle w:val="Style23"/>
        <w:keepNext/>
        <w:keepLines/>
        <w:widowControl w:val="0"/>
        <w:shd w:val="clear" w:color="auto" w:fill="auto"/>
        <w:tabs>
          <w:tab w:pos="498" w:val="left"/>
        </w:tabs>
        <w:bidi w:val="0"/>
        <w:spacing w:before="0" w:after="380" w:line="240" w:lineRule="auto"/>
        <w:ind w:left="0" w:right="0" w:firstLine="0"/>
        <w:jc w:val="both"/>
        <w:rPr>
          <w:sz w:val="22"/>
          <w:szCs w:val="22"/>
        </w:rPr>
      </w:pPr>
      <w:bookmarkStart w:id="696" w:name="bookmark696"/>
      <w:bookmarkStart w:id="697" w:name="bookmark697"/>
      <w:bookmarkStart w:id="698" w:name="bookmark698"/>
      <w:bookmarkStart w:id="699" w:name="bookmark699"/>
      <w:r>
        <w:rPr>
          <w:b/>
          <w:bCs/>
          <w:color w:val="000000"/>
          <w:spacing w:val="0"/>
          <w:w w:val="100"/>
          <w:position w:val="0"/>
          <w:sz w:val="22"/>
          <w:szCs w:val="22"/>
        </w:rPr>
        <w:t>四</w:t>
      </w:r>
      <w:bookmarkEnd w:id="698"/>
      <w:r>
        <w:rPr>
          <w:b/>
          <w:bCs/>
          <w:color w:val="000000"/>
          <w:spacing w:val="0"/>
          <w:w w:val="100"/>
          <w:position w:val="0"/>
          <w:sz w:val="22"/>
          <w:szCs w:val="22"/>
        </w:rPr>
        <w:t>、</w:t>
        <w:tab/>
        <w:t>财务报表的编制基础</w:t>
      </w:r>
      <w:bookmarkEnd w:id="696"/>
      <w:bookmarkEnd w:id="697"/>
      <w:bookmarkEnd w:id="699"/>
    </w:p>
    <w:p>
      <w:pPr>
        <w:pStyle w:val="Style30"/>
        <w:keepNext/>
        <w:keepLines/>
        <w:widowControl w:val="0"/>
        <w:shd w:val="clear" w:color="auto" w:fill="auto"/>
        <w:tabs>
          <w:tab w:pos="368" w:val="left"/>
        </w:tabs>
        <w:bidi w:val="0"/>
        <w:spacing w:before="0" w:after="160" w:line="326" w:lineRule="auto"/>
        <w:ind w:left="0" w:right="0" w:firstLine="0"/>
        <w:jc w:val="both"/>
      </w:pPr>
      <w:bookmarkStart w:id="700" w:name="bookmark700"/>
      <w:bookmarkStart w:id="701" w:name="bookmark701"/>
      <w:bookmarkStart w:id="702" w:name="bookmark702"/>
      <w:bookmarkStart w:id="703" w:name="bookmark703"/>
      <w:r>
        <w:rPr>
          <w:rFonts w:ascii="Times New Roman" w:eastAsia="Times New Roman" w:hAnsi="Times New Roman" w:cs="Times New Roman"/>
          <w:color w:val="000000"/>
          <w:spacing w:val="0"/>
          <w:w w:val="100"/>
          <w:position w:val="0"/>
        </w:rPr>
        <w:t>1</w:t>
      </w:r>
      <w:bookmarkEnd w:id="702"/>
      <w:r>
        <w:rPr>
          <w:color w:val="000000"/>
          <w:spacing w:val="0"/>
          <w:w w:val="100"/>
          <w:position w:val="0"/>
        </w:rPr>
        <w:t>、</w:t>
        <w:tab/>
        <w:t>编制基础</w:t>
      </w:r>
      <w:bookmarkEnd w:id="700"/>
      <w:bookmarkEnd w:id="701"/>
      <w:bookmarkEnd w:id="703"/>
    </w:p>
    <w:p>
      <w:pPr>
        <w:pStyle w:val="Style33"/>
        <w:keepNext w:val="0"/>
        <w:keepLines w:val="0"/>
        <w:widowControl w:val="0"/>
        <w:shd w:val="clear" w:color="auto" w:fill="auto"/>
        <w:bidi w:val="0"/>
        <w:spacing w:before="0" w:after="380" w:line="314" w:lineRule="exact"/>
        <w:ind w:left="0" w:right="0" w:firstLine="440"/>
        <w:jc w:val="both"/>
      </w:pPr>
      <w:r>
        <w:rPr>
          <w:color w:val="000000"/>
          <w:spacing w:val="0"/>
          <w:w w:val="100"/>
          <w:position w:val="0"/>
        </w:rPr>
        <w:t>公司以持续经营为基础，根据实际发生的交易和事项，按照财政部颁布的《企业会计准则一基本准 则》和各项具体会计准则、企业会计准则应用指南、企业会计准则解释及其他相关规定（以下合称</w:t>
      </w:r>
      <w:r>
        <w:rPr>
          <w:rFonts w:ascii="Times New Roman" w:eastAsia="Times New Roman" w:hAnsi="Times New Roman" w:cs="Times New Roman"/>
          <w:color w:val="000000"/>
          <w:spacing w:val="0"/>
          <w:w w:val="100"/>
          <w:position w:val="0"/>
        </w:rPr>
        <w:t>“</w:t>
      </w:r>
      <w:r>
        <w:rPr>
          <w:color w:val="000000"/>
          <w:spacing w:val="0"/>
          <w:w w:val="100"/>
          <w:position w:val="0"/>
        </w:rPr>
        <w:t>企业 会计准则</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，以及中国证券监督管理委员会《公开发行证券的公司信息披露编报规则第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号一财务报 告的一般规定》的披露规定编制财务报表。</w:t>
      </w:r>
    </w:p>
    <w:p>
      <w:pPr>
        <w:pStyle w:val="Style30"/>
        <w:keepNext/>
        <w:keepLines/>
        <w:widowControl w:val="0"/>
        <w:shd w:val="clear" w:color="auto" w:fill="auto"/>
        <w:tabs>
          <w:tab w:pos="378" w:val="left"/>
        </w:tabs>
        <w:bidi w:val="0"/>
        <w:spacing w:before="0" w:after="260" w:line="326" w:lineRule="auto"/>
        <w:ind w:left="0" w:right="0" w:firstLine="0"/>
        <w:jc w:val="both"/>
      </w:pPr>
      <w:bookmarkStart w:id="704" w:name="bookmark704"/>
      <w:bookmarkStart w:id="705" w:name="bookmark705"/>
      <w:bookmarkStart w:id="706" w:name="bookmark706"/>
      <w:bookmarkStart w:id="707" w:name="bookmark707"/>
      <w:r>
        <w:rPr>
          <w:rFonts w:ascii="Times New Roman" w:eastAsia="Times New Roman" w:hAnsi="Times New Roman" w:cs="Times New Roman"/>
          <w:color w:val="000000"/>
          <w:spacing w:val="0"/>
          <w:w w:val="100"/>
          <w:position w:val="0"/>
        </w:rPr>
        <w:t>2</w:t>
      </w:r>
      <w:bookmarkEnd w:id="706"/>
      <w:r>
        <w:rPr>
          <w:color w:val="000000"/>
          <w:spacing w:val="0"/>
          <w:w w:val="100"/>
          <w:position w:val="0"/>
        </w:rPr>
        <w:t>、</w:t>
        <w:tab/>
        <w:t>持续经营</w:t>
      </w:r>
      <w:bookmarkEnd w:id="704"/>
      <w:bookmarkEnd w:id="705"/>
      <w:bookmarkEnd w:id="707"/>
    </w:p>
    <w:p>
      <w:pPr>
        <w:pStyle w:val="Style33"/>
        <w:keepNext w:val="0"/>
        <w:keepLines w:val="0"/>
        <w:widowControl w:val="0"/>
        <w:shd w:val="clear" w:color="auto" w:fill="auto"/>
        <w:bidi w:val="0"/>
        <w:spacing w:before="0" w:after="380" w:line="298" w:lineRule="exact"/>
        <w:ind w:left="0" w:right="0" w:firstLine="440"/>
        <w:jc w:val="both"/>
      </w:pPr>
      <w:r>
        <w:rPr>
          <w:color w:val="000000"/>
          <w:spacing w:val="0"/>
          <w:w w:val="100"/>
          <w:position w:val="0"/>
        </w:rPr>
        <w:t>公司综合考虑宏观政策风险、市场经营风险、企业目前或长期的盈利能力、偿债能力、财务弹性等因 素，认为公司具有自报告期末起至少</w:t>
      </w:r>
      <w:r>
        <w:rPr>
          <w:rFonts w:ascii="Times New Roman" w:eastAsia="Times New Roman" w:hAnsi="Times New Roman" w:cs="Times New Roman"/>
          <w:color w:val="000000"/>
          <w:spacing w:val="0"/>
          <w:w w:val="100"/>
          <w:position w:val="0"/>
        </w:rPr>
        <w:t>12</w:t>
      </w:r>
      <w:r>
        <w:rPr>
          <w:color w:val="000000"/>
          <w:spacing w:val="0"/>
          <w:w w:val="100"/>
          <w:position w:val="0"/>
        </w:rPr>
        <w:t>个月的持续经营能力。</w:t>
      </w:r>
    </w:p>
    <w:p>
      <w:pPr>
        <w:pStyle w:val="Style23"/>
        <w:keepNext/>
        <w:keepLines/>
        <w:widowControl w:val="0"/>
        <w:shd w:val="clear" w:color="auto" w:fill="auto"/>
        <w:tabs>
          <w:tab w:pos="517" w:val="left"/>
        </w:tabs>
        <w:bidi w:val="0"/>
        <w:spacing w:before="0" w:after="260" w:line="240" w:lineRule="auto"/>
        <w:ind w:left="0" w:right="0" w:firstLine="0"/>
        <w:jc w:val="left"/>
        <w:rPr>
          <w:sz w:val="22"/>
          <w:szCs w:val="22"/>
        </w:rPr>
      </w:pPr>
      <w:bookmarkStart w:id="708" w:name="bookmark708"/>
      <w:bookmarkStart w:id="709" w:name="bookmark709"/>
      <w:bookmarkStart w:id="710" w:name="bookmark710"/>
      <w:bookmarkStart w:id="711" w:name="bookmark711"/>
      <w:r>
        <w:rPr>
          <w:b/>
          <w:bCs/>
          <w:color w:val="000000"/>
          <w:spacing w:val="0"/>
          <w:w w:val="100"/>
          <w:position w:val="0"/>
          <w:sz w:val="22"/>
          <w:szCs w:val="22"/>
        </w:rPr>
        <w:t>五</w:t>
      </w:r>
      <w:bookmarkEnd w:id="710"/>
      <w:r>
        <w:rPr>
          <w:b/>
          <w:bCs/>
          <w:color w:val="000000"/>
          <w:spacing w:val="0"/>
          <w:w w:val="100"/>
          <w:position w:val="0"/>
          <w:sz w:val="22"/>
          <w:szCs w:val="22"/>
        </w:rPr>
        <w:t>、</w:t>
        <w:tab/>
        <w:t>重要会计政策及会计估计</w:t>
      </w:r>
      <w:bookmarkEnd w:id="708"/>
      <w:bookmarkEnd w:id="709"/>
      <w:bookmarkEnd w:id="711"/>
    </w:p>
    <w:p>
      <w:pPr>
        <w:pStyle w:val="Style33"/>
        <w:keepNext w:val="0"/>
        <w:keepLines w:val="0"/>
        <w:widowControl w:val="0"/>
        <w:shd w:val="clear" w:color="auto" w:fill="auto"/>
        <w:tabs>
          <w:tab w:pos="9219" w:val="left"/>
        </w:tabs>
        <w:bidi w:val="0"/>
        <w:spacing w:before="0" w:after="40" w:line="314" w:lineRule="exact"/>
        <w:ind w:left="0" w:right="0" w:firstLine="440"/>
        <w:jc w:val="left"/>
      </w:pPr>
      <w:r>
        <w:rPr>
          <w:color w:val="000000"/>
          <w:spacing w:val="0"/>
          <w:w w:val="100"/>
          <w:position w:val="0"/>
        </w:rPr>
        <w:t>公司是否需要遵守特殊行业的披露要求</w:t>
        <w:tab/>
        <w:t>否</w:t>
      </w:r>
    </w:p>
    <w:p>
      <w:pPr>
        <w:pStyle w:val="Style33"/>
        <w:keepNext w:val="0"/>
        <w:keepLines w:val="0"/>
        <w:widowControl w:val="0"/>
        <w:shd w:val="clear" w:color="auto" w:fill="auto"/>
        <w:bidi w:val="0"/>
        <w:spacing w:before="0" w:after="40" w:line="314" w:lineRule="exact"/>
        <w:ind w:left="0" w:right="0" w:firstLine="440"/>
        <w:jc w:val="left"/>
      </w:pPr>
      <w:r>
        <w:rPr>
          <w:color w:val="000000"/>
          <w:spacing w:val="0"/>
          <w:w w:val="100"/>
          <w:position w:val="0"/>
        </w:rPr>
        <w:t>具体会计政策和会计估计提示：</w:t>
      </w:r>
    </w:p>
    <w:p>
      <w:pPr>
        <w:pStyle w:val="Style33"/>
        <w:keepNext w:val="0"/>
        <w:keepLines w:val="0"/>
        <w:widowControl w:val="0"/>
        <w:shd w:val="clear" w:color="auto" w:fill="auto"/>
        <w:bidi w:val="0"/>
        <w:spacing w:before="0" w:after="380" w:line="314" w:lineRule="exact"/>
        <w:ind w:left="0" w:right="0" w:firstLine="440"/>
        <w:jc w:val="left"/>
      </w:pPr>
      <w:r>
        <w:rPr>
          <w:color w:val="000000"/>
          <w:spacing w:val="0"/>
          <w:w w:val="100"/>
          <w:position w:val="0"/>
        </w:rPr>
        <w:t>以下披露内容已涵盖了公司及子公司根据实际生产经营特点制定的会计政策和会计估计。</w:t>
      </w:r>
    </w:p>
    <w:p>
      <w:pPr>
        <w:pStyle w:val="Style30"/>
        <w:keepNext/>
        <w:keepLines/>
        <w:widowControl w:val="0"/>
        <w:shd w:val="clear" w:color="auto" w:fill="auto"/>
        <w:tabs>
          <w:tab w:pos="368" w:val="left"/>
        </w:tabs>
        <w:bidi w:val="0"/>
        <w:spacing w:before="0" w:after="160" w:line="326" w:lineRule="auto"/>
        <w:ind w:left="0" w:right="0" w:firstLine="0"/>
        <w:jc w:val="both"/>
      </w:pPr>
      <w:bookmarkStart w:id="712" w:name="bookmark712"/>
      <w:bookmarkStart w:id="713" w:name="bookmark713"/>
      <w:bookmarkStart w:id="714" w:name="bookmark714"/>
      <w:bookmarkStart w:id="715" w:name="bookmark715"/>
      <w:r>
        <w:rPr>
          <w:rFonts w:ascii="Times New Roman" w:eastAsia="Times New Roman" w:hAnsi="Times New Roman" w:cs="Times New Roman"/>
          <w:color w:val="000000"/>
          <w:spacing w:val="0"/>
          <w:w w:val="100"/>
          <w:position w:val="0"/>
        </w:rPr>
        <w:t>1</w:t>
      </w:r>
      <w:bookmarkEnd w:id="714"/>
      <w:r>
        <w:rPr>
          <w:color w:val="000000"/>
          <w:spacing w:val="0"/>
          <w:w w:val="100"/>
          <w:position w:val="0"/>
        </w:rPr>
        <w:t>、</w:t>
        <w:tab/>
        <w:t>遵循企业会计准则的声明</w:t>
      </w:r>
      <w:bookmarkEnd w:id="712"/>
      <w:bookmarkEnd w:id="713"/>
      <w:bookmarkEnd w:id="715"/>
    </w:p>
    <w:p>
      <w:pPr>
        <w:pStyle w:val="Style33"/>
        <w:keepNext w:val="0"/>
        <w:keepLines w:val="0"/>
        <w:widowControl w:val="0"/>
        <w:shd w:val="clear" w:color="auto" w:fill="auto"/>
        <w:bidi w:val="0"/>
        <w:spacing w:before="0" w:after="380" w:line="317" w:lineRule="exact"/>
        <w:ind w:left="0" w:right="0" w:firstLine="440"/>
        <w:jc w:val="both"/>
      </w:pPr>
      <w:r>
        <w:rPr>
          <w:color w:val="000000"/>
          <w:spacing w:val="0"/>
          <w:w w:val="100"/>
          <w:position w:val="0"/>
        </w:rPr>
        <w:t>公司所编制的财务报表符合企业会计准则的要求，真实、完整地反映了报告期公司的财务状况、经营 成果等有关信息。</w:t>
      </w:r>
    </w:p>
    <w:p>
      <w:pPr>
        <w:pStyle w:val="Style30"/>
        <w:keepNext/>
        <w:keepLines/>
        <w:widowControl w:val="0"/>
        <w:shd w:val="clear" w:color="auto" w:fill="auto"/>
        <w:tabs>
          <w:tab w:pos="378" w:val="left"/>
        </w:tabs>
        <w:bidi w:val="0"/>
        <w:spacing w:before="0" w:after="160" w:line="326" w:lineRule="auto"/>
        <w:ind w:left="0" w:right="0" w:firstLine="0"/>
        <w:jc w:val="both"/>
      </w:pPr>
      <w:bookmarkStart w:id="716" w:name="bookmark716"/>
      <w:bookmarkStart w:id="717" w:name="bookmark717"/>
      <w:bookmarkStart w:id="718" w:name="bookmark718"/>
      <w:bookmarkStart w:id="719" w:name="bookmark719"/>
      <w:r>
        <w:rPr>
          <w:rFonts w:ascii="Times New Roman" w:eastAsia="Times New Roman" w:hAnsi="Times New Roman" w:cs="Times New Roman"/>
          <w:color w:val="000000"/>
          <w:spacing w:val="0"/>
          <w:w w:val="100"/>
          <w:position w:val="0"/>
        </w:rPr>
        <w:t>2</w:t>
      </w:r>
      <w:bookmarkEnd w:id="718"/>
      <w:r>
        <w:rPr>
          <w:color w:val="000000"/>
          <w:spacing w:val="0"/>
          <w:w w:val="100"/>
          <w:position w:val="0"/>
        </w:rPr>
        <w:t>、</w:t>
        <w:tab/>
        <w:t>会计期间</w:t>
      </w:r>
      <w:bookmarkEnd w:id="716"/>
      <w:bookmarkEnd w:id="717"/>
      <w:bookmarkEnd w:id="719"/>
    </w:p>
    <w:p>
      <w:pPr>
        <w:pStyle w:val="Style33"/>
        <w:keepNext w:val="0"/>
        <w:keepLines w:val="0"/>
        <w:widowControl w:val="0"/>
        <w:shd w:val="clear" w:color="auto" w:fill="auto"/>
        <w:bidi w:val="0"/>
        <w:spacing w:before="0" w:after="0" w:line="312" w:lineRule="exact"/>
        <w:ind w:left="0" w:right="0" w:firstLine="420"/>
        <w:jc w:val="left"/>
      </w:pPr>
      <w:r>
        <w:rPr>
          <w:color w:val="000000"/>
          <w:spacing w:val="0"/>
          <w:w w:val="100"/>
          <w:position w:val="0"/>
        </w:rPr>
        <w:t>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日止为一个会计年度。</w:t>
      </w:r>
    </w:p>
    <w:p>
      <w:pPr>
        <w:pStyle w:val="Style33"/>
        <w:keepNext w:val="0"/>
        <w:keepLines w:val="0"/>
        <w:widowControl w:val="0"/>
        <w:shd w:val="clear" w:color="auto" w:fill="auto"/>
        <w:bidi w:val="0"/>
        <w:spacing w:before="0" w:after="300" w:line="312" w:lineRule="exact"/>
        <w:ind w:left="0" w:right="0" w:firstLine="420"/>
        <w:jc w:val="left"/>
      </w:pPr>
      <w:r>
        <w:rPr>
          <w:color w:val="000000"/>
          <w:spacing w:val="0"/>
          <w:w w:val="100"/>
          <w:position w:val="0"/>
        </w:rPr>
        <w:t>本报告期为</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p>
      <w:pPr>
        <w:pStyle w:val="Style30"/>
        <w:keepNext/>
        <w:keepLines/>
        <w:widowControl w:val="0"/>
        <w:shd w:val="clear" w:color="auto" w:fill="auto"/>
        <w:tabs>
          <w:tab w:pos="373" w:val="left"/>
        </w:tabs>
        <w:bidi w:val="0"/>
        <w:spacing w:before="0" w:after="300" w:line="312" w:lineRule="exact"/>
        <w:ind w:left="0" w:right="0" w:firstLine="0"/>
        <w:jc w:val="left"/>
      </w:pPr>
      <w:bookmarkStart w:id="720" w:name="bookmark720"/>
      <w:bookmarkStart w:id="721" w:name="bookmark721"/>
      <w:bookmarkStart w:id="722" w:name="bookmark722"/>
      <w:bookmarkStart w:id="723" w:name="bookmark723"/>
      <w:r>
        <w:rPr>
          <w:rFonts w:ascii="Times New Roman" w:eastAsia="Times New Roman" w:hAnsi="Times New Roman" w:cs="Times New Roman"/>
          <w:color w:val="000000"/>
          <w:spacing w:val="0"/>
          <w:w w:val="100"/>
          <w:position w:val="0"/>
        </w:rPr>
        <w:t>3</w:t>
      </w:r>
      <w:bookmarkEnd w:id="722"/>
      <w:r>
        <w:rPr>
          <w:color w:val="000000"/>
          <w:spacing w:val="0"/>
          <w:w w:val="100"/>
          <w:position w:val="0"/>
        </w:rPr>
        <w:t>、</w:t>
        <w:tab/>
        <w:t>营业周期</w:t>
      </w:r>
      <w:bookmarkEnd w:id="720"/>
      <w:bookmarkEnd w:id="721"/>
      <w:bookmarkEnd w:id="723"/>
    </w:p>
    <w:p>
      <w:pPr>
        <w:pStyle w:val="Style33"/>
        <w:keepNext w:val="0"/>
        <w:keepLines w:val="0"/>
        <w:widowControl w:val="0"/>
        <w:shd w:val="clear" w:color="auto" w:fill="auto"/>
        <w:bidi w:val="0"/>
        <w:spacing w:before="0" w:after="300" w:line="312" w:lineRule="exact"/>
        <w:ind w:left="0" w:right="0" w:firstLine="420"/>
        <w:jc w:val="both"/>
      </w:pPr>
      <w:r>
        <w:rPr>
          <w:color w:val="000000"/>
          <w:spacing w:val="0"/>
          <w:w w:val="100"/>
          <w:position w:val="0"/>
        </w:rPr>
        <w:t>本公司营业周期为</w:t>
      </w:r>
      <w:r>
        <w:rPr>
          <w:rFonts w:ascii="Times New Roman" w:eastAsia="Times New Roman" w:hAnsi="Times New Roman" w:cs="Times New Roman"/>
          <w:color w:val="000000"/>
          <w:spacing w:val="0"/>
          <w:w w:val="100"/>
          <w:position w:val="0"/>
        </w:rPr>
        <w:t>12</w:t>
      </w:r>
      <w:r>
        <w:rPr>
          <w:color w:val="000000"/>
          <w:spacing w:val="0"/>
          <w:w w:val="100"/>
          <w:position w:val="0"/>
        </w:rPr>
        <w:t>个月。</w:t>
      </w:r>
    </w:p>
    <w:p>
      <w:pPr>
        <w:pStyle w:val="Style30"/>
        <w:keepNext/>
        <w:keepLines/>
        <w:widowControl w:val="0"/>
        <w:shd w:val="clear" w:color="auto" w:fill="auto"/>
        <w:tabs>
          <w:tab w:pos="373" w:val="left"/>
        </w:tabs>
        <w:bidi w:val="0"/>
        <w:spacing w:before="0" w:after="300" w:line="312" w:lineRule="exact"/>
        <w:ind w:left="0" w:right="0" w:firstLine="0"/>
        <w:jc w:val="left"/>
      </w:pPr>
      <w:bookmarkStart w:id="724" w:name="bookmark724"/>
      <w:bookmarkStart w:id="725" w:name="bookmark725"/>
      <w:bookmarkStart w:id="726" w:name="bookmark726"/>
      <w:bookmarkStart w:id="727" w:name="bookmark727"/>
      <w:r>
        <w:rPr>
          <w:rFonts w:ascii="Times New Roman" w:eastAsia="Times New Roman" w:hAnsi="Times New Roman" w:cs="Times New Roman"/>
          <w:color w:val="000000"/>
          <w:spacing w:val="0"/>
          <w:w w:val="100"/>
          <w:position w:val="0"/>
        </w:rPr>
        <w:t>4</w:t>
      </w:r>
      <w:bookmarkEnd w:id="726"/>
      <w:r>
        <w:rPr>
          <w:color w:val="000000"/>
          <w:spacing w:val="0"/>
          <w:w w:val="100"/>
          <w:position w:val="0"/>
        </w:rPr>
        <w:t>、</w:t>
        <w:tab/>
        <w:t>记账本位币</w:t>
      </w:r>
      <w:bookmarkEnd w:id="724"/>
      <w:bookmarkEnd w:id="725"/>
      <w:bookmarkEnd w:id="727"/>
    </w:p>
    <w:p>
      <w:pPr>
        <w:pStyle w:val="Style33"/>
        <w:keepNext w:val="0"/>
        <w:keepLines w:val="0"/>
        <w:widowControl w:val="0"/>
        <w:shd w:val="clear" w:color="auto" w:fill="auto"/>
        <w:bidi w:val="0"/>
        <w:spacing w:before="0" w:after="300" w:line="312" w:lineRule="exact"/>
        <w:ind w:left="0" w:right="0" w:firstLine="420"/>
        <w:jc w:val="left"/>
      </w:pPr>
      <w:r>
        <w:rPr>
          <w:color w:val="000000"/>
          <w:spacing w:val="0"/>
          <w:w w:val="100"/>
          <w:position w:val="0"/>
        </w:rPr>
        <w:t>本公司采用人民币为记账本位币。</w:t>
      </w:r>
    </w:p>
    <w:p>
      <w:pPr>
        <w:pStyle w:val="Style30"/>
        <w:keepNext/>
        <w:keepLines/>
        <w:widowControl w:val="0"/>
        <w:shd w:val="clear" w:color="auto" w:fill="auto"/>
        <w:tabs>
          <w:tab w:pos="373" w:val="left"/>
        </w:tabs>
        <w:bidi w:val="0"/>
        <w:spacing w:before="0" w:after="300" w:line="312" w:lineRule="exact"/>
        <w:ind w:left="0" w:right="0" w:firstLine="0"/>
        <w:jc w:val="left"/>
      </w:pPr>
      <w:bookmarkStart w:id="728" w:name="bookmark728"/>
      <w:bookmarkStart w:id="729" w:name="bookmark729"/>
      <w:bookmarkStart w:id="730" w:name="bookmark730"/>
      <w:bookmarkStart w:id="731" w:name="bookmark731"/>
      <w:r>
        <w:rPr>
          <w:rFonts w:ascii="Times New Roman" w:eastAsia="Times New Roman" w:hAnsi="Times New Roman" w:cs="Times New Roman"/>
          <w:color w:val="000000"/>
          <w:spacing w:val="0"/>
          <w:w w:val="100"/>
          <w:position w:val="0"/>
        </w:rPr>
        <w:t>5</w:t>
      </w:r>
      <w:bookmarkEnd w:id="730"/>
      <w:r>
        <w:rPr>
          <w:color w:val="000000"/>
          <w:spacing w:val="0"/>
          <w:w w:val="100"/>
          <w:position w:val="0"/>
        </w:rPr>
        <w:t>、</w:t>
        <w:tab/>
        <w:t>同一控制下和非同一控制下企业合并的会计处理方法</w:t>
      </w:r>
      <w:bookmarkEnd w:id="728"/>
      <w:bookmarkEnd w:id="729"/>
      <w:bookmarkEnd w:id="731"/>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同一控制下企业合并：本公司在企业合并中取得的资产和负债，按照合并日在被合并方资产、负债（包 括最终控制方收购被合并方而形成的商誉）在最终控制方合并财务报表中的账面价值计量。在合并中取得 的净资产账面价值与支付的合并对价账面价值（或发行股份面值总额）的差额，调整资本公积中的股本溢 价，资本公积中的股本溢价不足冲减的，调整留存收益。</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非同一控制下企业合并：本公司在购买日对作为企业合并对价付出的资产、发生或承担的负 债按照公允价值计量，公允价值与其账面价值的差额，计入当期损益。本公司对合并成本大于合 并中取得的被购买方可辨认净资产公允价值份额的差额，确认为商誉；合并成本小于合并中取得 的被购买方可辨认净资产公允价值份额的差额，经复核后，计入当期损益。</w:t>
      </w:r>
    </w:p>
    <w:p>
      <w:pPr>
        <w:pStyle w:val="Style33"/>
        <w:keepNext w:val="0"/>
        <w:keepLines w:val="0"/>
        <w:widowControl w:val="0"/>
        <w:shd w:val="clear" w:color="auto" w:fill="auto"/>
        <w:bidi w:val="0"/>
        <w:spacing w:before="0" w:after="300" w:line="313" w:lineRule="exact"/>
        <w:ind w:left="0" w:right="0" w:firstLine="440"/>
        <w:jc w:val="both"/>
      </w:pPr>
      <w:r>
        <w:rPr>
          <w:color w:val="000000"/>
          <w:spacing w:val="0"/>
          <w:w w:val="100"/>
          <w:position w:val="0"/>
        </w:rPr>
        <w:t>为企业合并发生的审计、法律服务、评估咨询等中介费用以及其他直接相关费用，于发生时计入当期 损益；为企业合并而发行权益性证券的交易费用，冲减权益。</w:t>
      </w:r>
    </w:p>
    <w:p>
      <w:pPr>
        <w:pStyle w:val="Style30"/>
        <w:keepNext/>
        <w:keepLines/>
        <w:widowControl w:val="0"/>
        <w:shd w:val="clear" w:color="auto" w:fill="auto"/>
        <w:tabs>
          <w:tab w:pos="373" w:val="left"/>
        </w:tabs>
        <w:bidi w:val="0"/>
        <w:spacing w:before="0" w:after="300" w:line="312" w:lineRule="exact"/>
        <w:ind w:left="0" w:right="0" w:firstLine="0"/>
        <w:jc w:val="left"/>
      </w:pPr>
      <w:bookmarkStart w:id="732" w:name="bookmark732"/>
      <w:bookmarkStart w:id="733" w:name="bookmark733"/>
      <w:bookmarkStart w:id="734" w:name="bookmark734"/>
      <w:bookmarkStart w:id="735" w:name="bookmark735"/>
      <w:r>
        <w:rPr>
          <w:rFonts w:ascii="Times New Roman" w:eastAsia="Times New Roman" w:hAnsi="Times New Roman" w:cs="Times New Roman"/>
          <w:color w:val="000000"/>
          <w:spacing w:val="0"/>
          <w:w w:val="100"/>
          <w:position w:val="0"/>
        </w:rPr>
        <w:t>6</w:t>
      </w:r>
      <w:bookmarkEnd w:id="734"/>
      <w:r>
        <w:rPr>
          <w:color w:val="000000"/>
          <w:spacing w:val="0"/>
          <w:w w:val="100"/>
          <w:position w:val="0"/>
        </w:rPr>
        <w:t>、</w:t>
        <w:tab/>
        <w:t>合并财务报表的编制方法</w:t>
      </w:r>
      <w:bookmarkEnd w:id="732"/>
      <w:bookmarkEnd w:id="733"/>
      <w:bookmarkEnd w:id="735"/>
    </w:p>
    <w:p>
      <w:pPr>
        <w:pStyle w:val="Style30"/>
        <w:keepNext/>
        <w:keepLines/>
        <w:widowControl w:val="0"/>
        <w:shd w:val="clear" w:color="auto" w:fill="auto"/>
        <w:tabs>
          <w:tab w:pos="908" w:val="left"/>
        </w:tabs>
        <w:bidi w:val="0"/>
        <w:spacing w:before="0" w:after="0" w:line="312" w:lineRule="exact"/>
        <w:ind w:left="0" w:right="0" w:firstLine="420"/>
        <w:jc w:val="left"/>
      </w:pPr>
      <w:bookmarkStart w:id="732" w:name="bookmark732"/>
      <w:bookmarkStart w:id="733" w:name="bookmark733"/>
      <w:bookmarkStart w:id="736" w:name="bookmark736"/>
      <w:r>
        <w:rPr>
          <w:color w:val="000000"/>
          <w:spacing w:val="0"/>
          <w:w w:val="100"/>
          <w:position w:val="0"/>
        </w:rPr>
        <w:t>（</w:t>
      </w:r>
      <w:bookmarkEnd w:id="736"/>
      <w:r>
        <w:rPr>
          <w:rFonts w:ascii="Times New Roman" w:eastAsia="Times New Roman" w:hAnsi="Times New Roman" w:cs="Times New Roman"/>
          <w:color w:val="000000"/>
          <w:spacing w:val="0"/>
          <w:w w:val="100"/>
          <w:position w:val="0"/>
        </w:rPr>
        <w:t>1</w:t>
      </w:r>
      <w:r>
        <w:rPr>
          <w:color w:val="000000"/>
          <w:spacing w:val="0"/>
          <w:w w:val="100"/>
          <w:position w:val="0"/>
        </w:rPr>
        <w:t>）</w:t>
        <w:tab/>
        <w:t>合并范围</w:t>
      </w:r>
      <w:bookmarkEnd w:id="732"/>
      <w:bookmarkEnd w:id="733"/>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本公司合并财务报表的合并范围以控制为基础确定，所有子公司（包括本公司所控制的被投资方可分 割的部分）均纳入合并财务报表。</w:t>
      </w:r>
    </w:p>
    <w:p>
      <w:pPr>
        <w:pStyle w:val="Style33"/>
        <w:keepNext w:val="0"/>
        <w:keepLines w:val="0"/>
        <w:widowControl w:val="0"/>
        <w:shd w:val="clear" w:color="auto" w:fill="auto"/>
        <w:tabs>
          <w:tab w:pos="908" w:val="left"/>
        </w:tabs>
        <w:bidi w:val="0"/>
        <w:spacing w:before="0" w:after="0" w:line="312" w:lineRule="exact"/>
        <w:ind w:left="0" w:right="0" w:firstLine="420"/>
        <w:jc w:val="left"/>
      </w:pPr>
      <w:bookmarkStart w:id="737" w:name="bookmark737"/>
      <w:r>
        <w:rPr>
          <w:b/>
          <w:bCs/>
          <w:color w:val="000000"/>
          <w:spacing w:val="0"/>
          <w:w w:val="100"/>
          <w:position w:val="0"/>
        </w:rPr>
        <w:t>（</w:t>
      </w:r>
      <w:bookmarkEnd w:id="737"/>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合并程序</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本公司以自身和各子公司的财务报表为基础，根据其他有关资料，编制合并财务报表。本公司编制合 并财务报表，将整个企业集团视为一个会计主体，依据相关企业会计准则的确认、计量和列报要求，按照 统一的会计政策，反映本企业集团整体财务状况、经营成果和现金流量。</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所有纳入合并财务报表合并范围的子公司所采用的会计政策、会计期间与本公司一致，如子公司采用 的会计政策、会计期间与本公司不一致的，在编制合并财务报表时，按本公司的会计政策、会计期间进行 必要的调整。对于非同一控制下企业合并取得的子公司，以购买日可辨认净资产公允价值为基础对其财务 报表进行调整。对于同一控制下企业合并取得的子公司，以其资产、负债（包括最终控制方收购该子公司 而形成的商誉）在最终控制方财务报表中的账面价值为基础对其财务报表进行调整。</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子公司所有者权益、当期净损益和当期综合收益中属于少数股东的份额分别在合并资产负债表中所有 者权益项目下、合并利润表中净利润项目下和综合收益总额项目下单独列示。子公司少数股东分担的当期 亏损超过了少数股东在该子公司期初所有者权益中所享有份额而形成的余额，冲减少数股东权益。</w:t>
      </w:r>
    </w:p>
    <w:p>
      <w:pPr>
        <w:pStyle w:val="Style33"/>
        <w:keepNext w:val="0"/>
        <w:keepLines w:val="0"/>
        <w:widowControl w:val="0"/>
        <w:shd w:val="clear" w:color="auto" w:fill="auto"/>
        <w:bidi w:val="0"/>
        <w:spacing w:before="0" w:after="0" w:line="312" w:lineRule="exact"/>
        <w:ind w:left="0" w:right="0" w:firstLine="420"/>
        <w:jc w:val="left"/>
      </w:pPr>
      <w:bookmarkStart w:id="738" w:name="bookmark738"/>
      <w:r>
        <w:rPr>
          <w:rFonts w:ascii="Times New Roman" w:eastAsia="Times New Roman" w:hAnsi="Times New Roman" w:cs="Times New Roman"/>
          <w:b/>
          <w:bCs/>
          <w:color w:val="000000"/>
          <w:spacing w:val="0"/>
          <w:w w:val="100"/>
          <w:position w:val="0"/>
        </w:rPr>
        <w:t>1</w:t>
      </w:r>
      <w:bookmarkEnd w:id="738"/>
      <w:r>
        <w:rPr>
          <w:b/>
          <w:bCs/>
          <w:color w:val="000000"/>
          <w:spacing w:val="0"/>
          <w:w w:val="100"/>
          <w:position w:val="0"/>
        </w:rPr>
        <w:t>）增加子公司或业务</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 xml:space="preserve">在报告期内，若因同一控制下企业合并增加子公司或业务的，则调整合并资产负债表的期初数；将子 公司或业务合并当期期初至报告期末的收入、费用、利润纳入合并利润表；将子公司或业务合并当期期初 至报告期末的现金流量纳入合并现金流量表，同时对比较报表的相关项目进行调整，视同合并后的报告主 </w:t>
      </w:r>
      <w:r>
        <w:rPr>
          <w:color w:val="000000"/>
          <w:spacing w:val="0"/>
          <w:w w:val="100"/>
          <w:position w:val="0"/>
        </w:rPr>
        <w:t>体自最终控制方开始控制时点起一直存在。</w:t>
      </w:r>
    </w:p>
    <w:p>
      <w:pPr>
        <w:pStyle w:val="Style33"/>
        <w:keepNext w:val="0"/>
        <w:keepLines w:val="0"/>
        <w:widowControl w:val="0"/>
        <w:shd w:val="clear" w:color="auto" w:fill="auto"/>
        <w:bidi w:val="0"/>
        <w:spacing w:before="0" w:after="0" w:line="313" w:lineRule="exact"/>
        <w:ind w:left="0" w:right="0" w:firstLine="480"/>
        <w:jc w:val="both"/>
      </w:pPr>
      <w:r>
        <w:rPr>
          <w:color w:val="000000"/>
          <w:spacing w:val="0"/>
          <w:w w:val="100"/>
          <w:position w:val="0"/>
        </w:rPr>
        <w:t>因追加投资等原因能够对同一控制下的被投资方实施控制的，视同参与合并的各方在最终控制方开始 控制时即以目前的状态存在进行调整。在取得被合并方控制权之前持有的股权投资，在取得原股权之日与 合并方和被合并方同处于同一控制之日孰晚日起至合并日之间已确认有关损益、其他综合收益以及其他净 资产变动，分别冲减比较报表期间的期初留存收益或当期损益。</w:t>
      </w:r>
    </w:p>
    <w:p>
      <w:pPr>
        <w:pStyle w:val="Style33"/>
        <w:keepNext w:val="0"/>
        <w:keepLines w:val="0"/>
        <w:widowControl w:val="0"/>
        <w:shd w:val="clear" w:color="auto" w:fill="auto"/>
        <w:bidi w:val="0"/>
        <w:spacing w:before="0" w:after="0" w:line="313" w:lineRule="exact"/>
        <w:ind w:left="0" w:right="0" w:firstLine="480"/>
        <w:jc w:val="both"/>
      </w:pPr>
      <w:r>
        <w:rPr>
          <w:color w:val="000000"/>
          <w:spacing w:val="0"/>
          <w:w w:val="100"/>
          <w:position w:val="0"/>
        </w:rPr>
        <w:t>在报告期内，若因非同一控制下企业合并增加子公司或业务的，则不调整合并资产负债表期初数；将 该子公司或业务自购买日至报告期末的收入、费用、利润纳入合并利润表；该子公司或业务自购买日至报 告期末的现金流量纳入合并现金流量表。</w:t>
      </w:r>
    </w:p>
    <w:p>
      <w:pPr>
        <w:pStyle w:val="Style33"/>
        <w:keepNext w:val="0"/>
        <w:keepLines w:val="0"/>
        <w:widowControl w:val="0"/>
        <w:shd w:val="clear" w:color="auto" w:fill="auto"/>
        <w:bidi w:val="0"/>
        <w:spacing w:before="0" w:after="80" w:line="313" w:lineRule="exact"/>
        <w:ind w:left="0" w:right="0" w:firstLine="480"/>
        <w:jc w:val="both"/>
      </w:pPr>
      <w:r>
        <w:rPr>
          <w:color w:val="000000"/>
          <w:spacing w:val="0"/>
          <w:w w:val="100"/>
          <w:position w:val="0"/>
        </w:rPr>
        <w:t>因追加投资等原因能够对非同一控制下的被投资方实施控制的，对于购买日之前持有的被购买方的股 权，本公司按照该股权在购买日的公允价值进行重新计量，公允价值与其账面价值的差额计入当期投资收 益。购买日之前持有的被购买方的股权涉及权益法核算下的其他综合收益以及除净损益、其他综合收益和 利润分配之外的其他所有者权益变动的，与其相关的其他综合收益、其他所有者权益变动转为购买日所属 当期投资收益，由于被投资方重新计量设定受益计划净负债或净资产变动而产生的其他综合收益除外。</w:t>
      </w:r>
    </w:p>
    <w:p>
      <w:pPr>
        <w:pStyle w:val="Style33"/>
        <w:keepNext w:val="0"/>
        <w:keepLines w:val="0"/>
        <w:widowControl w:val="0"/>
        <w:shd w:val="clear" w:color="auto" w:fill="auto"/>
        <w:bidi w:val="0"/>
        <w:spacing w:before="0" w:after="0" w:line="326" w:lineRule="auto"/>
        <w:ind w:left="0" w:right="0" w:firstLine="440"/>
        <w:jc w:val="both"/>
      </w:pPr>
      <w:bookmarkStart w:id="739" w:name="bookmark739"/>
      <w:r>
        <w:rPr>
          <w:rFonts w:ascii="Times New Roman" w:eastAsia="Times New Roman" w:hAnsi="Times New Roman" w:cs="Times New Roman"/>
          <w:b/>
          <w:bCs/>
          <w:color w:val="000000"/>
          <w:spacing w:val="0"/>
          <w:w w:val="100"/>
          <w:position w:val="0"/>
        </w:rPr>
        <w:t>2</w:t>
      </w:r>
      <w:bookmarkEnd w:id="739"/>
      <w:r>
        <w:rPr>
          <w:b/>
          <w:bCs/>
          <w:color w:val="000000"/>
          <w:spacing w:val="0"/>
          <w:w w:val="100"/>
          <w:position w:val="0"/>
        </w:rPr>
        <w:t>）处置子公司或业务</w:t>
      </w:r>
    </w:p>
    <w:p>
      <w:pPr>
        <w:pStyle w:val="Style33"/>
        <w:keepNext w:val="0"/>
        <w:keepLines w:val="0"/>
        <w:widowControl w:val="0"/>
        <w:numPr>
          <w:ilvl w:val="0"/>
          <w:numId w:val="11"/>
        </w:numPr>
        <w:shd w:val="clear" w:color="auto" w:fill="auto"/>
        <w:tabs>
          <w:tab w:pos="773" w:val="left"/>
        </w:tabs>
        <w:bidi w:val="0"/>
        <w:spacing w:before="0" w:after="0" w:line="313" w:lineRule="exact"/>
        <w:ind w:left="0" w:right="0" w:firstLine="480"/>
        <w:jc w:val="both"/>
      </w:pPr>
      <w:bookmarkStart w:id="740" w:name="bookmark740"/>
      <w:bookmarkEnd w:id="740"/>
      <w:r>
        <w:rPr>
          <w:color w:val="000000"/>
          <w:spacing w:val="0"/>
          <w:w w:val="100"/>
          <w:position w:val="0"/>
        </w:rPr>
        <w:t>一般处理方法在报告期内，本公司处置子公司或业务，则该子公司或业务期初至处置日的收入、费 用、利润纳入合并利润表；该子公司或业务期初至处置日的现金流量纳入合并现金流量表。</w:t>
      </w:r>
    </w:p>
    <w:p>
      <w:pPr>
        <w:pStyle w:val="Style33"/>
        <w:keepNext w:val="0"/>
        <w:keepLines w:val="0"/>
        <w:widowControl w:val="0"/>
        <w:shd w:val="clear" w:color="auto" w:fill="auto"/>
        <w:bidi w:val="0"/>
        <w:spacing w:before="0" w:after="0" w:line="313" w:lineRule="exact"/>
        <w:ind w:left="0" w:right="0" w:firstLine="480"/>
        <w:jc w:val="both"/>
      </w:pPr>
      <w:r>
        <w:rPr>
          <w:color w:val="000000"/>
          <w:spacing w:val="0"/>
          <w:w w:val="100"/>
          <w:position w:val="0"/>
        </w:rPr>
        <w:t>因处置部分股权投资或其他原因丧失了对被投资方控制权时，对于处置后的剩余股权投资，本公司按 照其在丧失控制权日的公允价值进行重新计量。处置股权取得的对价与剩余股权公允价值之和，减去按原 持股比例计算应享有原有子公司自购买日或合并日开始持续计算的净资产的份额与商誉之和的差额，计入 丧失控制权当期的投资收益。与原有子公司股权投资相关的其他综合收益或除净损益、其他综合收益及利 润分配之外的其他所有者权益变动，在丧失控制权时转为当期投资收益，由于被投资方重新计量设定受益 计划净负债或净资产变动而产生的其他综合收益除外。</w:t>
      </w:r>
    </w:p>
    <w:p>
      <w:pPr>
        <w:pStyle w:val="Style33"/>
        <w:keepNext w:val="0"/>
        <w:keepLines w:val="0"/>
        <w:widowControl w:val="0"/>
        <w:numPr>
          <w:ilvl w:val="0"/>
          <w:numId w:val="11"/>
        </w:numPr>
        <w:shd w:val="clear" w:color="auto" w:fill="auto"/>
        <w:tabs>
          <w:tab w:pos="801" w:val="left"/>
        </w:tabs>
        <w:bidi w:val="0"/>
        <w:spacing w:before="0" w:after="0" w:line="313" w:lineRule="exact"/>
        <w:ind w:left="0" w:right="0" w:firstLine="440"/>
        <w:jc w:val="both"/>
      </w:pPr>
      <w:bookmarkStart w:id="741" w:name="bookmark741"/>
      <w:bookmarkEnd w:id="741"/>
      <w:r>
        <w:rPr>
          <w:color w:val="000000"/>
          <w:spacing w:val="0"/>
          <w:w w:val="100"/>
          <w:position w:val="0"/>
        </w:rPr>
        <w:t>分步处置子公司</w:t>
      </w:r>
    </w:p>
    <w:p>
      <w:pPr>
        <w:pStyle w:val="Style33"/>
        <w:keepNext w:val="0"/>
        <w:keepLines w:val="0"/>
        <w:widowControl w:val="0"/>
        <w:shd w:val="clear" w:color="auto" w:fill="auto"/>
        <w:bidi w:val="0"/>
        <w:spacing w:before="0" w:after="0" w:line="313" w:lineRule="exact"/>
        <w:ind w:left="0" w:right="0" w:firstLine="480"/>
        <w:jc w:val="both"/>
      </w:pPr>
      <w:r>
        <w:rPr>
          <w:color w:val="000000"/>
          <w:spacing w:val="0"/>
          <w:w w:val="100"/>
          <w:position w:val="0"/>
        </w:rPr>
        <w:t>通过多次交易分步处置对子公司股权投资直至丧失控制权的，处置对子公司股权投资的各项交易的条 款、条件以及经济影响符合以下一种或多种情况，通常表明应将多次交易事项作为一揽子交易进行会计处 理：</w:t>
      </w:r>
    </w:p>
    <w:p>
      <w:pPr>
        <w:pStyle w:val="Style33"/>
        <w:keepNext w:val="0"/>
        <w:keepLines w:val="0"/>
        <w:widowControl w:val="0"/>
        <w:numPr>
          <w:ilvl w:val="0"/>
          <w:numId w:val="13"/>
        </w:numPr>
        <w:shd w:val="clear" w:color="auto" w:fill="auto"/>
        <w:tabs>
          <w:tab w:pos="791" w:val="left"/>
        </w:tabs>
        <w:bidi w:val="0"/>
        <w:spacing w:before="0" w:after="0" w:line="313" w:lineRule="exact"/>
        <w:ind w:left="0" w:right="0" w:firstLine="440"/>
        <w:jc w:val="both"/>
      </w:pPr>
      <w:bookmarkStart w:id="742" w:name="bookmark742"/>
      <w:bookmarkEnd w:id="742"/>
      <w:r>
        <w:rPr>
          <w:color w:val="000000"/>
          <w:spacing w:val="0"/>
          <w:w w:val="100"/>
          <w:position w:val="0"/>
        </w:rPr>
        <w:t>这些交易是同时或者在考虑了彼此影响的情况下订立的；</w:t>
      </w:r>
    </w:p>
    <w:p>
      <w:pPr>
        <w:pStyle w:val="Style33"/>
        <w:keepNext w:val="0"/>
        <w:keepLines w:val="0"/>
        <w:widowControl w:val="0"/>
        <w:numPr>
          <w:ilvl w:val="0"/>
          <w:numId w:val="13"/>
        </w:numPr>
        <w:shd w:val="clear" w:color="auto" w:fill="auto"/>
        <w:tabs>
          <w:tab w:pos="925" w:val="left"/>
        </w:tabs>
        <w:bidi w:val="0"/>
        <w:spacing w:before="0" w:after="0" w:line="313" w:lineRule="exact"/>
        <w:ind w:left="0" w:right="0" w:firstLine="540"/>
        <w:jc w:val="both"/>
      </w:pPr>
      <w:bookmarkStart w:id="743" w:name="bookmark743"/>
      <w:bookmarkEnd w:id="743"/>
      <w:r>
        <w:rPr>
          <w:color w:val="000000"/>
          <w:spacing w:val="0"/>
          <w:w w:val="100"/>
          <w:position w:val="0"/>
        </w:rPr>
        <w:t>这些交易整体才能达成一项完整的商业结果；</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宙.一项交易的发生取决于其他至少一项交易的发生；</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 xml:space="preserve">iv. </w:t>
      </w:r>
      <w:r>
        <w:rPr>
          <w:color w:val="000000"/>
          <w:spacing w:val="0"/>
          <w:w w:val="100"/>
          <w:position w:val="0"/>
        </w:rPr>
        <w:t>一项交易单独看是不经济的，但是和其他交易一并考虑时是经济的。</w:t>
      </w:r>
    </w:p>
    <w:p>
      <w:pPr>
        <w:pStyle w:val="Style33"/>
        <w:keepNext w:val="0"/>
        <w:keepLines w:val="0"/>
        <w:widowControl w:val="0"/>
        <w:shd w:val="clear" w:color="auto" w:fill="auto"/>
        <w:bidi w:val="0"/>
        <w:spacing w:before="0" w:after="0" w:line="313" w:lineRule="exact"/>
        <w:ind w:left="0" w:right="0" w:firstLine="480"/>
        <w:jc w:val="both"/>
      </w:pPr>
      <w:r>
        <w:rPr>
          <w:color w:val="000000"/>
          <w:spacing w:val="0"/>
          <w:w w:val="100"/>
          <w:position w:val="0"/>
        </w:rPr>
        <w:t>处置对子公司股权投资直至丧失控制权的各项交易属于一揽子交易的，本公司将各项交易作为一项处 置子公司并丧失控制权的交易进行会计处理；但是，在丧失控制权之前每一次处置价款与处置投资对应的 享有该子公司净资产份额的差额，在合并财务报表中确认为其他综合收益，在丧失控制权时一并转入丧失 控制权当期的损益。</w:t>
      </w:r>
    </w:p>
    <w:p>
      <w:pPr>
        <w:pStyle w:val="Style33"/>
        <w:keepNext w:val="0"/>
        <w:keepLines w:val="0"/>
        <w:widowControl w:val="0"/>
        <w:shd w:val="clear" w:color="auto" w:fill="auto"/>
        <w:bidi w:val="0"/>
        <w:spacing w:before="0" w:after="80" w:line="313" w:lineRule="exact"/>
        <w:ind w:left="0" w:right="0" w:firstLine="480"/>
        <w:jc w:val="both"/>
      </w:pPr>
      <w:r>
        <w:rPr>
          <w:color w:val="000000"/>
          <w:spacing w:val="0"/>
          <w:w w:val="100"/>
          <w:position w:val="0"/>
        </w:rPr>
        <w:t>处置对子公司股权投资直至丧失控制权的各项交易不属于一揽子交易的，在丧失控制权之前，按不丧 失控制权的情况下部分处置对子公司的股权投资的相关政策进行会计处理；在丧失控制权时，按处置子公 司一般处理方法进行会计处理。</w:t>
      </w:r>
    </w:p>
    <w:p>
      <w:pPr>
        <w:pStyle w:val="Style33"/>
        <w:keepNext w:val="0"/>
        <w:keepLines w:val="0"/>
        <w:widowControl w:val="0"/>
        <w:shd w:val="clear" w:color="auto" w:fill="auto"/>
        <w:tabs>
          <w:tab w:pos="836" w:val="left"/>
        </w:tabs>
        <w:bidi w:val="0"/>
        <w:spacing w:before="0" w:after="0" w:line="326" w:lineRule="auto"/>
        <w:ind w:left="0" w:right="0" w:firstLine="480"/>
        <w:jc w:val="both"/>
      </w:pPr>
      <w:bookmarkStart w:id="744" w:name="bookmark744"/>
      <w:r>
        <w:rPr>
          <w:rFonts w:ascii="Times New Roman" w:eastAsia="Times New Roman" w:hAnsi="Times New Roman" w:cs="Times New Roman"/>
          <w:b/>
          <w:bCs/>
          <w:color w:val="000000"/>
          <w:spacing w:val="0"/>
          <w:w w:val="100"/>
          <w:position w:val="0"/>
        </w:rPr>
        <w:t>3</w:t>
      </w:r>
      <w:bookmarkEnd w:id="744"/>
      <w:r>
        <w:rPr>
          <w:b/>
          <w:bCs/>
          <w:color w:val="000000"/>
          <w:spacing w:val="0"/>
          <w:w w:val="100"/>
          <w:position w:val="0"/>
        </w:rPr>
        <w:t>）</w:t>
        <w:tab/>
        <w:t>购买子公司少数股权</w:t>
      </w:r>
    </w:p>
    <w:p>
      <w:pPr>
        <w:pStyle w:val="Style33"/>
        <w:keepNext w:val="0"/>
        <w:keepLines w:val="0"/>
        <w:widowControl w:val="0"/>
        <w:shd w:val="clear" w:color="auto" w:fill="auto"/>
        <w:bidi w:val="0"/>
        <w:spacing w:before="0" w:after="80" w:line="313" w:lineRule="exact"/>
        <w:ind w:left="0" w:right="0" w:firstLine="480"/>
        <w:jc w:val="both"/>
      </w:pPr>
      <w:r>
        <w:rPr>
          <w:color w:val="000000"/>
          <w:spacing w:val="0"/>
          <w:w w:val="100"/>
          <w:position w:val="0"/>
        </w:rPr>
        <w:t>本公司因购买少数股权新取得的长期股权投资与按照新增持股比例计算应享有子公司自购买日（或合 并日）开始持续计算的净资产份额之间的差额，调整合并资产负债表中的资本公积中的股本溢价，资本公 积中的股本溢价不足冲减的，调整留存收益。</w:t>
      </w:r>
    </w:p>
    <w:p>
      <w:pPr>
        <w:pStyle w:val="Style33"/>
        <w:keepNext w:val="0"/>
        <w:keepLines w:val="0"/>
        <w:widowControl w:val="0"/>
        <w:shd w:val="clear" w:color="auto" w:fill="auto"/>
        <w:tabs>
          <w:tab w:pos="836" w:val="left"/>
        </w:tabs>
        <w:bidi w:val="0"/>
        <w:spacing w:before="0" w:after="0" w:line="326" w:lineRule="auto"/>
        <w:ind w:left="0" w:right="0" w:firstLine="480"/>
        <w:jc w:val="both"/>
      </w:pPr>
      <w:bookmarkStart w:id="745" w:name="bookmark745"/>
      <w:r>
        <w:rPr>
          <w:rFonts w:ascii="Times New Roman" w:eastAsia="Times New Roman" w:hAnsi="Times New Roman" w:cs="Times New Roman"/>
          <w:b/>
          <w:bCs/>
          <w:color w:val="000000"/>
          <w:spacing w:val="0"/>
          <w:w w:val="100"/>
          <w:position w:val="0"/>
        </w:rPr>
        <w:t>4</w:t>
      </w:r>
      <w:bookmarkEnd w:id="745"/>
      <w:r>
        <w:rPr>
          <w:b/>
          <w:bCs/>
          <w:color w:val="000000"/>
          <w:spacing w:val="0"/>
          <w:w w:val="100"/>
          <w:position w:val="0"/>
        </w:rPr>
        <w:t>）</w:t>
        <w:tab/>
        <w:t>不丧失控制权的情况下部分处置对子公司的股权投资</w:t>
      </w:r>
    </w:p>
    <w:p>
      <w:pPr>
        <w:pStyle w:val="Style33"/>
        <w:keepNext w:val="0"/>
        <w:keepLines w:val="0"/>
        <w:widowControl w:val="0"/>
        <w:shd w:val="clear" w:color="auto" w:fill="auto"/>
        <w:bidi w:val="0"/>
        <w:spacing w:before="0" w:after="380" w:line="313" w:lineRule="exact"/>
        <w:ind w:left="0" w:right="0" w:firstLine="480"/>
        <w:jc w:val="both"/>
      </w:pPr>
      <w:r>
        <w:rPr>
          <w:color w:val="000000"/>
          <w:spacing w:val="0"/>
          <w:w w:val="100"/>
          <w:position w:val="0"/>
        </w:rPr>
        <w:t xml:space="preserve">在不丧失控制权的情况下因部分处置对子公司的长期股权投资而取得的处置价款与处置长期股权投 资相对应享有子公司自购买日或合并日开始持续计算的净资产份额之间的差额，调整合并资产负债表中的 </w:t>
      </w:r>
      <w:r>
        <w:rPr>
          <w:color w:val="000000"/>
          <w:spacing w:val="0"/>
          <w:w w:val="100"/>
          <w:position w:val="0"/>
        </w:rPr>
        <w:t>资本公积中的股本溢价，资本公积中的股本溢价不足冲减的，调整留存收益。</w:t>
      </w:r>
    </w:p>
    <w:p>
      <w:pPr>
        <w:pStyle w:val="Style30"/>
        <w:keepNext/>
        <w:keepLines/>
        <w:widowControl w:val="0"/>
        <w:shd w:val="clear" w:color="auto" w:fill="auto"/>
        <w:tabs>
          <w:tab w:pos="373" w:val="left"/>
        </w:tabs>
        <w:bidi w:val="0"/>
        <w:spacing w:before="0" w:after="200" w:line="326" w:lineRule="auto"/>
        <w:ind w:left="0" w:right="0" w:firstLine="0"/>
        <w:jc w:val="left"/>
      </w:pPr>
      <w:bookmarkStart w:id="746" w:name="bookmark746"/>
      <w:bookmarkStart w:id="747" w:name="bookmark747"/>
      <w:bookmarkStart w:id="748" w:name="bookmark748"/>
      <w:bookmarkStart w:id="749" w:name="bookmark749"/>
      <w:r>
        <w:rPr>
          <w:rFonts w:ascii="Times New Roman" w:eastAsia="Times New Roman" w:hAnsi="Times New Roman" w:cs="Times New Roman"/>
          <w:color w:val="000000"/>
          <w:spacing w:val="0"/>
          <w:w w:val="100"/>
          <w:position w:val="0"/>
        </w:rPr>
        <w:t>7</w:t>
      </w:r>
      <w:bookmarkEnd w:id="748"/>
      <w:r>
        <w:rPr>
          <w:color w:val="000000"/>
          <w:spacing w:val="0"/>
          <w:w w:val="100"/>
          <w:position w:val="0"/>
        </w:rPr>
        <w:t>、</w:t>
        <w:tab/>
        <w:t>合营安排分类及共同经营会计处理方法</w:t>
      </w:r>
      <w:bookmarkEnd w:id="746"/>
      <w:bookmarkEnd w:id="747"/>
      <w:bookmarkEnd w:id="749"/>
    </w:p>
    <w:p>
      <w:pPr>
        <w:pStyle w:val="Style33"/>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合营安排分为共同经营和合营企业。</w:t>
      </w:r>
    </w:p>
    <w:p>
      <w:pPr>
        <w:pStyle w:val="Style33"/>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当本公司是合营安排的合营方，享有该安排相关资产且承担该安排相关负债时，为共同经营。</w:t>
      </w:r>
    </w:p>
    <w:p>
      <w:pPr>
        <w:pStyle w:val="Style33"/>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本公司确认与共同经营中利益份额相关的下列项目，并按照相关企业会计准则的规定进行会计处理：</w:t>
      </w:r>
    </w:p>
    <w:p>
      <w:pPr>
        <w:pStyle w:val="Style33"/>
        <w:keepNext w:val="0"/>
        <w:keepLines w:val="0"/>
        <w:widowControl w:val="0"/>
        <w:shd w:val="clear" w:color="auto" w:fill="auto"/>
        <w:tabs>
          <w:tab w:pos="928" w:val="left"/>
        </w:tabs>
        <w:bidi w:val="0"/>
        <w:spacing w:before="0" w:after="0" w:line="312" w:lineRule="exact"/>
        <w:ind w:left="0" w:right="0" w:firstLine="440"/>
        <w:jc w:val="left"/>
      </w:pPr>
      <w:bookmarkStart w:id="750" w:name="bookmark750"/>
      <w:r>
        <w:rPr>
          <w:color w:val="000000"/>
          <w:spacing w:val="0"/>
          <w:w w:val="100"/>
          <w:position w:val="0"/>
        </w:rPr>
        <w:t>（</w:t>
      </w:r>
      <w:bookmarkEnd w:id="750"/>
      <w:r>
        <w:rPr>
          <w:rFonts w:ascii="Times New Roman" w:eastAsia="Times New Roman" w:hAnsi="Times New Roman" w:cs="Times New Roman"/>
          <w:color w:val="000000"/>
          <w:spacing w:val="0"/>
          <w:w w:val="100"/>
          <w:position w:val="0"/>
        </w:rPr>
        <w:t>1</w:t>
      </w:r>
      <w:r>
        <w:rPr>
          <w:color w:val="000000"/>
          <w:spacing w:val="0"/>
          <w:w w:val="100"/>
          <w:position w:val="0"/>
        </w:rPr>
        <w:t>）</w:t>
        <w:tab/>
        <w:t>确认本公司单独所持有的资产，以及按本公司份额确认共同持有的资产；</w:t>
      </w:r>
    </w:p>
    <w:p>
      <w:pPr>
        <w:pStyle w:val="Style33"/>
        <w:keepNext w:val="0"/>
        <w:keepLines w:val="0"/>
        <w:widowControl w:val="0"/>
        <w:shd w:val="clear" w:color="auto" w:fill="auto"/>
        <w:tabs>
          <w:tab w:pos="928" w:val="left"/>
        </w:tabs>
        <w:bidi w:val="0"/>
        <w:spacing w:before="0" w:after="0" w:line="312" w:lineRule="exact"/>
        <w:ind w:left="0" w:right="0" w:firstLine="440"/>
        <w:jc w:val="left"/>
      </w:pPr>
      <w:bookmarkStart w:id="751" w:name="bookmark751"/>
      <w:r>
        <w:rPr>
          <w:color w:val="000000"/>
          <w:spacing w:val="0"/>
          <w:w w:val="100"/>
          <w:position w:val="0"/>
        </w:rPr>
        <w:t>（</w:t>
      </w:r>
      <w:bookmarkEnd w:id="751"/>
      <w:r>
        <w:rPr>
          <w:rFonts w:ascii="Times New Roman" w:eastAsia="Times New Roman" w:hAnsi="Times New Roman" w:cs="Times New Roman"/>
          <w:color w:val="000000"/>
          <w:spacing w:val="0"/>
          <w:w w:val="100"/>
          <w:position w:val="0"/>
        </w:rPr>
        <w:t>2</w:t>
      </w:r>
      <w:r>
        <w:rPr>
          <w:color w:val="000000"/>
          <w:spacing w:val="0"/>
          <w:w w:val="100"/>
          <w:position w:val="0"/>
        </w:rPr>
        <w:t>）</w:t>
        <w:tab/>
        <w:t>确认本公司单独所承担的负债，以及按本公司份额确认共同承担的负债；</w:t>
      </w:r>
    </w:p>
    <w:p>
      <w:pPr>
        <w:pStyle w:val="Style33"/>
        <w:keepNext w:val="0"/>
        <w:keepLines w:val="0"/>
        <w:widowControl w:val="0"/>
        <w:shd w:val="clear" w:color="auto" w:fill="auto"/>
        <w:tabs>
          <w:tab w:pos="928" w:val="left"/>
        </w:tabs>
        <w:bidi w:val="0"/>
        <w:spacing w:before="0" w:after="0" w:line="312" w:lineRule="exact"/>
        <w:ind w:left="0" w:right="0" w:firstLine="440"/>
        <w:jc w:val="left"/>
      </w:pPr>
      <w:bookmarkStart w:id="752" w:name="bookmark752"/>
      <w:r>
        <w:rPr>
          <w:color w:val="000000"/>
          <w:spacing w:val="0"/>
          <w:w w:val="100"/>
          <w:position w:val="0"/>
        </w:rPr>
        <w:t>（</w:t>
      </w:r>
      <w:bookmarkEnd w:id="752"/>
      <w:r>
        <w:rPr>
          <w:rFonts w:ascii="Times New Roman" w:eastAsia="Times New Roman" w:hAnsi="Times New Roman" w:cs="Times New Roman"/>
          <w:color w:val="000000"/>
          <w:spacing w:val="0"/>
          <w:w w:val="100"/>
          <w:position w:val="0"/>
        </w:rPr>
        <w:t>3</w:t>
      </w:r>
      <w:r>
        <w:rPr>
          <w:color w:val="000000"/>
          <w:spacing w:val="0"/>
          <w:w w:val="100"/>
          <w:position w:val="0"/>
        </w:rPr>
        <w:t>）</w:t>
        <w:tab/>
        <w:t>确认出售本公司享有的共同经营产出份额所产生的收入；</w:t>
      </w:r>
    </w:p>
    <w:p>
      <w:pPr>
        <w:pStyle w:val="Style33"/>
        <w:keepNext w:val="0"/>
        <w:keepLines w:val="0"/>
        <w:widowControl w:val="0"/>
        <w:shd w:val="clear" w:color="auto" w:fill="auto"/>
        <w:tabs>
          <w:tab w:pos="928" w:val="left"/>
        </w:tabs>
        <w:bidi w:val="0"/>
        <w:spacing w:before="0" w:after="0" w:line="312" w:lineRule="exact"/>
        <w:ind w:left="0" w:right="0" w:firstLine="440"/>
        <w:jc w:val="left"/>
      </w:pPr>
      <w:bookmarkStart w:id="753" w:name="bookmark753"/>
      <w:r>
        <w:rPr>
          <w:color w:val="000000"/>
          <w:spacing w:val="0"/>
          <w:w w:val="100"/>
          <w:position w:val="0"/>
        </w:rPr>
        <w:t>（</w:t>
      </w:r>
      <w:bookmarkEnd w:id="753"/>
      <w:r>
        <w:rPr>
          <w:rFonts w:ascii="Times New Roman" w:eastAsia="Times New Roman" w:hAnsi="Times New Roman" w:cs="Times New Roman"/>
          <w:color w:val="000000"/>
          <w:spacing w:val="0"/>
          <w:w w:val="100"/>
          <w:position w:val="0"/>
        </w:rPr>
        <w:t>4</w:t>
      </w:r>
      <w:r>
        <w:rPr>
          <w:color w:val="000000"/>
          <w:spacing w:val="0"/>
          <w:w w:val="100"/>
          <w:position w:val="0"/>
        </w:rPr>
        <w:t>）</w:t>
        <w:tab/>
        <w:t>按本公司份额确认共同经营因出售产出所产生的收入；</w:t>
      </w:r>
    </w:p>
    <w:p>
      <w:pPr>
        <w:pStyle w:val="Style33"/>
        <w:keepNext w:val="0"/>
        <w:keepLines w:val="0"/>
        <w:widowControl w:val="0"/>
        <w:shd w:val="clear" w:color="auto" w:fill="auto"/>
        <w:tabs>
          <w:tab w:pos="928" w:val="left"/>
        </w:tabs>
        <w:bidi w:val="0"/>
        <w:spacing w:before="0" w:after="380" w:line="312" w:lineRule="exact"/>
        <w:ind w:left="0" w:right="0" w:firstLine="440"/>
        <w:jc w:val="left"/>
      </w:pPr>
      <w:bookmarkStart w:id="754" w:name="bookmark754"/>
      <w:r>
        <w:rPr>
          <w:color w:val="000000"/>
          <w:spacing w:val="0"/>
          <w:w w:val="100"/>
          <w:position w:val="0"/>
        </w:rPr>
        <w:t>（</w:t>
      </w:r>
      <w:bookmarkEnd w:id="754"/>
      <w:r>
        <w:rPr>
          <w:rFonts w:ascii="Times New Roman" w:eastAsia="Times New Roman" w:hAnsi="Times New Roman" w:cs="Times New Roman"/>
          <w:color w:val="000000"/>
          <w:spacing w:val="0"/>
          <w:w w:val="100"/>
          <w:position w:val="0"/>
        </w:rPr>
        <w:t>5</w:t>
      </w:r>
      <w:r>
        <w:rPr>
          <w:color w:val="000000"/>
          <w:spacing w:val="0"/>
          <w:w w:val="100"/>
          <w:position w:val="0"/>
        </w:rPr>
        <w:t>）</w:t>
        <w:tab/>
        <w:t>确认单独所发生的费用，以及按本公司份额确认共同经营发生的费用。</w:t>
      </w:r>
    </w:p>
    <w:p>
      <w:pPr>
        <w:pStyle w:val="Style30"/>
        <w:keepNext/>
        <w:keepLines/>
        <w:widowControl w:val="0"/>
        <w:shd w:val="clear" w:color="auto" w:fill="auto"/>
        <w:tabs>
          <w:tab w:pos="378" w:val="left"/>
        </w:tabs>
        <w:bidi w:val="0"/>
        <w:spacing w:before="0" w:after="200" w:line="326" w:lineRule="auto"/>
        <w:ind w:left="0" w:right="0" w:firstLine="0"/>
        <w:jc w:val="left"/>
      </w:pPr>
      <w:bookmarkStart w:id="755" w:name="bookmark755"/>
      <w:bookmarkStart w:id="756" w:name="bookmark756"/>
      <w:bookmarkStart w:id="757" w:name="bookmark757"/>
      <w:bookmarkStart w:id="758" w:name="bookmark758"/>
      <w:r>
        <w:rPr>
          <w:rFonts w:ascii="Times New Roman" w:eastAsia="Times New Roman" w:hAnsi="Times New Roman" w:cs="Times New Roman"/>
          <w:color w:val="000000"/>
          <w:spacing w:val="0"/>
          <w:w w:val="100"/>
          <w:position w:val="0"/>
        </w:rPr>
        <w:t>8</w:t>
      </w:r>
      <w:bookmarkEnd w:id="757"/>
      <w:r>
        <w:rPr>
          <w:color w:val="000000"/>
          <w:spacing w:val="0"/>
          <w:w w:val="100"/>
          <w:position w:val="0"/>
        </w:rPr>
        <w:t>、</w:t>
        <w:tab/>
        <w:t>现金及现金等价物的确定标准</w:t>
      </w:r>
      <w:bookmarkEnd w:id="755"/>
      <w:bookmarkEnd w:id="756"/>
      <w:bookmarkEnd w:id="758"/>
    </w:p>
    <w:p>
      <w:pPr>
        <w:pStyle w:val="Style33"/>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在编制现金流量表时，将本公司库存现金以及可以随时用于支付的存款确认为现金。将同时具备期限 短（从购买日起三个月内到期）、流动性强、易于转换为已知现金、价值变动风险很小四个条件的投资， 确定为现金等价物。</w:t>
      </w:r>
    </w:p>
    <w:p>
      <w:pPr>
        <w:pStyle w:val="Style30"/>
        <w:keepNext/>
        <w:keepLines/>
        <w:widowControl w:val="0"/>
        <w:shd w:val="clear" w:color="auto" w:fill="auto"/>
        <w:tabs>
          <w:tab w:pos="378" w:val="left"/>
        </w:tabs>
        <w:bidi w:val="0"/>
        <w:spacing w:before="0" w:after="200" w:line="326" w:lineRule="auto"/>
        <w:ind w:left="0" w:right="0" w:firstLine="0"/>
        <w:jc w:val="left"/>
      </w:pPr>
      <w:bookmarkStart w:id="759" w:name="bookmark759"/>
      <w:bookmarkStart w:id="760" w:name="bookmark760"/>
      <w:bookmarkStart w:id="761" w:name="bookmark761"/>
      <w:bookmarkStart w:id="762" w:name="bookmark762"/>
      <w:r>
        <w:rPr>
          <w:rFonts w:ascii="Times New Roman" w:eastAsia="Times New Roman" w:hAnsi="Times New Roman" w:cs="Times New Roman"/>
          <w:color w:val="000000"/>
          <w:spacing w:val="0"/>
          <w:w w:val="100"/>
          <w:position w:val="0"/>
        </w:rPr>
        <w:t>9</w:t>
      </w:r>
      <w:bookmarkEnd w:id="761"/>
      <w:r>
        <w:rPr>
          <w:color w:val="000000"/>
          <w:spacing w:val="0"/>
          <w:w w:val="100"/>
          <w:position w:val="0"/>
        </w:rPr>
        <w:t>、</w:t>
        <w:tab/>
        <w:t>外币业务和外币报表折算</w:t>
      </w:r>
      <w:bookmarkEnd w:id="759"/>
      <w:bookmarkEnd w:id="760"/>
      <w:bookmarkEnd w:id="762"/>
    </w:p>
    <w:p>
      <w:pPr>
        <w:pStyle w:val="Style30"/>
        <w:keepNext/>
        <w:keepLines/>
        <w:widowControl w:val="0"/>
        <w:shd w:val="clear" w:color="auto" w:fill="auto"/>
        <w:tabs>
          <w:tab w:pos="933" w:val="left"/>
        </w:tabs>
        <w:bidi w:val="0"/>
        <w:spacing w:before="0" w:after="0" w:line="309" w:lineRule="exact"/>
        <w:ind w:left="0" w:right="0" w:firstLine="440"/>
        <w:jc w:val="both"/>
      </w:pPr>
      <w:bookmarkStart w:id="759" w:name="bookmark759"/>
      <w:bookmarkStart w:id="760" w:name="bookmark760"/>
      <w:bookmarkStart w:id="763" w:name="bookmark763"/>
      <w:r>
        <w:rPr>
          <w:color w:val="000000"/>
          <w:spacing w:val="0"/>
          <w:w w:val="100"/>
          <w:position w:val="0"/>
        </w:rPr>
        <w:t>（</w:t>
      </w:r>
      <w:bookmarkEnd w:id="763"/>
      <w:r>
        <w:rPr>
          <w:rFonts w:ascii="Times New Roman" w:eastAsia="Times New Roman" w:hAnsi="Times New Roman" w:cs="Times New Roman"/>
          <w:color w:val="000000"/>
          <w:spacing w:val="0"/>
          <w:w w:val="100"/>
          <w:position w:val="0"/>
        </w:rPr>
        <w:t>1</w:t>
      </w:r>
      <w:r>
        <w:rPr>
          <w:color w:val="000000"/>
          <w:spacing w:val="0"/>
          <w:w w:val="100"/>
          <w:position w:val="0"/>
        </w:rPr>
        <w:t>）</w:t>
        <w:tab/>
        <w:t>外币业务</w:t>
      </w:r>
      <w:bookmarkEnd w:id="759"/>
      <w:bookmarkEnd w:id="760"/>
    </w:p>
    <w:p>
      <w:pPr>
        <w:pStyle w:val="Style33"/>
        <w:keepNext w:val="0"/>
        <w:keepLines w:val="0"/>
        <w:widowControl w:val="0"/>
        <w:shd w:val="clear" w:color="auto" w:fill="auto"/>
        <w:bidi w:val="0"/>
        <w:spacing w:before="0" w:after="0" w:line="309" w:lineRule="exact"/>
        <w:ind w:left="0" w:right="0" w:firstLine="440"/>
        <w:jc w:val="left"/>
      </w:pPr>
      <w:r>
        <w:rPr>
          <w:color w:val="000000"/>
          <w:spacing w:val="0"/>
          <w:w w:val="100"/>
          <w:position w:val="0"/>
        </w:rPr>
        <w:t>外币业务采用交易发生日的即期汇率作为折算汇率将外币金额折合成人民币记账。</w:t>
      </w:r>
    </w:p>
    <w:p>
      <w:pPr>
        <w:pStyle w:val="Style33"/>
        <w:keepNext w:val="0"/>
        <w:keepLines w:val="0"/>
        <w:widowControl w:val="0"/>
        <w:shd w:val="clear" w:color="auto" w:fill="auto"/>
        <w:bidi w:val="0"/>
        <w:spacing w:before="0" w:after="0" w:line="309" w:lineRule="exact"/>
        <w:ind w:left="0" w:right="0" w:firstLine="440"/>
        <w:jc w:val="both"/>
      </w:pPr>
      <w:r>
        <w:rPr>
          <w:color w:val="000000"/>
          <w:spacing w:val="0"/>
          <w:w w:val="100"/>
          <w:position w:val="0"/>
        </w:rPr>
        <w:t>资产负债表日外币货币性项目余额按资产负债表日即期汇率折算，由此产生的汇兑差额，除属于与购 建符合资本化条件的资产相关的外币专门借款产生的汇兑差额按照借款费用资本化的原则处理外，均计入 当期损益。</w:t>
      </w:r>
    </w:p>
    <w:p>
      <w:pPr>
        <w:pStyle w:val="Style33"/>
        <w:keepNext w:val="0"/>
        <w:keepLines w:val="0"/>
        <w:widowControl w:val="0"/>
        <w:shd w:val="clear" w:color="auto" w:fill="auto"/>
        <w:tabs>
          <w:tab w:pos="933" w:val="left"/>
        </w:tabs>
        <w:bidi w:val="0"/>
        <w:spacing w:before="0" w:after="0" w:line="309" w:lineRule="exact"/>
        <w:ind w:left="0" w:right="0" w:firstLine="440"/>
        <w:jc w:val="both"/>
      </w:pPr>
      <w:bookmarkStart w:id="764" w:name="bookmark764"/>
      <w:r>
        <w:rPr>
          <w:b/>
          <w:bCs/>
          <w:color w:val="000000"/>
          <w:spacing w:val="0"/>
          <w:w w:val="100"/>
          <w:position w:val="0"/>
        </w:rPr>
        <w:t>（</w:t>
      </w:r>
      <w:bookmarkEnd w:id="764"/>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外币财务报表的折算</w:t>
      </w:r>
    </w:p>
    <w:p>
      <w:pPr>
        <w:pStyle w:val="Style33"/>
        <w:keepNext w:val="0"/>
        <w:keepLines w:val="0"/>
        <w:widowControl w:val="0"/>
        <w:shd w:val="clear" w:color="auto" w:fill="auto"/>
        <w:bidi w:val="0"/>
        <w:spacing w:before="0" w:after="0" w:line="309" w:lineRule="exact"/>
        <w:ind w:left="0" w:right="0" w:firstLine="440"/>
        <w:jc w:val="both"/>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rPr>
        <w:t>“</w:t>
      </w:r>
      <w:r>
        <w:rPr>
          <w:color w:val="000000"/>
          <w:spacing w:val="0"/>
          <w:w w:val="100"/>
          <w:position w:val="0"/>
        </w:rPr>
        <w:t>未分配利 润</w:t>
      </w:r>
      <w:r>
        <w:rPr>
          <w:rFonts w:ascii="Times New Roman" w:eastAsia="Times New Roman" w:hAnsi="Times New Roman" w:cs="Times New Roman"/>
          <w:color w:val="000000"/>
          <w:spacing w:val="0"/>
          <w:w w:val="100"/>
          <w:position w:val="0"/>
        </w:rPr>
        <w:t>''</w:t>
      </w:r>
      <w:r>
        <w:rPr>
          <w:color w:val="000000"/>
          <w:spacing w:val="0"/>
          <w:w w:val="100"/>
          <w:position w:val="0"/>
        </w:rPr>
        <w:t>项目外，其他项目采用发生时的即期汇率折算。利润表中的收入和费用项目，采用交易发生日的即期 汇率折算。</w:t>
      </w:r>
    </w:p>
    <w:p>
      <w:pPr>
        <w:pStyle w:val="Style33"/>
        <w:keepNext w:val="0"/>
        <w:keepLines w:val="0"/>
        <w:widowControl w:val="0"/>
        <w:shd w:val="clear" w:color="auto" w:fill="auto"/>
        <w:bidi w:val="0"/>
        <w:spacing w:before="0" w:after="380" w:line="309" w:lineRule="exact"/>
        <w:ind w:left="0" w:right="0" w:firstLine="440"/>
        <w:jc w:val="both"/>
      </w:pPr>
      <w:r>
        <w:rPr>
          <w:color w:val="000000"/>
          <w:spacing w:val="0"/>
          <w:w w:val="100"/>
          <w:position w:val="0"/>
        </w:rPr>
        <w:t>处置境外经营时，将与该境外经营相关的外币财务报表折算差额，自所有者权益项目转入处置当期损 益。</w:t>
      </w:r>
    </w:p>
    <w:p>
      <w:pPr>
        <w:pStyle w:val="Style30"/>
        <w:keepNext/>
        <w:keepLines/>
        <w:widowControl w:val="0"/>
        <w:shd w:val="clear" w:color="auto" w:fill="auto"/>
        <w:tabs>
          <w:tab w:pos="474" w:val="left"/>
        </w:tabs>
        <w:bidi w:val="0"/>
        <w:spacing w:before="0" w:after="200" w:line="326" w:lineRule="auto"/>
        <w:ind w:left="0" w:right="0" w:firstLine="0"/>
        <w:jc w:val="left"/>
      </w:pPr>
      <w:bookmarkStart w:id="765" w:name="bookmark765"/>
      <w:bookmarkStart w:id="766" w:name="bookmark766"/>
      <w:bookmarkStart w:id="767" w:name="bookmark767"/>
      <w:bookmarkStart w:id="768" w:name="bookmark768"/>
      <w:r>
        <w:rPr>
          <w:rFonts w:ascii="Times New Roman" w:eastAsia="Times New Roman" w:hAnsi="Times New Roman" w:cs="Times New Roman"/>
          <w:color w:val="000000"/>
          <w:spacing w:val="0"/>
          <w:w w:val="100"/>
          <w:position w:val="0"/>
        </w:rPr>
        <w:t>1</w:t>
      </w:r>
      <w:bookmarkEnd w:id="767"/>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765"/>
      <w:bookmarkEnd w:id="766"/>
      <w:bookmarkEnd w:id="768"/>
    </w:p>
    <w:p>
      <w:pPr>
        <w:pStyle w:val="Style30"/>
        <w:keepNext/>
        <w:keepLines/>
        <w:widowControl w:val="0"/>
        <w:shd w:val="clear" w:color="auto" w:fill="auto"/>
        <w:bidi w:val="0"/>
        <w:spacing w:before="0" w:after="0" w:line="314" w:lineRule="exact"/>
        <w:ind w:left="0" w:right="0" w:firstLine="440"/>
        <w:jc w:val="both"/>
      </w:pPr>
      <w:bookmarkStart w:id="765" w:name="bookmark765"/>
      <w:bookmarkStart w:id="766" w:name="bookmark766"/>
      <w:bookmarkStart w:id="769" w:name="bookmark769"/>
      <w:r>
        <w:rPr>
          <w:color w:val="000000"/>
          <w:spacing w:val="0"/>
          <w:w w:val="100"/>
          <w:position w:val="0"/>
        </w:rPr>
        <w:t>（</w:t>
      </w:r>
      <w:bookmarkEnd w:id="769"/>
      <w:r>
        <w:rPr>
          <w:rFonts w:ascii="Times New Roman" w:eastAsia="Times New Roman" w:hAnsi="Times New Roman" w:cs="Times New Roman"/>
          <w:color w:val="000000"/>
          <w:spacing w:val="0"/>
          <w:w w:val="100"/>
          <w:position w:val="0"/>
        </w:rPr>
        <w:t>1</w:t>
      </w:r>
      <w:r>
        <w:rPr>
          <w:color w:val="000000"/>
          <w:spacing w:val="0"/>
          <w:w w:val="100"/>
          <w:position w:val="0"/>
        </w:rPr>
        <w:t>）金融资产分类和计量方法</w:t>
      </w:r>
      <w:bookmarkEnd w:id="765"/>
      <w:bookmarkEnd w:id="766"/>
    </w:p>
    <w:p>
      <w:pPr>
        <w:pStyle w:val="Style3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本公司基于风险管理和投资策略等原因，将持有的金融资产分为四类：以公允价值计量且其变动计入 当期损益的金融资产、持有至到期投资、贷款和应收款项、可供出售金融资产。</w:t>
      </w:r>
    </w:p>
    <w:p>
      <w:pPr>
        <w:pStyle w:val="Style3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所有金融资产在初始确认时都以公允价值计量。对于以公允价值计量且其变动计入当期损益的金融资 产，相关交易费用直接计入当期损益；对于其他类别的金融资产，相关交易费用计入初始确认金额。支付 的价款中包含已宣告但尚未发放的现金股利或已到付息期但尚未领取的债券利息，单独确认为应收项目。</w:t>
      </w:r>
    </w:p>
    <w:p>
      <w:pPr>
        <w:pStyle w:val="Style3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在初始确认时将某金融资产或某金融负债划分为以公允价值计量且其变动计入当期损益的金融资产 或金融负债后，不能重分类为其他类金融资产或金融负债；其他类金融资产或金融负债也不能重分类为以 公允价值计量且其变动计入当期损益的金融资产或金融负债。</w:t>
      </w:r>
    </w:p>
    <w:p>
      <w:pPr>
        <w:pStyle w:val="Style33"/>
        <w:keepNext w:val="0"/>
        <w:keepLines w:val="0"/>
        <w:widowControl w:val="0"/>
        <w:shd w:val="clear" w:color="auto" w:fill="auto"/>
        <w:bidi w:val="0"/>
        <w:spacing w:before="0" w:after="200" w:line="314" w:lineRule="exact"/>
        <w:ind w:left="0" w:right="0" w:firstLine="440"/>
        <w:jc w:val="both"/>
      </w:pPr>
      <w:r>
        <w:rPr>
          <w:color w:val="000000"/>
          <w:spacing w:val="0"/>
          <w:w w:val="100"/>
          <w:position w:val="0"/>
        </w:rPr>
        <w:t>卖出同一品种金融资产时，按移动加权平均法计算结转资产成本。</w:t>
      </w:r>
    </w:p>
    <w:p>
      <w:pPr>
        <w:pStyle w:val="Style33"/>
        <w:keepNext w:val="0"/>
        <w:keepLines w:val="0"/>
        <w:widowControl w:val="0"/>
        <w:shd w:val="clear" w:color="auto" w:fill="auto"/>
        <w:bidi w:val="0"/>
        <w:spacing w:before="0" w:after="0" w:line="312" w:lineRule="exact"/>
        <w:ind w:left="140" w:right="0" w:firstLine="420"/>
        <w:jc w:val="both"/>
      </w:pPr>
      <w:r>
        <w:rPr>
          <w:color w:val="000000"/>
          <w:spacing w:val="0"/>
          <w:w w:val="100"/>
          <w:position w:val="0"/>
        </w:rPr>
        <w:t>金融资产满足下列条件之一时，终止确认：①收取该金融资产现金流量的合同权利已终止；②该金融 资产已转移，且符合新《企业会计准则第</w:t>
      </w:r>
      <w:r>
        <w:rPr>
          <w:color w:val="000000"/>
          <w:spacing w:val="0"/>
          <w:w w:val="100"/>
          <w:position w:val="0"/>
        </w:rPr>
        <w:t>23</w:t>
      </w:r>
      <w:r>
        <w:rPr>
          <w:color w:val="000000"/>
          <w:spacing w:val="0"/>
          <w:w w:val="100"/>
          <w:position w:val="0"/>
        </w:rPr>
        <w:t>号-金融资产转移》规定的金融资产终止确认条件。</w:t>
      </w:r>
    </w:p>
    <w:p>
      <w:pPr>
        <w:pStyle w:val="Style33"/>
        <w:keepNext w:val="0"/>
        <w:keepLines w:val="0"/>
        <w:widowControl w:val="0"/>
        <w:shd w:val="clear" w:color="auto" w:fill="auto"/>
        <w:bidi w:val="0"/>
        <w:spacing w:before="0" w:after="0" w:line="312" w:lineRule="exact"/>
        <w:ind w:left="0" w:right="0" w:firstLine="560"/>
        <w:jc w:val="both"/>
      </w:pPr>
      <w:r>
        <w:rPr>
          <w:color w:val="000000"/>
          <w:spacing w:val="0"/>
          <w:w w:val="100"/>
          <w:position w:val="0"/>
        </w:rPr>
        <w:t>金融资产持有期间取得的利息或现金股利，确认为投资收益。</w:t>
      </w:r>
    </w:p>
    <w:p>
      <w:pPr>
        <w:pStyle w:val="Style33"/>
        <w:keepNext w:val="0"/>
        <w:keepLines w:val="0"/>
        <w:widowControl w:val="0"/>
        <w:shd w:val="clear" w:color="auto" w:fill="auto"/>
        <w:tabs>
          <w:tab w:pos="923" w:val="left"/>
        </w:tabs>
        <w:bidi w:val="0"/>
        <w:spacing w:before="0" w:after="0" w:line="312" w:lineRule="exact"/>
        <w:ind w:left="0" w:right="0" w:firstLine="560"/>
        <w:jc w:val="both"/>
      </w:pPr>
      <w:bookmarkStart w:id="770" w:name="bookmark770"/>
      <w:r>
        <w:rPr>
          <w:b/>
          <w:bCs/>
          <w:color w:val="000000"/>
          <w:spacing w:val="0"/>
          <w:w w:val="100"/>
          <w:position w:val="0"/>
        </w:rPr>
        <w:t>1</w:t>
      </w:r>
      <w:bookmarkEnd w:id="770"/>
      <w:r>
        <w:rPr>
          <w:b/>
          <w:bCs/>
          <w:color w:val="000000"/>
          <w:spacing w:val="0"/>
          <w:w w:val="100"/>
          <w:position w:val="0"/>
        </w:rPr>
        <w:t>）</w:t>
        <w:tab/>
        <w:t>以公允价值计量且其变动计入当期损益的金融资产：</w:t>
      </w:r>
    </w:p>
    <w:p>
      <w:pPr>
        <w:pStyle w:val="Style33"/>
        <w:keepNext w:val="0"/>
        <w:keepLines w:val="0"/>
        <w:widowControl w:val="0"/>
        <w:shd w:val="clear" w:color="auto" w:fill="auto"/>
        <w:bidi w:val="0"/>
        <w:spacing w:before="0" w:after="0" w:line="312" w:lineRule="exact"/>
        <w:ind w:left="140" w:right="0" w:firstLine="420"/>
        <w:jc w:val="both"/>
      </w:pPr>
      <w:r>
        <w:rPr>
          <w:color w:val="000000"/>
          <w:spacing w:val="0"/>
          <w:w w:val="100"/>
          <w:position w:val="0"/>
        </w:rPr>
        <w:t>该类金融工具的后续计量采用公允价值计量，所有己实现和未实现的损益均记入当期损益。交易性金 融资产主要是指为了近期内出售而持有的金融资产，例如自营证券等以赚取差价为目的从二级市场购入的 股票、债券、基金等。直接指定为以公允价值计量且其变动计入当期损益的金融资产，主要是指本公司基 于风险管理、投资策略等需要所指定的金融资产。</w:t>
      </w:r>
    </w:p>
    <w:p>
      <w:pPr>
        <w:pStyle w:val="Style33"/>
        <w:keepNext w:val="0"/>
        <w:keepLines w:val="0"/>
        <w:widowControl w:val="0"/>
        <w:shd w:val="clear" w:color="auto" w:fill="auto"/>
        <w:bidi w:val="0"/>
        <w:spacing w:before="0" w:after="0" w:line="312" w:lineRule="exact"/>
        <w:ind w:left="140" w:right="0" w:firstLine="420"/>
        <w:jc w:val="both"/>
      </w:pPr>
      <w:r>
        <w:rPr>
          <w:color w:val="000000"/>
          <w:spacing w:val="0"/>
          <w:w w:val="100"/>
          <w:position w:val="0"/>
        </w:rPr>
        <w:t>该类金融资产发生的公允价值变动计入公允价值变动损益。处置该类金融资产，其公允价值与初始入 账金额之间的差额确认为投资收益，同时调整公允价值变动损益。</w:t>
      </w:r>
    </w:p>
    <w:p>
      <w:pPr>
        <w:pStyle w:val="Style33"/>
        <w:keepNext w:val="0"/>
        <w:keepLines w:val="0"/>
        <w:widowControl w:val="0"/>
        <w:shd w:val="clear" w:color="auto" w:fill="auto"/>
        <w:tabs>
          <w:tab w:pos="938" w:val="left"/>
        </w:tabs>
        <w:bidi w:val="0"/>
        <w:spacing w:before="0" w:after="0" w:line="312" w:lineRule="exact"/>
        <w:ind w:left="0" w:right="0" w:firstLine="560"/>
        <w:jc w:val="both"/>
      </w:pPr>
      <w:bookmarkStart w:id="771" w:name="bookmark771"/>
      <w:r>
        <w:rPr>
          <w:b/>
          <w:bCs/>
          <w:color w:val="000000"/>
          <w:spacing w:val="0"/>
          <w:w w:val="100"/>
          <w:position w:val="0"/>
        </w:rPr>
        <w:t>2</w:t>
      </w:r>
      <w:bookmarkEnd w:id="771"/>
      <w:r>
        <w:rPr>
          <w:b/>
          <w:bCs/>
          <w:color w:val="000000"/>
          <w:spacing w:val="0"/>
          <w:w w:val="100"/>
          <w:position w:val="0"/>
        </w:rPr>
        <w:t>）</w:t>
        <w:tab/>
        <w:t>持有至到期投资：</w:t>
      </w:r>
    </w:p>
    <w:p>
      <w:pPr>
        <w:pStyle w:val="Style33"/>
        <w:keepNext w:val="0"/>
        <w:keepLines w:val="0"/>
        <w:widowControl w:val="0"/>
        <w:shd w:val="clear" w:color="auto" w:fill="auto"/>
        <w:bidi w:val="0"/>
        <w:spacing w:before="0" w:after="0" w:line="312" w:lineRule="exact"/>
        <w:ind w:left="140" w:right="0" w:firstLine="420"/>
        <w:jc w:val="both"/>
      </w:pPr>
      <w:r>
        <w:rPr>
          <w:color w:val="000000"/>
          <w:spacing w:val="0"/>
          <w:w w:val="100"/>
          <w:position w:val="0"/>
        </w:rPr>
        <w:t>持有至到期投资指到期日固定、回收金额固定或可确定，且企业有明确意图和能力持有至到期的非衍 生金融资产。</w:t>
      </w:r>
    </w:p>
    <w:p>
      <w:pPr>
        <w:pStyle w:val="Style33"/>
        <w:keepNext w:val="0"/>
        <w:keepLines w:val="0"/>
        <w:widowControl w:val="0"/>
        <w:shd w:val="clear" w:color="auto" w:fill="auto"/>
        <w:bidi w:val="0"/>
        <w:spacing w:before="0" w:after="0" w:line="312" w:lineRule="exact"/>
        <w:ind w:left="140" w:right="0" w:firstLine="420"/>
        <w:jc w:val="both"/>
      </w:pPr>
      <w:r>
        <w:rPr>
          <w:color w:val="000000"/>
          <w:spacing w:val="0"/>
          <w:w w:val="100"/>
          <w:position w:val="0"/>
        </w:rPr>
        <w:t>该类投资的账面价值以实际利率法计算的摊余成本减去减值准备计量，在持有期间按照摊余成本和实 际利率计算确认的利息收入、处置收益，均计入投资收益。因持有意图或能力发生改变，使某项投资不再 适合划分为持有至到期投资的，将其重分类为可供出售金融资产，并以公允价值进行后续计量。重分类日， 该投资的账面价值与公允价值之间的差额计入所有者权益，在该可供出售金融资产发生减值或终止确认时 转出，计入当期损益。</w:t>
      </w:r>
    </w:p>
    <w:p>
      <w:pPr>
        <w:pStyle w:val="Style33"/>
        <w:keepNext w:val="0"/>
        <w:keepLines w:val="0"/>
        <w:widowControl w:val="0"/>
        <w:shd w:val="clear" w:color="auto" w:fill="auto"/>
        <w:tabs>
          <w:tab w:pos="938" w:val="left"/>
        </w:tabs>
        <w:bidi w:val="0"/>
        <w:spacing w:before="0" w:after="0" w:line="312" w:lineRule="exact"/>
        <w:ind w:left="0" w:right="0" w:firstLine="560"/>
        <w:jc w:val="both"/>
      </w:pPr>
      <w:bookmarkStart w:id="772" w:name="bookmark772"/>
      <w:r>
        <w:rPr>
          <w:b/>
          <w:bCs/>
          <w:color w:val="000000"/>
          <w:spacing w:val="0"/>
          <w:w w:val="100"/>
          <w:position w:val="0"/>
        </w:rPr>
        <w:t>3</w:t>
      </w:r>
      <w:bookmarkEnd w:id="772"/>
      <w:r>
        <w:rPr>
          <w:b/>
          <w:bCs/>
          <w:color w:val="000000"/>
          <w:spacing w:val="0"/>
          <w:w w:val="100"/>
          <w:position w:val="0"/>
        </w:rPr>
        <w:t>）</w:t>
        <w:tab/>
        <w:t>贷款和应收款项</w:t>
      </w:r>
    </w:p>
    <w:p>
      <w:pPr>
        <w:pStyle w:val="Style33"/>
        <w:keepNext w:val="0"/>
        <w:keepLines w:val="0"/>
        <w:widowControl w:val="0"/>
        <w:shd w:val="clear" w:color="auto" w:fill="auto"/>
        <w:bidi w:val="0"/>
        <w:spacing w:before="0" w:after="0" w:line="312" w:lineRule="exact"/>
        <w:ind w:left="140" w:right="0" w:firstLine="420"/>
        <w:jc w:val="both"/>
      </w:pPr>
      <w:r>
        <w:rPr>
          <w:color w:val="000000"/>
          <w:spacing w:val="0"/>
          <w:w w:val="100"/>
          <w:position w:val="0"/>
        </w:rPr>
        <w:t>本公司将在活跃市场中没有报价、回收金额固定或可确定的非衍生金融资产作为贷款和应收款项，本 公司持有的该类资产主要是日常经营过程中形成的应收款项等债权。</w:t>
      </w:r>
    </w:p>
    <w:p>
      <w:pPr>
        <w:pStyle w:val="Style33"/>
        <w:keepNext w:val="0"/>
        <w:keepLines w:val="0"/>
        <w:widowControl w:val="0"/>
        <w:shd w:val="clear" w:color="auto" w:fill="auto"/>
        <w:tabs>
          <w:tab w:pos="943" w:val="left"/>
        </w:tabs>
        <w:bidi w:val="0"/>
        <w:spacing w:before="0" w:after="0" w:line="312" w:lineRule="exact"/>
        <w:ind w:left="0" w:right="0" w:firstLine="560"/>
        <w:jc w:val="both"/>
      </w:pPr>
      <w:bookmarkStart w:id="773" w:name="bookmark773"/>
      <w:r>
        <w:rPr>
          <w:b/>
          <w:bCs/>
          <w:color w:val="000000"/>
          <w:spacing w:val="0"/>
          <w:w w:val="100"/>
          <w:position w:val="0"/>
        </w:rPr>
        <w:t>4</w:t>
      </w:r>
      <w:bookmarkEnd w:id="773"/>
      <w:r>
        <w:rPr>
          <w:b/>
          <w:bCs/>
          <w:color w:val="000000"/>
          <w:spacing w:val="0"/>
          <w:w w:val="100"/>
          <w:position w:val="0"/>
        </w:rPr>
        <w:t>）</w:t>
        <w:tab/>
        <w:t>可供出售金融资产</w:t>
      </w:r>
    </w:p>
    <w:p>
      <w:pPr>
        <w:pStyle w:val="Style33"/>
        <w:keepNext w:val="0"/>
        <w:keepLines w:val="0"/>
        <w:widowControl w:val="0"/>
        <w:shd w:val="clear" w:color="auto" w:fill="auto"/>
        <w:bidi w:val="0"/>
        <w:spacing w:before="0" w:after="0" w:line="312" w:lineRule="exact"/>
        <w:ind w:left="140" w:right="0" w:firstLine="420"/>
        <w:jc w:val="both"/>
      </w:pPr>
      <w:r>
        <w:rPr>
          <w:color w:val="000000"/>
          <w:spacing w:val="0"/>
          <w:w w:val="100"/>
          <w:position w:val="0"/>
        </w:rPr>
        <w:t>可供出售金融资产是初始确认时即被指定为可供出售的非衍生金融资产，以及没有划分为以公允价值 计量且其变动计入当期损益的金融资产、持有至到期投资、贷款和应收款项的金融资产。</w:t>
      </w:r>
    </w:p>
    <w:p>
      <w:pPr>
        <w:pStyle w:val="Style33"/>
        <w:keepNext w:val="0"/>
        <w:keepLines w:val="0"/>
        <w:widowControl w:val="0"/>
        <w:shd w:val="clear" w:color="auto" w:fill="auto"/>
        <w:bidi w:val="0"/>
        <w:spacing w:before="0" w:after="80" w:line="312" w:lineRule="exact"/>
        <w:ind w:left="140" w:right="0" w:firstLine="420"/>
        <w:jc w:val="both"/>
      </w:pPr>
      <w:r>
        <w:rPr>
          <w:color w:val="000000"/>
          <w:spacing w:val="0"/>
          <w:w w:val="100"/>
          <w:position w:val="0"/>
        </w:rPr>
        <w:t>该类资产持有期间取得的利息或现金股利，计入投资收益。该类资产公允价值变动计入其他综合收益, 在终止确认或发生减值时，以前在其他综合收益中列示的累计公允价值变动转出，记入当期投资收益。</w:t>
      </w:r>
    </w:p>
    <w:p>
      <w:pPr>
        <w:pStyle w:val="Style33"/>
        <w:keepNext w:val="0"/>
        <w:keepLines w:val="0"/>
        <w:widowControl w:val="0"/>
        <w:shd w:val="clear" w:color="auto" w:fill="auto"/>
        <w:tabs>
          <w:tab w:pos="943" w:val="left"/>
        </w:tabs>
        <w:bidi w:val="0"/>
        <w:spacing w:before="0" w:after="0" w:line="326" w:lineRule="auto"/>
        <w:ind w:left="0" w:right="0" w:firstLine="560"/>
        <w:jc w:val="both"/>
      </w:pPr>
      <w:bookmarkStart w:id="774" w:name="bookmark774"/>
      <w:r>
        <w:rPr>
          <w:rFonts w:ascii="Times New Roman" w:eastAsia="Times New Roman" w:hAnsi="Times New Roman" w:cs="Times New Roman"/>
          <w:b/>
          <w:bCs/>
          <w:color w:val="000000"/>
          <w:spacing w:val="0"/>
          <w:w w:val="100"/>
          <w:position w:val="0"/>
        </w:rPr>
        <w:t>5</w:t>
      </w:r>
      <w:bookmarkEnd w:id="774"/>
      <w:r>
        <w:rPr>
          <w:b/>
          <w:bCs/>
          <w:color w:val="000000"/>
          <w:spacing w:val="0"/>
          <w:w w:val="100"/>
          <w:position w:val="0"/>
        </w:rPr>
        <w:t>）</w:t>
        <w:tab/>
        <w:t>金融资产减值</w:t>
      </w:r>
    </w:p>
    <w:p>
      <w:pPr>
        <w:pStyle w:val="Style33"/>
        <w:keepNext w:val="0"/>
        <w:keepLines w:val="0"/>
        <w:widowControl w:val="0"/>
        <w:shd w:val="clear" w:color="auto" w:fill="auto"/>
        <w:tabs>
          <w:tab w:pos="964" w:val="left"/>
        </w:tabs>
        <w:bidi w:val="0"/>
        <w:spacing w:before="0" w:after="0" w:line="312" w:lineRule="exact"/>
        <w:ind w:left="140" w:right="0" w:firstLine="420"/>
        <w:jc w:val="both"/>
      </w:pPr>
      <w:bookmarkStart w:id="775" w:name="bookmark775"/>
      <w:r>
        <w:rPr>
          <w:rFonts w:ascii="Times New Roman" w:eastAsia="Times New Roman" w:hAnsi="Times New Roman" w:cs="Times New Roman"/>
          <w:color w:val="000000"/>
          <w:spacing w:val="0"/>
          <w:w w:val="100"/>
          <w:position w:val="0"/>
        </w:rPr>
        <w:t>A</w:t>
      </w:r>
      <w:bookmarkEnd w:id="775"/>
      <w:r>
        <w:rPr>
          <w:color w:val="000000"/>
          <w:spacing w:val="0"/>
          <w:w w:val="100"/>
          <w:position w:val="0"/>
        </w:rPr>
        <w:t>、</w:t>
        <w:tab/>
      </w:r>
      <w:r>
        <w:rPr>
          <w:color w:val="000000"/>
          <w:spacing w:val="0"/>
          <w:w w:val="100"/>
          <w:position w:val="0"/>
        </w:rPr>
        <w:t>对于持有至到期投资、贷款，有客观证据表明其发生了减值的，根据其账面价值与预计未来现金 流量现值之间的差额计算确认减值损失。</w:t>
      </w:r>
    </w:p>
    <w:p>
      <w:pPr>
        <w:pStyle w:val="Style33"/>
        <w:keepNext w:val="0"/>
        <w:keepLines w:val="0"/>
        <w:widowControl w:val="0"/>
        <w:shd w:val="clear" w:color="auto" w:fill="auto"/>
        <w:bidi w:val="0"/>
        <w:spacing w:before="0" w:after="0" w:line="312" w:lineRule="exact"/>
        <w:ind w:left="140" w:right="0" w:firstLine="420"/>
        <w:jc w:val="both"/>
      </w:pPr>
      <w:bookmarkStart w:id="776" w:name="bookmark776"/>
      <w:r>
        <w:rPr>
          <w:rFonts w:ascii="Times New Roman" w:eastAsia="Times New Roman" w:hAnsi="Times New Roman" w:cs="Times New Roman"/>
          <w:color w:val="000000"/>
          <w:spacing w:val="0"/>
          <w:w w:val="100"/>
          <w:position w:val="0"/>
        </w:rPr>
        <w:t>B</w:t>
      </w:r>
      <w:bookmarkEnd w:id="776"/>
      <w:r>
        <w:rPr>
          <w:color w:val="000000"/>
          <w:spacing w:val="0"/>
          <w:w w:val="100"/>
          <w:position w:val="0"/>
        </w:rPr>
        <w:t xml:space="preserve">、 </w:t>
      </w:r>
      <w:r>
        <w:rPr>
          <w:color w:val="000000"/>
          <w:spacing w:val="0"/>
          <w:w w:val="100"/>
          <w:position w:val="0"/>
        </w:rPr>
        <w:t>如果有客观证据表明可供出售金融资产发生减值，原直接计入所有者权益的因公允价值下降形成 的累计损失，从所有者权益予以转出，计入当期损益。该转出的累计损失，为可供出售金融资产的初始取 得成本扣除已收回本金和已摊销金额、当前公允价值和原已计入损益的减值损失后的余额。</w:t>
      </w:r>
    </w:p>
    <w:p>
      <w:pPr>
        <w:pStyle w:val="Style33"/>
        <w:keepNext w:val="0"/>
        <w:keepLines w:val="0"/>
        <w:widowControl w:val="0"/>
        <w:shd w:val="clear" w:color="auto" w:fill="auto"/>
        <w:bidi w:val="0"/>
        <w:spacing w:before="0" w:after="0" w:line="312" w:lineRule="exact"/>
        <w:ind w:left="140" w:right="0" w:firstLine="420"/>
        <w:jc w:val="both"/>
      </w:pPr>
      <w:r>
        <w:rPr>
          <w:color w:val="000000"/>
          <w:spacing w:val="0"/>
          <w:w w:val="100"/>
          <w:position w:val="0"/>
        </w:rPr>
        <w:t>对于已确认减值损失的可供出售债务工具，在随后的会计期间公允价值已上升且客观上与原减值损失 确认后发生的事项有关的，原确认的减值损失予已转回，计入当期损益。可供出售权益工具投资发生的减 值损失，不得通过损益转回。</w:t>
      </w:r>
    </w:p>
    <w:p>
      <w:pPr>
        <w:pStyle w:val="Style33"/>
        <w:keepNext w:val="0"/>
        <w:keepLines w:val="0"/>
        <w:widowControl w:val="0"/>
        <w:shd w:val="clear" w:color="auto" w:fill="auto"/>
        <w:bidi w:val="0"/>
        <w:spacing w:before="0" w:after="340" w:line="312" w:lineRule="exact"/>
        <w:ind w:left="140" w:right="0" w:firstLine="420"/>
        <w:jc w:val="both"/>
      </w:pPr>
      <w:r>
        <w:rPr>
          <w:color w:val="000000"/>
          <w:spacing w:val="0"/>
          <w:w w:val="100"/>
          <w:position w:val="0"/>
        </w:rPr>
        <w:t>对于权益工具投资，本公司判断其公允价值发生</w:t>
      </w:r>
      <w:r>
        <w:rPr>
          <w:rFonts w:ascii="Times New Roman" w:eastAsia="Times New Roman" w:hAnsi="Times New Roman" w:cs="Times New Roman"/>
          <w:color w:val="000000"/>
          <w:spacing w:val="0"/>
          <w:w w:val="100"/>
          <w:position w:val="0"/>
        </w:rPr>
        <w:t>“</w:t>
      </w:r>
      <w:r>
        <w:rPr>
          <w:color w:val="000000"/>
          <w:spacing w:val="0"/>
          <w:w w:val="100"/>
          <w:position w:val="0"/>
        </w:rPr>
        <w:t>严重</w:t>
      </w:r>
      <w:r>
        <w:rPr>
          <w:rFonts w:ascii="Times New Roman" w:eastAsia="Times New Roman" w:hAnsi="Times New Roman" w:cs="Times New Roman"/>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非暂时性</w:t>
      </w:r>
      <w:r>
        <w:rPr>
          <w:rFonts w:ascii="Times New Roman" w:eastAsia="Times New Roman" w:hAnsi="Times New Roman" w:cs="Times New Roman"/>
          <w:color w:val="000000"/>
          <w:spacing w:val="0"/>
          <w:w w:val="100"/>
          <w:position w:val="0"/>
        </w:rPr>
        <w:t>''</w:t>
      </w:r>
      <w:r>
        <w:rPr>
          <w:color w:val="000000"/>
          <w:spacing w:val="0"/>
          <w:w w:val="100"/>
          <w:position w:val="0"/>
        </w:rPr>
        <w:t>下跌的具体量化标准、成本的计 算方法、期末公允价值的确定方法，以及持续下跌期间的确定依据为：</w:t>
      </w:r>
    </w:p>
    <w:tbl>
      <w:tblPr>
        <w:tblOverlap w:val="never"/>
        <w:jc w:val="center"/>
        <w:tblLayout w:type="fixed"/>
      </w:tblPr>
      <w:tblGrid>
        <w:gridCol w:w="2602"/>
        <w:gridCol w:w="7330"/>
      </w:tblGrid>
      <w:tr>
        <w:trPr>
          <w:trHeight w:val="63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93" w:lineRule="exact"/>
              <w:ind w:left="140" w:right="0" w:firstLine="0"/>
              <w:jc w:val="left"/>
            </w:pPr>
            <w:r>
              <w:rPr>
                <w:color w:val="000000"/>
                <w:spacing w:val="0"/>
                <w:w w:val="100"/>
                <w:position w:val="0"/>
              </w:rPr>
              <w:t>公允价值发生</w:t>
            </w:r>
            <w:r>
              <w:rPr>
                <w:rFonts w:ascii="Times New Roman" w:eastAsia="Times New Roman" w:hAnsi="Times New Roman" w:cs="Times New Roman"/>
                <w:color w:val="000000"/>
                <w:spacing w:val="0"/>
                <w:w w:val="100"/>
                <w:position w:val="0"/>
              </w:rPr>
              <w:t>“</w:t>
            </w:r>
            <w:r>
              <w:rPr>
                <w:color w:val="000000"/>
                <w:spacing w:val="0"/>
                <w:w w:val="100"/>
                <w:position w:val="0"/>
              </w:rPr>
              <w:t>严重</w:t>
            </w:r>
            <w:r>
              <w:rPr>
                <w:rFonts w:ascii="Times New Roman" w:eastAsia="Times New Roman" w:hAnsi="Times New Roman" w:cs="Times New Roman"/>
                <w:color w:val="000000"/>
                <w:spacing w:val="0"/>
                <w:w w:val="100"/>
                <w:position w:val="0"/>
              </w:rPr>
              <w:t>''</w:t>
            </w:r>
            <w:r>
              <w:rPr>
                <w:color w:val="000000"/>
                <w:spacing w:val="0"/>
                <w:w w:val="100"/>
                <w:position w:val="0"/>
              </w:rPr>
              <w:t>下跌 的具体量化标准</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单项可供出售金融资产公允价值跌幅超过成本的</w:t>
            </w:r>
            <w:r>
              <w:rPr>
                <w:rFonts w:ascii="Times New Roman" w:eastAsia="Times New Roman" w:hAnsi="Times New Roman" w:cs="Times New Roman"/>
                <w:color w:val="000000"/>
                <w:spacing w:val="0"/>
                <w:w w:val="100"/>
                <w:position w:val="0"/>
              </w:rPr>
              <w:t>50%</w:t>
            </w:r>
            <w:r>
              <w:rPr>
                <w:color w:val="000000"/>
                <w:spacing w:val="0"/>
                <w:w w:val="100"/>
                <w:position w:val="0"/>
              </w:rPr>
              <w:t>以上</w:t>
            </w:r>
          </w:p>
        </w:tc>
      </w:tr>
      <w:tr>
        <w:trPr>
          <w:trHeight w:val="63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93" w:lineRule="exact"/>
              <w:ind w:left="140" w:right="0" w:firstLine="0"/>
              <w:jc w:val="left"/>
            </w:pPr>
            <w:r>
              <w:rPr>
                <w:color w:val="000000"/>
                <w:spacing w:val="0"/>
                <w:w w:val="100"/>
                <w:position w:val="0"/>
              </w:rPr>
              <w:t>公允价值发生</w:t>
            </w:r>
            <w:r>
              <w:rPr>
                <w:rFonts w:ascii="Times New Roman" w:eastAsia="Times New Roman" w:hAnsi="Times New Roman" w:cs="Times New Roman"/>
                <w:color w:val="000000"/>
                <w:spacing w:val="0"/>
                <w:w w:val="100"/>
                <w:position w:val="0"/>
              </w:rPr>
              <w:t>“</w:t>
            </w:r>
            <w:r>
              <w:rPr>
                <w:color w:val="000000"/>
                <w:spacing w:val="0"/>
                <w:w w:val="100"/>
                <w:position w:val="0"/>
              </w:rPr>
              <w:t>非暂时性 下跌的具体量化标准</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持续下跌时间</w:t>
            </w:r>
            <w:r>
              <w:rPr>
                <w:rFonts w:ascii="Times New Roman" w:eastAsia="Times New Roman" w:hAnsi="Times New Roman" w:cs="Times New Roman"/>
                <w:color w:val="000000"/>
                <w:spacing w:val="0"/>
                <w:w w:val="100"/>
                <w:position w:val="0"/>
              </w:rPr>
              <w:t>1</w:t>
            </w:r>
            <w:r>
              <w:rPr>
                <w:color w:val="000000"/>
                <w:spacing w:val="0"/>
                <w:w w:val="100"/>
                <w:position w:val="0"/>
              </w:rPr>
              <w:t>年以上</w:t>
            </w:r>
          </w:p>
        </w:tc>
      </w:tr>
      <w:tr>
        <w:trPr>
          <w:trHeight w:val="322"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成本的计算方法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以购入时的成交价</w:t>
            </w:r>
          </w:p>
        </w:tc>
      </w:tr>
      <w:tr>
        <w:trPr>
          <w:trHeight w:val="331"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期末公允价值的确定方法</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按附注三</w:t>
            </w:r>
            <w:r>
              <w:rPr>
                <w:rFonts w:ascii="Times New Roman" w:eastAsia="Times New Roman" w:hAnsi="Times New Roman" w:cs="Times New Roman"/>
                <w:color w:val="000000"/>
                <w:spacing w:val="0"/>
                <w:w w:val="100"/>
                <w:position w:val="0"/>
              </w:rPr>
              <w:t>-</w:t>
            </w:r>
            <w:r>
              <w:rPr>
                <w:color w:val="000000"/>
                <w:spacing w:val="0"/>
                <w:w w:val="100"/>
                <w:position w:val="0"/>
              </w:rPr>
              <w:t>（九）</w:t>
            </w:r>
            <w:r>
              <w:rPr>
                <w:rFonts w:ascii="Times New Roman" w:eastAsia="Times New Roman" w:hAnsi="Times New Roman" w:cs="Times New Roman"/>
                <w:color w:val="000000"/>
                <w:spacing w:val="0"/>
                <w:w w:val="100"/>
                <w:position w:val="0"/>
              </w:rPr>
              <w:t>-3</w:t>
            </w:r>
            <w:r>
              <w:rPr>
                <w:color w:val="000000"/>
                <w:spacing w:val="0"/>
                <w:w w:val="100"/>
                <w:position w:val="0"/>
              </w:rPr>
              <w:t>公允价值的确定中的方法</w:t>
            </w:r>
          </w:p>
        </w:tc>
      </w:tr>
    </w:tbl>
    <w:p>
      <w:pPr>
        <w:pStyle w:val="Style33"/>
        <w:keepNext w:val="0"/>
        <w:keepLines w:val="0"/>
        <w:widowControl w:val="0"/>
        <w:shd w:val="clear" w:color="auto" w:fill="auto"/>
        <w:bidi w:val="0"/>
        <w:spacing w:before="0" w:after="60" w:line="240" w:lineRule="auto"/>
        <w:ind w:left="0" w:right="0" w:firstLine="0"/>
        <w:jc w:val="both"/>
      </w:pPr>
      <w:r>
        <w:rPr>
          <w:color w:val="000000"/>
          <w:spacing w:val="0"/>
          <w:w w:val="100"/>
          <w:position w:val="0"/>
        </w:rPr>
        <w:t>持续下跌期间的确定依据自权益工具投资公允价值跌幅超过成本当月开始计算，持续下跌</w:t>
      </w:r>
      <w:r>
        <w:rPr>
          <w:rFonts w:ascii="Times New Roman" w:eastAsia="Times New Roman" w:hAnsi="Times New Roman" w:cs="Times New Roman"/>
          <w:color w:val="000000"/>
          <w:spacing w:val="0"/>
          <w:w w:val="100"/>
          <w:position w:val="0"/>
        </w:rPr>
        <w:t>12</w:t>
      </w:r>
      <w:r>
        <w:rPr>
          <w:color w:val="000000"/>
          <w:spacing w:val="0"/>
          <w:w w:val="100"/>
          <w:position w:val="0"/>
        </w:rPr>
        <w:t>个月，如</w:t>
      </w:r>
    </w:p>
    <w:p>
      <w:pPr>
        <w:pStyle w:val="Style33"/>
        <w:keepNext w:val="0"/>
        <w:keepLines w:val="0"/>
        <w:widowControl w:val="0"/>
        <w:shd w:val="clear" w:color="auto" w:fill="auto"/>
        <w:bidi w:val="0"/>
        <w:spacing w:before="0" w:after="320" w:line="240" w:lineRule="auto"/>
        <w:ind w:left="0" w:right="0" w:firstLine="0"/>
        <w:jc w:val="center"/>
      </w:pPr>
      <w:r>
        <w:rPr>
          <w:color w:val="000000"/>
          <w:spacing w:val="0"/>
          <w:w w:val="100"/>
          <w:position w:val="0"/>
        </w:rPr>
        <w:t>果期间公允价值回升且超过成本则终止计算持续下跌期间</w:t>
      </w:r>
    </w:p>
    <w:p>
      <w:pPr>
        <w:pStyle w:val="Style33"/>
        <w:keepNext w:val="0"/>
        <w:keepLines w:val="0"/>
        <w:widowControl w:val="0"/>
        <w:shd w:val="clear" w:color="auto" w:fill="auto"/>
        <w:bidi w:val="0"/>
        <w:spacing w:before="0" w:after="0" w:line="313" w:lineRule="exact"/>
        <w:ind w:left="0" w:right="0" w:firstLine="420"/>
        <w:jc w:val="both"/>
      </w:pPr>
      <w:bookmarkStart w:id="777" w:name="bookmark777"/>
      <w:r>
        <w:rPr>
          <w:rFonts w:ascii="Times New Roman" w:eastAsia="Times New Roman" w:hAnsi="Times New Roman" w:cs="Times New Roman"/>
          <w:color w:val="000000"/>
          <w:spacing w:val="0"/>
          <w:w w:val="100"/>
          <w:position w:val="0"/>
        </w:rPr>
        <w:t>C</w:t>
      </w:r>
      <w:bookmarkEnd w:id="777"/>
      <w:r>
        <w:rPr>
          <w:color w:val="000000"/>
          <w:spacing w:val="0"/>
          <w:w w:val="100"/>
          <w:position w:val="0"/>
        </w:rPr>
        <w:t>、</w:t>
      </w:r>
      <w:r>
        <w:rPr>
          <w:color w:val="000000"/>
          <w:spacing w:val="0"/>
          <w:w w:val="100"/>
          <w:position w:val="0"/>
        </w:rPr>
        <w:t>融出证券减值计提比照上述办法执行。</w:t>
      </w:r>
    </w:p>
    <w:p>
      <w:pPr>
        <w:pStyle w:val="Style33"/>
        <w:keepNext w:val="0"/>
        <w:keepLines w:val="0"/>
        <w:widowControl w:val="0"/>
        <w:shd w:val="clear" w:color="auto" w:fill="auto"/>
        <w:tabs>
          <w:tab w:pos="1200" w:val="left"/>
        </w:tabs>
        <w:bidi w:val="0"/>
        <w:spacing w:before="0" w:after="0" w:line="313" w:lineRule="exact"/>
        <w:ind w:left="0" w:right="0" w:firstLine="720"/>
        <w:jc w:val="both"/>
      </w:pPr>
      <w:bookmarkStart w:id="778" w:name="bookmark778"/>
      <w:r>
        <w:rPr>
          <w:b/>
          <w:bCs/>
          <w:color w:val="000000"/>
          <w:spacing w:val="0"/>
          <w:w w:val="100"/>
          <w:position w:val="0"/>
        </w:rPr>
        <w:t>（</w:t>
      </w:r>
      <w:bookmarkEnd w:id="778"/>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金融负债的分类及计量方法</w:t>
      </w:r>
    </w:p>
    <w:p>
      <w:pPr>
        <w:pStyle w:val="Style33"/>
        <w:keepNext w:val="0"/>
        <w:keepLines w:val="0"/>
        <w:widowControl w:val="0"/>
        <w:shd w:val="clear" w:color="auto" w:fill="auto"/>
        <w:bidi w:val="0"/>
        <w:spacing w:before="0" w:after="0" w:line="313" w:lineRule="exact"/>
        <w:ind w:left="0" w:right="0" w:firstLine="720"/>
        <w:jc w:val="both"/>
      </w:pPr>
      <w:r>
        <w:rPr>
          <w:color w:val="000000"/>
          <w:spacing w:val="0"/>
          <w:w w:val="100"/>
          <w:position w:val="0"/>
        </w:rPr>
        <w:t>本公司的金融负债划分为以公允价值计量且其变动计入当期损益的金融负债和其他金融负债。</w:t>
      </w:r>
    </w:p>
    <w:p>
      <w:pPr>
        <w:pStyle w:val="Style33"/>
        <w:keepNext w:val="0"/>
        <w:keepLines w:val="0"/>
        <w:widowControl w:val="0"/>
        <w:shd w:val="clear" w:color="auto" w:fill="auto"/>
        <w:bidi w:val="0"/>
        <w:spacing w:before="0" w:after="0" w:line="313" w:lineRule="exact"/>
        <w:ind w:left="300" w:right="0" w:firstLine="420"/>
        <w:jc w:val="both"/>
      </w:pPr>
      <w:r>
        <w:rPr>
          <w:color w:val="000000"/>
          <w:spacing w:val="0"/>
          <w:w w:val="100"/>
          <w:position w:val="0"/>
        </w:rPr>
        <w:t>所有金融负债在初始确认时都以公允价值计量。对于以公允价值计量且其变动计入当期损益的金融 负债，相关交易费用直接计入当期损益；对于其他金融负债，相关交易费用计入初始确认金额。</w:t>
      </w:r>
    </w:p>
    <w:p>
      <w:pPr>
        <w:pStyle w:val="Style33"/>
        <w:keepNext w:val="0"/>
        <w:keepLines w:val="0"/>
        <w:widowControl w:val="0"/>
        <w:shd w:val="clear" w:color="auto" w:fill="auto"/>
        <w:bidi w:val="0"/>
        <w:spacing w:before="0" w:after="0" w:line="313" w:lineRule="exact"/>
        <w:ind w:left="300" w:right="0" w:firstLine="420"/>
        <w:jc w:val="both"/>
      </w:pPr>
      <w:r>
        <w:rPr>
          <w:color w:val="000000"/>
          <w:spacing w:val="0"/>
          <w:w w:val="100"/>
          <w:position w:val="0"/>
        </w:rPr>
        <w:t>金融负债的现时义务全部或部分已解除时，才能终止确认该金融负债或其一部分。金融负债全部或 部分终止确认的，企业应当将终止确认部分的账面价值与支付的对价</w:t>
      </w:r>
      <w:r>
        <w:rPr>
          <w:rFonts w:ascii="Times New Roman" w:eastAsia="Times New Roman" w:hAnsi="Times New Roman" w:cs="Times New Roman"/>
          <w:color w:val="000000"/>
          <w:spacing w:val="0"/>
          <w:w w:val="100"/>
          <w:position w:val="0"/>
        </w:rPr>
        <w:t>（</w:t>
      </w:r>
      <w:r>
        <w:rPr>
          <w:color w:val="000000"/>
          <w:spacing w:val="0"/>
          <w:w w:val="100"/>
          <w:position w:val="0"/>
        </w:rPr>
        <w:t>包括转出的非现金资产或承担的 新金融负债</w:t>
      </w:r>
      <w:r>
        <w:rPr>
          <w:rFonts w:ascii="Times New Roman" w:eastAsia="Times New Roman" w:hAnsi="Times New Roman" w:cs="Times New Roman"/>
          <w:color w:val="000000"/>
          <w:spacing w:val="0"/>
          <w:w w:val="100"/>
          <w:position w:val="0"/>
        </w:rPr>
        <w:t>）</w:t>
      </w:r>
      <w:r>
        <w:rPr>
          <w:color w:val="000000"/>
          <w:spacing w:val="0"/>
          <w:w w:val="100"/>
          <w:position w:val="0"/>
        </w:rPr>
        <w:t>之间的差额，计入当期损益。</w:t>
      </w:r>
    </w:p>
    <w:p>
      <w:pPr>
        <w:pStyle w:val="Style33"/>
        <w:keepNext w:val="0"/>
        <w:keepLines w:val="0"/>
        <w:widowControl w:val="0"/>
        <w:numPr>
          <w:ilvl w:val="0"/>
          <w:numId w:val="15"/>
        </w:numPr>
        <w:shd w:val="clear" w:color="auto" w:fill="auto"/>
        <w:tabs>
          <w:tab w:pos="1102" w:val="left"/>
        </w:tabs>
        <w:bidi w:val="0"/>
        <w:spacing w:before="0" w:after="0" w:line="313" w:lineRule="exact"/>
        <w:ind w:left="300" w:right="0" w:firstLine="420"/>
        <w:jc w:val="both"/>
      </w:pPr>
      <w:bookmarkStart w:id="779" w:name="bookmark779"/>
      <w:bookmarkEnd w:id="779"/>
      <w:r>
        <w:rPr>
          <w:color w:val="000000"/>
          <w:spacing w:val="0"/>
          <w:w w:val="100"/>
          <w:position w:val="0"/>
        </w:rPr>
        <w:t>以公允价值计量且其变动计入当期损益的金融负债主要是指为了近期内回购而持有的创设权证 等金融工具。直接指定为以公允价值计量且其变动计入当期损益的金融负债，主要是指本公司基于风险 管理、投资策略等需要所作的指定。</w:t>
      </w:r>
    </w:p>
    <w:p>
      <w:pPr>
        <w:pStyle w:val="Style33"/>
        <w:keepNext w:val="0"/>
        <w:keepLines w:val="0"/>
        <w:widowControl w:val="0"/>
        <w:numPr>
          <w:ilvl w:val="0"/>
          <w:numId w:val="15"/>
        </w:numPr>
        <w:shd w:val="clear" w:color="auto" w:fill="auto"/>
        <w:tabs>
          <w:tab w:pos="1092" w:val="left"/>
        </w:tabs>
        <w:bidi w:val="0"/>
        <w:spacing w:before="0" w:after="0" w:line="313" w:lineRule="exact"/>
        <w:ind w:left="300" w:right="0" w:firstLine="420"/>
        <w:jc w:val="both"/>
      </w:pPr>
      <w:bookmarkStart w:id="780" w:name="bookmark780"/>
      <w:bookmarkEnd w:id="780"/>
      <w:r>
        <w:rPr>
          <w:color w:val="000000"/>
          <w:spacing w:val="0"/>
          <w:w w:val="100"/>
          <w:position w:val="0"/>
        </w:rPr>
        <w:t>其他金融负债指除以公允价值计量且其变动计入当期损益的金融负债以外的金融负债，比如本公 司发行的债券、因购买商品产生的应付账款、长期应付款等，一般采用摊余成本进行后续计量。</w:t>
      </w:r>
    </w:p>
    <w:p>
      <w:pPr>
        <w:pStyle w:val="Style33"/>
        <w:keepNext w:val="0"/>
        <w:keepLines w:val="0"/>
        <w:widowControl w:val="0"/>
        <w:shd w:val="clear" w:color="auto" w:fill="auto"/>
        <w:tabs>
          <w:tab w:pos="1200" w:val="left"/>
        </w:tabs>
        <w:bidi w:val="0"/>
        <w:spacing w:before="0" w:after="0" w:line="313" w:lineRule="exact"/>
        <w:ind w:left="0" w:right="0" w:firstLine="720"/>
        <w:jc w:val="both"/>
      </w:pPr>
      <w:bookmarkStart w:id="781" w:name="bookmark781"/>
      <w:r>
        <w:rPr>
          <w:b/>
          <w:bCs/>
          <w:color w:val="000000"/>
          <w:spacing w:val="0"/>
          <w:w w:val="100"/>
          <w:position w:val="0"/>
        </w:rPr>
        <w:t>（</w:t>
      </w:r>
      <w:bookmarkEnd w:id="781"/>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公允价值的确定方法</w:t>
      </w:r>
    </w:p>
    <w:p>
      <w:pPr>
        <w:pStyle w:val="Style33"/>
        <w:keepNext w:val="0"/>
        <w:keepLines w:val="0"/>
        <w:widowControl w:val="0"/>
        <w:shd w:val="clear" w:color="auto" w:fill="auto"/>
        <w:bidi w:val="0"/>
        <w:spacing w:before="0" w:after="0" w:line="313" w:lineRule="exact"/>
        <w:ind w:left="300" w:right="0" w:firstLine="420"/>
        <w:jc w:val="both"/>
      </w:pPr>
      <w:r>
        <w:rPr>
          <w:color w:val="000000"/>
          <w:spacing w:val="0"/>
          <w:w w:val="100"/>
          <w:position w:val="0"/>
        </w:rPr>
        <w:t>公允价值是指在公平交易中，熟悉情况的交易双方自愿进行资产交换或者债务清偿的金额。在公平 交易中，交易双方应当是持续经营企业，不打算或不需要进行清算、重大缩减经营规模，或在不利条件 下仍进行交易。</w:t>
      </w:r>
    </w:p>
    <w:p>
      <w:pPr>
        <w:pStyle w:val="Style33"/>
        <w:keepNext w:val="0"/>
        <w:keepLines w:val="0"/>
        <w:widowControl w:val="0"/>
        <w:numPr>
          <w:ilvl w:val="0"/>
          <w:numId w:val="17"/>
        </w:numPr>
        <w:shd w:val="clear" w:color="auto" w:fill="auto"/>
        <w:tabs>
          <w:tab w:pos="1099" w:val="left"/>
        </w:tabs>
        <w:bidi w:val="0"/>
        <w:spacing w:before="0" w:after="0" w:line="313" w:lineRule="exact"/>
        <w:ind w:left="0" w:right="0" w:firstLine="720"/>
        <w:jc w:val="both"/>
      </w:pPr>
      <w:bookmarkStart w:id="782" w:name="bookmark782"/>
      <w:bookmarkEnd w:id="782"/>
      <w:r>
        <w:rPr>
          <w:color w:val="000000"/>
          <w:spacing w:val="0"/>
          <w:w w:val="100"/>
          <w:position w:val="0"/>
        </w:rPr>
        <w:t>金融工具公允价值的初始确认</w:t>
      </w:r>
    </w:p>
    <w:p>
      <w:pPr>
        <w:pStyle w:val="Style33"/>
        <w:keepNext w:val="0"/>
        <w:keepLines w:val="0"/>
        <w:widowControl w:val="0"/>
        <w:shd w:val="clear" w:color="auto" w:fill="auto"/>
        <w:bidi w:val="0"/>
        <w:spacing w:before="0" w:after="0" w:line="313" w:lineRule="exact"/>
        <w:ind w:left="300" w:right="0" w:firstLine="420"/>
        <w:jc w:val="both"/>
      </w:pPr>
      <w:r>
        <w:rPr>
          <w:color w:val="000000"/>
          <w:spacing w:val="0"/>
          <w:w w:val="100"/>
          <w:position w:val="0"/>
        </w:rPr>
        <w:t>初始取得或源生的金融资产或承担的金融负债，以市场交易价格作为确定其公允价值的基础。债务 工具的公允价值，根据取得日或发行日的市场情况和当前市场情况，或其他类似债务工具（即有类似的 剩余期限、现金流量模式、标价币种、信用风险、担保和利率基础等）的当前市场利率确定。债务人的 信用风险和适用的信用风险贴水在债务工具发行后没有改变的，使用基准利率估计当前市场利率确定债 务工具的公允价值。债务人的信用风险和相应的信用风险贴水在债务工具发行后发生改变的，参考类似 债务工具的当前价格或利率，并考虑金融工具之间的差异调整，确定债务工具的公允价值。</w:t>
      </w:r>
    </w:p>
    <w:p>
      <w:pPr>
        <w:pStyle w:val="Style33"/>
        <w:keepNext w:val="0"/>
        <w:keepLines w:val="0"/>
        <w:widowControl w:val="0"/>
        <w:shd w:val="clear" w:color="auto" w:fill="auto"/>
        <w:bidi w:val="0"/>
        <w:spacing w:before="0" w:after="0" w:line="313" w:lineRule="exact"/>
        <w:ind w:left="300" w:right="0" w:firstLine="420"/>
        <w:jc w:val="both"/>
      </w:pPr>
      <w:r>
        <w:rPr>
          <w:color w:val="000000"/>
          <w:spacing w:val="0"/>
          <w:w w:val="100"/>
          <w:position w:val="0"/>
        </w:rPr>
        <w:t>采用未来现金流量折现法确定金融工具公允价值的，使用合同条款和特征在实质上相同的其他金融 工具的市场收益率作为折现率。金融工具的条款和特征，包括金融工具本身的信用质量、合同规定采用 固定利率计息的剩余期间、支付本金的剩余期间以及支付时采用的货币等。没有标明利率的短期应收款 项和应付款项的现值与实际交易价格相差很小的，可以按照实际交易价格计量。</w:t>
      </w:r>
    </w:p>
    <w:p>
      <w:pPr>
        <w:pStyle w:val="Style33"/>
        <w:keepNext w:val="0"/>
        <w:keepLines w:val="0"/>
        <w:widowControl w:val="0"/>
        <w:numPr>
          <w:ilvl w:val="0"/>
          <w:numId w:val="17"/>
        </w:numPr>
        <w:shd w:val="clear" w:color="auto" w:fill="auto"/>
        <w:tabs>
          <w:tab w:pos="1104" w:val="left"/>
        </w:tabs>
        <w:bidi w:val="0"/>
        <w:spacing w:before="0" w:after="0" w:line="313" w:lineRule="exact"/>
        <w:ind w:left="0" w:right="0" w:firstLine="720"/>
        <w:jc w:val="both"/>
      </w:pPr>
      <w:bookmarkStart w:id="783" w:name="bookmark783"/>
      <w:bookmarkEnd w:id="783"/>
      <w:r>
        <w:rPr>
          <w:color w:val="000000"/>
          <w:spacing w:val="0"/>
          <w:w w:val="100"/>
          <w:position w:val="0"/>
        </w:rPr>
        <w:t>金融工具公允价值后续确认</w:t>
      </w:r>
    </w:p>
    <w:p>
      <w:pPr>
        <w:pStyle w:val="Style33"/>
        <w:keepNext w:val="0"/>
        <w:keepLines w:val="0"/>
        <w:widowControl w:val="0"/>
        <w:shd w:val="clear" w:color="auto" w:fill="auto"/>
        <w:bidi w:val="0"/>
        <w:spacing w:before="0" w:after="0" w:line="313" w:lineRule="exact"/>
        <w:ind w:left="300" w:right="0" w:firstLine="420"/>
        <w:jc w:val="both"/>
      </w:pPr>
      <w:r>
        <w:rPr>
          <w:color w:val="000000"/>
          <w:spacing w:val="0"/>
          <w:w w:val="100"/>
          <w:position w:val="0"/>
        </w:rPr>
        <w:t>存在活跃市场的金融资产或金融负债，活跃市场中的报价应当用于确定其公允价值。活跃市场中的 报价是指易于定期从交易所、经纪商、行业协会、定价服务机构等获得的价格，且代表了在公平交易中 实际发生的市场交易的价格。</w:t>
      </w:r>
    </w:p>
    <w:p>
      <w:pPr>
        <w:pStyle w:val="Style33"/>
        <w:keepNext w:val="0"/>
        <w:keepLines w:val="0"/>
        <w:widowControl w:val="0"/>
        <w:shd w:val="clear" w:color="auto" w:fill="auto"/>
        <w:bidi w:val="0"/>
        <w:spacing w:before="0" w:after="0" w:line="313" w:lineRule="exact"/>
        <w:ind w:left="300" w:right="0" w:firstLine="420"/>
        <w:jc w:val="both"/>
      </w:pPr>
      <w:r>
        <w:rPr>
          <w:color w:val="000000"/>
          <w:spacing w:val="0"/>
          <w:w w:val="100"/>
          <w:position w:val="0"/>
        </w:rPr>
        <w:t>金融工具不存在活跃市场的，采用适当的估值技术，审慎确认其公允价值。采用估值技术得出的结 果，应当反映估值日在公平交易中可能采用的交易价格。估值技术包括参考熟悉情况并自愿交易的各方 最近进行的市场交易中使用的价格、参照实质上相同的其他金融工具的当前公允价值、现金流量折现法 和期权定价模型等。</w:t>
      </w:r>
    </w:p>
    <w:p>
      <w:pPr>
        <w:pStyle w:val="Style33"/>
        <w:keepNext w:val="0"/>
        <w:keepLines w:val="0"/>
        <w:widowControl w:val="0"/>
        <w:shd w:val="clear" w:color="auto" w:fill="auto"/>
        <w:bidi w:val="0"/>
        <w:spacing w:before="0" w:after="0" w:line="313" w:lineRule="exact"/>
        <w:ind w:left="0" w:right="0" w:firstLine="720"/>
        <w:jc w:val="both"/>
      </w:pPr>
      <w:r>
        <w:rPr>
          <w:color w:val="000000"/>
          <w:spacing w:val="0"/>
          <w:w w:val="100"/>
          <w:position w:val="0"/>
        </w:rPr>
        <w:t>对于没有报价且其公允价值不能可靠计量的金融资产投资，按成本计量。</w:t>
      </w:r>
    </w:p>
    <w:p>
      <w:pPr>
        <w:pStyle w:val="Style33"/>
        <w:keepNext w:val="0"/>
        <w:keepLines w:val="0"/>
        <w:widowControl w:val="0"/>
        <w:shd w:val="clear" w:color="auto" w:fill="auto"/>
        <w:tabs>
          <w:tab w:pos="1200" w:val="left"/>
        </w:tabs>
        <w:bidi w:val="0"/>
        <w:spacing w:before="0" w:after="0" w:line="313" w:lineRule="exact"/>
        <w:ind w:left="0" w:right="0" w:firstLine="720"/>
        <w:jc w:val="both"/>
      </w:pPr>
      <w:bookmarkStart w:id="784" w:name="bookmark784"/>
      <w:r>
        <w:rPr>
          <w:b/>
          <w:bCs/>
          <w:color w:val="000000"/>
          <w:spacing w:val="0"/>
          <w:w w:val="100"/>
          <w:position w:val="0"/>
        </w:rPr>
        <w:t>（</w:t>
      </w:r>
      <w:bookmarkEnd w:id="784"/>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金融资产转移确认依据和计量及会计处理方法</w:t>
      </w:r>
    </w:p>
    <w:p>
      <w:pPr>
        <w:pStyle w:val="Style33"/>
        <w:keepNext w:val="0"/>
        <w:keepLines w:val="0"/>
        <w:widowControl w:val="0"/>
        <w:shd w:val="clear" w:color="auto" w:fill="auto"/>
        <w:bidi w:val="0"/>
        <w:spacing w:before="0" w:after="0" w:line="313" w:lineRule="exact"/>
        <w:ind w:left="300" w:right="0" w:firstLine="420"/>
        <w:jc w:val="both"/>
      </w:pPr>
      <w:r>
        <w:rPr>
          <w:color w:val="000000"/>
          <w:spacing w:val="0"/>
          <w:w w:val="100"/>
          <w:position w:val="0"/>
        </w:rPr>
        <w:t>①本公司在已将金融资产所有权上几乎所有的风险和报酬转移给转入方时终止对该项金融资产的 确认。</w:t>
      </w:r>
    </w:p>
    <w:p>
      <w:pPr>
        <w:pStyle w:val="Style33"/>
        <w:keepNext w:val="0"/>
        <w:keepLines w:val="0"/>
        <w:widowControl w:val="0"/>
        <w:shd w:val="clear" w:color="auto" w:fill="auto"/>
        <w:bidi w:val="0"/>
        <w:spacing w:before="0" w:after="0" w:line="313" w:lineRule="exact"/>
        <w:ind w:left="0" w:right="0" w:firstLine="720"/>
        <w:jc w:val="both"/>
      </w:pPr>
      <w:r>
        <w:rPr>
          <w:color w:val="000000"/>
          <w:spacing w:val="0"/>
          <w:w w:val="100"/>
          <w:position w:val="0"/>
        </w:rPr>
        <w:t>本公司在金融资产整体转移满足终止确认条件的，将下列两项的差额计入当期损益：</w:t>
      </w:r>
    </w:p>
    <w:p>
      <w:pPr>
        <w:pStyle w:val="Style33"/>
        <w:keepNext w:val="0"/>
        <w:keepLines w:val="0"/>
        <w:widowControl w:val="0"/>
        <w:shd w:val="clear" w:color="auto" w:fill="auto"/>
        <w:bidi w:val="0"/>
        <w:spacing w:before="0" w:after="0" w:line="316" w:lineRule="exact"/>
        <w:ind w:left="0" w:right="0" w:firstLine="820"/>
        <w:jc w:val="left"/>
      </w:pPr>
      <w:r>
        <w:rPr>
          <w:color w:val="000000"/>
          <w:spacing w:val="0"/>
          <w:w w:val="100"/>
          <w:position w:val="0"/>
        </w:rPr>
        <w:t>⑴所转移金融资产的账面价值；</w:t>
      </w:r>
    </w:p>
    <w:p>
      <w:pPr>
        <w:pStyle w:val="Style33"/>
        <w:keepNext w:val="0"/>
        <w:keepLines w:val="0"/>
        <w:widowControl w:val="0"/>
        <w:shd w:val="clear" w:color="auto" w:fill="auto"/>
        <w:bidi w:val="0"/>
        <w:spacing w:before="0" w:after="80" w:line="316" w:lineRule="exact"/>
        <w:ind w:left="380" w:right="0" w:firstLine="440"/>
        <w:jc w:val="both"/>
      </w:pPr>
      <w:r>
        <w:rPr>
          <w:color w:val="000000"/>
          <w:spacing w:val="0"/>
          <w:w w:val="100"/>
          <w:position w:val="0"/>
        </w:rPr>
        <w:t>⑵因转移而收到的对价与原直接计入所有者权益的公允价值变动累计额之和。本公司的金融资产部 分转移满足终止确认条件的，将所转移金融资产整体的账面价值，在终止确认部分和未终止确认部分之 间，按照各自的相对公允价值进行分摊，并将下列两项金额的差额计入当期损益：</w:t>
      </w:r>
    </w:p>
    <w:p>
      <w:pPr>
        <w:pStyle w:val="Style33"/>
        <w:keepNext w:val="0"/>
        <w:keepLines w:val="0"/>
        <w:widowControl w:val="0"/>
        <w:shd w:val="clear" w:color="auto" w:fill="auto"/>
        <w:tabs>
          <w:tab w:pos="1246" w:val="left"/>
        </w:tabs>
        <w:bidi w:val="0"/>
        <w:spacing w:before="0" w:after="0" w:line="329" w:lineRule="auto"/>
        <w:ind w:left="0" w:right="0" w:firstLine="820"/>
        <w:jc w:val="left"/>
      </w:pPr>
      <w:bookmarkStart w:id="785" w:name="bookmark785"/>
      <w:r>
        <w:rPr>
          <w:rFonts w:ascii="Times New Roman" w:eastAsia="Times New Roman" w:hAnsi="Times New Roman" w:cs="Times New Roman"/>
          <w:color w:val="000000"/>
          <w:spacing w:val="0"/>
          <w:w w:val="100"/>
          <w:position w:val="0"/>
        </w:rPr>
        <w:t>A</w:t>
      </w:r>
      <w:bookmarkEnd w:id="785"/>
      <w:r>
        <w:rPr>
          <w:color w:val="000000"/>
          <w:spacing w:val="0"/>
          <w:w w:val="100"/>
          <w:position w:val="0"/>
        </w:rPr>
        <w:t>、</w:t>
        <w:tab/>
      </w:r>
      <w:r>
        <w:rPr>
          <w:color w:val="000000"/>
          <w:spacing w:val="0"/>
          <w:w w:val="100"/>
          <w:position w:val="0"/>
        </w:rPr>
        <w:t>终止确认部分的账面价值；</w:t>
      </w:r>
    </w:p>
    <w:p>
      <w:pPr>
        <w:pStyle w:val="Style33"/>
        <w:keepNext w:val="0"/>
        <w:keepLines w:val="0"/>
        <w:widowControl w:val="0"/>
        <w:shd w:val="clear" w:color="auto" w:fill="auto"/>
        <w:tabs>
          <w:tab w:pos="1223" w:val="left"/>
        </w:tabs>
        <w:bidi w:val="0"/>
        <w:spacing w:before="0" w:after="0" w:line="316" w:lineRule="exact"/>
        <w:ind w:left="380" w:right="0" w:firstLine="440"/>
        <w:jc w:val="both"/>
      </w:pPr>
      <w:bookmarkStart w:id="786" w:name="bookmark786"/>
      <w:r>
        <w:rPr>
          <w:rFonts w:ascii="Times New Roman" w:eastAsia="Times New Roman" w:hAnsi="Times New Roman" w:cs="Times New Roman"/>
          <w:color w:val="000000"/>
          <w:spacing w:val="0"/>
          <w:w w:val="100"/>
          <w:position w:val="0"/>
        </w:rPr>
        <w:t>B</w:t>
      </w:r>
      <w:bookmarkEnd w:id="786"/>
      <w:r>
        <w:rPr>
          <w:color w:val="000000"/>
          <w:spacing w:val="0"/>
          <w:w w:val="100"/>
          <w:position w:val="0"/>
        </w:rPr>
        <w:t>、</w:t>
        <w:tab/>
      </w:r>
      <w:r>
        <w:rPr>
          <w:color w:val="000000"/>
          <w:spacing w:val="0"/>
          <w:w w:val="100"/>
          <w:position w:val="0"/>
        </w:rPr>
        <w:t>终止确认部分的对价与原直接计入所有者权益的公允价值变动累计额中对应终止确认部分的金 额之和。</w:t>
      </w:r>
    </w:p>
    <w:p>
      <w:pPr>
        <w:pStyle w:val="Style33"/>
        <w:keepNext w:val="0"/>
        <w:keepLines w:val="0"/>
        <w:widowControl w:val="0"/>
        <w:shd w:val="clear" w:color="auto" w:fill="auto"/>
        <w:bidi w:val="0"/>
        <w:spacing w:before="0" w:after="0" w:line="316" w:lineRule="exact"/>
        <w:ind w:left="380" w:right="0" w:firstLine="440"/>
        <w:jc w:val="both"/>
      </w:pPr>
      <w:r>
        <w:rPr>
          <w:color w:val="000000"/>
          <w:spacing w:val="0"/>
          <w:w w:val="100"/>
          <w:position w:val="0"/>
        </w:rPr>
        <w:t>②金融资产转移不满足终止确认条件的，继续确认该金融资产，将所收到的对价确认为一项金融负 债。</w:t>
      </w:r>
    </w:p>
    <w:p>
      <w:pPr>
        <w:pStyle w:val="Style33"/>
        <w:keepNext w:val="0"/>
        <w:keepLines w:val="0"/>
        <w:widowControl w:val="0"/>
        <w:shd w:val="clear" w:color="auto" w:fill="auto"/>
        <w:bidi w:val="0"/>
        <w:spacing w:before="0" w:after="380" w:line="316" w:lineRule="exact"/>
        <w:ind w:left="380" w:right="0" w:firstLine="440"/>
        <w:jc w:val="both"/>
      </w:pPr>
      <w:r>
        <w:rPr>
          <w:color w:val="000000"/>
          <w:spacing w:val="0"/>
          <w:w w:val="100"/>
          <w:position w:val="0"/>
        </w:rPr>
        <w:t>对于采用继续涉入方式的金融资产转移，本公司应当按照继续涉入所转移金融资产的程度确认一项 金融资产，同时确认一项金融负债。</w:t>
      </w:r>
    </w:p>
    <w:p>
      <w:pPr>
        <w:pStyle w:val="Style30"/>
        <w:keepNext/>
        <w:keepLines/>
        <w:widowControl w:val="0"/>
        <w:shd w:val="clear" w:color="auto" w:fill="auto"/>
        <w:bidi w:val="0"/>
        <w:spacing w:before="0" w:after="260" w:line="329" w:lineRule="auto"/>
        <w:ind w:left="0" w:right="0" w:firstLine="0"/>
        <w:jc w:val="left"/>
      </w:pPr>
      <w:bookmarkStart w:id="787" w:name="bookmark787"/>
      <w:bookmarkStart w:id="788" w:name="bookmark788"/>
      <w:bookmarkStart w:id="789" w:name="bookmark789"/>
      <w:bookmarkStart w:id="790" w:name="bookmark790"/>
      <w:r>
        <w:rPr>
          <w:rFonts w:ascii="Times New Roman" w:eastAsia="Times New Roman" w:hAnsi="Times New Roman" w:cs="Times New Roman"/>
          <w:color w:val="000000"/>
          <w:spacing w:val="0"/>
          <w:w w:val="100"/>
          <w:position w:val="0"/>
        </w:rPr>
        <w:t>1</w:t>
      </w:r>
      <w:bookmarkEnd w:id="789"/>
      <w:r>
        <w:rPr>
          <w:rFonts w:ascii="Times New Roman" w:eastAsia="Times New Roman" w:hAnsi="Times New Roman" w:cs="Times New Roman"/>
          <w:color w:val="000000"/>
          <w:spacing w:val="0"/>
          <w:w w:val="100"/>
          <w:position w:val="0"/>
        </w:rPr>
        <w:t>1</w:t>
      </w:r>
      <w:r>
        <w:rPr>
          <w:color w:val="000000"/>
          <w:spacing w:val="0"/>
          <w:w w:val="100"/>
          <w:position w:val="0"/>
        </w:rPr>
        <w:t>、应收款项</w:t>
      </w:r>
      <w:bookmarkEnd w:id="787"/>
      <w:bookmarkEnd w:id="788"/>
      <w:bookmarkEnd w:id="790"/>
    </w:p>
    <w:p>
      <w:pPr>
        <w:pStyle w:val="Style26"/>
        <w:keepNext w:val="0"/>
        <w:keepLines w:val="0"/>
        <w:widowControl w:val="0"/>
        <w:shd w:val="clear" w:color="auto" w:fill="auto"/>
        <w:bidi w:val="0"/>
        <w:spacing w:before="0" w:after="0" w:line="240" w:lineRule="auto"/>
        <w:ind w:left="0" w:right="0" w:firstLine="0"/>
        <w:jc w:val="center"/>
      </w:pPr>
      <w:bookmarkStart w:id="791" w:name="bookmark791"/>
      <w:r>
        <w:rPr>
          <w:rFonts w:ascii="Times New Roman" w:eastAsia="Times New Roman" w:hAnsi="Times New Roman" w:cs="Times New Roman"/>
          <w:b/>
          <w:bCs/>
          <w:color w:val="000000"/>
          <w:spacing w:val="0"/>
          <w:w w:val="100"/>
          <w:position w:val="0"/>
        </w:rPr>
        <w:t>（1</w:t>
      </w:r>
      <w:r>
        <w:rPr>
          <w:b/>
          <w:bCs/>
          <w:color w:val="000000"/>
          <w:spacing w:val="0"/>
          <w:w w:val="100"/>
          <w:position w:val="0"/>
        </w:rPr>
        <w:t>）单项金额重大并单独计提坏账准备的应收款项</w:t>
      </w:r>
      <w:bookmarkEnd w:id="791"/>
    </w:p>
    <w:tbl>
      <w:tblPr>
        <w:tblOverlap w:val="never"/>
        <w:jc w:val="center"/>
        <w:tblLayout w:type="fixed"/>
      </w:tblPr>
      <w:tblGrid>
        <w:gridCol w:w="3974"/>
        <w:gridCol w:w="5678"/>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both"/>
            </w:pPr>
            <w:r>
              <w:rPr>
                <w:color w:val="000000"/>
                <w:spacing w:val="0"/>
                <w:w w:val="100"/>
                <w:position w:val="0"/>
              </w:rPr>
              <w:t>应收款项余额前五名或占应收账款余额</w:t>
            </w:r>
            <w:r>
              <w:rPr>
                <w:rFonts w:ascii="Times New Roman" w:eastAsia="Times New Roman" w:hAnsi="Times New Roman" w:cs="Times New Roman"/>
                <w:color w:val="000000"/>
                <w:spacing w:val="0"/>
                <w:w w:val="100"/>
                <w:position w:val="0"/>
              </w:rPr>
              <w:t>10</w:t>
            </w:r>
            <w:r>
              <w:rPr>
                <w:color w:val="000000"/>
                <w:spacing w:val="0"/>
                <w:w w:val="100"/>
                <w:position w:val="0"/>
              </w:rPr>
              <w:t xml:space="preserve">%以上且金额为 </w:t>
            </w:r>
            <w:r>
              <w:rPr>
                <w:rFonts w:ascii="Times New Roman" w:eastAsia="Times New Roman" w:hAnsi="Times New Roman" w:cs="Times New Roman"/>
                <w:color w:val="000000"/>
                <w:spacing w:val="0"/>
                <w:w w:val="100"/>
                <w:position w:val="0"/>
              </w:rPr>
              <w:t>100</w:t>
            </w:r>
            <w:r>
              <w:rPr>
                <w:color w:val="000000"/>
                <w:spacing w:val="0"/>
                <w:w w:val="100"/>
                <w:position w:val="0"/>
              </w:rPr>
              <w:t>万元以上。</w:t>
            </w:r>
          </w:p>
        </w:tc>
      </w:tr>
      <w:tr>
        <w:trPr>
          <w:trHeight w:val="1661"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单项金额重大并单项计提坏账准备的计提 方法</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单独进行减值测试，如有客观证据表明其发生了减值的，按预 计未来现金流量现值低于其账面价值的差额计提坏账准备，计 入当期损益。短期应收款项的预计未来现金流量与其现值相差 很小的，在确定相关减值损失时，不对其预计未来现金流量进 行折现。单独测试未减值的，按账龄分析法计提坏账准备。</w:t>
            </w:r>
          </w:p>
        </w:tc>
      </w:tr>
    </w:tbl>
    <w:p>
      <w:pPr>
        <w:widowControl w:val="0"/>
        <w:spacing w:after="319" w:line="1" w:lineRule="exact"/>
      </w:pPr>
    </w:p>
    <w:p>
      <w:pPr>
        <w:pStyle w:val="Style26"/>
        <w:keepNext w:val="0"/>
        <w:keepLines w:val="0"/>
        <w:widowControl w:val="0"/>
        <w:shd w:val="clear" w:color="auto" w:fill="auto"/>
        <w:bidi w:val="0"/>
        <w:spacing w:before="0" w:after="0" w:line="240" w:lineRule="auto"/>
        <w:ind w:left="0" w:right="0" w:firstLine="0"/>
        <w:jc w:val="center"/>
      </w:pPr>
      <w:bookmarkStart w:id="792" w:name="bookmark792"/>
      <w:r>
        <w:rPr>
          <w:b/>
          <w:bCs/>
          <w:color w:val="000000"/>
          <w:spacing w:val="0"/>
          <w:w w:val="100"/>
          <w:position w:val="0"/>
        </w:rPr>
        <w:t>（</w:t>
      </w:r>
      <w:r>
        <w:rPr>
          <w:rFonts w:ascii="Times New Roman" w:eastAsia="Times New Roman" w:hAnsi="Times New Roman" w:cs="Times New Roman"/>
          <w:b/>
          <w:bCs/>
          <w:color w:val="000000"/>
          <w:spacing w:val="0"/>
          <w:w w:val="100"/>
          <w:position w:val="0"/>
        </w:rPr>
        <w:t>2</w:t>
      </w:r>
      <w:r>
        <w:rPr>
          <w:b/>
          <w:bCs/>
          <w:color w:val="000000"/>
          <w:spacing w:val="0"/>
          <w:w w:val="100"/>
          <w:position w:val="0"/>
        </w:rPr>
        <w:t>）按信用风险特征组合计提坏账准备的应收款项</w:t>
      </w:r>
      <w:bookmarkEnd w:id="792"/>
    </w:p>
    <w:tbl>
      <w:tblPr>
        <w:tblOverlap w:val="never"/>
        <w:jc w:val="center"/>
        <w:tblLayout w:type="fixed"/>
      </w:tblPr>
      <w:tblGrid>
        <w:gridCol w:w="1531"/>
        <w:gridCol w:w="8232"/>
      </w:tblGrid>
      <w:tr>
        <w:trPr>
          <w:trHeight w:val="365" w:hRule="exact"/>
        </w:trPr>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129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403" w:lineRule="exact"/>
              <w:ind w:left="0" w:right="0" w:firstLine="0"/>
              <w:jc w:val="both"/>
            </w:pPr>
            <w:r>
              <w:rPr>
                <w:color w:val="000000"/>
                <w:spacing w:val="0"/>
                <w:w w:val="100"/>
                <w:position w:val="0"/>
              </w:rPr>
              <w:t>除己单独计提减值准备的应收款项外，公司根据以前年度与之相同或相类似的、具有类 似信用风险特征的应收款项组合的实际损失率为基础，结合现时情况确定本期各项组合 计提坏账准备的比例。</w:t>
            </w:r>
          </w:p>
        </w:tc>
      </w:tr>
      <w:tr>
        <w:trPr>
          <w:trHeight w:val="128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403" w:lineRule="exact"/>
              <w:ind w:left="0" w:right="0" w:firstLine="0"/>
              <w:jc w:val="both"/>
            </w:pPr>
            <w:r>
              <w:rPr>
                <w:color w:val="000000"/>
                <w:spacing w:val="0"/>
                <w:w w:val="100"/>
                <w:position w:val="0"/>
              </w:rPr>
              <w:t>除己单独计提减值准备的应收款项外，公司根据以前年度与之相同或相类似的、具有类 似信用风险特征的应收款项组合的实际损失率为基础，结合现时情况确定本期各项组合 计提坏账准备的比例。</w:t>
            </w:r>
          </w:p>
        </w:tc>
      </w:tr>
      <w:tr>
        <w:trPr>
          <w:trHeight w:val="89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394" w:lineRule="exact"/>
              <w:ind w:left="0" w:right="0" w:firstLine="0"/>
              <w:jc w:val="both"/>
            </w:pPr>
            <w:r>
              <w:rPr>
                <w:color w:val="000000"/>
                <w:spacing w:val="0"/>
                <w:w w:val="100"/>
                <w:position w:val="0"/>
              </w:rPr>
              <w:t>特定款项组合包括应收款项中与证券交易结算相关的款项、与场外期权交易相关的款项、 垫付出租席位的保证金、垫付理财产品的保证金、资产管理及银行理财产品形成的款项。</w:t>
            </w:r>
          </w:p>
        </w:tc>
      </w:tr>
      <w:tr>
        <w:trPr>
          <w:trHeight w:val="360" w:hRule="exact"/>
        </w:trPr>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按组合计提坏账准备的计提方法（账龄分析法、余额百分比法、其他方法）</w:t>
            </w:r>
          </w:p>
        </w:tc>
      </w:tr>
      <w:tr>
        <w:trPr>
          <w:trHeight w:val="49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账龄分析法</w:t>
            </w:r>
          </w:p>
        </w:tc>
      </w:tr>
      <w:tr>
        <w:trPr>
          <w:trHeight w:val="49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账龄分析法</w:t>
            </w:r>
          </w:p>
        </w:tc>
      </w:tr>
      <w:tr>
        <w:trPr>
          <w:trHeight w:val="499"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3</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根据其风险特征不存在减值风险，不计提坏账准备</w:t>
            </w:r>
          </w:p>
        </w:tc>
      </w:tr>
    </w:tbl>
    <w:p>
      <w:pPr>
        <w:spacing w:lineRule="exact" w:line="1"/>
        <w:rPr>
          <w:sz w:val="2"/>
          <w:szCs w:val="2"/>
        </w:rPr>
      </w:pPr>
      <w:r>
        <w:br w:type="page"/>
      </w:r>
    </w:p>
    <w:p>
      <w:pPr>
        <w:pStyle w:val="Style26"/>
        <w:keepNext w:val="0"/>
        <w:keepLines w:val="0"/>
        <w:widowControl w:val="0"/>
        <w:shd w:val="clear" w:color="auto" w:fill="auto"/>
        <w:bidi w:val="0"/>
        <w:spacing w:before="0" w:after="0" w:line="240" w:lineRule="auto"/>
        <w:ind w:left="96"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1</w:t>
      </w:r>
      <w:r>
        <w:rPr>
          <w:color w:val="000000"/>
          <w:spacing w:val="0"/>
          <w:w w:val="100"/>
          <w:position w:val="0"/>
        </w:rPr>
        <w:t>中，采用账龄分析法计提坏账准备的情况:</w:t>
      </w:r>
    </w:p>
    <w:tbl>
      <w:tblPr>
        <w:tblOverlap w:val="never"/>
        <w:jc w:val="center"/>
        <w:tblLayout w:type="fixed"/>
      </w:tblPr>
      <w:tblGrid>
        <w:gridCol w:w="3254"/>
        <w:gridCol w:w="2923"/>
        <w:gridCol w:w="3586"/>
      </w:tblGrid>
      <w:tr>
        <w:trPr>
          <w:trHeight w:val="36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49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rPr>
              <w:t>3</w:t>
            </w:r>
            <w:r>
              <w:rPr>
                <w:color w:val="000000"/>
                <w:spacing w:val="0"/>
                <w:w w:val="100"/>
                <w:position w:val="0"/>
              </w:rPr>
              <w:t>个月以内（含</w:t>
            </w:r>
            <w:r>
              <w:rPr>
                <w:rFonts w:ascii="Times New Roman" w:eastAsia="Times New Roman" w:hAnsi="Times New Roman" w:cs="Times New Roman"/>
                <w:color w:val="000000"/>
                <w:spacing w:val="0"/>
                <w:w w:val="100"/>
                <w:position w:val="0"/>
              </w:rPr>
              <w:t>3</w:t>
            </w:r>
            <w:r>
              <w:rPr>
                <w:color w:val="000000"/>
                <w:spacing w:val="0"/>
                <w:w w:val="100"/>
                <w:position w:val="0"/>
              </w:rPr>
              <w:t>个月）</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49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个月至</w:t>
            </w:r>
            <w:r>
              <w:rPr>
                <w:rFonts w:ascii="Times New Roman" w:eastAsia="Times New Roman" w:hAnsi="Times New Roman" w:cs="Times New Roman"/>
                <w:color w:val="000000"/>
                <w:spacing w:val="0"/>
                <w:w w:val="100"/>
                <w:position w:val="0"/>
              </w:rPr>
              <w:t>6</w:t>
            </w:r>
            <w:r>
              <w:rPr>
                <w:color w:val="000000"/>
                <w:spacing w:val="0"/>
                <w:w w:val="100"/>
                <w:position w:val="0"/>
              </w:rPr>
              <w:t>个月（含</w:t>
            </w:r>
            <w:r>
              <w:rPr>
                <w:rFonts w:ascii="Times New Roman" w:eastAsia="Times New Roman" w:hAnsi="Times New Roman" w:cs="Times New Roman"/>
                <w:color w:val="000000"/>
                <w:spacing w:val="0"/>
                <w:w w:val="100"/>
                <w:position w:val="0"/>
              </w:rPr>
              <w:t>6</w:t>
            </w:r>
            <w:r>
              <w:rPr>
                <w:color w:val="000000"/>
                <w:spacing w:val="0"/>
                <w:w w:val="100"/>
                <w:position w:val="0"/>
              </w:rPr>
              <w:t>个月）</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49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个月至</w:t>
            </w:r>
            <w:r>
              <w:rPr>
                <w:rFonts w:ascii="Times New Roman" w:eastAsia="Times New Roman" w:hAnsi="Times New Roman" w:cs="Times New Roman"/>
                <w:color w:val="000000"/>
                <w:spacing w:val="0"/>
                <w:w w:val="100"/>
                <w:position w:val="0"/>
              </w:rPr>
              <w:t>1</w:t>
            </w:r>
            <w:r>
              <w:rPr>
                <w:color w:val="000000"/>
                <w:spacing w:val="0"/>
                <w:w w:val="100"/>
                <w:position w:val="0"/>
              </w:rPr>
              <w:t>年（含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r>
      <w:tr>
        <w:trPr>
          <w:trHeight w:val="49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年至</w:t>
            </w:r>
            <w:r>
              <w:rPr>
                <w:rFonts w:ascii="Times New Roman" w:eastAsia="Times New Roman" w:hAnsi="Times New Roman" w:cs="Times New Roman"/>
                <w:color w:val="000000"/>
                <w:spacing w:val="0"/>
                <w:w w:val="100"/>
                <w:position w:val="0"/>
              </w:rPr>
              <w:t>2</w:t>
            </w:r>
            <w:r>
              <w:rPr>
                <w:color w:val="000000"/>
                <w:spacing w:val="0"/>
                <w:w w:val="100"/>
                <w:position w:val="0"/>
              </w:rPr>
              <w:t>年（含</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p>
        </w:tc>
      </w:tr>
      <w:tr>
        <w:trPr>
          <w:trHeight w:val="49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年至</w:t>
            </w:r>
            <w:r>
              <w:rPr>
                <w:rFonts w:ascii="Times New Roman" w:eastAsia="Times New Roman" w:hAnsi="Times New Roman" w:cs="Times New Roman"/>
                <w:color w:val="000000"/>
                <w:spacing w:val="0"/>
                <w:w w:val="100"/>
                <w:position w:val="0"/>
              </w:rPr>
              <w:t>3</w:t>
            </w:r>
            <w:r>
              <w:rPr>
                <w:color w:val="000000"/>
                <w:spacing w:val="0"/>
                <w:w w:val="100"/>
                <w:position w:val="0"/>
              </w:rPr>
              <w:t>年（含</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w:t>
            </w:r>
          </w:p>
        </w:tc>
      </w:tr>
      <w:tr>
        <w:trPr>
          <w:trHeight w:val="499"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r>
    </w:tbl>
    <w:p>
      <w:pPr>
        <w:widowControl w:val="0"/>
        <w:spacing w:after="139" w:line="1" w:lineRule="exact"/>
      </w:pPr>
    </w:p>
    <w:p>
      <w:pPr>
        <w:pStyle w:val="Style26"/>
        <w:keepNext w:val="0"/>
        <w:keepLines w:val="0"/>
        <w:widowControl w:val="0"/>
        <w:shd w:val="clear" w:color="auto" w:fill="auto"/>
        <w:bidi w:val="0"/>
        <w:spacing w:before="0" w:after="0" w:line="240" w:lineRule="auto"/>
        <w:ind w:left="96"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2</w:t>
      </w:r>
      <w:r>
        <w:rPr>
          <w:color w:val="000000"/>
          <w:spacing w:val="0"/>
          <w:w w:val="100"/>
          <w:position w:val="0"/>
        </w:rPr>
        <w:t>中，采用账龄分析法计提坏账准备的情况:</w:t>
      </w:r>
    </w:p>
    <w:tbl>
      <w:tblPr>
        <w:tblOverlap w:val="never"/>
        <w:jc w:val="center"/>
        <w:tblLayout w:type="fixed"/>
      </w:tblPr>
      <w:tblGrid>
        <w:gridCol w:w="1392"/>
        <w:gridCol w:w="1843"/>
        <w:gridCol w:w="2976"/>
        <w:gridCol w:w="3552"/>
      </w:tblGrid>
      <w:tr>
        <w:trPr>
          <w:trHeight w:val="408"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应收账款计提比例（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其他应收款计提比例（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403"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0.50</w:t>
            </w:r>
          </w:p>
        </w:tc>
      </w:tr>
      <w:tr>
        <w:trPr>
          <w:trHeight w:val="398"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r>
      <w:tr>
        <w:trPr>
          <w:trHeight w:val="403"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5.00</w:t>
            </w:r>
          </w:p>
        </w:tc>
      </w:tr>
      <w:tr>
        <w:trPr>
          <w:trHeight w:val="403"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w:t>
            </w:r>
          </w:p>
        </w:tc>
      </w:tr>
      <w:tr>
        <w:trPr>
          <w:trHeight w:val="322" w:hRule="exact"/>
        </w:trPr>
        <w:tc>
          <w:tcPr>
            <w:gridSpan w:val="4"/>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确定组合的依据</w:t>
            </w:r>
          </w:p>
        </w:tc>
      </w:tr>
      <w:tr>
        <w:trPr>
          <w:trHeight w:val="89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1</w:t>
            </w:r>
          </w:p>
        </w:tc>
        <w:tc>
          <w:tcPr>
            <w:gridSpan w:val="3"/>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200" w:line="240" w:lineRule="auto"/>
              <w:ind w:left="0" w:right="0" w:firstLine="0"/>
              <w:jc w:val="left"/>
              <w:rPr>
                <w:sz w:val="17"/>
                <w:szCs w:val="17"/>
              </w:rPr>
            </w:pPr>
            <w:r>
              <w:rPr>
                <w:color w:val="000000"/>
                <w:spacing w:val="0"/>
                <w:w w:val="100"/>
                <w:position w:val="0"/>
                <w:sz w:val="17"/>
                <w:szCs w:val="17"/>
              </w:rPr>
              <w:t>除已单独计提减值准备的应收款项外，公司根据以前年度与之相同或相类似的、具有类似信用风险特征</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的应收款项组合的实际损失率为基础，结合现时情况确定本期各项组合计提坏账准备的比例。</w:t>
            </w:r>
          </w:p>
        </w:tc>
      </w:tr>
      <w:tr>
        <w:trPr>
          <w:trHeight w:val="8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2</w:t>
            </w:r>
          </w:p>
        </w:tc>
        <w:tc>
          <w:tcPr>
            <w:gridSpan w:val="3"/>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200" w:line="240" w:lineRule="auto"/>
              <w:ind w:left="0" w:right="0" w:firstLine="0"/>
              <w:jc w:val="left"/>
              <w:rPr>
                <w:sz w:val="17"/>
                <w:szCs w:val="17"/>
              </w:rPr>
            </w:pPr>
            <w:r>
              <w:rPr>
                <w:color w:val="000000"/>
                <w:spacing w:val="0"/>
                <w:w w:val="100"/>
                <w:position w:val="0"/>
                <w:sz w:val="17"/>
                <w:szCs w:val="17"/>
              </w:rPr>
              <w:t>除已单独计提减值准备的应收款项外，公司根据以前年度与之相同或相类似的、具有类似信用风险特征</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的应收款项组合的实际损失率为基础，结合现时情况确定本期各项组合计提坏账准备的比例。</w:t>
            </w:r>
          </w:p>
        </w:tc>
      </w:tr>
      <w:tr>
        <w:trPr>
          <w:trHeight w:val="8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3</w:t>
            </w:r>
          </w:p>
        </w:tc>
        <w:tc>
          <w:tcPr>
            <w:gridSpan w:val="3"/>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408" w:lineRule="exact"/>
              <w:ind w:left="0" w:right="0" w:firstLine="0"/>
              <w:jc w:val="left"/>
              <w:rPr>
                <w:sz w:val="17"/>
                <w:szCs w:val="17"/>
              </w:rPr>
            </w:pPr>
            <w:r>
              <w:rPr>
                <w:color w:val="000000"/>
                <w:spacing w:val="0"/>
                <w:w w:val="100"/>
                <w:position w:val="0"/>
                <w:sz w:val="17"/>
                <w:szCs w:val="17"/>
              </w:rPr>
              <w:t>特定款项组合包括应收款项中与证券交易结算相关的款项、与场外期权交易相关的款项、垫付出租席位 的保证金、垫付理财产品的保证金、资产管理及银行理财产品形成的款项。</w:t>
            </w:r>
          </w:p>
        </w:tc>
      </w:tr>
      <w:tr>
        <w:trPr>
          <w:trHeight w:val="326" w:hRule="exact"/>
        </w:trPr>
        <w:tc>
          <w:tcPr>
            <w:gridSpan w:val="4"/>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按组合计提坏账准备的计提方法（账龄分析法、余额百分比法、其他方法）</w:t>
            </w:r>
          </w:p>
        </w:tc>
      </w:tr>
      <w:tr>
        <w:trPr>
          <w:trHeight w:val="49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1</w:t>
            </w:r>
          </w:p>
        </w:tc>
        <w:tc>
          <w:tcPr>
            <w:gridSpan w:val="3"/>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账龄分析法</w:t>
            </w:r>
          </w:p>
        </w:tc>
      </w:tr>
      <w:tr>
        <w:trPr>
          <w:trHeight w:val="49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2</w:t>
            </w:r>
          </w:p>
        </w:tc>
        <w:tc>
          <w:tcPr>
            <w:gridSpan w:val="3"/>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账龄分析法</w:t>
            </w:r>
          </w:p>
        </w:tc>
      </w:tr>
      <w:tr>
        <w:trPr>
          <w:trHeight w:val="499"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3</w:t>
            </w:r>
          </w:p>
        </w:tc>
        <w:tc>
          <w:tcPr>
            <w:gridSpan w:val="3"/>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根据其风险特征不存在减值风险，不计提坏账准备</w:t>
            </w:r>
          </w:p>
        </w:tc>
      </w:tr>
    </w:tbl>
    <w:p>
      <w:pPr>
        <w:widowControl w:val="0"/>
        <w:spacing w:after="319" w:line="1" w:lineRule="exact"/>
      </w:pPr>
    </w:p>
    <w:p>
      <w:pPr>
        <w:pStyle w:val="Style26"/>
        <w:keepNext w:val="0"/>
        <w:keepLines w:val="0"/>
        <w:widowControl w:val="0"/>
        <w:shd w:val="clear" w:color="auto" w:fill="auto"/>
        <w:bidi w:val="0"/>
        <w:spacing w:before="0" w:after="0" w:line="240" w:lineRule="auto"/>
        <w:ind w:left="96" w:right="0" w:firstLine="0"/>
        <w:jc w:val="left"/>
      </w:pPr>
      <w:bookmarkStart w:id="793" w:name="bookmark793"/>
      <w:r>
        <w:rPr>
          <w:rFonts w:ascii="Times New Roman" w:eastAsia="Times New Roman" w:hAnsi="Times New Roman" w:cs="Times New Roman"/>
          <w:b/>
          <w:bCs/>
          <w:color w:val="000000"/>
          <w:spacing w:val="0"/>
          <w:w w:val="100"/>
          <w:position w:val="0"/>
        </w:rPr>
        <w:t>（3</w:t>
      </w:r>
      <w:r>
        <w:rPr>
          <w:b/>
          <w:bCs/>
          <w:color w:val="000000"/>
          <w:spacing w:val="0"/>
          <w:w w:val="100"/>
          <w:position w:val="0"/>
        </w:rPr>
        <w:t>）单项金额不重大但单独计提坏账准备的应收款项</w:t>
      </w:r>
      <w:bookmarkEnd w:id="793"/>
    </w:p>
    <w:tbl>
      <w:tblPr>
        <w:tblOverlap w:val="never"/>
        <w:jc w:val="center"/>
        <w:tblLayout w:type="fixed"/>
      </w:tblPr>
      <w:tblGrid>
        <w:gridCol w:w="2414"/>
        <w:gridCol w:w="7166"/>
      </w:tblGrid>
      <w:tr>
        <w:trPr>
          <w:trHeight w:val="1042"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对单项金额虽不重大，但已有客观证据表明其发生了减值的应收款项，按账龄 分析法计提的坏账准备不能反映实际情况，本公司单独进行减值测试，结合现 时情况分析法确定坏账准备计提的比例。</w:t>
            </w:r>
          </w:p>
        </w:tc>
      </w:tr>
    </w:tbl>
    <w:p>
      <w:pPr>
        <w:pStyle w:val="Style30"/>
        <w:keepNext/>
        <w:keepLines/>
        <w:widowControl w:val="0"/>
        <w:shd w:val="clear" w:color="auto" w:fill="auto"/>
        <w:tabs>
          <w:tab w:pos="474" w:val="left"/>
        </w:tabs>
        <w:bidi w:val="0"/>
        <w:spacing w:before="0" w:after="280" w:line="314" w:lineRule="exact"/>
        <w:ind w:left="0" w:right="0" w:firstLine="0"/>
        <w:jc w:val="both"/>
      </w:pPr>
      <w:bookmarkStart w:id="794" w:name="bookmark794"/>
      <w:bookmarkStart w:id="795" w:name="bookmark795"/>
      <w:bookmarkStart w:id="796" w:name="bookmark796"/>
      <w:bookmarkStart w:id="797" w:name="bookmark797"/>
      <w:r>
        <w:rPr>
          <w:rFonts w:ascii="Times New Roman" w:eastAsia="Times New Roman" w:hAnsi="Times New Roman" w:cs="Times New Roman"/>
          <w:color w:val="000000"/>
          <w:spacing w:val="0"/>
          <w:w w:val="100"/>
          <w:position w:val="0"/>
        </w:rPr>
        <w:t>1</w:t>
      </w:r>
      <w:bookmarkEnd w:id="796"/>
      <w:r>
        <w:rPr>
          <w:rFonts w:ascii="Times New Roman" w:eastAsia="Times New Roman" w:hAnsi="Times New Roman" w:cs="Times New Roman"/>
          <w:color w:val="000000"/>
          <w:spacing w:val="0"/>
          <w:w w:val="100"/>
          <w:position w:val="0"/>
        </w:rPr>
        <w:t>2</w:t>
      </w:r>
      <w:r>
        <w:rPr>
          <w:color w:val="000000"/>
          <w:spacing w:val="0"/>
          <w:w w:val="100"/>
          <w:position w:val="0"/>
        </w:rPr>
        <w:t>、</w:t>
        <w:tab/>
        <w:t>存货</w:t>
      </w:r>
      <w:bookmarkEnd w:id="794"/>
      <w:bookmarkEnd w:id="795"/>
      <w:bookmarkEnd w:id="797"/>
    </w:p>
    <w:p>
      <w:pPr>
        <w:pStyle w:val="Style33"/>
        <w:keepNext w:val="0"/>
        <w:keepLines w:val="0"/>
        <w:widowControl w:val="0"/>
        <w:shd w:val="clear" w:color="auto" w:fill="auto"/>
        <w:tabs>
          <w:tab w:pos="9147" w:val="left"/>
        </w:tabs>
        <w:bidi w:val="0"/>
        <w:spacing w:before="0" w:after="0" w:line="314" w:lineRule="exact"/>
        <w:ind w:left="0" w:right="0" w:firstLine="440"/>
        <w:jc w:val="both"/>
      </w:pPr>
      <w:r>
        <w:rPr>
          <w:color w:val="000000"/>
          <w:spacing w:val="0"/>
          <w:w w:val="100"/>
          <w:position w:val="0"/>
        </w:rPr>
        <w:t>公司是否需要遵守特殊行业的披露要求</w:t>
        <w:tab/>
        <w:t>否</w:t>
      </w:r>
    </w:p>
    <w:p>
      <w:pPr>
        <w:pStyle w:val="Style33"/>
        <w:keepNext w:val="0"/>
        <w:keepLines w:val="0"/>
        <w:widowControl w:val="0"/>
        <w:shd w:val="clear" w:color="auto" w:fill="auto"/>
        <w:tabs>
          <w:tab w:pos="933" w:val="left"/>
        </w:tabs>
        <w:bidi w:val="0"/>
        <w:spacing w:before="0" w:after="0" w:line="314" w:lineRule="exact"/>
        <w:ind w:left="0" w:right="0" w:firstLine="440"/>
        <w:jc w:val="both"/>
      </w:pPr>
      <w:bookmarkStart w:id="798" w:name="bookmark798"/>
      <w:r>
        <w:rPr>
          <w:b/>
          <w:bCs/>
          <w:color w:val="000000"/>
          <w:spacing w:val="0"/>
          <w:w w:val="100"/>
          <w:position w:val="0"/>
        </w:rPr>
        <w:t>（</w:t>
      </w:r>
      <w:bookmarkEnd w:id="798"/>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存货的分类</w:t>
      </w:r>
    </w:p>
    <w:p>
      <w:pPr>
        <w:pStyle w:val="Style33"/>
        <w:keepNext w:val="0"/>
        <w:keepLines w:val="0"/>
        <w:widowControl w:val="0"/>
        <w:shd w:val="clear" w:color="auto" w:fill="auto"/>
        <w:bidi w:val="0"/>
        <w:spacing w:before="0" w:after="0" w:line="314" w:lineRule="exact"/>
        <w:ind w:left="0" w:right="0" w:firstLine="440"/>
        <w:jc w:val="left"/>
      </w:pPr>
      <w:r>
        <w:rPr>
          <w:color w:val="000000"/>
          <w:spacing w:val="0"/>
          <w:w w:val="100"/>
          <w:position w:val="0"/>
        </w:rPr>
        <w:t>存货分类为：原材料、包装物、低值易耗品、半成品、在产品、产成品、委托加工物资等。</w:t>
      </w:r>
    </w:p>
    <w:p>
      <w:pPr>
        <w:pStyle w:val="Style33"/>
        <w:keepNext w:val="0"/>
        <w:keepLines w:val="0"/>
        <w:widowControl w:val="0"/>
        <w:shd w:val="clear" w:color="auto" w:fill="auto"/>
        <w:tabs>
          <w:tab w:pos="933" w:val="left"/>
        </w:tabs>
        <w:bidi w:val="0"/>
        <w:spacing w:before="0" w:after="0" w:line="314" w:lineRule="exact"/>
        <w:ind w:left="0" w:right="0" w:firstLine="440"/>
        <w:jc w:val="both"/>
      </w:pPr>
      <w:bookmarkStart w:id="799" w:name="bookmark799"/>
      <w:r>
        <w:rPr>
          <w:b/>
          <w:bCs/>
          <w:color w:val="000000"/>
          <w:spacing w:val="0"/>
          <w:w w:val="100"/>
          <w:position w:val="0"/>
        </w:rPr>
        <w:t>（</w:t>
      </w:r>
      <w:bookmarkEnd w:id="799"/>
      <w:r>
        <w:rPr>
          <w:b/>
          <w:bCs/>
          <w:color w:val="000000"/>
          <w:spacing w:val="0"/>
          <w:w w:val="100"/>
          <w:position w:val="0"/>
        </w:rPr>
        <w:t>2）</w:t>
        <w:tab/>
        <w:t>发出存货的计价方法</w:t>
      </w:r>
    </w:p>
    <w:p>
      <w:pPr>
        <w:pStyle w:val="Style3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存货发出时按加权平均法计价。</w:t>
      </w:r>
    </w:p>
    <w:p>
      <w:pPr>
        <w:pStyle w:val="Style33"/>
        <w:keepNext w:val="0"/>
        <w:keepLines w:val="0"/>
        <w:widowControl w:val="0"/>
        <w:shd w:val="clear" w:color="auto" w:fill="auto"/>
        <w:tabs>
          <w:tab w:pos="933" w:val="left"/>
        </w:tabs>
        <w:bidi w:val="0"/>
        <w:spacing w:before="0" w:after="0" w:line="314" w:lineRule="exact"/>
        <w:ind w:left="0" w:right="0" w:firstLine="440"/>
        <w:jc w:val="both"/>
      </w:pPr>
      <w:bookmarkStart w:id="800" w:name="bookmark800"/>
      <w:r>
        <w:rPr>
          <w:b/>
          <w:bCs/>
          <w:color w:val="000000"/>
          <w:spacing w:val="0"/>
          <w:w w:val="100"/>
          <w:position w:val="0"/>
        </w:rPr>
        <w:t>（</w:t>
      </w:r>
      <w:bookmarkEnd w:id="800"/>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不同类别存货可变现净值的确定依据</w:t>
      </w:r>
    </w:p>
    <w:p>
      <w:pPr>
        <w:pStyle w:val="Style3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产成品、库存商品和用于出售的材料等直接用于出售的商品存货，在正常生产经营过程中，以该存货 的估计售价减去估计的销售费用和相关税费后的金额，确定其可变现净值；需要经过加工的材料存货，在 正常生产经营过程中，以所生产的产成品的估计售价减去至完工时估计将要发生的成本、估计的销售费用 和相关税费后的金额，确定其可变现净值；为执行销售合同或者劳务合同而持有的存货，其可变现净值以 合同价格为基础计算，若持有存货的数量多于销售合同订购数量的，超出部分的存货的可变现净值以一般 销售价格为基础计算。</w:t>
      </w:r>
    </w:p>
    <w:p>
      <w:pPr>
        <w:pStyle w:val="Style3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期末按照单个存货项目计提存货跌价准备；但对于数量繁多、单价较低的存货，按照存货类别计提存 货跌价准备；与在同一地区生产和销售的产品系列相关、具有相同或类似最终用途或目的，且难以与其他 项目分开计量的存货，则合并计提存货跌价准备。</w:t>
      </w:r>
    </w:p>
    <w:p>
      <w:pPr>
        <w:pStyle w:val="Style3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以前减记存货价值的影响因素已经消失的，减记的金额予以恢复，并在原己计提的存货跌价准备金额 内转回，转回的金额计入当期损益。</w:t>
      </w:r>
    </w:p>
    <w:p>
      <w:pPr>
        <w:pStyle w:val="Style3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除有明确证据表明资产负债表日市场价格异常外，存货项目的可变现净值以资产负债表日市场价格为 基础确定。</w:t>
      </w:r>
    </w:p>
    <w:p>
      <w:pPr>
        <w:pStyle w:val="Style3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本期期末存货项目的可变现净值以资产负债表日市场价格为基础确定。</w:t>
      </w:r>
    </w:p>
    <w:p>
      <w:pPr>
        <w:pStyle w:val="Style33"/>
        <w:keepNext w:val="0"/>
        <w:keepLines w:val="0"/>
        <w:widowControl w:val="0"/>
        <w:shd w:val="clear" w:color="auto" w:fill="auto"/>
        <w:tabs>
          <w:tab w:pos="933" w:val="left"/>
        </w:tabs>
        <w:bidi w:val="0"/>
        <w:spacing w:before="0" w:after="0" w:line="314" w:lineRule="exact"/>
        <w:ind w:left="0" w:right="0" w:firstLine="440"/>
        <w:jc w:val="both"/>
      </w:pPr>
      <w:bookmarkStart w:id="801" w:name="bookmark801"/>
      <w:r>
        <w:rPr>
          <w:b/>
          <w:bCs/>
          <w:color w:val="000000"/>
          <w:spacing w:val="0"/>
          <w:w w:val="100"/>
          <w:position w:val="0"/>
        </w:rPr>
        <w:t>（</w:t>
      </w:r>
      <w:bookmarkEnd w:id="801"/>
      <w:r>
        <w:rPr>
          <w:b/>
          <w:bCs/>
          <w:color w:val="000000"/>
          <w:spacing w:val="0"/>
          <w:w w:val="100"/>
          <w:position w:val="0"/>
        </w:rPr>
        <w:t>4）</w:t>
        <w:tab/>
        <w:t>存货的盘存制度</w:t>
      </w:r>
    </w:p>
    <w:p>
      <w:pPr>
        <w:pStyle w:val="Style3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采用永续盘存制。</w:t>
      </w:r>
    </w:p>
    <w:p>
      <w:pPr>
        <w:pStyle w:val="Style33"/>
        <w:keepNext w:val="0"/>
        <w:keepLines w:val="0"/>
        <w:widowControl w:val="0"/>
        <w:shd w:val="clear" w:color="auto" w:fill="auto"/>
        <w:tabs>
          <w:tab w:pos="933" w:val="left"/>
        </w:tabs>
        <w:bidi w:val="0"/>
        <w:spacing w:before="0" w:after="0" w:line="314" w:lineRule="exact"/>
        <w:ind w:left="0" w:right="0" w:firstLine="440"/>
        <w:jc w:val="both"/>
      </w:pPr>
      <w:bookmarkStart w:id="802" w:name="bookmark802"/>
      <w:r>
        <w:rPr>
          <w:b/>
          <w:bCs/>
          <w:color w:val="000000"/>
          <w:spacing w:val="0"/>
          <w:w w:val="100"/>
          <w:position w:val="0"/>
        </w:rPr>
        <w:t>（</w:t>
      </w:r>
      <w:bookmarkEnd w:id="802"/>
      <w:r>
        <w:rPr>
          <w:b/>
          <w:bCs/>
          <w:color w:val="000000"/>
          <w:spacing w:val="0"/>
          <w:w w:val="100"/>
          <w:position w:val="0"/>
        </w:rPr>
        <w:t>5）</w:t>
        <w:tab/>
        <w:t>低值易耗品和包装物的摊销方法</w:t>
      </w:r>
    </w:p>
    <w:p>
      <w:pPr>
        <w:pStyle w:val="Style33"/>
        <w:keepNext w:val="0"/>
        <w:keepLines w:val="0"/>
        <w:widowControl w:val="0"/>
        <w:shd w:val="clear" w:color="auto" w:fill="auto"/>
        <w:tabs>
          <w:tab w:pos="831" w:val="left"/>
        </w:tabs>
        <w:bidi w:val="0"/>
        <w:spacing w:before="0" w:after="0" w:line="314" w:lineRule="exact"/>
        <w:ind w:left="0" w:right="0" w:firstLine="440"/>
        <w:jc w:val="both"/>
      </w:pPr>
      <w:bookmarkStart w:id="803" w:name="bookmark803"/>
      <w:r>
        <w:rPr>
          <w:rFonts w:ascii="Times New Roman" w:eastAsia="Times New Roman" w:hAnsi="Times New Roman" w:cs="Times New Roman"/>
          <w:color w:val="000000"/>
          <w:spacing w:val="0"/>
          <w:w w:val="100"/>
          <w:position w:val="0"/>
        </w:rPr>
        <w:t>1</w:t>
      </w:r>
      <w:bookmarkEnd w:id="803"/>
      <w:r>
        <w:rPr>
          <w:color w:val="000000"/>
          <w:spacing w:val="0"/>
          <w:w w:val="100"/>
          <w:position w:val="0"/>
        </w:rPr>
        <w:t>）</w:t>
        <w:tab/>
        <w:t>低值易耗品采用一次转销法；</w:t>
      </w:r>
    </w:p>
    <w:p>
      <w:pPr>
        <w:pStyle w:val="Style33"/>
        <w:keepNext w:val="0"/>
        <w:keepLines w:val="0"/>
        <w:widowControl w:val="0"/>
        <w:shd w:val="clear" w:color="auto" w:fill="auto"/>
        <w:tabs>
          <w:tab w:pos="832" w:val="left"/>
        </w:tabs>
        <w:bidi w:val="0"/>
        <w:spacing w:before="0" w:after="280" w:line="314" w:lineRule="exact"/>
        <w:ind w:left="0" w:right="0" w:firstLine="440"/>
        <w:jc w:val="both"/>
      </w:pPr>
      <w:bookmarkStart w:id="804" w:name="bookmark804"/>
      <w:r>
        <w:rPr>
          <w:rFonts w:ascii="Times New Roman" w:eastAsia="Times New Roman" w:hAnsi="Times New Roman" w:cs="Times New Roman"/>
          <w:color w:val="000000"/>
          <w:spacing w:val="0"/>
          <w:w w:val="100"/>
          <w:position w:val="0"/>
        </w:rPr>
        <w:t>2</w:t>
      </w:r>
      <w:bookmarkEnd w:id="804"/>
      <w:r>
        <w:rPr>
          <w:color w:val="000000"/>
          <w:spacing w:val="0"/>
          <w:w w:val="100"/>
          <w:position w:val="0"/>
        </w:rPr>
        <w:t>）</w:t>
        <w:tab/>
        <w:t>包装物采用一次转销法。</w:t>
      </w:r>
    </w:p>
    <w:p>
      <w:pPr>
        <w:pStyle w:val="Style30"/>
        <w:keepNext/>
        <w:keepLines/>
        <w:widowControl w:val="0"/>
        <w:shd w:val="clear" w:color="auto" w:fill="auto"/>
        <w:tabs>
          <w:tab w:pos="474" w:val="left"/>
        </w:tabs>
        <w:bidi w:val="0"/>
        <w:spacing w:before="0" w:after="280" w:line="314" w:lineRule="exact"/>
        <w:ind w:left="0" w:right="0" w:firstLine="0"/>
        <w:jc w:val="both"/>
      </w:pPr>
      <w:bookmarkStart w:id="805" w:name="bookmark805"/>
      <w:bookmarkStart w:id="806" w:name="bookmark806"/>
      <w:bookmarkStart w:id="807" w:name="bookmark807"/>
      <w:bookmarkStart w:id="808" w:name="bookmark808"/>
      <w:r>
        <w:rPr>
          <w:rFonts w:ascii="Times New Roman" w:eastAsia="Times New Roman" w:hAnsi="Times New Roman" w:cs="Times New Roman"/>
          <w:color w:val="000000"/>
          <w:spacing w:val="0"/>
          <w:w w:val="100"/>
          <w:position w:val="0"/>
        </w:rPr>
        <w:t>1</w:t>
      </w:r>
      <w:bookmarkEnd w:id="807"/>
      <w:r>
        <w:rPr>
          <w:rFonts w:ascii="Times New Roman" w:eastAsia="Times New Roman" w:hAnsi="Times New Roman" w:cs="Times New Roman"/>
          <w:color w:val="000000"/>
          <w:spacing w:val="0"/>
          <w:w w:val="100"/>
          <w:position w:val="0"/>
        </w:rPr>
        <w:t>3</w:t>
      </w:r>
      <w:r>
        <w:rPr>
          <w:color w:val="000000"/>
          <w:spacing w:val="0"/>
          <w:w w:val="100"/>
          <w:position w:val="0"/>
        </w:rPr>
        <w:t>、</w:t>
        <w:tab/>
        <w:t>长期股权投资</w:t>
      </w:r>
      <w:bookmarkEnd w:id="805"/>
      <w:bookmarkEnd w:id="806"/>
      <w:bookmarkEnd w:id="808"/>
    </w:p>
    <w:p>
      <w:pPr>
        <w:pStyle w:val="Style30"/>
        <w:keepNext/>
        <w:keepLines/>
        <w:widowControl w:val="0"/>
        <w:shd w:val="clear" w:color="auto" w:fill="auto"/>
        <w:tabs>
          <w:tab w:pos="933" w:val="left"/>
        </w:tabs>
        <w:bidi w:val="0"/>
        <w:spacing w:before="0" w:after="0" w:line="313" w:lineRule="exact"/>
        <w:ind w:left="0" w:right="0" w:firstLine="440"/>
        <w:jc w:val="both"/>
      </w:pPr>
      <w:bookmarkStart w:id="805" w:name="bookmark805"/>
      <w:bookmarkStart w:id="806" w:name="bookmark806"/>
      <w:bookmarkStart w:id="809" w:name="bookmark809"/>
      <w:r>
        <w:rPr>
          <w:color w:val="000000"/>
          <w:spacing w:val="0"/>
          <w:w w:val="100"/>
          <w:position w:val="0"/>
        </w:rPr>
        <w:t>（</w:t>
      </w:r>
      <w:bookmarkEnd w:id="809"/>
      <w:r>
        <w:rPr>
          <w:rFonts w:ascii="Times New Roman" w:eastAsia="Times New Roman" w:hAnsi="Times New Roman" w:cs="Times New Roman"/>
          <w:color w:val="000000"/>
          <w:spacing w:val="0"/>
          <w:w w:val="100"/>
          <w:position w:val="0"/>
        </w:rPr>
        <w:t>1</w:t>
      </w:r>
      <w:r>
        <w:rPr>
          <w:color w:val="000000"/>
          <w:spacing w:val="0"/>
          <w:w w:val="100"/>
          <w:position w:val="0"/>
        </w:rPr>
        <w:t>）</w:t>
        <w:tab/>
        <w:t>共同控制、重大影响的判断标准</w:t>
      </w:r>
      <w:bookmarkEnd w:id="805"/>
      <w:bookmarkEnd w:id="806"/>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共同控制，是指按照相关约定对某项安排所共有的控制，并且该安排的相关活动必须经过分享控制权 的参与方一致同意后才能决策。本公司与其他合营方一同对被投资单位实施共同控制且对被投资单位净资 产享有权利的，被投资单位为本公司的合营企业。</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重大影响，是指对一个企业的财务和经营决策有参与决策的权力，但并不能够控制或者与其他方一起 共同控制这些政策的制定。本公司能够对被投资单位施加重大影响的，被投资单位为本公司联营企业。</w:t>
      </w:r>
    </w:p>
    <w:p>
      <w:pPr>
        <w:pStyle w:val="Style33"/>
        <w:keepNext w:val="0"/>
        <w:keepLines w:val="0"/>
        <w:widowControl w:val="0"/>
        <w:shd w:val="clear" w:color="auto" w:fill="auto"/>
        <w:tabs>
          <w:tab w:pos="933" w:val="left"/>
        </w:tabs>
        <w:bidi w:val="0"/>
        <w:spacing w:before="0" w:after="0" w:line="313" w:lineRule="exact"/>
        <w:ind w:left="0" w:right="0" w:firstLine="440"/>
        <w:jc w:val="both"/>
      </w:pPr>
      <w:bookmarkStart w:id="810" w:name="bookmark810"/>
      <w:r>
        <w:rPr>
          <w:b/>
          <w:bCs/>
          <w:color w:val="000000"/>
          <w:spacing w:val="0"/>
          <w:w w:val="100"/>
          <w:position w:val="0"/>
        </w:rPr>
        <w:t>（</w:t>
      </w:r>
      <w:bookmarkEnd w:id="810"/>
      <w:r>
        <w:rPr>
          <w:b/>
          <w:bCs/>
          <w:color w:val="000000"/>
          <w:spacing w:val="0"/>
          <w:w w:val="100"/>
          <w:position w:val="0"/>
        </w:rPr>
        <w:t>2）</w:t>
        <w:tab/>
        <w:t>初始投资成本的确定</w:t>
      </w:r>
    </w:p>
    <w:p>
      <w:pPr>
        <w:pStyle w:val="Style33"/>
        <w:keepNext w:val="0"/>
        <w:keepLines w:val="0"/>
        <w:widowControl w:val="0"/>
        <w:shd w:val="clear" w:color="auto" w:fill="auto"/>
        <w:bidi w:val="0"/>
        <w:spacing w:before="0" w:after="0" w:line="313" w:lineRule="exact"/>
        <w:ind w:left="0" w:right="0" w:firstLine="440"/>
        <w:jc w:val="both"/>
      </w:pPr>
      <w:r>
        <w:rPr>
          <w:rFonts w:ascii="Times New Roman" w:eastAsia="Times New Roman" w:hAnsi="Times New Roman" w:cs="Times New Roman"/>
          <w:color w:val="000000"/>
          <w:spacing w:val="0"/>
          <w:w w:val="100"/>
          <w:position w:val="0"/>
        </w:rPr>
        <w:t>1</w:t>
      </w:r>
      <w:r>
        <w:rPr>
          <w:color w:val="000000"/>
          <w:spacing w:val="0"/>
          <w:w w:val="100"/>
          <w:position w:val="0"/>
        </w:rPr>
        <w:t>）企业合并形成的长期股权投资</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 xml:space="preserve">同一控制下的企业合并：公司以支付现金、转让非现金资产或承担债务方式以及以发行权益性证券作 为合并对价的，在合并日按照取得被合并方所有者权益在最终控制方合并财务报表中的账面价值的份额作 为长期股权投资的初始投资成本。因追加投资等原因能够对同一控制下的被投资单位实施控制的，在合并 日根据合并后应享有被合并方净资产在最终控制方合并财务报表中的账面价值的份额，确定长期股权投资 的初始投资成本。合并日长期股权投资的初始投资成本，与达到合并前的长期股权投资账面价值加上合并 日进一步取得股份新支付对价的账面价值之和的差额，调整股本溢价，股本溢价不足冲减的，冲减留存收 </w:t>
      </w:r>
      <w:r>
        <w:rPr>
          <w:color w:val="000000"/>
          <w:spacing w:val="0"/>
          <w:w w:val="100"/>
          <w:position w:val="0"/>
        </w:rPr>
        <w:t>益。</w:t>
      </w:r>
    </w:p>
    <w:p>
      <w:pPr>
        <w:pStyle w:val="Style33"/>
        <w:keepNext w:val="0"/>
        <w:keepLines w:val="0"/>
        <w:widowControl w:val="0"/>
        <w:shd w:val="clear" w:color="auto" w:fill="auto"/>
        <w:bidi w:val="0"/>
        <w:spacing w:before="0" w:after="80" w:line="312" w:lineRule="exact"/>
        <w:ind w:left="0" w:right="0" w:firstLine="440"/>
        <w:jc w:val="both"/>
      </w:pPr>
      <w:r>
        <w:rPr>
          <w:color w:val="000000"/>
          <w:spacing w:val="0"/>
          <w:w w:val="100"/>
          <w:position w:val="0"/>
        </w:rPr>
        <w:t>非同一控制下的企业合并：公司按照购买日确定的合并成本作为长期股权投资的初始投资成本。因追 加投资等原因能够对非同一控制下的被投资单位实施控制的，按照原持有的股权投资账面价值加上新增投 资成本之和，作为改按成本法核算的初始投资成本。</w:t>
      </w:r>
    </w:p>
    <w:p>
      <w:pPr>
        <w:pStyle w:val="Style33"/>
        <w:keepNext w:val="0"/>
        <w:keepLines w:val="0"/>
        <w:widowControl w:val="0"/>
        <w:shd w:val="clear" w:color="auto" w:fill="auto"/>
        <w:bidi w:val="0"/>
        <w:spacing w:before="0" w:after="0" w:line="326" w:lineRule="auto"/>
        <w:ind w:left="0" w:right="0" w:firstLine="440"/>
        <w:jc w:val="both"/>
      </w:pPr>
      <w:r>
        <w:rPr>
          <w:rFonts w:ascii="Times New Roman" w:eastAsia="Times New Roman" w:hAnsi="Times New Roman" w:cs="Times New Roman"/>
          <w:color w:val="000000"/>
          <w:spacing w:val="0"/>
          <w:w w:val="100"/>
          <w:position w:val="0"/>
        </w:rPr>
        <w:t>2</w:t>
      </w:r>
      <w:r>
        <w:rPr>
          <w:color w:val="000000"/>
          <w:spacing w:val="0"/>
          <w:w w:val="100"/>
          <w:position w:val="0"/>
        </w:rPr>
        <w:t>）其他方式取得的长期股权投资</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以支付现金方式取得的长期股权投资，按照实际支付的购买价款作为初始投资成本。</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以发行权益性证券取得的长期股权投资，按照发行权益性证券的公允价值作为初始投资成本。</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在非货币性资产交换具备商业实质和换入资产或换出资产的公允价值能够可靠计量的前提下，非货币 性资产交换换入的长期股权投资以换出资产的公允价值和应支付的相关税费确定其初始投资成本，除非有 确凿证据表明换入资产的公允价值更加可靠；不满足上述前提的非货币性资产交换，以换出资产的账面价 值和应支付的相关税费作为换入长期股权投资的初始投资成本。</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通过债务重组取得的长期股权投资，其初始投资成本按照公允价值为基础确定。</w:t>
      </w:r>
    </w:p>
    <w:p>
      <w:pPr>
        <w:pStyle w:val="Style33"/>
        <w:keepNext w:val="0"/>
        <w:keepLines w:val="0"/>
        <w:widowControl w:val="0"/>
        <w:shd w:val="clear" w:color="auto" w:fill="auto"/>
        <w:bidi w:val="0"/>
        <w:spacing w:before="0" w:after="80" w:line="312" w:lineRule="exact"/>
        <w:ind w:left="0" w:right="0" w:firstLine="440"/>
        <w:jc w:val="both"/>
      </w:pPr>
      <w:bookmarkStart w:id="811" w:name="bookmark811"/>
      <w:r>
        <w:rPr>
          <w:b/>
          <w:bCs/>
          <w:color w:val="000000"/>
          <w:spacing w:val="0"/>
          <w:w w:val="100"/>
          <w:position w:val="0"/>
        </w:rPr>
        <w:t>（</w:t>
      </w:r>
      <w:bookmarkEnd w:id="811"/>
      <w:r>
        <w:rPr>
          <w:b/>
          <w:bCs/>
          <w:color w:val="000000"/>
          <w:spacing w:val="0"/>
          <w:w w:val="100"/>
          <w:position w:val="0"/>
        </w:rPr>
        <w:t>3）后续计量及损益确认方法</w:t>
      </w:r>
    </w:p>
    <w:p>
      <w:pPr>
        <w:pStyle w:val="Style33"/>
        <w:keepNext w:val="0"/>
        <w:keepLines w:val="0"/>
        <w:widowControl w:val="0"/>
        <w:shd w:val="clear" w:color="auto" w:fill="auto"/>
        <w:tabs>
          <w:tab w:pos="775" w:val="left"/>
        </w:tabs>
        <w:bidi w:val="0"/>
        <w:spacing w:before="0" w:after="0" w:line="326" w:lineRule="auto"/>
        <w:ind w:left="0" w:right="0" w:firstLine="440"/>
        <w:jc w:val="both"/>
      </w:pPr>
      <w:bookmarkStart w:id="812" w:name="bookmark812"/>
      <w:r>
        <w:rPr>
          <w:rFonts w:ascii="Times New Roman" w:eastAsia="Times New Roman" w:hAnsi="Times New Roman" w:cs="Times New Roman"/>
          <w:color w:val="000000"/>
          <w:spacing w:val="0"/>
          <w:w w:val="100"/>
          <w:position w:val="0"/>
        </w:rPr>
        <w:t>1</w:t>
      </w:r>
      <w:bookmarkEnd w:id="812"/>
      <w:r>
        <w:rPr>
          <w:color w:val="000000"/>
          <w:spacing w:val="0"/>
          <w:w w:val="100"/>
          <w:position w:val="0"/>
        </w:rPr>
        <w:t>）</w:t>
        <w:tab/>
        <w:t>成本法核算的长期股权投资</w:t>
      </w:r>
    </w:p>
    <w:p>
      <w:pPr>
        <w:pStyle w:val="Style33"/>
        <w:keepNext w:val="0"/>
        <w:keepLines w:val="0"/>
        <w:widowControl w:val="0"/>
        <w:shd w:val="clear" w:color="auto" w:fill="auto"/>
        <w:bidi w:val="0"/>
        <w:spacing w:before="0" w:after="80" w:line="312" w:lineRule="exact"/>
        <w:ind w:left="0" w:right="0" w:firstLine="440"/>
        <w:jc w:val="both"/>
      </w:pPr>
      <w:r>
        <w:rPr>
          <w:color w:val="000000"/>
          <w:spacing w:val="0"/>
          <w:w w:val="100"/>
          <w:position w:val="0"/>
        </w:rPr>
        <w:t>公司对子公司的长期股权投资，采用成本法核算。除取得投资时实际支付的价款或对价中包含的已宣 告但尚未发放的现金股利或利润外，公司按照享有被投资单位宣告发放的现金股利或利润确认当期投资收 益。</w:t>
      </w:r>
    </w:p>
    <w:p>
      <w:pPr>
        <w:pStyle w:val="Style33"/>
        <w:keepNext w:val="0"/>
        <w:keepLines w:val="0"/>
        <w:widowControl w:val="0"/>
        <w:shd w:val="clear" w:color="auto" w:fill="auto"/>
        <w:tabs>
          <w:tab w:pos="794" w:val="left"/>
        </w:tabs>
        <w:bidi w:val="0"/>
        <w:spacing w:before="0" w:after="0" w:line="326" w:lineRule="auto"/>
        <w:ind w:left="0" w:right="0" w:firstLine="440"/>
        <w:jc w:val="both"/>
      </w:pPr>
      <w:bookmarkStart w:id="813" w:name="bookmark813"/>
      <w:r>
        <w:rPr>
          <w:rFonts w:ascii="Times New Roman" w:eastAsia="Times New Roman" w:hAnsi="Times New Roman" w:cs="Times New Roman"/>
          <w:color w:val="000000"/>
          <w:spacing w:val="0"/>
          <w:w w:val="100"/>
          <w:position w:val="0"/>
        </w:rPr>
        <w:t>2</w:t>
      </w:r>
      <w:bookmarkEnd w:id="813"/>
      <w:r>
        <w:rPr>
          <w:color w:val="000000"/>
          <w:spacing w:val="0"/>
          <w:w w:val="100"/>
          <w:position w:val="0"/>
        </w:rPr>
        <w:t>）</w:t>
        <w:tab/>
        <w:t>权益法核算的长期股权投资</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对联营企业和合营企业的长期股权投资，采用权益法核算。初始投资成本大于投资时应享有被投资单 位可辨认净资产公允价值份额的差额，不调整长期股权投资的初始投资成本；初始投资成本小于投资时应 享有被投资单位可辨认净资产公允价值份额的差额，计入当期损益。</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公司按照应享有或应分担的被投资单位实现的净损益和其他综合收益的份额，分别确认投资收益和其 他综合收益，同时调整长期股权投资的账面价值；按照被投资单位宣告分派的利润或现金股利计算应享有 的部分，相应减少长期股权投资的账面价值；对于被投资单位除净损益、其他综合收益和利润分配以外所 有者权益的其他变动，调整长期股权投资的账面价值并计入所有者权益。</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在确认应享有被投资单位净损益的份额时，以取得投资时被投资单位可辨认净资产的公允价值为基 础，并按照公司的会计政策及会计期间，对被投资单位的净利润进行调整后确认。在持有投资期间，被投 资单位编制合并财务报表的，以合并财务报表中的净利润、其他综合收益和其他所有者权益变动中归属于 被投资单位的金额为基础进行核算。</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公司与联营企业、合营企业之间发生的未实现内部交易损益按照应享有的比例计算归属于公司的部 分，予以抵销，在此基础上确认投资收益。与被投资单位发生的未实现内部交易损失，属于资产减值损失 的，全额确认。公司与联营企业、合营企业之间发生投出或出售资产的交易，该资产构成业务的，按照本 附注</w:t>
      </w:r>
      <w:r>
        <w:rPr>
          <w:rFonts w:ascii="Times New Roman" w:eastAsia="Times New Roman" w:hAnsi="Times New Roman" w:cs="Times New Roman"/>
          <w:color w:val="000000"/>
          <w:spacing w:val="0"/>
          <w:w w:val="100"/>
          <w:position w:val="0"/>
        </w:rPr>
        <w:t>“</w:t>
      </w:r>
      <w:r>
        <w:rPr>
          <w:color w:val="000000"/>
          <w:spacing w:val="0"/>
          <w:w w:val="100"/>
          <w:position w:val="0"/>
        </w:rPr>
        <w:t>三、（五）同一控制下和非同一控制下企业合并的会计处理方法</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三、（六）合并财务报表的编制 方法</w:t>
      </w:r>
      <w:r>
        <w:rPr>
          <w:rFonts w:ascii="Times New Roman" w:eastAsia="Times New Roman" w:hAnsi="Times New Roman" w:cs="Times New Roman"/>
          <w:color w:val="000000"/>
          <w:spacing w:val="0"/>
          <w:w w:val="100"/>
          <w:position w:val="0"/>
        </w:rPr>
        <w:t>''</w:t>
      </w:r>
      <w:r>
        <w:rPr>
          <w:color w:val="000000"/>
          <w:spacing w:val="0"/>
          <w:w w:val="100"/>
          <w:position w:val="0"/>
        </w:rPr>
        <w:t>中披露的相关政策进行会计处理。</w:t>
      </w:r>
    </w:p>
    <w:p>
      <w:pPr>
        <w:pStyle w:val="Style33"/>
        <w:keepNext w:val="0"/>
        <w:keepLines w:val="0"/>
        <w:widowControl w:val="0"/>
        <w:shd w:val="clear" w:color="auto" w:fill="auto"/>
        <w:bidi w:val="0"/>
        <w:spacing w:before="0" w:after="80" w:line="312" w:lineRule="exact"/>
        <w:ind w:left="0" w:right="0" w:firstLine="440"/>
        <w:jc w:val="both"/>
      </w:pPr>
      <w:r>
        <w:rPr>
          <w:color w:val="000000"/>
          <w:spacing w:val="0"/>
          <w:w w:val="100"/>
          <w:position w:val="0"/>
        </w:rPr>
        <w:t>在公司确认应分担被投资单位发生的亏损时，按照以下顺序进行处理：首先，冲减长期股权投资的账 面价值。其次，长期股权投资的账面价值不足以冲减的，以其他实质上构成对被投资单位净投资的长期权 益账面价值为限继续确认投资损失，冲减长期应收项目等的账面价值。最后，经过上述处理，按照投资合 同或协议约定企业仍承担额外义务的，按预计承担的义务确认预计负债，计入当期投资损失。</w:t>
      </w:r>
    </w:p>
    <w:p>
      <w:pPr>
        <w:pStyle w:val="Style33"/>
        <w:keepNext w:val="0"/>
        <w:keepLines w:val="0"/>
        <w:widowControl w:val="0"/>
        <w:shd w:val="clear" w:color="auto" w:fill="auto"/>
        <w:tabs>
          <w:tab w:pos="794" w:val="left"/>
        </w:tabs>
        <w:bidi w:val="0"/>
        <w:spacing w:before="0" w:after="0" w:line="326" w:lineRule="auto"/>
        <w:ind w:left="0" w:right="0" w:firstLine="440"/>
        <w:jc w:val="both"/>
      </w:pPr>
      <w:bookmarkStart w:id="814" w:name="bookmark814"/>
      <w:r>
        <w:rPr>
          <w:rFonts w:ascii="Times New Roman" w:eastAsia="Times New Roman" w:hAnsi="Times New Roman" w:cs="Times New Roman"/>
          <w:color w:val="000000"/>
          <w:spacing w:val="0"/>
          <w:w w:val="100"/>
          <w:position w:val="0"/>
        </w:rPr>
        <w:t>3</w:t>
      </w:r>
      <w:bookmarkEnd w:id="814"/>
      <w:r>
        <w:rPr>
          <w:color w:val="000000"/>
          <w:spacing w:val="0"/>
          <w:w w:val="100"/>
          <w:position w:val="0"/>
        </w:rPr>
        <w:t>）</w:t>
        <w:tab/>
        <w:t>长期股权投资的处置</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处置长期股权投资，其账面价值与实际取得价款的差额，计入当期损益。</w:t>
      </w:r>
    </w:p>
    <w:p>
      <w:pPr>
        <w:pStyle w:val="Style33"/>
        <w:keepNext w:val="0"/>
        <w:keepLines w:val="0"/>
        <w:widowControl w:val="0"/>
        <w:shd w:val="clear" w:color="auto" w:fill="auto"/>
        <w:bidi w:val="0"/>
        <w:spacing w:before="0" w:after="80" w:line="312" w:lineRule="exact"/>
        <w:ind w:left="0" w:right="0" w:firstLine="440"/>
        <w:jc w:val="both"/>
      </w:pPr>
      <w:r>
        <w:rPr>
          <w:color w:val="000000"/>
          <w:spacing w:val="0"/>
          <w:w w:val="100"/>
          <w:position w:val="0"/>
        </w:rPr>
        <w:t>采用权益法核算的长期股权投资，在处置该项投资时，采用与被投资单位直接处置相关资产或负债相 同的基础，按相应比例对原计入其他综合收益的部分进行会计处理。因被投资单位除净损益、其他综合收 益和利润分配以外的其他所有者权益变动而确认的所有者权益，按比例结转入当期损益，由于被投资方重 新计量设定受益计划净负债或净资产变动而产生的其他综合收益除外。</w:t>
      </w:r>
    </w:p>
    <w:p>
      <w:pPr>
        <w:pStyle w:val="Style33"/>
        <w:keepNext w:val="0"/>
        <w:keepLines w:val="0"/>
        <w:widowControl w:val="0"/>
        <w:shd w:val="clear" w:color="auto" w:fill="auto"/>
        <w:bidi w:val="0"/>
        <w:spacing w:before="0" w:after="0" w:line="312" w:lineRule="exact"/>
        <w:ind w:left="0" w:right="0" w:firstLine="520"/>
        <w:jc w:val="both"/>
      </w:pPr>
      <w:r>
        <w:rPr>
          <w:color w:val="000000"/>
          <w:spacing w:val="0"/>
          <w:w w:val="100"/>
          <w:position w:val="0"/>
        </w:rPr>
        <w:t>因处置部分股权投资等原因丧失了对被投资单位的共同控制或重大影响的，处置后的剩余股权改按金 融工具确认和计量准则核算，其在丧失共同控制或重大影响之日的公允价值与账面价值之间的差额计入当 期损益。原股权投资因采用权益法核算而确认的其他综合收益，在终止采用权益法核算时采用与被投资单 位直接处置相关资产或负债相同的基础进行会计处理。因被投资方除净损益、其他综合收益和利润分配以 外的其他所有者权益变动而确认的所有者权益，在终止采用权益法核算时全部转入当期损益。</w:t>
      </w:r>
    </w:p>
    <w:p>
      <w:pPr>
        <w:pStyle w:val="Style33"/>
        <w:keepNext w:val="0"/>
        <w:keepLines w:val="0"/>
        <w:widowControl w:val="0"/>
        <w:shd w:val="clear" w:color="auto" w:fill="auto"/>
        <w:bidi w:val="0"/>
        <w:spacing w:before="0" w:after="0" w:line="312" w:lineRule="exact"/>
        <w:ind w:left="0" w:right="0" w:firstLine="520"/>
        <w:jc w:val="both"/>
      </w:pPr>
      <w:r>
        <w:rPr>
          <w:color w:val="000000"/>
          <w:spacing w:val="0"/>
          <w:w w:val="100"/>
          <w:position w:val="0"/>
        </w:rPr>
        <w:t>因处置部分股权投资等原因丧失了对被投资单位控制权的，在编制个别财务报表时，处置后的剩余股 权能够对被投资单位实施共同控制或重大影响的，改按权益法核算，并对该剩余股权视同自取得时即采用 权益法核算进行调整；处置后的剩余股权不能对被投资单位实施共同控制或施加重大影响的，改按金融工 具确认和计量准则的有关规定进行会计处理，其在丧失控制之日的公允价值与账面价值间的差额计入当期 损益。</w:t>
      </w:r>
    </w:p>
    <w:p>
      <w:pPr>
        <w:pStyle w:val="Style33"/>
        <w:keepNext w:val="0"/>
        <w:keepLines w:val="0"/>
        <w:widowControl w:val="0"/>
        <w:shd w:val="clear" w:color="auto" w:fill="auto"/>
        <w:bidi w:val="0"/>
        <w:spacing w:before="0" w:after="380" w:line="312" w:lineRule="exact"/>
        <w:ind w:left="0" w:right="0" w:firstLine="520"/>
        <w:jc w:val="both"/>
      </w:pPr>
      <w:r>
        <w:rPr>
          <w:color w:val="000000"/>
          <w:spacing w:val="0"/>
          <w:w w:val="100"/>
          <w:position w:val="0"/>
        </w:rPr>
        <w:t>处置的股权是因追加投资等原因通过企业合并取得的，在编制个别财务报表时，处置后的剩余股权采 用成本法或权益法核算的，购买日之前持有的股权投资因采用权益法核算而确认的其他综合收益和其他所 有者权益按比例结转；处置后的剩余股权改按金融工具确认和计量准则进行会计处理的，其他综合收益和 其他所有者权益全部结转。</w:t>
      </w:r>
    </w:p>
    <w:p>
      <w:pPr>
        <w:pStyle w:val="Style30"/>
        <w:keepNext/>
        <w:keepLines/>
        <w:widowControl w:val="0"/>
        <w:shd w:val="clear" w:color="auto" w:fill="auto"/>
        <w:tabs>
          <w:tab w:pos="425" w:val="left"/>
        </w:tabs>
        <w:bidi w:val="0"/>
        <w:spacing w:before="0" w:after="220" w:line="326" w:lineRule="auto"/>
        <w:ind w:left="0" w:right="0" w:firstLine="0"/>
        <w:jc w:val="both"/>
      </w:pPr>
      <w:bookmarkStart w:id="815" w:name="bookmark815"/>
      <w:bookmarkStart w:id="816" w:name="bookmark816"/>
      <w:bookmarkStart w:id="817" w:name="bookmark817"/>
      <w:bookmarkStart w:id="818" w:name="bookmark818"/>
      <w:r>
        <w:rPr>
          <w:rFonts w:ascii="Times New Roman" w:eastAsia="Times New Roman" w:hAnsi="Times New Roman" w:cs="Times New Roman"/>
          <w:color w:val="000000"/>
          <w:spacing w:val="0"/>
          <w:w w:val="100"/>
          <w:position w:val="0"/>
        </w:rPr>
        <w:t>1</w:t>
      </w:r>
      <w:bookmarkEnd w:id="817"/>
      <w:r>
        <w:rPr>
          <w:rFonts w:ascii="Times New Roman" w:eastAsia="Times New Roman" w:hAnsi="Times New Roman" w:cs="Times New Roman"/>
          <w:color w:val="000000"/>
          <w:spacing w:val="0"/>
          <w:w w:val="100"/>
          <w:position w:val="0"/>
        </w:rPr>
        <w:t>4</w:t>
      </w:r>
      <w:r>
        <w:rPr>
          <w:color w:val="000000"/>
          <w:spacing w:val="0"/>
          <w:w w:val="100"/>
          <w:position w:val="0"/>
        </w:rPr>
        <w:t>、</w:t>
        <w:tab/>
        <w:t>投资性房地产</w:t>
      </w:r>
      <w:bookmarkEnd w:id="815"/>
      <w:bookmarkEnd w:id="816"/>
      <w:bookmarkEnd w:id="818"/>
    </w:p>
    <w:p>
      <w:pPr>
        <w:pStyle w:val="Style33"/>
        <w:keepNext w:val="0"/>
        <w:keepLines w:val="0"/>
        <w:widowControl w:val="0"/>
        <w:shd w:val="clear" w:color="auto" w:fill="auto"/>
        <w:bidi w:val="0"/>
        <w:spacing w:before="0" w:after="0" w:line="312" w:lineRule="exact"/>
        <w:ind w:left="0" w:right="0" w:firstLine="520"/>
        <w:jc w:val="both"/>
      </w:pPr>
      <w:r>
        <w:rPr>
          <w:color w:val="000000"/>
          <w:spacing w:val="0"/>
          <w:w w:val="100"/>
          <w:position w:val="0"/>
        </w:rPr>
        <w:t>投资性房地产是指为赚取租金或资本增值，或两者兼有而持有的房地产，包括已出租的土地使用权、 持有并准备增值后转让的土地使用权、已出租的建筑物(含自行建造或开发活动完成后用于出租的建筑物 以及正在建造或开发过程中将来用于出租的建筑物)。</w:t>
      </w:r>
    </w:p>
    <w:p>
      <w:pPr>
        <w:pStyle w:val="Style33"/>
        <w:keepNext w:val="0"/>
        <w:keepLines w:val="0"/>
        <w:widowControl w:val="0"/>
        <w:shd w:val="clear" w:color="auto" w:fill="auto"/>
        <w:bidi w:val="0"/>
        <w:spacing w:before="0" w:after="380" w:line="274" w:lineRule="exact"/>
        <w:ind w:left="0" w:right="0" w:firstLine="520"/>
        <w:jc w:val="both"/>
      </w:pPr>
      <w:r>
        <w:rPr>
          <w:color w:val="000000"/>
          <w:spacing w:val="0"/>
          <w:w w:val="100"/>
          <w:position w:val="0"/>
        </w:rPr>
        <w:t>公司对现有投资性房地产采用成本模式计量。对按照成本模式计量的投资性房地产一出租用建筑物采 用与本公司固定资产相同的折旧政策，出租用土地使用权按与无形资产相同的摊销政策执行。</w:t>
      </w:r>
    </w:p>
    <w:p>
      <w:pPr>
        <w:pStyle w:val="Style30"/>
        <w:keepNext/>
        <w:keepLines/>
        <w:widowControl w:val="0"/>
        <w:shd w:val="clear" w:color="auto" w:fill="auto"/>
        <w:tabs>
          <w:tab w:pos="425" w:val="left"/>
        </w:tabs>
        <w:bidi w:val="0"/>
        <w:spacing w:before="0" w:after="220" w:line="326" w:lineRule="auto"/>
        <w:ind w:left="0" w:right="0" w:firstLine="0"/>
        <w:jc w:val="both"/>
      </w:pPr>
      <w:bookmarkStart w:id="819" w:name="bookmark819"/>
      <w:bookmarkStart w:id="820" w:name="bookmark820"/>
      <w:bookmarkStart w:id="821" w:name="bookmark821"/>
      <w:bookmarkStart w:id="822" w:name="bookmark822"/>
      <w:r>
        <w:rPr>
          <w:rFonts w:ascii="Times New Roman" w:eastAsia="Times New Roman" w:hAnsi="Times New Roman" w:cs="Times New Roman"/>
          <w:color w:val="000000"/>
          <w:spacing w:val="0"/>
          <w:w w:val="100"/>
          <w:position w:val="0"/>
        </w:rPr>
        <w:t>1</w:t>
      </w:r>
      <w:bookmarkEnd w:id="821"/>
      <w:r>
        <w:rPr>
          <w:rFonts w:ascii="Times New Roman" w:eastAsia="Times New Roman" w:hAnsi="Times New Roman" w:cs="Times New Roman"/>
          <w:color w:val="000000"/>
          <w:spacing w:val="0"/>
          <w:w w:val="100"/>
          <w:position w:val="0"/>
        </w:rPr>
        <w:t>5</w:t>
      </w:r>
      <w:r>
        <w:rPr>
          <w:color w:val="000000"/>
          <w:spacing w:val="0"/>
          <w:w w:val="100"/>
          <w:position w:val="0"/>
        </w:rPr>
        <w:t>、</w:t>
        <w:tab/>
        <w:t>固定资产</w:t>
      </w:r>
      <w:bookmarkEnd w:id="819"/>
      <w:bookmarkEnd w:id="820"/>
      <w:bookmarkEnd w:id="822"/>
    </w:p>
    <w:p>
      <w:pPr>
        <w:pStyle w:val="Style47"/>
        <w:keepNext/>
        <w:keepLines/>
        <w:widowControl w:val="0"/>
        <w:numPr>
          <w:ilvl w:val="0"/>
          <w:numId w:val="19"/>
        </w:numPr>
        <w:shd w:val="clear" w:color="auto" w:fill="auto"/>
        <w:bidi w:val="0"/>
        <w:spacing w:before="0" w:after="300" w:line="312" w:lineRule="exact"/>
        <w:ind w:left="0" w:right="0" w:firstLine="520"/>
        <w:jc w:val="both"/>
      </w:pPr>
      <w:bookmarkStart w:id="823" w:name="bookmark823"/>
      <w:bookmarkStart w:id="824" w:name="bookmark824"/>
      <w:bookmarkStart w:id="825" w:name="bookmark825"/>
      <w:bookmarkStart w:id="826" w:name="bookmark826"/>
      <w:bookmarkEnd w:id="825"/>
      <w:r>
        <w:rPr>
          <w:color w:val="000000"/>
          <w:spacing w:val="0"/>
          <w:w w:val="100"/>
          <w:position w:val="0"/>
        </w:rPr>
        <w:t>确认条件</w:t>
      </w:r>
      <w:bookmarkEnd w:id="823"/>
      <w:bookmarkEnd w:id="824"/>
      <w:bookmarkEnd w:id="826"/>
    </w:p>
    <w:p>
      <w:pPr>
        <w:pStyle w:val="Style33"/>
        <w:keepNext w:val="0"/>
        <w:keepLines w:val="0"/>
        <w:widowControl w:val="0"/>
        <w:shd w:val="clear" w:color="auto" w:fill="auto"/>
        <w:bidi w:val="0"/>
        <w:spacing w:before="0" w:after="0" w:line="305" w:lineRule="exact"/>
        <w:ind w:left="0" w:right="0" w:firstLine="520"/>
        <w:jc w:val="both"/>
      </w:pPr>
      <w:r>
        <w:rPr>
          <w:color w:val="000000"/>
          <w:spacing w:val="0"/>
          <w:w w:val="100"/>
          <w:position w:val="0"/>
          <w:shd w:val="clear" w:color="auto" w:fill="FFFFFF"/>
        </w:rPr>
        <w:t>固定资产指为生产商品、提供劳务、出租或经营管理而持有，并且使用寿命超过一个会计年度的有 形资产。固定资产在同时满足下列条件时予以确认：(</w:t>
      </w:r>
      <w:r>
        <w:rPr>
          <w:rFonts w:ascii="Times New Roman" w:eastAsia="Times New Roman" w:hAnsi="Times New Roman" w:cs="Times New Roman"/>
          <w:color w:val="000000"/>
          <w:spacing w:val="0"/>
          <w:w w:val="100"/>
          <w:position w:val="0"/>
          <w:shd w:val="clear" w:color="auto" w:fill="FFFFFF"/>
        </w:rPr>
        <w:t>1</w:t>
      </w:r>
      <w:r>
        <w:rPr>
          <w:color w:val="000000"/>
          <w:spacing w:val="0"/>
          <w:w w:val="100"/>
          <w:position w:val="0"/>
          <w:shd w:val="clear" w:color="auto" w:fill="FFFFFF"/>
        </w:rPr>
        <w:t>)与该固定资产有关的经济利益很可能流入企业；</w:t>
      </w:r>
    </w:p>
    <w:p>
      <w:pPr>
        <w:pStyle w:val="Style33"/>
        <w:keepNext w:val="0"/>
        <w:keepLines w:val="0"/>
        <w:widowControl w:val="0"/>
        <w:numPr>
          <w:ilvl w:val="0"/>
          <w:numId w:val="19"/>
        </w:numPr>
        <w:shd w:val="clear" w:color="auto" w:fill="auto"/>
        <w:bidi w:val="0"/>
        <w:spacing w:before="0" w:after="380" w:line="305" w:lineRule="exact"/>
        <w:ind w:left="0" w:right="0" w:firstLine="0"/>
        <w:jc w:val="both"/>
      </w:pPr>
      <w:bookmarkStart w:id="827" w:name="bookmark827"/>
      <w:bookmarkEnd w:id="827"/>
      <w:r>
        <w:rPr>
          <w:color w:val="000000"/>
          <w:spacing w:val="0"/>
          <w:w w:val="100"/>
          <w:position w:val="0"/>
        </w:rPr>
        <w:t>该固定资产的成本能够可靠地计量。</w:t>
      </w:r>
    </w:p>
    <w:p>
      <w:pPr>
        <w:pStyle w:val="Style26"/>
        <w:keepNext w:val="0"/>
        <w:keepLines w:val="0"/>
        <w:widowControl w:val="0"/>
        <w:shd w:val="clear" w:color="auto" w:fill="auto"/>
        <w:bidi w:val="0"/>
        <w:spacing w:before="0" w:after="0" w:line="240" w:lineRule="auto"/>
        <w:ind w:left="518" w:right="0" w:firstLine="0"/>
        <w:jc w:val="left"/>
      </w:pPr>
      <w:bookmarkStart w:id="828" w:name="bookmark828"/>
      <w:r>
        <w:rPr>
          <w:rFonts w:ascii="Times New Roman" w:eastAsia="Times New Roman" w:hAnsi="Times New Roman" w:cs="Times New Roman"/>
          <w:b/>
          <w:bCs/>
          <w:color w:val="000000"/>
          <w:spacing w:val="0"/>
          <w:w w:val="100"/>
          <w:position w:val="0"/>
        </w:rPr>
        <w:t>(2</w:t>
      </w:r>
      <w:r>
        <w:rPr>
          <w:b/>
          <w:bCs/>
          <w:color w:val="000000"/>
          <w:spacing w:val="0"/>
          <w:w w:val="100"/>
          <w:position w:val="0"/>
        </w:rPr>
        <w:t>)折旧方法</w:t>
      </w:r>
      <w:bookmarkEnd w:id="828"/>
    </w:p>
    <w:tbl>
      <w:tblPr>
        <w:tblOverlap w:val="never"/>
        <w:jc w:val="center"/>
        <w:tblLayout w:type="fixed"/>
      </w:tblPr>
      <w:tblGrid>
        <w:gridCol w:w="2270"/>
        <w:gridCol w:w="1843"/>
        <w:gridCol w:w="1632"/>
        <w:gridCol w:w="1915"/>
        <w:gridCol w:w="192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20" w:right="0" w:firstLine="0"/>
              <w:jc w:val="left"/>
            </w:pPr>
            <w:r>
              <w:rPr>
                <w:color w:val="000000"/>
                <w:spacing w:val="0"/>
                <w:w w:val="100"/>
                <w:position w:val="0"/>
              </w:rPr>
              <w:t>类别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00"/>
              <w:jc w:val="left"/>
            </w:pPr>
            <w:r>
              <w:rPr>
                <w:color w:val="000000"/>
                <w:spacing w:val="0"/>
                <w:w w:val="100"/>
                <w:position w:val="0"/>
              </w:rPr>
              <w:t>折旧方法</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折旧年限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3-10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2.25-4.85</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3-10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11.25-19.40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电子及机器设备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3-10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9-32.33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检测设备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办公设备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3-10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7.50-19.40</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工装模具</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w:t>
            </w:r>
          </w:p>
        </w:tc>
      </w:tr>
    </w:tbl>
    <w:p>
      <w:pPr>
        <w:pStyle w:val="Style47"/>
        <w:keepNext/>
        <w:keepLines/>
        <w:widowControl w:val="0"/>
        <w:shd w:val="clear" w:color="auto" w:fill="auto"/>
        <w:bidi w:val="0"/>
        <w:spacing w:before="0" w:after="300" w:line="311" w:lineRule="exact"/>
        <w:ind w:left="0" w:right="0" w:firstLine="520"/>
        <w:jc w:val="left"/>
      </w:pPr>
      <w:bookmarkStart w:id="829" w:name="bookmark829"/>
      <w:bookmarkStart w:id="830" w:name="bookmark830"/>
      <w:bookmarkStart w:id="831" w:name="bookmark831"/>
      <w:bookmarkStart w:id="832" w:name="bookmark832"/>
      <w:r>
        <w:rPr>
          <w:color w:val="000000"/>
          <w:spacing w:val="0"/>
          <w:w w:val="100"/>
          <w:position w:val="0"/>
        </w:rPr>
        <w:t>（</w:t>
      </w:r>
      <w:bookmarkEnd w:id="831"/>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829"/>
      <w:bookmarkEnd w:id="830"/>
      <w:bookmarkEnd w:id="832"/>
    </w:p>
    <w:p>
      <w:pPr>
        <w:pStyle w:val="Style33"/>
        <w:keepNext w:val="0"/>
        <w:keepLines w:val="0"/>
        <w:widowControl w:val="0"/>
        <w:shd w:val="clear" w:color="auto" w:fill="auto"/>
        <w:bidi w:val="0"/>
        <w:spacing w:before="0" w:after="300" w:line="312" w:lineRule="exact"/>
        <w:ind w:left="0" w:right="0" w:firstLine="520"/>
        <w:jc w:val="both"/>
      </w:pPr>
      <w:r>
        <w:rPr>
          <w:color w:val="000000"/>
          <w:spacing w:val="0"/>
          <w:w w:val="100"/>
          <w:position w:val="0"/>
        </w:rPr>
        <w:t>公司与租赁方所签订的租赁协议条款中规定了下列条件之一的，确认为融资租入资产：（</w:t>
      </w:r>
      <w:r>
        <w:rPr>
          <w:rFonts w:ascii="Times New Roman" w:eastAsia="Times New Roman" w:hAnsi="Times New Roman" w:cs="Times New Roman"/>
          <w:color w:val="000000"/>
          <w:spacing w:val="0"/>
          <w:w w:val="100"/>
          <w:position w:val="0"/>
        </w:rPr>
        <w:t>1</w:t>
      </w:r>
      <w:r>
        <w:rPr>
          <w:color w:val="000000"/>
          <w:spacing w:val="0"/>
          <w:w w:val="100"/>
          <w:position w:val="0"/>
        </w:rPr>
        <w:t>）租赁期 满后租赁资产的所有权归属于本公司；（</w:t>
      </w:r>
      <w:r>
        <w:rPr>
          <w:rFonts w:ascii="Times New Roman" w:eastAsia="Times New Roman" w:hAnsi="Times New Roman" w:cs="Times New Roman"/>
          <w:color w:val="000000"/>
          <w:spacing w:val="0"/>
          <w:w w:val="100"/>
          <w:position w:val="0"/>
        </w:rPr>
        <w:t>2</w:t>
      </w:r>
      <w:r>
        <w:rPr>
          <w:color w:val="000000"/>
          <w:spacing w:val="0"/>
          <w:w w:val="100"/>
          <w:position w:val="0"/>
        </w:rPr>
        <w:t>）公司具有购买资产的选择权，购买价款远低于行使选择权时 该资产的公允价值；（</w:t>
      </w:r>
      <w:r>
        <w:rPr>
          <w:rFonts w:ascii="Times New Roman" w:eastAsia="Times New Roman" w:hAnsi="Times New Roman" w:cs="Times New Roman"/>
          <w:color w:val="000000"/>
          <w:spacing w:val="0"/>
          <w:w w:val="100"/>
          <w:position w:val="0"/>
        </w:rPr>
        <w:t>3</w:t>
      </w:r>
      <w:r>
        <w:rPr>
          <w:color w:val="000000"/>
          <w:spacing w:val="0"/>
          <w:w w:val="100"/>
          <w:position w:val="0"/>
        </w:rPr>
        <w:t>）租赁期占所租赁资产使用寿命的大部分；（</w:t>
      </w:r>
      <w:r>
        <w:rPr>
          <w:rFonts w:ascii="Times New Roman" w:eastAsia="Times New Roman" w:hAnsi="Times New Roman" w:cs="Times New Roman"/>
          <w:color w:val="000000"/>
          <w:spacing w:val="0"/>
          <w:w w:val="100"/>
          <w:position w:val="0"/>
        </w:rPr>
        <w:t>4</w:t>
      </w:r>
      <w:r>
        <w:rPr>
          <w:color w:val="000000"/>
          <w:spacing w:val="0"/>
          <w:w w:val="100"/>
          <w:position w:val="0"/>
        </w:rPr>
        <w:t>）租赁开始日的最低租赁付款额现 值，与该资产的公允价值不存在较大的差异。公司在承租开始日，将租赁资产公允价值与最低租赁付款 额现值两者中较低者作为租入资产的入账价值，将最低租赁付款额作为长期应付款的入账价值，其差额 作为未确认的融资费。</w:t>
      </w:r>
    </w:p>
    <w:p>
      <w:pPr>
        <w:pStyle w:val="Style30"/>
        <w:keepNext/>
        <w:keepLines/>
        <w:widowControl w:val="0"/>
        <w:shd w:val="clear" w:color="auto" w:fill="auto"/>
        <w:tabs>
          <w:tab w:pos="467" w:val="left"/>
        </w:tabs>
        <w:bidi w:val="0"/>
        <w:spacing w:before="0" w:after="300" w:line="311" w:lineRule="exact"/>
        <w:ind w:left="0" w:right="0" w:firstLine="0"/>
        <w:jc w:val="left"/>
      </w:pPr>
      <w:bookmarkStart w:id="833" w:name="bookmark833"/>
      <w:bookmarkStart w:id="834" w:name="bookmark834"/>
      <w:bookmarkStart w:id="835" w:name="bookmark835"/>
      <w:bookmarkStart w:id="836" w:name="bookmark836"/>
      <w:r>
        <w:rPr>
          <w:rFonts w:ascii="Times New Roman" w:eastAsia="Times New Roman" w:hAnsi="Times New Roman" w:cs="Times New Roman"/>
          <w:color w:val="000000"/>
          <w:spacing w:val="0"/>
          <w:w w:val="100"/>
          <w:position w:val="0"/>
        </w:rPr>
        <w:t>1</w:t>
      </w:r>
      <w:bookmarkEnd w:id="835"/>
      <w:r>
        <w:rPr>
          <w:rFonts w:ascii="Times New Roman" w:eastAsia="Times New Roman" w:hAnsi="Times New Roman" w:cs="Times New Roman"/>
          <w:color w:val="000000"/>
          <w:spacing w:val="0"/>
          <w:w w:val="100"/>
          <w:position w:val="0"/>
        </w:rPr>
        <w:t>6</w:t>
      </w:r>
      <w:r>
        <w:rPr>
          <w:color w:val="000000"/>
          <w:spacing w:val="0"/>
          <w:w w:val="100"/>
          <w:position w:val="0"/>
        </w:rPr>
        <w:t>、</w:t>
        <w:tab/>
        <w:t>在建工程</w:t>
      </w:r>
      <w:bookmarkEnd w:id="833"/>
      <w:bookmarkEnd w:id="834"/>
      <w:bookmarkEnd w:id="836"/>
    </w:p>
    <w:p>
      <w:pPr>
        <w:pStyle w:val="Style33"/>
        <w:keepNext w:val="0"/>
        <w:keepLines w:val="0"/>
        <w:widowControl w:val="0"/>
        <w:shd w:val="clear" w:color="auto" w:fill="auto"/>
        <w:tabs>
          <w:tab w:pos="9333" w:val="left"/>
        </w:tabs>
        <w:bidi w:val="0"/>
        <w:spacing w:before="0" w:after="0" w:line="311" w:lineRule="exact"/>
        <w:ind w:left="0" w:right="0" w:firstLine="520"/>
        <w:jc w:val="left"/>
      </w:pPr>
      <w:r>
        <w:rPr>
          <w:color w:val="000000"/>
          <w:spacing w:val="0"/>
          <w:w w:val="100"/>
          <w:position w:val="0"/>
        </w:rPr>
        <w:t>公司是否需要遵守特殊行业的披露要求</w:t>
        <w:tab/>
        <w:t>否</w:t>
      </w:r>
    </w:p>
    <w:p>
      <w:pPr>
        <w:pStyle w:val="Style33"/>
        <w:keepNext w:val="0"/>
        <w:keepLines w:val="0"/>
        <w:widowControl w:val="0"/>
        <w:shd w:val="clear" w:color="auto" w:fill="auto"/>
        <w:bidi w:val="0"/>
        <w:spacing w:before="0" w:after="300" w:line="312" w:lineRule="exact"/>
        <w:ind w:left="0" w:right="0" w:firstLine="520"/>
        <w:jc w:val="left"/>
      </w:pPr>
      <w:r>
        <w:rPr>
          <w:color w:val="000000"/>
          <w:spacing w:val="0"/>
          <w:w w:val="100"/>
          <w:position w:val="0"/>
        </w:rPr>
        <w:t>在建工程项目按建造该项资产达到预定可使用状态前所发生的必要支出，作为固定资产的入账价值。 所建造的固定资产在工程已达到预定可使用状态，但尚未办理竣工决算的，自达到预定可使用状态之日起, 根据工程预算、造价或者工程实际成本等，按估计的价值转入固定资产，并按本公司固定资产折旧政策计 提固定资产的折旧，待办理竣工决算后，再按实际成本调整原来的暂估价值，但不调整原己计提的折旧额。</w:t>
      </w:r>
    </w:p>
    <w:p>
      <w:pPr>
        <w:pStyle w:val="Style30"/>
        <w:keepNext/>
        <w:keepLines/>
        <w:widowControl w:val="0"/>
        <w:shd w:val="clear" w:color="auto" w:fill="auto"/>
        <w:tabs>
          <w:tab w:pos="467" w:val="left"/>
        </w:tabs>
        <w:bidi w:val="0"/>
        <w:spacing w:before="0" w:after="300" w:line="311" w:lineRule="exact"/>
        <w:ind w:left="0" w:right="0" w:firstLine="0"/>
        <w:jc w:val="left"/>
      </w:pPr>
      <w:bookmarkStart w:id="837" w:name="bookmark837"/>
      <w:bookmarkStart w:id="838" w:name="bookmark838"/>
      <w:bookmarkStart w:id="839" w:name="bookmark839"/>
      <w:bookmarkStart w:id="840" w:name="bookmark840"/>
      <w:r>
        <w:rPr>
          <w:rFonts w:ascii="Times New Roman" w:eastAsia="Times New Roman" w:hAnsi="Times New Roman" w:cs="Times New Roman"/>
          <w:color w:val="000000"/>
          <w:spacing w:val="0"/>
          <w:w w:val="100"/>
          <w:position w:val="0"/>
        </w:rPr>
        <w:t>1</w:t>
      </w:r>
      <w:bookmarkEnd w:id="839"/>
      <w:r>
        <w:rPr>
          <w:rFonts w:ascii="Times New Roman" w:eastAsia="Times New Roman" w:hAnsi="Times New Roman" w:cs="Times New Roman"/>
          <w:color w:val="000000"/>
          <w:spacing w:val="0"/>
          <w:w w:val="100"/>
          <w:position w:val="0"/>
        </w:rPr>
        <w:t>7</w:t>
      </w:r>
      <w:r>
        <w:rPr>
          <w:color w:val="000000"/>
          <w:spacing w:val="0"/>
          <w:w w:val="100"/>
          <w:position w:val="0"/>
        </w:rPr>
        <w:t>、</w:t>
        <w:tab/>
        <w:t>无形资产</w:t>
      </w:r>
      <w:bookmarkEnd w:id="837"/>
      <w:bookmarkEnd w:id="838"/>
      <w:bookmarkEnd w:id="840"/>
    </w:p>
    <w:p>
      <w:pPr>
        <w:pStyle w:val="Style47"/>
        <w:keepNext/>
        <w:keepLines/>
        <w:widowControl w:val="0"/>
        <w:shd w:val="clear" w:color="auto" w:fill="auto"/>
        <w:bidi w:val="0"/>
        <w:spacing w:before="0" w:after="300" w:line="311" w:lineRule="exact"/>
        <w:ind w:left="0" w:right="0" w:firstLine="520"/>
        <w:jc w:val="left"/>
      </w:pPr>
      <w:bookmarkStart w:id="841" w:name="bookmark841"/>
      <w:bookmarkStart w:id="842" w:name="bookmark842"/>
      <w:bookmarkStart w:id="843" w:name="bookmark843"/>
      <w:bookmarkStart w:id="844" w:name="bookmark844"/>
      <w:r>
        <w:rPr>
          <w:color w:val="000000"/>
          <w:spacing w:val="0"/>
          <w:w w:val="100"/>
          <w:position w:val="0"/>
        </w:rPr>
        <w:t>（</w:t>
      </w:r>
      <w:bookmarkEnd w:id="843"/>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841"/>
      <w:bookmarkEnd w:id="842"/>
      <w:bookmarkEnd w:id="844"/>
    </w:p>
    <w:p>
      <w:pPr>
        <w:pStyle w:val="Style47"/>
        <w:keepNext/>
        <w:keepLines/>
        <w:widowControl w:val="0"/>
        <w:shd w:val="clear" w:color="auto" w:fill="auto"/>
        <w:bidi w:val="0"/>
        <w:spacing w:before="0" w:after="0" w:line="311" w:lineRule="exact"/>
        <w:ind w:left="0" w:right="0" w:firstLine="520"/>
        <w:jc w:val="left"/>
      </w:pPr>
      <w:bookmarkStart w:id="841" w:name="bookmark841"/>
      <w:bookmarkStart w:id="842" w:name="bookmark842"/>
      <w:r>
        <w:rPr>
          <w:color w:val="000000"/>
          <w:spacing w:val="0"/>
          <w:w w:val="100"/>
          <w:position w:val="0"/>
        </w:rPr>
        <w:t>计价方法：</w:t>
      </w:r>
      <w:bookmarkEnd w:id="841"/>
      <w:bookmarkEnd w:id="842"/>
    </w:p>
    <w:p>
      <w:pPr>
        <w:pStyle w:val="Style47"/>
        <w:keepNext/>
        <w:keepLines/>
        <w:widowControl w:val="0"/>
        <w:shd w:val="clear" w:color="auto" w:fill="auto"/>
        <w:tabs>
          <w:tab w:pos="1006" w:val="left"/>
        </w:tabs>
        <w:bidi w:val="0"/>
        <w:spacing w:before="0" w:after="0" w:line="311" w:lineRule="exact"/>
        <w:ind w:left="0" w:right="0" w:firstLine="520"/>
        <w:jc w:val="left"/>
      </w:pPr>
      <w:bookmarkStart w:id="841" w:name="bookmark841"/>
      <w:bookmarkStart w:id="842" w:name="bookmark842"/>
      <w:bookmarkStart w:id="845" w:name="bookmark845"/>
      <w:r>
        <w:rPr>
          <w:color w:val="000000"/>
          <w:spacing w:val="0"/>
          <w:w w:val="100"/>
          <w:position w:val="0"/>
        </w:rPr>
        <w:t>（</w:t>
      </w:r>
      <w:bookmarkEnd w:id="845"/>
      <w:r>
        <w:rPr>
          <w:rFonts w:ascii="Times New Roman" w:eastAsia="Times New Roman" w:hAnsi="Times New Roman" w:cs="Times New Roman"/>
          <w:color w:val="000000"/>
          <w:spacing w:val="0"/>
          <w:w w:val="100"/>
          <w:position w:val="0"/>
        </w:rPr>
        <w:t>1</w:t>
      </w:r>
      <w:r>
        <w:rPr>
          <w:color w:val="000000"/>
          <w:spacing w:val="0"/>
          <w:w w:val="100"/>
          <w:position w:val="0"/>
        </w:rPr>
        <w:t>）</w:t>
        <w:tab/>
        <w:t>公司取得无形资产时按成本进行初始计量；</w:t>
      </w:r>
      <w:bookmarkEnd w:id="841"/>
      <w:bookmarkEnd w:id="842"/>
    </w:p>
    <w:p>
      <w:pPr>
        <w:pStyle w:val="Style33"/>
        <w:keepNext w:val="0"/>
        <w:keepLines w:val="0"/>
        <w:widowControl w:val="0"/>
        <w:shd w:val="clear" w:color="auto" w:fill="auto"/>
        <w:bidi w:val="0"/>
        <w:spacing w:before="0" w:after="0" w:line="311" w:lineRule="exact"/>
        <w:ind w:left="0" w:right="0" w:firstLine="520"/>
        <w:jc w:val="both"/>
      </w:pPr>
      <w:r>
        <w:rPr>
          <w:color w:val="000000"/>
          <w:spacing w:val="0"/>
          <w:w w:val="100"/>
          <w:position w:val="0"/>
        </w:rPr>
        <w:t>外购无形资产的成本，包括购买价款、相关税费以及直接归属于使该项资产达到预定用途所发生的其 他支出。购买无形资产的价款超过正常信用条件延期支付，实质上具有融资性质的，无形资产的成本以购 买价款的现值为基础确定。</w:t>
      </w:r>
    </w:p>
    <w:p>
      <w:pPr>
        <w:pStyle w:val="Style33"/>
        <w:keepNext w:val="0"/>
        <w:keepLines w:val="0"/>
        <w:widowControl w:val="0"/>
        <w:shd w:val="clear" w:color="auto" w:fill="auto"/>
        <w:bidi w:val="0"/>
        <w:spacing w:before="0" w:after="0" w:line="311" w:lineRule="exact"/>
        <w:ind w:left="0" w:right="0" w:firstLine="520"/>
        <w:jc w:val="both"/>
      </w:pPr>
      <w:r>
        <w:rPr>
          <w:color w:val="000000"/>
          <w:spacing w:val="0"/>
          <w:w w:val="100"/>
          <w:position w:val="0"/>
        </w:rPr>
        <w:t>债务重组取得债务人用以抵债的无形资产，以该无形资产的公允价值为基础确定其入账价值，并将重 组债务的账面价值与该用以抵债的无形资产公允价值之间的差额，计入当期损益。</w:t>
      </w:r>
    </w:p>
    <w:p>
      <w:pPr>
        <w:pStyle w:val="Style33"/>
        <w:keepNext w:val="0"/>
        <w:keepLines w:val="0"/>
        <w:widowControl w:val="0"/>
        <w:shd w:val="clear" w:color="auto" w:fill="auto"/>
        <w:bidi w:val="0"/>
        <w:spacing w:before="0" w:after="0" w:line="311" w:lineRule="exact"/>
        <w:ind w:left="0" w:right="0" w:firstLine="520"/>
        <w:jc w:val="both"/>
      </w:pPr>
      <w:r>
        <w:rPr>
          <w:color w:val="000000"/>
          <w:spacing w:val="0"/>
          <w:w w:val="100"/>
          <w:position w:val="0"/>
        </w:rPr>
        <w:t>在非货币性资产交换具备商业实质且换入资产或换出资产的公允价值能够可靠计量的前提下，非货币 性资产交换换入的无形资产以换出资产的公允价值为基础确定其入账价值，除非有确凿证据表明换入资产 的公允价值更加可靠；不满足上述前提的非货币性资产交换，以换出资产的账面价值和应支付的相关税费 作为换入无形资产的成本，不确认损益。</w:t>
      </w:r>
    </w:p>
    <w:p>
      <w:pPr>
        <w:pStyle w:val="Style33"/>
        <w:keepNext w:val="0"/>
        <w:keepLines w:val="0"/>
        <w:widowControl w:val="0"/>
        <w:shd w:val="clear" w:color="auto" w:fill="auto"/>
        <w:tabs>
          <w:tab w:pos="1006" w:val="left"/>
        </w:tabs>
        <w:bidi w:val="0"/>
        <w:spacing w:before="0" w:after="0" w:line="311" w:lineRule="exact"/>
        <w:ind w:left="0" w:right="0" w:firstLine="520"/>
        <w:jc w:val="left"/>
      </w:pPr>
      <w:bookmarkStart w:id="846" w:name="bookmark846"/>
      <w:r>
        <w:rPr>
          <w:b/>
          <w:bCs/>
          <w:color w:val="000000"/>
          <w:spacing w:val="0"/>
          <w:w w:val="100"/>
          <w:position w:val="0"/>
        </w:rPr>
        <w:t>（</w:t>
      </w:r>
      <w:bookmarkEnd w:id="846"/>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后续计量</w:t>
      </w:r>
    </w:p>
    <w:p>
      <w:pPr>
        <w:pStyle w:val="Style33"/>
        <w:keepNext w:val="0"/>
        <w:keepLines w:val="0"/>
        <w:widowControl w:val="0"/>
        <w:shd w:val="clear" w:color="auto" w:fill="auto"/>
        <w:bidi w:val="0"/>
        <w:spacing w:before="0" w:after="0" w:line="311" w:lineRule="exact"/>
        <w:ind w:left="0" w:right="0" w:firstLine="520"/>
        <w:jc w:val="left"/>
      </w:pPr>
      <w:r>
        <w:rPr>
          <w:color w:val="000000"/>
          <w:spacing w:val="0"/>
          <w:w w:val="100"/>
          <w:position w:val="0"/>
        </w:rPr>
        <w:t>在取得无形资产时分析判断其使用寿命。</w:t>
      </w:r>
    </w:p>
    <w:p>
      <w:pPr>
        <w:pStyle w:val="Style33"/>
        <w:keepNext w:val="0"/>
        <w:keepLines w:val="0"/>
        <w:widowControl w:val="0"/>
        <w:shd w:val="clear" w:color="auto" w:fill="auto"/>
        <w:bidi w:val="0"/>
        <w:spacing w:before="0" w:after="380" w:line="311" w:lineRule="exact"/>
        <w:ind w:left="0" w:right="0" w:firstLine="520"/>
        <w:jc w:val="left"/>
      </w:pPr>
      <w:r>
        <w:rPr>
          <w:color w:val="000000"/>
          <w:spacing w:val="0"/>
          <w:w w:val="100"/>
          <w:position w:val="0"/>
        </w:rPr>
        <w:t>对于使用寿命有限的无形资产，在为企业带来经济利益的期限内按直线法摊销；无法预见无形资产为 企业带来经济利益期限的，视为使用寿命不确定的无形资产，不予摊销。</w:t>
      </w:r>
    </w:p>
    <w:p>
      <w:pPr>
        <w:pStyle w:val="Style26"/>
        <w:keepNext w:val="0"/>
        <w:keepLines w:val="0"/>
        <w:widowControl w:val="0"/>
        <w:shd w:val="clear" w:color="auto" w:fill="auto"/>
        <w:bidi w:val="0"/>
        <w:spacing w:before="0" w:after="0" w:line="240" w:lineRule="auto"/>
        <w:ind w:left="509" w:right="0" w:firstLine="0"/>
        <w:jc w:val="left"/>
      </w:pPr>
      <w:r>
        <w:rPr>
          <w:b/>
          <w:bCs/>
          <w:color w:val="000000"/>
          <w:spacing w:val="0"/>
          <w:w w:val="100"/>
          <w:position w:val="0"/>
        </w:rPr>
        <w:t>使用寿命有限的无形资产的使用寿命估计情况:</w:t>
      </w:r>
    </w:p>
    <w:tbl>
      <w:tblPr>
        <w:tblOverlap w:val="never"/>
        <w:jc w:val="center"/>
        <w:tblLayout w:type="fixed"/>
      </w:tblPr>
      <w:tblGrid>
        <w:gridCol w:w="2842"/>
        <w:gridCol w:w="2554"/>
        <w:gridCol w:w="4262"/>
      </w:tblGrid>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依据</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50</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土地使用权证规定的使用年限</w:t>
            </w: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商标注册费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10</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3-5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合同、行业情况及企业历史经验</w:t>
            </w:r>
          </w:p>
        </w:tc>
      </w:tr>
      <w:tr>
        <w:trPr>
          <w:trHeight w:val="31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特许经营权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10</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w:t>
            </w:r>
          </w:p>
        </w:tc>
      </w:tr>
      <w:tr>
        <w:trPr>
          <w:trHeight w:val="33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10</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w:t>
            </w:r>
          </w:p>
        </w:tc>
      </w:tr>
    </w:tbl>
    <w:p>
      <w:pPr>
        <w:pStyle w:val="Style33"/>
        <w:keepNext w:val="0"/>
        <w:keepLines w:val="0"/>
        <w:widowControl w:val="0"/>
        <w:shd w:val="clear" w:color="auto" w:fill="auto"/>
        <w:bidi w:val="0"/>
        <w:spacing w:before="0" w:after="360" w:line="312" w:lineRule="exact"/>
        <w:ind w:left="520" w:right="0" w:firstLine="0"/>
        <w:jc w:val="left"/>
      </w:pPr>
      <w:r>
        <w:rPr>
          <w:color w:val="000000"/>
          <w:spacing w:val="0"/>
          <w:w w:val="100"/>
          <w:position w:val="0"/>
        </w:rPr>
        <w:t>每年度终了，对使用寿命有限的无形资产的使用寿命及摊销方法进行复核。 经复核，本年期末无形资产的使用寿命及摊销方法与以前估计未有不同。</w:t>
      </w:r>
    </w:p>
    <w:p>
      <w:pPr>
        <w:pStyle w:val="Style26"/>
        <w:keepNext w:val="0"/>
        <w:keepLines w:val="0"/>
        <w:widowControl w:val="0"/>
        <w:shd w:val="clear" w:color="auto" w:fill="auto"/>
        <w:bidi w:val="0"/>
        <w:spacing w:before="0" w:after="0" w:line="240" w:lineRule="auto"/>
        <w:ind w:left="509" w:right="0" w:firstLine="0"/>
        <w:jc w:val="left"/>
      </w:pPr>
      <w:r>
        <w:rPr>
          <w:b/>
          <w:bCs/>
          <w:color w:val="000000"/>
          <w:spacing w:val="0"/>
          <w:w w:val="100"/>
          <w:position w:val="0"/>
        </w:rPr>
        <w:t>使用寿命有限的无形资产的使用寿命估计情况:</w:t>
      </w:r>
    </w:p>
    <w:tbl>
      <w:tblPr>
        <w:tblOverlap w:val="never"/>
        <w:jc w:val="center"/>
        <w:tblLayout w:type="fixed"/>
      </w:tblPr>
      <w:tblGrid>
        <w:gridCol w:w="2842"/>
        <w:gridCol w:w="2554"/>
        <w:gridCol w:w="4262"/>
      </w:tblGrid>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50</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土地使用权证规定的使用年限</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商标注册费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10</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合同、行业情况及企业历史经验</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特许经营权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10</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w:t>
            </w: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10</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w:t>
            </w:r>
          </w:p>
        </w:tc>
      </w:tr>
    </w:tbl>
    <w:p>
      <w:pPr>
        <w:pStyle w:val="Style26"/>
        <w:keepNext w:val="0"/>
        <w:keepLines w:val="0"/>
        <w:widowControl w:val="0"/>
        <w:shd w:val="clear" w:color="auto" w:fill="auto"/>
        <w:bidi w:val="0"/>
        <w:spacing w:before="0" w:after="0" w:line="312" w:lineRule="exact"/>
        <w:ind w:left="509" w:right="0" w:firstLine="0"/>
        <w:jc w:val="left"/>
      </w:pPr>
      <w:r>
        <w:rPr>
          <w:color w:val="000000"/>
          <w:spacing w:val="0"/>
          <w:w w:val="100"/>
          <w:position w:val="0"/>
        </w:rPr>
        <w:t>每年度终了，对使用寿命有限的无形资产的使用寿命及摊销方法进行复核。 经复核，本年期末无形资产的使用寿命及摊销方法与以前估计未有不同。</w:t>
      </w:r>
    </w:p>
    <w:p>
      <w:pPr>
        <w:widowControl w:val="0"/>
        <w:spacing w:after="359" w:line="1" w:lineRule="exact"/>
      </w:pPr>
    </w:p>
    <w:p>
      <w:pPr>
        <w:pStyle w:val="Style33"/>
        <w:keepNext w:val="0"/>
        <w:keepLines w:val="0"/>
        <w:widowControl w:val="0"/>
        <w:shd w:val="clear" w:color="auto" w:fill="auto"/>
        <w:bidi w:val="0"/>
        <w:spacing w:before="0" w:after="60" w:line="240" w:lineRule="auto"/>
        <w:ind w:left="0" w:right="0" w:firstLine="520"/>
        <w:jc w:val="left"/>
      </w:pPr>
      <w:r>
        <w:rPr>
          <w:b/>
          <w:bCs/>
          <w:color w:val="000000"/>
          <w:spacing w:val="0"/>
          <w:w w:val="100"/>
          <w:position w:val="0"/>
        </w:rPr>
        <w:t>使用寿命不确定的无形资产的判断依据以及对其使用寿命进行复核的程序</w:t>
      </w:r>
    </w:p>
    <w:p>
      <w:pPr>
        <w:pStyle w:val="Style33"/>
        <w:keepNext w:val="0"/>
        <w:keepLines w:val="0"/>
        <w:widowControl w:val="0"/>
        <w:shd w:val="clear" w:color="auto" w:fill="auto"/>
        <w:bidi w:val="0"/>
        <w:spacing w:before="0" w:after="60" w:line="240" w:lineRule="auto"/>
        <w:ind w:left="0" w:right="0" w:firstLine="520"/>
        <w:jc w:val="left"/>
      </w:pPr>
      <w:r>
        <w:rPr>
          <w:color w:val="000000"/>
          <w:spacing w:val="0"/>
          <w:w w:val="100"/>
          <w:position w:val="0"/>
        </w:rPr>
        <w:t>每期末，对使用寿命不确定的无形资产的使用寿命进行复核。</w:t>
      </w:r>
    </w:p>
    <w:p>
      <w:pPr>
        <w:pStyle w:val="Style33"/>
        <w:keepNext w:val="0"/>
        <w:keepLines w:val="0"/>
        <w:widowControl w:val="0"/>
        <w:shd w:val="clear" w:color="auto" w:fill="auto"/>
        <w:bidi w:val="0"/>
        <w:spacing w:before="0" w:after="60" w:line="240" w:lineRule="auto"/>
        <w:ind w:left="0" w:right="0" w:firstLine="520"/>
        <w:jc w:val="left"/>
      </w:pPr>
      <w:r>
        <w:rPr>
          <w:color w:val="000000"/>
          <w:spacing w:val="0"/>
          <w:w w:val="100"/>
          <w:position w:val="0"/>
        </w:rPr>
        <w:t>经复核，该类无形资产的使用寿命仍为不确定，则在下一会计期间继续作为使用寿命不确定的无形资</w:t>
      </w:r>
    </w:p>
    <w:p>
      <w:pPr>
        <w:pStyle w:val="Style26"/>
        <w:keepNext w:val="0"/>
        <w:keepLines w:val="0"/>
        <w:widowControl w:val="0"/>
        <w:shd w:val="clear" w:color="auto" w:fill="auto"/>
        <w:bidi w:val="0"/>
        <w:spacing w:before="0" w:after="0" w:line="240" w:lineRule="auto"/>
        <w:ind w:left="86" w:right="0" w:firstLine="0"/>
        <w:jc w:val="left"/>
      </w:pPr>
      <w:r>
        <w:rPr>
          <w:color w:val="000000"/>
          <w:spacing w:val="0"/>
          <w:w w:val="100"/>
          <w:position w:val="0"/>
        </w:rPr>
        <w:t>产核算。</w:t>
      </w:r>
    </w:p>
    <w:tbl>
      <w:tblPr>
        <w:tblOverlap w:val="never"/>
        <w:jc w:val="center"/>
        <w:tblLayout w:type="fixed"/>
      </w:tblPr>
      <w:tblGrid>
        <w:gridCol w:w="4157"/>
        <w:gridCol w:w="5501"/>
      </w:tblGrid>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资产类别</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交易席位费</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席位使用无期限的限制</w:t>
            </w:r>
          </w:p>
        </w:tc>
      </w:tr>
      <w:tr>
        <w:trPr>
          <w:trHeight w:val="33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期货会员资格</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会员资格使用无期限的限制</w:t>
            </w:r>
          </w:p>
        </w:tc>
      </w:tr>
    </w:tbl>
    <w:p>
      <w:pPr>
        <w:pStyle w:val="Style26"/>
        <w:keepNext w:val="0"/>
        <w:keepLines w:val="0"/>
        <w:widowControl w:val="0"/>
        <w:shd w:val="clear" w:color="auto" w:fill="auto"/>
        <w:bidi w:val="0"/>
        <w:spacing w:before="0" w:after="0" w:line="240" w:lineRule="auto"/>
        <w:ind w:left="0" w:right="0" w:firstLine="0"/>
        <w:jc w:val="center"/>
      </w:pPr>
      <w:bookmarkStart w:id="847" w:name="bookmark847"/>
      <w:r>
        <w:rPr>
          <w:b/>
          <w:bCs/>
          <w:color w:val="000000"/>
          <w:spacing w:val="0"/>
          <w:w w:val="100"/>
          <w:position w:val="0"/>
        </w:rPr>
        <w:t>（</w:t>
      </w:r>
      <w:r>
        <w:rPr>
          <w:rFonts w:ascii="Times New Roman" w:eastAsia="Times New Roman" w:hAnsi="Times New Roman" w:cs="Times New Roman"/>
          <w:b/>
          <w:bCs/>
          <w:color w:val="000000"/>
          <w:spacing w:val="0"/>
          <w:w w:val="100"/>
          <w:position w:val="0"/>
        </w:rPr>
        <w:t>2</w:t>
      </w:r>
      <w:r>
        <w:rPr>
          <w:b/>
          <w:bCs/>
          <w:color w:val="000000"/>
          <w:spacing w:val="0"/>
          <w:w w:val="100"/>
          <w:position w:val="0"/>
        </w:rPr>
        <w:t>）内部研究开发支出会计政策</w:t>
      </w:r>
      <w:bookmarkEnd w:id="847"/>
    </w:p>
    <w:p>
      <w:pPr>
        <w:widowControl w:val="0"/>
        <w:spacing w:after="259" w:line="1" w:lineRule="exact"/>
      </w:pPr>
    </w:p>
    <w:p>
      <w:pPr>
        <w:pStyle w:val="Style33"/>
        <w:keepNext w:val="0"/>
        <w:keepLines w:val="0"/>
        <w:widowControl w:val="0"/>
        <w:shd w:val="clear" w:color="auto" w:fill="auto"/>
        <w:bidi w:val="0"/>
        <w:spacing w:before="0" w:after="0" w:line="315" w:lineRule="exact"/>
        <w:ind w:left="0" w:right="0" w:firstLine="520"/>
        <w:jc w:val="left"/>
      </w:pPr>
      <w:r>
        <w:rPr>
          <w:b/>
          <w:bCs/>
          <w:color w:val="000000"/>
          <w:spacing w:val="0"/>
          <w:w w:val="100"/>
          <w:position w:val="0"/>
        </w:rPr>
        <w:t>划分研究阶段和开发阶段的具体标准</w:t>
      </w:r>
    </w:p>
    <w:p>
      <w:pPr>
        <w:pStyle w:val="Style33"/>
        <w:keepNext w:val="0"/>
        <w:keepLines w:val="0"/>
        <w:widowControl w:val="0"/>
        <w:shd w:val="clear" w:color="auto" w:fill="auto"/>
        <w:bidi w:val="0"/>
        <w:spacing w:before="0" w:after="0" w:line="315" w:lineRule="exact"/>
        <w:ind w:left="0" w:right="0" w:firstLine="520"/>
        <w:jc w:val="left"/>
      </w:pPr>
      <w:r>
        <w:rPr>
          <w:color w:val="000000"/>
          <w:spacing w:val="0"/>
          <w:w w:val="100"/>
          <w:position w:val="0"/>
        </w:rPr>
        <w:t>公司内部研究开发项目的支出分为研究阶段支出和开发阶段支出。</w:t>
      </w:r>
    </w:p>
    <w:p>
      <w:pPr>
        <w:pStyle w:val="Style33"/>
        <w:keepNext w:val="0"/>
        <w:keepLines w:val="0"/>
        <w:widowControl w:val="0"/>
        <w:shd w:val="clear" w:color="auto" w:fill="auto"/>
        <w:bidi w:val="0"/>
        <w:spacing w:before="0" w:after="0" w:line="315" w:lineRule="exact"/>
        <w:ind w:left="0" w:right="0" w:firstLine="520"/>
        <w:jc w:val="left"/>
      </w:pPr>
      <w:r>
        <w:rPr>
          <w:color w:val="000000"/>
          <w:spacing w:val="0"/>
          <w:w w:val="100"/>
          <w:position w:val="0"/>
        </w:rPr>
        <w:t>研究阶段：为获取并理解新的科学或技术知识等而进行的独创性的有计划调查、研究活动的阶段。 开发阶段：在进行商业性生产或使用前，将研究成果或其他知识应用于某项计划或设计，以生产出新 的或具有实质性改进的材料、装置、产品等活动的阶段。</w:t>
      </w:r>
    </w:p>
    <w:p>
      <w:pPr>
        <w:pStyle w:val="Style33"/>
        <w:keepNext w:val="0"/>
        <w:keepLines w:val="0"/>
        <w:widowControl w:val="0"/>
        <w:shd w:val="clear" w:color="auto" w:fill="auto"/>
        <w:bidi w:val="0"/>
        <w:spacing w:before="0" w:after="0" w:line="315" w:lineRule="exact"/>
        <w:ind w:left="0" w:right="0" w:firstLine="520"/>
        <w:jc w:val="left"/>
      </w:pPr>
      <w:r>
        <w:rPr>
          <w:b/>
          <w:bCs/>
          <w:color w:val="000000"/>
          <w:spacing w:val="0"/>
          <w:w w:val="100"/>
          <w:position w:val="0"/>
        </w:rPr>
        <w:t>开发阶段支出资本化的具体条件</w:t>
      </w:r>
    </w:p>
    <w:p>
      <w:pPr>
        <w:pStyle w:val="Style33"/>
        <w:keepNext w:val="0"/>
        <w:keepLines w:val="0"/>
        <w:widowControl w:val="0"/>
        <w:shd w:val="clear" w:color="auto" w:fill="auto"/>
        <w:bidi w:val="0"/>
        <w:spacing w:before="0" w:after="0" w:line="315" w:lineRule="exact"/>
        <w:ind w:left="0" w:right="0" w:firstLine="520"/>
        <w:jc w:val="left"/>
      </w:pPr>
      <w:r>
        <w:rPr>
          <w:color w:val="000000"/>
          <w:spacing w:val="0"/>
          <w:w w:val="100"/>
          <w:position w:val="0"/>
        </w:rPr>
        <w:t>内部研究开发项目开发阶段的支出，同时满足下列条件时确认为无形资产：</w:t>
      </w:r>
    </w:p>
    <w:p>
      <w:pPr>
        <w:pStyle w:val="Style33"/>
        <w:keepNext w:val="0"/>
        <w:keepLines w:val="0"/>
        <w:widowControl w:val="0"/>
        <w:shd w:val="clear" w:color="auto" w:fill="auto"/>
        <w:tabs>
          <w:tab w:pos="1008" w:val="left"/>
        </w:tabs>
        <w:bidi w:val="0"/>
        <w:spacing w:before="0" w:after="0" w:line="315" w:lineRule="exact"/>
        <w:ind w:left="0" w:right="0" w:firstLine="520"/>
        <w:jc w:val="left"/>
      </w:pPr>
      <w:bookmarkStart w:id="848" w:name="bookmark848"/>
      <w:r>
        <w:rPr>
          <w:color w:val="000000"/>
          <w:spacing w:val="0"/>
          <w:w w:val="100"/>
          <w:position w:val="0"/>
        </w:rPr>
        <w:t>（</w:t>
      </w:r>
      <w:bookmarkEnd w:id="848"/>
      <w:r>
        <w:rPr>
          <w:rFonts w:ascii="Times New Roman" w:eastAsia="Times New Roman" w:hAnsi="Times New Roman" w:cs="Times New Roman"/>
          <w:color w:val="000000"/>
          <w:spacing w:val="0"/>
          <w:w w:val="100"/>
          <w:position w:val="0"/>
        </w:rPr>
        <w:t>1</w:t>
      </w:r>
      <w:r>
        <w:rPr>
          <w:color w:val="000000"/>
          <w:spacing w:val="0"/>
          <w:w w:val="100"/>
          <w:position w:val="0"/>
        </w:rPr>
        <w:t>）</w:t>
        <w:tab/>
        <w:t>完成该无形资产以使其能够使用或出售在技术上具有可行性；</w:t>
      </w:r>
    </w:p>
    <w:p>
      <w:pPr>
        <w:pStyle w:val="Style33"/>
        <w:keepNext w:val="0"/>
        <w:keepLines w:val="0"/>
        <w:widowControl w:val="0"/>
        <w:shd w:val="clear" w:color="auto" w:fill="auto"/>
        <w:tabs>
          <w:tab w:pos="1008" w:val="left"/>
        </w:tabs>
        <w:bidi w:val="0"/>
        <w:spacing w:before="0" w:after="0" w:line="315" w:lineRule="exact"/>
        <w:ind w:left="0" w:right="0" w:firstLine="520"/>
        <w:jc w:val="left"/>
      </w:pPr>
      <w:bookmarkStart w:id="849" w:name="bookmark849"/>
      <w:r>
        <w:rPr>
          <w:color w:val="000000"/>
          <w:spacing w:val="0"/>
          <w:w w:val="100"/>
          <w:position w:val="0"/>
        </w:rPr>
        <w:t>（</w:t>
      </w:r>
      <w:bookmarkEnd w:id="849"/>
      <w:r>
        <w:rPr>
          <w:rFonts w:ascii="Times New Roman" w:eastAsia="Times New Roman" w:hAnsi="Times New Roman" w:cs="Times New Roman"/>
          <w:color w:val="000000"/>
          <w:spacing w:val="0"/>
          <w:w w:val="100"/>
          <w:position w:val="0"/>
        </w:rPr>
        <w:t>2</w:t>
      </w:r>
      <w:r>
        <w:rPr>
          <w:color w:val="000000"/>
          <w:spacing w:val="0"/>
          <w:w w:val="100"/>
          <w:position w:val="0"/>
        </w:rPr>
        <w:t>）</w:t>
        <w:tab/>
        <w:t>具有完成该无形资产并使用或出售的意图；</w:t>
      </w:r>
    </w:p>
    <w:p>
      <w:pPr>
        <w:pStyle w:val="Style33"/>
        <w:keepNext w:val="0"/>
        <w:keepLines w:val="0"/>
        <w:widowControl w:val="0"/>
        <w:shd w:val="clear" w:color="auto" w:fill="auto"/>
        <w:bidi w:val="0"/>
        <w:spacing w:before="0" w:after="0" w:line="315" w:lineRule="exact"/>
        <w:ind w:left="0" w:right="0" w:firstLine="520"/>
        <w:jc w:val="both"/>
      </w:pPr>
      <w:bookmarkStart w:id="850" w:name="bookmark850"/>
      <w:r>
        <w:rPr>
          <w:color w:val="000000"/>
          <w:spacing w:val="0"/>
          <w:w w:val="100"/>
          <w:position w:val="0"/>
        </w:rPr>
        <w:t>（</w:t>
      </w:r>
      <w:bookmarkEnd w:id="850"/>
      <w:r>
        <w:rPr>
          <w:rFonts w:ascii="Times New Roman" w:eastAsia="Times New Roman" w:hAnsi="Times New Roman" w:cs="Times New Roman"/>
          <w:color w:val="000000"/>
          <w:spacing w:val="0"/>
          <w:w w:val="100"/>
          <w:position w:val="0"/>
        </w:rPr>
        <w:t>3</w:t>
      </w:r>
      <w:r>
        <w:rPr>
          <w:color w:val="000000"/>
          <w:spacing w:val="0"/>
          <w:w w:val="100"/>
          <w:position w:val="0"/>
        </w:rPr>
        <w:t>） 无形资产产生经济利益的方式，包括能够证明运用该无形资产生产的产品存在市场或无形资产 自身存在市场，无形资产将在内部使用的，能够证明其有用性；</w:t>
      </w:r>
    </w:p>
    <w:p>
      <w:pPr>
        <w:pStyle w:val="Style33"/>
        <w:keepNext w:val="0"/>
        <w:keepLines w:val="0"/>
        <w:widowControl w:val="0"/>
        <w:shd w:val="clear" w:color="auto" w:fill="auto"/>
        <w:tabs>
          <w:tab w:pos="1021" w:val="left"/>
        </w:tabs>
        <w:bidi w:val="0"/>
        <w:spacing w:before="0" w:after="0" w:line="315" w:lineRule="exact"/>
        <w:ind w:left="0" w:right="0" w:firstLine="520"/>
        <w:jc w:val="both"/>
      </w:pPr>
      <w:bookmarkStart w:id="851" w:name="bookmark851"/>
      <w:r>
        <w:rPr>
          <w:color w:val="000000"/>
          <w:spacing w:val="0"/>
          <w:w w:val="100"/>
          <w:position w:val="0"/>
        </w:rPr>
        <w:t>（</w:t>
      </w:r>
      <w:bookmarkEnd w:id="851"/>
      <w:r>
        <w:rPr>
          <w:rFonts w:ascii="Times New Roman" w:eastAsia="Times New Roman" w:hAnsi="Times New Roman" w:cs="Times New Roman"/>
          <w:color w:val="000000"/>
          <w:spacing w:val="0"/>
          <w:w w:val="100"/>
          <w:position w:val="0"/>
        </w:rPr>
        <w:t>4</w:t>
      </w:r>
      <w:r>
        <w:rPr>
          <w:color w:val="000000"/>
          <w:spacing w:val="0"/>
          <w:w w:val="100"/>
          <w:position w:val="0"/>
        </w:rPr>
        <w:t>）</w:t>
        <w:tab/>
        <w:t>有足够的技术、财务资源和其他资源支持，以完成该无形资产的开发，并有能力使用或出售该 无形资产；</w:t>
      </w:r>
    </w:p>
    <w:p>
      <w:pPr>
        <w:pStyle w:val="Style33"/>
        <w:keepNext w:val="0"/>
        <w:keepLines w:val="0"/>
        <w:widowControl w:val="0"/>
        <w:shd w:val="clear" w:color="auto" w:fill="auto"/>
        <w:tabs>
          <w:tab w:pos="1008" w:val="left"/>
        </w:tabs>
        <w:bidi w:val="0"/>
        <w:spacing w:before="0" w:after="0" w:line="315" w:lineRule="exact"/>
        <w:ind w:left="0" w:right="0" w:firstLine="520"/>
        <w:jc w:val="left"/>
      </w:pPr>
      <w:bookmarkStart w:id="852" w:name="bookmark852"/>
      <w:r>
        <w:rPr>
          <w:color w:val="000000"/>
          <w:spacing w:val="0"/>
          <w:w w:val="100"/>
          <w:position w:val="0"/>
        </w:rPr>
        <w:t>（</w:t>
      </w:r>
      <w:bookmarkEnd w:id="852"/>
      <w:r>
        <w:rPr>
          <w:rFonts w:ascii="Times New Roman" w:eastAsia="Times New Roman" w:hAnsi="Times New Roman" w:cs="Times New Roman"/>
          <w:color w:val="000000"/>
          <w:spacing w:val="0"/>
          <w:w w:val="100"/>
          <w:position w:val="0"/>
        </w:rPr>
        <w:t>5</w:t>
      </w:r>
      <w:r>
        <w:rPr>
          <w:color w:val="000000"/>
          <w:spacing w:val="0"/>
          <w:w w:val="100"/>
          <w:position w:val="0"/>
        </w:rPr>
        <w:t>）</w:t>
        <w:tab/>
        <w:t>归属于该无形资产开发阶段的支出能够可靠地计量。</w:t>
      </w:r>
    </w:p>
    <w:p>
      <w:pPr>
        <w:pStyle w:val="Style33"/>
        <w:keepNext w:val="0"/>
        <w:keepLines w:val="0"/>
        <w:widowControl w:val="0"/>
        <w:shd w:val="clear" w:color="auto" w:fill="auto"/>
        <w:bidi w:val="0"/>
        <w:spacing w:before="0" w:after="360" w:line="315" w:lineRule="exact"/>
        <w:ind w:left="0" w:right="0" w:firstLine="520"/>
        <w:jc w:val="both"/>
      </w:pPr>
      <w:r>
        <w:rPr>
          <w:color w:val="000000"/>
          <w:spacing w:val="0"/>
          <w:w w:val="100"/>
          <w:position w:val="0"/>
        </w:rPr>
        <w:t>开发阶段的支出，若不满足上列条件的，于发生时计入当期损益。研究阶段的支出，在发生时计入当 期损益。</w:t>
      </w:r>
    </w:p>
    <w:p>
      <w:pPr>
        <w:pStyle w:val="Style30"/>
        <w:keepNext/>
        <w:keepLines/>
        <w:widowControl w:val="0"/>
        <w:shd w:val="clear" w:color="auto" w:fill="auto"/>
        <w:bidi w:val="0"/>
        <w:spacing w:before="0" w:after="200" w:line="329" w:lineRule="auto"/>
        <w:ind w:left="0" w:right="0" w:firstLine="0"/>
        <w:jc w:val="left"/>
      </w:pPr>
      <w:bookmarkStart w:id="853" w:name="bookmark853"/>
      <w:bookmarkStart w:id="854" w:name="bookmark854"/>
      <w:bookmarkStart w:id="855" w:name="bookmark855"/>
      <w:bookmarkStart w:id="856" w:name="bookmark856"/>
      <w:r>
        <w:rPr>
          <w:rFonts w:ascii="Times New Roman" w:eastAsia="Times New Roman" w:hAnsi="Times New Roman" w:cs="Times New Roman"/>
          <w:color w:val="000000"/>
          <w:spacing w:val="0"/>
          <w:w w:val="100"/>
          <w:position w:val="0"/>
        </w:rPr>
        <w:t>1</w:t>
      </w:r>
      <w:bookmarkEnd w:id="855"/>
      <w:r>
        <w:rPr>
          <w:rFonts w:ascii="Times New Roman" w:eastAsia="Times New Roman" w:hAnsi="Times New Roman" w:cs="Times New Roman"/>
          <w:color w:val="000000"/>
          <w:spacing w:val="0"/>
          <w:w w:val="100"/>
          <w:position w:val="0"/>
        </w:rPr>
        <w:t>8</w:t>
      </w:r>
      <w:r>
        <w:rPr>
          <w:color w:val="000000"/>
          <w:spacing w:val="0"/>
          <w:w w:val="100"/>
          <w:position w:val="0"/>
        </w:rPr>
        <w:t>、长期资产减值</w:t>
      </w:r>
      <w:bookmarkEnd w:id="853"/>
      <w:bookmarkEnd w:id="854"/>
      <w:bookmarkEnd w:id="856"/>
    </w:p>
    <w:p>
      <w:pPr>
        <w:pStyle w:val="Style33"/>
        <w:keepNext w:val="0"/>
        <w:keepLines w:val="0"/>
        <w:widowControl w:val="0"/>
        <w:shd w:val="clear" w:color="auto" w:fill="auto"/>
        <w:bidi w:val="0"/>
        <w:spacing w:before="0" w:after="0" w:line="312" w:lineRule="exact"/>
        <w:ind w:left="0" w:right="0" w:firstLine="520"/>
        <w:jc w:val="both"/>
      </w:pPr>
      <w:r>
        <w:rPr>
          <w:color w:val="000000"/>
          <w:spacing w:val="0"/>
          <w:w w:val="100"/>
          <w:position w:val="0"/>
        </w:rPr>
        <w:t xml:space="preserve">长期股权投资、采用成本模式计量的投资性房地产、固定资产、在建工程、无形资产、商誉等长期资 产，于资产负债表日存在减值迹象的，进行减值测试。减值测试结果表明资产的可收回金额低于其账面价 </w:t>
      </w:r>
      <w:r>
        <w:rPr>
          <w:color w:val="000000"/>
          <w:spacing w:val="0"/>
          <w:w w:val="100"/>
          <w:position w:val="0"/>
        </w:rPr>
        <w:t>值的，按其差额计提减值准备并计入减值损失。可收回金额为资产的公允价值减去处置费用后的净额与资 产预计未来现金流量的现值两者之间的较高者。资产减值准备按单项资产为基础计算并确认，如果难以对 单项资产的可收回金额进行估计的，以该资产所属的资产组确定资产组的可收回金额。资产组是能够独立 产生现金流入的最小资产组合。</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商誉至少在每年年度终了进行减值测试。</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本公司进行商誉减值测试，对于因企业合并形成的商誉的账面价值，自购买日起按照合理的方法分摊 至相关的资产组；难以分摊至相关的资产组的，将其分摊至相关的资产组组合。在将商誉的账面价值分摊 至相关的资产组或者资产组组合时，按照各资产组或者资产组组合的公允价值占相关资产组或者资产组组 合公允价值总额的比例进行分摊。公允价值难以可靠计量的，按照各资产组或者资产组组合的账面价值占 相关资产组或者资产组组合账面价值总额的比例进行分摊。</w:t>
      </w:r>
    </w:p>
    <w:p>
      <w:pPr>
        <w:pStyle w:val="Style33"/>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在对包含商誉的相关资产组或者资产组组合进行减值测试时，如与商誉相关的资产组或者资产组组合 存在减值迹象的，先对不包含商誉的资产组或者资产组组合进行减值测试，计算可收回金额，并与相关账 面价值相比较，确认相应的减值损失。再对包含商誉的资产组或者资产组组合进行减值测试，比较这些相 关资产组或者资产组组合的账面价值（包括所分摊的商誉的账面价值部分）与其可收回金额，如相关资产 组或者资产组组合的可收回金额低于其账面价值的，确认商誉的减值损失。上述资产减值损失一经确认， 在以后会计期间不予转回。</w:t>
      </w:r>
    </w:p>
    <w:p>
      <w:pPr>
        <w:pStyle w:val="Style30"/>
        <w:keepNext/>
        <w:keepLines/>
        <w:widowControl w:val="0"/>
        <w:shd w:val="clear" w:color="auto" w:fill="auto"/>
        <w:tabs>
          <w:tab w:pos="474" w:val="left"/>
        </w:tabs>
        <w:bidi w:val="0"/>
        <w:spacing w:before="0" w:after="200" w:line="326" w:lineRule="auto"/>
        <w:ind w:left="0" w:right="0" w:firstLine="0"/>
        <w:jc w:val="both"/>
      </w:pPr>
      <w:bookmarkStart w:id="857" w:name="bookmark857"/>
      <w:bookmarkStart w:id="858" w:name="bookmark858"/>
      <w:bookmarkStart w:id="859" w:name="bookmark859"/>
      <w:bookmarkStart w:id="860" w:name="bookmark860"/>
      <w:r>
        <w:rPr>
          <w:rFonts w:ascii="Times New Roman" w:eastAsia="Times New Roman" w:hAnsi="Times New Roman" w:cs="Times New Roman"/>
          <w:color w:val="000000"/>
          <w:spacing w:val="0"/>
          <w:w w:val="100"/>
          <w:position w:val="0"/>
        </w:rPr>
        <w:t>1</w:t>
      </w:r>
      <w:bookmarkEnd w:id="859"/>
      <w:r>
        <w:rPr>
          <w:rFonts w:ascii="Times New Roman" w:eastAsia="Times New Roman" w:hAnsi="Times New Roman" w:cs="Times New Roman"/>
          <w:color w:val="000000"/>
          <w:spacing w:val="0"/>
          <w:w w:val="100"/>
          <w:position w:val="0"/>
        </w:rPr>
        <w:t>9</w:t>
      </w:r>
      <w:r>
        <w:rPr>
          <w:color w:val="000000"/>
          <w:spacing w:val="0"/>
          <w:w w:val="100"/>
          <w:position w:val="0"/>
        </w:rPr>
        <w:t>、</w:t>
        <w:tab/>
        <w:t>长期待摊费用</w:t>
      </w:r>
      <w:bookmarkEnd w:id="857"/>
      <w:bookmarkEnd w:id="858"/>
      <w:bookmarkEnd w:id="860"/>
    </w:p>
    <w:p>
      <w:pPr>
        <w:pStyle w:val="Style33"/>
        <w:keepNext w:val="0"/>
        <w:keepLines w:val="0"/>
        <w:widowControl w:val="0"/>
        <w:shd w:val="clear" w:color="auto" w:fill="auto"/>
        <w:bidi w:val="0"/>
        <w:spacing w:before="0" w:after="0" w:line="312" w:lineRule="exact"/>
        <w:ind w:left="0" w:right="0" w:firstLine="420"/>
        <w:jc w:val="both"/>
      </w:pPr>
      <w:r>
        <w:rPr>
          <w:color w:val="000000"/>
          <w:spacing w:val="0"/>
          <w:w w:val="100"/>
          <w:position w:val="0"/>
        </w:rPr>
        <w:t>长期待摊费用为已经发生但应由本期和以后各期负担的分摊期限在一年以上的各项费用。</w:t>
      </w:r>
    </w:p>
    <w:p>
      <w:pPr>
        <w:pStyle w:val="Style33"/>
        <w:keepNext w:val="0"/>
        <w:keepLines w:val="0"/>
        <w:widowControl w:val="0"/>
        <w:shd w:val="clear" w:color="auto" w:fill="auto"/>
        <w:tabs>
          <w:tab w:pos="913" w:val="left"/>
        </w:tabs>
        <w:bidi w:val="0"/>
        <w:spacing w:before="0" w:after="0" w:line="312" w:lineRule="exact"/>
        <w:ind w:left="0" w:right="0" w:firstLine="420"/>
        <w:jc w:val="both"/>
      </w:pPr>
      <w:bookmarkStart w:id="861" w:name="bookmark861"/>
      <w:r>
        <w:rPr>
          <w:b/>
          <w:bCs/>
          <w:color w:val="000000"/>
          <w:spacing w:val="0"/>
          <w:w w:val="100"/>
          <w:position w:val="0"/>
        </w:rPr>
        <w:t>（</w:t>
      </w:r>
      <w:bookmarkEnd w:id="861"/>
      <w:r>
        <w:rPr>
          <w:b/>
          <w:bCs/>
          <w:color w:val="000000"/>
          <w:spacing w:val="0"/>
          <w:w w:val="100"/>
          <w:position w:val="0"/>
        </w:rPr>
        <w:t>1）</w:t>
        <w:tab/>
        <w:t>摊销方法</w:t>
      </w:r>
    </w:p>
    <w:p>
      <w:pPr>
        <w:pStyle w:val="Style33"/>
        <w:keepNext w:val="0"/>
        <w:keepLines w:val="0"/>
        <w:widowControl w:val="0"/>
        <w:shd w:val="clear" w:color="auto" w:fill="auto"/>
        <w:bidi w:val="0"/>
        <w:spacing w:before="0" w:after="0" w:line="312" w:lineRule="exact"/>
        <w:ind w:left="0" w:right="0" w:firstLine="420"/>
        <w:jc w:val="both"/>
      </w:pPr>
      <w:r>
        <w:rPr>
          <w:color w:val="000000"/>
          <w:spacing w:val="0"/>
          <w:w w:val="100"/>
          <w:position w:val="0"/>
        </w:rPr>
        <w:t>长期待摊费用在受益期内平均摊销。</w:t>
      </w:r>
    </w:p>
    <w:p>
      <w:pPr>
        <w:pStyle w:val="Style33"/>
        <w:keepNext w:val="0"/>
        <w:keepLines w:val="0"/>
        <w:widowControl w:val="0"/>
        <w:shd w:val="clear" w:color="auto" w:fill="auto"/>
        <w:tabs>
          <w:tab w:pos="913" w:val="left"/>
        </w:tabs>
        <w:bidi w:val="0"/>
        <w:spacing w:before="0" w:after="0" w:line="326" w:lineRule="exact"/>
        <w:ind w:left="0" w:right="0" w:firstLine="420"/>
        <w:jc w:val="both"/>
      </w:pPr>
      <w:bookmarkStart w:id="862" w:name="bookmark862"/>
      <w:r>
        <w:rPr>
          <w:b/>
          <w:bCs/>
          <w:color w:val="000000"/>
          <w:spacing w:val="0"/>
          <w:w w:val="100"/>
          <w:position w:val="0"/>
        </w:rPr>
        <w:t>（</w:t>
      </w:r>
      <w:bookmarkEnd w:id="862"/>
      <w:r>
        <w:rPr>
          <w:b/>
          <w:bCs/>
          <w:color w:val="000000"/>
          <w:spacing w:val="0"/>
          <w:w w:val="100"/>
          <w:position w:val="0"/>
        </w:rPr>
        <w:t>2）</w:t>
        <w:tab/>
        <w:t>摊销年限</w:t>
      </w:r>
    </w:p>
    <w:p>
      <w:pPr>
        <w:pStyle w:val="Style33"/>
        <w:keepNext w:val="0"/>
        <w:keepLines w:val="0"/>
        <w:widowControl w:val="0"/>
        <w:shd w:val="clear" w:color="auto" w:fill="auto"/>
        <w:bidi w:val="0"/>
        <w:spacing w:before="0" w:after="380" w:line="326" w:lineRule="exact"/>
        <w:ind w:left="0" w:right="0" w:firstLine="440"/>
        <w:jc w:val="both"/>
      </w:pPr>
      <w:r>
        <w:rPr>
          <w:color w:val="000000"/>
          <w:spacing w:val="0"/>
          <w:w w:val="100"/>
          <w:position w:val="0"/>
        </w:rPr>
        <w:t>长期待摊费用摊销年限为</w:t>
      </w:r>
      <w:r>
        <w:rPr>
          <w:rFonts w:ascii="Times New Roman" w:eastAsia="Times New Roman" w:hAnsi="Times New Roman" w:cs="Times New Roman"/>
          <w:color w:val="000000"/>
          <w:spacing w:val="0"/>
          <w:w w:val="100"/>
          <w:position w:val="0"/>
        </w:rPr>
        <w:t>3-10</w:t>
      </w:r>
      <w:r>
        <w:rPr>
          <w:color w:val="000000"/>
          <w:spacing w:val="0"/>
          <w:w w:val="100"/>
          <w:position w:val="0"/>
        </w:rPr>
        <w:t>年，对不能使以后会计期间受益的长期待摊费用项目，其摊余价值全部 计入当期损益。</w:t>
      </w:r>
    </w:p>
    <w:p>
      <w:pPr>
        <w:pStyle w:val="Style30"/>
        <w:keepNext/>
        <w:keepLines/>
        <w:widowControl w:val="0"/>
        <w:shd w:val="clear" w:color="auto" w:fill="auto"/>
        <w:tabs>
          <w:tab w:pos="483" w:val="left"/>
        </w:tabs>
        <w:bidi w:val="0"/>
        <w:spacing w:before="0" w:after="200" w:line="326" w:lineRule="auto"/>
        <w:ind w:left="0" w:right="0" w:firstLine="0"/>
        <w:jc w:val="both"/>
      </w:pPr>
      <w:bookmarkStart w:id="863" w:name="bookmark863"/>
      <w:bookmarkStart w:id="864" w:name="bookmark864"/>
      <w:bookmarkStart w:id="865" w:name="bookmark865"/>
      <w:bookmarkStart w:id="866" w:name="bookmark866"/>
      <w:r>
        <w:rPr>
          <w:rFonts w:ascii="Times New Roman" w:eastAsia="Times New Roman" w:hAnsi="Times New Roman" w:cs="Times New Roman"/>
          <w:color w:val="000000"/>
          <w:spacing w:val="0"/>
          <w:w w:val="100"/>
          <w:position w:val="0"/>
        </w:rPr>
        <w:t>2</w:t>
      </w:r>
      <w:bookmarkEnd w:id="865"/>
      <w:r>
        <w:rPr>
          <w:rFonts w:ascii="Times New Roman" w:eastAsia="Times New Roman" w:hAnsi="Times New Roman" w:cs="Times New Roman"/>
          <w:color w:val="000000"/>
          <w:spacing w:val="0"/>
          <w:w w:val="100"/>
          <w:position w:val="0"/>
        </w:rPr>
        <w:t>0</w:t>
      </w:r>
      <w:r>
        <w:rPr>
          <w:color w:val="000000"/>
          <w:spacing w:val="0"/>
          <w:w w:val="100"/>
          <w:position w:val="0"/>
        </w:rPr>
        <w:t>、</w:t>
        <w:tab/>
        <w:t>职工薪酬</w:t>
      </w:r>
      <w:bookmarkEnd w:id="863"/>
      <w:bookmarkEnd w:id="864"/>
      <w:bookmarkEnd w:id="866"/>
    </w:p>
    <w:p>
      <w:pPr>
        <w:pStyle w:val="Style47"/>
        <w:keepNext/>
        <w:keepLines/>
        <w:widowControl w:val="0"/>
        <w:shd w:val="clear" w:color="auto" w:fill="auto"/>
        <w:tabs>
          <w:tab w:pos="933" w:val="left"/>
        </w:tabs>
        <w:bidi w:val="0"/>
        <w:spacing w:before="0" w:after="280" w:line="312" w:lineRule="exact"/>
        <w:ind w:left="0" w:right="0" w:firstLine="440"/>
        <w:jc w:val="both"/>
      </w:pPr>
      <w:bookmarkStart w:id="867" w:name="bookmark867"/>
      <w:bookmarkStart w:id="868" w:name="bookmark868"/>
      <w:bookmarkStart w:id="869" w:name="bookmark869"/>
      <w:bookmarkStart w:id="870" w:name="bookmark870"/>
      <w:r>
        <w:rPr>
          <w:color w:val="000000"/>
          <w:spacing w:val="0"/>
          <w:w w:val="100"/>
          <w:position w:val="0"/>
        </w:rPr>
        <w:t>（</w:t>
      </w:r>
      <w:bookmarkEnd w:id="869"/>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867"/>
      <w:bookmarkEnd w:id="868"/>
      <w:bookmarkEnd w:id="870"/>
    </w:p>
    <w:p>
      <w:pPr>
        <w:pStyle w:val="Style33"/>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本公司在职工为本公司提供服务的会计期间，将实际发生的短期薪酬确认为负债，并计入当期损益或 相关资产成本。</w:t>
      </w:r>
    </w:p>
    <w:p>
      <w:pPr>
        <w:pStyle w:val="Style33"/>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本公司为职工缴纳的社会保险费和住房公积金，以及按规定提取的工会经费和职工教育经费，在职工 为本公司提供服务的会计期间，根据规定的计提基础和计提比例计算确定相应的职工薪酬金额。</w:t>
      </w:r>
    </w:p>
    <w:p>
      <w:pPr>
        <w:pStyle w:val="Style33"/>
        <w:keepNext w:val="0"/>
        <w:keepLines w:val="0"/>
        <w:widowControl w:val="0"/>
        <w:shd w:val="clear" w:color="auto" w:fill="auto"/>
        <w:bidi w:val="0"/>
        <w:spacing w:before="0" w:after="280" w:line="317" w:lineRule="exact"/>
        <w:ind w:left="0" w:right="0" w:firstLine="440"/>
        <w:jc w:val="both"/>
      </w:pPr>
      <w:r>
        <w:rPr>
          <w:color w:val="000000"/>
          <w:spacing w:val="0"/>
          <w:w w:val="100"/>
          <w:position w:val="0"/>
        </w:rPr>
        <w:t>职工福利费为非货币性福利的，如能够可靠计量的，按照公允价值计量。</w:t>
      </w:r>
    </w:p>
    <w:p>
      <w:pPr>
        <w:pStyle w:val="Style47"/>
        <w:keepNext/>
        <w:keepLines/>
        <w:widowControl w:val="0"/>
        <w:shd w:val="clear" w:color="auto" w:fill="auto"/>
        <w:tabs>
          <w:tab w:pos="913" w:val="left"/>
        </w:tabs>
        <w:bidi w:val="0"/>
        <w:spacing w:before="0" w:after="380" w:line="312" w:lineRule="exact"/>
        <w:ind w:left="0" w:right="0" w:firstLine="420"/>
        <w:jc w:val="both"/>
      </w:pPr>
      <w:bookmarkStart w:id="871" w:name="bookmark871"/>
      <w:bookmarkStart w:id="872" w:name="bookmark872"/>
      <w:bookmarkStart w:id="873" w:name="bookmark873"/>
      <w:bookmarkStart w:id="874" w:name="bookmark874"/>
      <w:r>
        <w:rPr>
          <w:color w:val="000000"/>
          <w:spacing w:val="0"/>
          <w:w w:val="100"/>
          <w:position w:val="0"/>
        </w:rPr>
        <w:t>（</w:t>
      </w:r>
      <w:bookmarkEnd w:id="873"/>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871"/>
      <w:bookmarkEnd w:id="872"/>
      <w:bookmarkEnd w:id="874"/>
    </w:p>
    <w:p>
      <w:pPr>
        <w:pStyle w:val="Style47"/>
        <w:keepNext/>
        <w:keepLines/>
        <w:widowControl w:val="0"/>
        <w:shd w:val="clear" w:color="auto" w:fill="auto"/>
        <w:tabs>
          <w:tab w:pos="809" w:val="left"/>
        </w:tabs>
        <w:bidi w:val="0"/>
        <w:spacing w:before="0" w:after="0" w:line="326" w:lineRule="auto"/>
        <w:ind w:left="0" w:right="0" w:firstLine="420"/>
        <w:jc w:val="both"/>
      </w:pPr>
      <w:bookmarkStart w:id="871" w:name="bookmark871"/>
      <w:bookmarkStart w:id="872" w:name="bookmark872"/>
      <w:bookmarkStart w:id="875" w:name="bookmark875"/>
      <w:r>
        <w:rPr>
          <w:rFonts w:ascii="Times New Roman" w:eastAsia="Times New Roman" w:hAnsi="Times New Roman" w:cs="Times New Roman"/>
          <w:color w:val="000000"/>
          <w:spacing w:val="0"/>
          <w:w w:val="100"/>
          <w:position w:val="0"/>
        </w:rPr>
        <w:t>1</w:t>
      </w:r>
      <w:bookmarkEnd w:id="875"/>
      <w:r>
        <w:rPr>
          <w:color w:val="000000"/>
          <w:spacing w:val="0"/>
          <w:w w:val="100"/>
          <w:position w:val="0"/>
        </w:rPr>
        <w:t>）</w:t>
        <w:tab/>
        <w:t>设定提存计划</w:t>
      </w:r>
      <w:bookmarkEnd w:id="871"/>
      <w:bookmarkEnd w:id="872"/>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本公司按当地政府的相关规定为职工缴纳基本养老保险和失业保险，在职工为本公司提供服务的会计 期间，按以当地规定的缴纳基数和比例计算应缴纳金额，确认为负债，并计入当期损益或相关资产成本。</w:t>
      </w:r>
    </w:p>
    <w:p>
      <w:pPr>
        <w:pStyle w:val="Style33"/>
        <w:keepNext w:val="0"/>
        <w:keepLines w:val="0"/>
        <w:widowControl w:val="0"/>
        <w:shd w:val="clear" w:color="auto" w:fill="auto"/>
        <w:bidi w:val="0"/>
        <w:spacing w:before="0" w:after="80" w:line="324" w:lineRule="exact"/>
        <w:ind w:left="0" w:right="0" w:firstLine="440"/>
        <w:jc w:val="both"/>
      </w:pPr>
      <w:r>
        <w:rPr>
          <w:color w:val="000000"/>
          <w:spacing w:val="0"/>
          <w:w w:val="100"/>
          <w:position w:val="0"/>
        </w:rPr>
        <w:t>除基本养老保险外，本公司还依据国家企业年金制度的相关政策建立了企业年金缴费制度（补充养老 保险）</w:t>
      </w:r>
      <w:r>
        <w:rPr>
          <w:rFonts w:ascii="Times New Roman" w:eastAsia="Times New Roman" w:hAnsi="Times New Roman" w:cs="Times New Roman"/>
          <w:color w:val="000000"/>
          <w:spacing w:val="0"/>
          <w:w w:val="100"/>
          <w:position w:val="0"/>
        </w:rPr>
        <w:t>/</w:t>
      </w:r>
      <w:r>
        <w:rPr>
          <w:color w:val="000000"/>
          <w:spacing w:val="0"/>
          <w:w w:val="100"/>
          <w:position w:val="0"/>
        </w:rPr>
        <w:t>企业年金计划。本公司按职工工资总额的一定比例向当地社会保险机构缴费</w:t>
      </w:r>
      <w:r>
        <w:rPr>
          <w:rFonts w:ascii="Times New Roman" w:eastAsia="Times New Roman" w:hAnsi="Times New Roman" w:cs="Times New Roman"/>
          <w:color w:val="000000"/>
          <w:spacing w:val="0"/>
          <w:w w:val="100"/>
          <w:position w:val="0"/>
        </w:rPr>
        <w:t>/</w:t>
      </w:r>
      <w:r>
        <w:rPr>
          <w:color w:val="000000"/>
          <w:spacing w:val="0"/>
          <w:w w:val="100"/>
          <w:position w:val="0"/>
        </w:rPr>
        <w:t>年金计划缴费，相应 支出计入当期损益或相关资产成本。</w:t>
      </w:r>
    </w:p>
    <w:p>
      <w:pPr>
        <w:pStyle w:val="Style33"/>
        <w:keepNext w:val="0"/>
        <w:keepLines w:val="0"/>
        <w:widowControl w:val="0"/>
        <w:shd w:val="clear" w:color="auto" w:fill="auto"/>
        <w:tabs>
          <w:tab w:pos="837" w:val="left"/>
        </w:tabs>
        <w:bidi w:val="0"/>
        <w:spacing w:before="0" w:after="240" w:line="338" w:lineRule="auto"/>
        <w:ind w:left="0" w:right="0" w:firstLine="440"/>
        <w:jc w:val="both"/>
      </w:pPr>
      <w:bookmarkStart w:id="876" w:name="bookmark876"/>
      <w:r>
        <w:rPr>
          <w:rFonts w:ascii="Times New Roman" w:eastAsia="Times New Roman" w:hAnsi="Times New Roman" w:cs="Times New Roman"/>
          <w:b/>
          <w:bCs/>
          <w:color w:val="000000"/>
          <w:spacing w:val="0"/>
          <w:w w:val="100"/>
          <w:position w:val="0"/>
        </w:rPr>
        <w:t>2</w:t>
      </w:r>
      <w:bookmarkEnd w:id="876"/>
      <w:r>
        <w:rPr>
          <w:b/>
          <w:bCs/>
          <w:color w:val="000000"/>
          <w:spacing w:val="0"/>
          <w:w w:val="100"/>
          <w:position w:val="0"/>
        </w:rPr>
        <w:t>）</w:t>
        <w:tab/>
        <w:t>设定受益计划</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本公司根据预期累计福利单位法确定的公式将设定受益计划产生的福利义务归属于职工提供服务的 期间，并计入当期损益或相关资产成本。</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设定受益计划义务现值减去设定受益计划资产公允价值所形成的赤字或盈余确认为一项设定受益计 划净负债或净资产。设定受益计划存在盈余的，本公司以设定受益计划的盈余和资产上限两项的孰低者计 量设定受益计划净资产。</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所有设定受益计划义务，包括预期在职工提供服务的年度报告期间结束后的十二个月内支付的义务， 根据资产负债表日与设定受益计划义务期限和币种相匹配的国债或活跃市场上的高质量公司债券的市场 收益率予以折现。</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设定受益计划产生的服务成本和设定受益计划净负债或净资产的利息净额计入当期损益或相关资产 成本；重新计量设定受益计划净负债或净资产所产生的变动计入其他综合收益，并且在后续会计期间不转 回至损益。</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在设定受益计划结算时，按在结算日确定的设定受益计划义务现值和结算价格两者的差额，确认结算 利得或损失。</w:t>
      </w:r>
    </w:p>
    <w:p>
      <w:pPr>
        <w:pStyle w:val="Style33"/>
        <w:keepNext w:val="0"/>
        <w:keepLines w:val="0"/>
        <w:widowControl w:val="0"/>
        <w:shd w:val="clear" w:color="auto" w:fill="auto"/>
        <w:bidi w:val="0"/>
        <w:spacing w:before="0" w:after="380" w:line="313" w:lineRule="exact"/>
        <w:ind w:left="0" w:right="0" w:firstLine="440"/>
        <w:jc w:val="both"/>
      </w:pPr>
      <w:r>
        <w:rPr>
          <w:color w:val="000000"/>
          <w:spacing w:val="0"/>
          <w:w w:val="100"/>
          <w:position w:val="0"/>
        </w:rPr>
        <w:t>详见本附注</w:t>
      </w:r>
      <w:r>
        <w:rPr>
          <w:rFonts w:ascii="Times New Roman" w:eastAsia="Times New Roman" w:hAnsi="Times New Roman" w:cs="Times New Roman"/>
          <w:color w:val="000000"/>
          <w:spacing w:val="0"/>
          <w:w w:val="100"/>
          <w:position w:val="0"/>
        </w:rPr>
        <w:t>“</w:t>
      </w:r>
      <w:r>
        <w:rPr>
          <w:color w:val="000000"/>
          <w:spacing w:val="0"/>
          <w:w w:val="100"/>
          <w:position w:val="0"/>
        </w:rPr>
        <w:t>七、</w:t>
      </w:r>
      <w:r>
        <w:rPr>
          <w:color w:val="000000"/>
          <w:spacing w:val="0"/>
          <w:w w:val="100"/>
          <w:position w:val="0"/>
        </w:rPr>
        <w:t>（</w:t>
      </w:r>
      <w:r>
        <w:rPr>
          <w:color w:val="000000"/>
          <w:spacing w:val="0"/>
          <w:w w:val="100"/>
          <w:position w:val="0"/>
        </w:rPr>
        <w:t>四十三</w:t>
      </w:r>
      <w:r>
        <w:rPr>
          <w:color w:val="000000"/>
          <w:spacing w:val="0"/>
          <w:w w:val="100"/>
          <w:position w:val="0"/>
        </w:rPr>
        <w:t>）</w:t>
      </w:r>
      <w:r>
        <w:rPr>
          <w:color w:val="000000"/>
          <w:spacing w:val="0"/>
          <w:w w:val="100"/>
          <w:position w:val="0"/>
        </w:rPr>
        <w:t>应付职工薪酬</w:t>
      </w:r>
    </w:p>
    <w:p>
      <w:pPr>
        <w:pStyle w:val="Style47"/>
        <w:keepNext/>
        <w:keepLines/>
        <w:widowControl w:val="0"/>
        <w:shd w:val="clear" w:color="auto" w:fill="auto"/>
        <w:tabs>
          <w:tab w:pos="837" w:val="left"/>
        </w:tabs>
        <w:bidi w:val="0"/>
        <w:spacing w:before="0" w:after="200" w:line="326" w:lineRule="auto"/>
        <w:ind w:left="0" w:right="0" w:firstLine="440"/>
        <w:jc w:val="both"/>
      </w:pPr>
      <w:bookmarkStart w:id="877" w:name="bookmark877"/>
      <w:bookmarkStart w:id="878" w:name="bookmark878"/>
      <w:bookmarkStart w:id="879" w:name="bookmark879"/>
      <w:bookmarkStart w:id="880" w:name="bookmark880"/>
      <w:r>
        <w:rPr>
          <w:rFonts w:ascii="Times New Roman" w:eastAsia="Times New Roman" w:hAnsi="Times New Roman" w:cs="Times New Roman"/>
          <w:color w:val="000000"/>
          <w:spacing w:val="0"/>
          <w:w w:val="100"/>
          <w:position w:val="0"/>
        </w:rPr>
        <w:t>3</w:t>
      </w:r>
      <w:bookmarkEnd w:id="879"/>
      <w:r>
        <w:rPr>
          <w:color w:val="000000"/>
          <w:spacing w:val="0"/>
          <w:w w:val="100"/>
          <w:position w:val="0"/>
        </w:rPr>
        <w:t>）</w:t>
        <w:tab/>
        <w:t>辞退福利的会计处理方法</w:t>
      </w:r>
      <w:bookmarkEnd w:id="877"/>
      <w:bookmarkEnd w:id="878"/>
      <w:bookmarkEnd w:id="880"/>
    </w:p>
    <w:p>
      <w:pPr>
        <w:pStyle w:val="Style33"/>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本公司在不能单方面撤回因解除劳动关系计划或裁减建议所提供的辞退福利时，或确认与涉及支付辞 退福利的重组相关的成本或费用时（两者孰早），确认辞退福利产生的职工薪酬负债，并计入当期损益。</w:t>
      </w:r>
    </w:p>
    <w:p>
      <w:pPr>
        <w:pStyle w:val="Style47"/>
        <w:keepNext/>
        <w:keepLines/>
        <w:widowControl w:val="0"/>
        <w:shd w:val="clear" w:color="auto" w:fill="auto"/>
        <w:tabs>
          <w:tab w:pos="817" w:val="left"/>
        </w:tabs>
        <w:bidi w:val="0"/>
        <w:spacing w:before="0" w:after="280" w:line="326" w:lineRule="auto"/>
        <w:ind w:left="0" w:right="0" w:firstLine="420"/>
        <w:jc w:val="left"/>
      </w:pPr>
      <w:bookmarkStart w:id="881" w:name="bookmark881"/>
      <w:bookmarkStart w:id="882" w:name="bookmark882"/>
      <w:bookmarkStart w:id="883" w:name="bookmark883"/>
      <w:bookmarkStart w:id="884" w:name="bookmark884"/>
      <w:r>
        <w:rPr>
          <w:rFonts w:ascii="Times New Roman" w:eastAsia="Times New Roman" w:hAnsi="Times New Roman" w:cs="Times New Roman"/>
          <w:color w:val="000000"/>
          <w:spacing w:val="0"/>
          <w:w w:val="100"/>
          <w:position w:val="0"/>
        </w:rPr>
        <w:t>4</w:t>
      </w:r>
      <w:bookmarkEnd w:id="883"/>
      <w:r>
        <w:rPr>
          <w:color w:val="000000"/>
          <w:spacing w:val="0"/>
          <w:w w:val="100"/>
          <w:position w:val="0"/>
        </w:rPr>
        <w:t>）</w:t>
        <w:tab/>
        <w:t>其他长期职工福利的会计处理方法</w:t>
      </w:r>
      <w:bookmarkEnd w:id="881"/>
      <w:bookmarkEnd w:id="882"/>
      <w:bookmarkEnd w:id="884"/>
    </w:p>
    <w:p>
      <w:pPr>
        <w:pStyle w:val="Style30"/>
        <w:keepNext/>
        <w:keepLines/>
        <w:widowControl w:val="0"/>
        <w:shd w:val="clear" w:color="auto" w:fill="auto"/>
        <w:bidi w:val="0"/>
        <w:spacing w:before="0" w:after="200" w:line="326" w:lineRule="auto"/>
        <w:ind w:left="0" w:right="0" w:firstLine="0"/>
        <w:jc w:val="left"/>
      </w:pPr>
      <w:bookmarkStart w:id="885" w:name="bookmark885"/>
      <w:bookmarkStart w:id="886" w:name="bookmark886"/>
      <w:bookmarkStart w:id="887" w:name="bookmark887"/>
      <w:r>
        <w:rPr>
          <w:rFonts w:ascii="Times New Roman" w:eastAsia="Times New Roman" w:hAnsi="Times New Roman" w:cs="Times New Roman"/>
          <w:color w:val="000000"/>
          <w:spacing w:val="0"/>
          <w:w w:val="100"/>
          <w:position w:val="0"/>
        </w:rPr>
        <w:t>21</w:t>
      </w:r>
      <w:r>
        <w:rPr>
          <w:color w:val="000000"/>
          <w:spacing w:val="0"/>
          <w:w w:val="100"/>
          <w:position w:val="0"/>
        </w:rPr>
        <w:t>、收入</w:t>
      </w:r>
      <w:bookmarkEnd w:id="885"/>
      <w:bookmarkEnd w:id="886"/>
      <w:bookmarkEnd w:id="887"/>
    </w:p>
    <w:p>
      <w:pPr>
        <w:pStyle w:val="Style33"/>
        <w:keepNext w:val="0"/>
        <w:keepLines w:val="0"/>
        <w:widowControl w:val="0"/>
        <w:shd w:val="clear" w:color="auto" w:fill="auto"/>
        <w:tabs>
          <w:tab w:pos="9233" w:val="left"/>
        </w:tabs>
        <w:bidi w:val="0"/>
        <w:spacing w:before="0" w:after="0" w:line="313" w:lineRule="exact"/>
        <w:ind w:left="0" w:right="0" w:firstLine="420"/>
        <w:jc w:val="left"/>
      </w:pPr>
      <w:r>
        <w:rPr>
          <w:color w:val="000000"/>
          <w:spacing w:val="0"/>
          <w:w w:val="100"/>
          <w:position w:val="0"/>
        </w:rPr>
        <w:t>公司是否需要遵守特殊行业的披露要求</w:t>
        <w:tab/>
        <w:t>否</w:t>
      </w:r>
    </w:p>
    <w:p>
      <w:pPr>
        <w:pStyle w:val="Style33"/>
        <w:keepNext w:val="0"/>
        <w:keepLines w:val="0"/>
        <w:widowControl w:val="0"/>
        <w:shd w:val="clear" w:color="auto" w:fill="auto"/>
        <w:tabs>
          <w:tab w:pos="913" w:val="left"/>
        </w:tabs>
        <w:bidi w:val="0"/>
        <w:spacing w:before="0" w:after="0" w:line="316" w:lineRule="exact"/>
        <w:ind w:left="0" w:right="0" w:firstLine="420"/>
        <w:jc w:val="left"/>
      </w:pPr>
      <w:bookmarkStart w:id="888" w:name="bookmark888"/>
      <w:r>
        <w:rPr>
          <w:b/>
          <w:bCs/>
          <w:color w:val="000000"/>
          <w:spacing w:val="0"/>
          <w:w w:val="100"/>
          <w:position w:val="0"/>
        </w:rPr>
        <w:t>（</w:t>
      </w:r>
      <w:bookmarkEnd w:id="888"/>
      <w:r>
        <w:rPr>
          <w:b/>
          <w:bCs/>
          <w:color w:val="000000"/>
          <w:spacing w:val="0"/>
          <w:w w:val="100"/>
          <w:position w:val="0"/>
        </w:rPr>
        <w:t>1）</w:t>
        <w:tab/>
        <w:t>销售商品收入确认和计量原则</w:t>
      </w:r>
    </w:p>
    <w:p>
      <w:pPr>
        <w:pStyle w:val="Style33"/>
        <w:keepNext w:val="0"/>
        <w:keepLines w:val="0"/>
        <w:widowControl w:val="0"/>
        <w:shd w:val="clear" w:color="auto" w:fill="auto"/>
        <w:bidi w:val="0"/>
        <w:spacing w:before="0" w:after="0" w:line="316" w:lineRule="exact"/>
        <w:ind w:left="0" w:right="0" w:firstLine="440"/>
        <w:jc w:val="both"/>
      </w:pPr>
      <w:r>
        <w:rPr>
          <w:color w:val="000000"/>
          <w:spacing w:val="0"/>
          <w:w w:val="100"/>
          <w:position w:val="0"/>
        </w:rPr>
        <w:t>公司已将商品所有权上的主要风险和报酬转移给购买方；公司既没有保留与所有权相联系的继续管理 权，也没有对已售出的商品实施有效控制；收入的金额能够可靠地计量；相关的经济利益很可能流入企业; 相关的已发生或将发生的成本能够可靠地计量时，确认商品销售收入实现。</w:t>
      </w:r>
    </w:p>
    <w:p>
      <w:pPr>
        <w:pStyle w:val="Style33"/>
        <w:keepNext w:val="0"/>
        <w:keepLines w:val="0"/>
        <w:widowControl w:val="0"/>
        <w:shd w:val="clear" w:color="auto" w:fill="auto"/>
        <w:tabs>
          <w:tab w:pos="810" w:val="left"/>
        </w:tabs>
        <w:bidi w:val="0"/>
        <w:spacing w:before="0" w:after="0" w:line="316" w:lineRule="exact"/>
        <w:ind w:left="0" w:right="0" w:firstLine="440"/>
        <w:jc w:val="both"/>
      </w:pPr>
      <w:bookmarkStart w:id="889" w:name="bookmark889"/>
      <w:r>
        <w:rPr>
          <w:rFonts w:ascii="Times New Roman" w:eastAsia="Times New Roman" w:hAnsi="Times New Roman" w:cs="Times New Roman"/>
          <w:b/>
          <w:bCs/>
          <w:color w:val="000000"/>
          <w:spacing w:val="0"/>
          <w:w w:val="100"/>
          <w:position w:val="0"/>
        </w:rPr>
        <w:t>1</w:t>
      </w:r>
      <w:bookmarkEnd w:id="889"/>
      <w:r>
        <w:rPr>
          <w:b/>
          <w:bCs/>
          <w:color w:val="000000"/>
          <w:spacing w:val="0"/>
          <w:w w:val="100"/>
          <w:position w:val="0"/>
        </w:rPr>
        <w:t>）</w:t>
        <w:tab/>
        <w:t>内销：</w:t>
      </w:r>
      <w:r>
        <w:rPr>
          <w:color w:val="000000"/>
          <w:spacing w:val="0"/>
          <w:w w:val="100"/>
          <w:position w:val="0"/>
        </w:rPr>
        <w:t>公司产品运往客户指定地点，交付客户并取得客户验收确认，价格已经确定，取得货款或 索取货款的依据。</w:t>
      </w:r>
    </w:p>
    <w:p>
      <w:pPr>
        <w:pStyle w:val="Style33"/>
        <w:keepNext w:val="0"/>
        <w:keepLines w:val="0"/>
        <w:widowControl w:val="0"/>
        <w:shd w:val="clear" w:color="auto" w:fill="auto"/>
        <w:tabs>
          <w:tab w:pos="814" w:val="left"/>
        </w:tabs>
        <w:bidi w:val="0"/>
        <w:spacing w:before="0" w:after="0" w:line="316" w:lineRule="exact"/>
        <w:ind w:left="0" w:right="0" w:firstLine="440"/>
        <w:jc w:val="both"/>
      </w:pPr>
      <w:bookmarkStart w:id="890" w:name="bookmark890"/>
      <w:r>
        <w:rPr>
          <w:rFonts w:ascii="Times New Roman" w:eastAsia="Times New Roman" w:hAnsi="Times New Roman" w:cs="Times New Roman"/>
          <w:b/>
          <w:bCs/>
          <w:color w:val="000000"/>
          <w:spacing w:val="0"/>
          <w:w w:val="100"/>
          <w:position w:val="0"/>
        </w:rPr>
        <w:t>2</w:t>
      </w:r>
      <w:bookmarkEnd w:id="890"/>
      <w:r>
        <w:rPr>
          <w:b/>
          <w:bCs/>
          <w:color w:val="000000"/>
          <w:spacing w:val="0"/>
          <w:w w:val="100"/>
          <w:position w:val="0"/>
        </w:rPr>
        <w:t>）</w:t>
        <w:tab/>
        <w:t>自营出口：</w:t>
      </w:r>
      <w:r>
        <w:rPr>
          <w:color w:val="000000"/>
          <w:spacing w:val="0"/>
          <w:w w:val="100"/>
          <w:position w:val="0"/>
        </w:rPr>
        <w:t>出口专用发票已开出；已收款或取得索取货款的依据；已完成报关手续；海关已在相 关的《出口货物报关单》、《出口收汇核销单》上盖章确认；指定港船上交货，货物越过船舷（合同约定 按离岸价成交）。</w:t>
      </w:r>
    </w:p>
    <w:p>
      <w:pPr>
        <w:pStyle w:val="Style33"/>
        <w:keepNext w:val="0"/>
        <w:keepLines w:val="0"/>
        <w:widowControl w:val="0"/>
        <w:shd w:val="clear" w:color="auto" w:fill="auto"/>
        <w:bidi w:val="0"/>
        <w:spacing w:before="0" w:after="0" w:line="316" w:lineRule="exact"/>
        <w:ind w:left="0" w:right="0" w:firstLine="440"/>
        <w:jc w:val="both"/>
      </w:pPr>
      <w:r>
        <w:rPr>
          <w:color w:val="000000"/>
          <w:spacing w:val="0"/>
          <w:w w:val="100"/>
          <w:position w:val="0"/>
        </w:rPr>
        <w:t>本公司按照从购货方已收或应收的合同或协议价款确定销售商品收入金额，但已收或应收的合同或协 议价款不公允的除外。</w:t>
      </w:r>
    </w:p>
    <w:p>
      <w:pPr>
        <w:pStyle w:val="Style33"/>
        <w:keepNext w:val="0"/>
        <w:keepLines w:val="0"/>
        <w:widowControl w:val="0"/>
        <w:shd w:val="clear" w:color="auto" w:fill="auto"/>
        <w:bidi w:val="0"/>
        <w:spacing w:before="0" w:after="280" w:line="316" w:lineRule="exact"/>
        <w:ind w:left="0" w:right="0" w:firstLine="440"/>
        <w:jc w:val="both"/>
      </w:pPr>
      <w:r>
        <w:rPr>
          <w:color w:val="000000"/>
          <w:spacing w:val="0"/>
          <w:w w:val="100"/>
          <w:position w:val="0"/>
        </w:rPr>
        <w:t>合同或协议价款的收取采用递延方式，实质上具有融资性质的，应当按照应收的合同或协议价款的公 允价值确定销售商品收入金额。应收的合同或协议价款与其公允价值之间的差额，应当在合同或协议期间 内采用实际利率法进行摊销，计入当期损益。</w:t>
      </w:r>
    </w:p>
    <w:p>
      <w:pPr>
        <w:pStyle w:val="Style33"/>
        <w:keepNext w:val="0"/>
        <w:keepLines w:val="0"/>
        <w:widowControl w:val="0"/>
        <w:shd w:val="clear" w:color="auto" w:fill="auto"/>
        <w:tabs>
          <w:tab w:pos="933" w:val="left"/>
        </w:tabs>
        <w:bidi w:val="0"/>
        <w:spacing w:before="0" w:after="0" w:line="313" w:lineRule="exact"/>
        <w:ind w:left="0" w:right="0" w:firstLine="440"/>
        <w:jc w:val="both"/>
      </w:pPr>
      <w:bookmarkStart w:id="891" w:name="bookmark891"/>
      <w:r>
        <w:rPr>
          <w:b/>
          <w:bCs/>
          <w:color w:val="000000"/>
          <w:spacing w:val="0"/>
          <w:w w:val="100"/>
          <w:position w:val="0"/>
        </w:rPr>
        <w:t>（</w:t>
      </w:r>
      <w:bookmarkEnd w:id="891"/>
      <w:r>
        <w:rPr>
          <w:b/>
          <w:bCs/>
          <w:color w:val="000000"/>
          <w:spacing w:val="0"/>
          <w:w w:val="100"/>
          <w:position w:val="0"/>
        </w:rPr>
        <w:t>2）</w:t>
        <w:tab/>
        <w:t>提供服务收入确认和计量原则</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各项收入同时满足下列条件的，才能予以确认：</w:t>
      </w:r>
    </w:p>
    <w:p>
      <w:pPr>
        <w:pStyle w:val="Style33"/>
        <w:keepNext w:val="0"/>
        <w:keepLines w:val="0"/>
        <w:widowControl w:val="0"/>
        <w:shd w:val="clear" w:color="auto" w:fill="auto"/>
        <w:bidi w:val="0"/>
        <w:spacing w:before="0" w:after="80" w:line="313" w:lineRule="exact"/>
        <w:ind w:left="0" w:right="0" w:firstLine="420"/>
        <w:jc w:val="left"/>
      </w:pPr>
      <w:r>
        <w:rPr>
          <w:color w:val="000000"/>
          <w:spacing w:val="0"/>
          <w:w w:val="100"/>
          <w:position w:val="0"/>
        </w:rPr>
        <w:t>提供的相关服务完成；收入的金额能够可靠地计量；相关的经济利益很可能流入企业。具体如下：</w:t>
      </w:r>
    </w:p>
    <w:p>
      <w:pPr>
        <w:pStyle w:val="Style33"/>
        <w:keepNext w:val="0"/>
        <w:keepLines w:val="0"/>
        <w:widowControl w:val="0"/>
        <w:shd w:val="clear" w:color="auto" w:fill="auto"/>
        <w:bidi w:val="0"/>
        <w:spacing w:before="0" w:after="200" w:line="326" w:lineRule="auto"/>
        <w:ind w:left="0" w:right="0" w:firstLine="420"/>
        <w:jc w:val="both"/>
      </w:pPr>
      <w:bookmarkStart w:id="892" w:name="bookmark892"/>
      <w:r>
        <w:rPr>
          <w:rFonts w:ascii="Times New Roman" w:eastAsia="Times New Roman" w:hAnsi="Times New Roman" w:cs="Times New Roman"/>
          <w:b/>
          <w:bCs/>
          <w:color w:val="000000"/>
          <w:spacing w:val="0"/>
          <w:w w:val="100"/>
          <w:position w:val="0"/>
        </w:rPr>
        <w:t>1</w:t>
      </w:r>
      <w:bookmarkEnd w:id="892"/>
      <w:r>
        <w:rPr>
          <w:b/>
          <w:bCs/>
          <w:color w:val="000000"/>
          <w:spacing w:val="0"/>
          <w:w w:val="100"/>
          <w:position w:val="0"/>
        </w:rPr>
        <w:t>）代理买卖证券业务手续费收入</w:t>
      </w:r>
    </w:p>
    <w:p>
      <w:pPr>
        <w:pStyle w:val="Style33"/>
        <w:keepNext w:val="0"/>
        <w:keepLines w:val="0"/>
        <w:widowControl w:val="0"/>
        <w:shd w:val="clear" w:color="auto" w:fill="auto"/>
        <w:bidi w:val="0"/>
        <w:spacing w:before="0" w:after="80" w:line="315" w:lineRule="exact"/>
        <w:ind w:left="0" w:right="0" w:firstLine="440"/>
        <w:jc w:val="left"/>
      </w:pPr>
      <w:r>
        <w:rPr>
          <w:color w:val="000000"/>
          <w:spacing w:val="0"/>
          <w:w w:val="100"/>
          <w:position w:val="0"/>
        </w:rPr>
        <w:t>代理买卖证券业务手续费收入在代理买卖证券交易日确认收入。</w:t>
      </w:r>
    </w:p>
    <w:p>
      <w:pPr>
        <w:pStyle w:val="Style33"/>
        <w:keepNext w:val="0"/>
        <w:keepLines w:val="0"/>
        <w:widowControl w:val="0"/>
        <w:shd w:val="clear" w:color="auto" w:fill="auto"/>
        <w:tabs>
          <w:tab w:pos="837" w:val="left"/>
        </w:tabs>
        <w:bidi w:val="0"/>
        <w:spacing w:before="0" w:after="0" w:line="329" w:lineRule="auto"/>
        <w:ind w:left="0" w:right="0" w:firstLine="440"/>
        <w:jc w:val="both"/>
      </w:pPr>
      <w:bookmarkStart w:id="893" w:name="bookmark893"/>
      <w:r>
        <w:rPr>
          <w:rFonts w:ascii="Times New Roman" w:eastAsia="Times New Roman" w:hAnsi="Times New Roman" w:cs="Times New Roman"/>
          <w:b/>
          <w:bCs/>
          <w:color w:val="000000"/>
          <w:spacing w:val="0"/>
          <w:w w:val="100"/>
          <w:position w:val="0"/>
        </w:rPr>
        <w:t>2</w:t>
      </w:r>
      <w:bookmarkEnd w:id="893"/>
      <w:r>
        <w:rPr>
          <w:b/>
          <w:bCs/>
          <w:color w:val="000000"/>
          <w:spacing w:val="0"/>
          <w:w w:val="100"/>
          <w:position w:val="0"/>
        </w:rPr>
        <w:t>）</w:t>
        <w:tab/>
        <w:t>投资银行业务收入</w:t>
      </w:r>
    </w:p>
    <w:p>
      <w:pPr>
        <w:pStyle w:val="Style33"/>
        <w:keepNext w:val="0"/>
        <w:keepLines w:val="0"/>
        <w:widowControl w:val="0"/>
        <w:shd w:val="clear" w:color="auto" w:fill="auto"/>
        <w:tabs>
          <w:tab w:pos="1021" w:val="left"/>
        </w:tabs>
        <w:bidi w:val="0"/>
        <w:spacing w:before="0" w:after="0" w:line="315" w:lineRule="exact"/>
        <w:ind w:left="0" w:right="0" w:firstLine="440"/>
        <w:jc w:val="both"/>
      </w:pPr>
      <w:bookmarkStart w:id="894" w:name="bookmark894"/>
      <w:r>
        <w:rPr>
          <w:color w:val="000000"/>
          <w:spacing w:val="0"/>
          <w:w w:val="100"/>
          <w:position w:val="0"/>
        </w:rPr>
        <w:t>（</w:t>
      </w:r>
      <w:bookmarkEnd w:id="894"/>
      <w:r>
        <w:rPr>
          <w:rFonts w:ascii="Times New Roman" w:eastAsia="Times New Roman" w:hAnsi="Times New Roman" w:cs="Times New Roman"/>
          <w:color w:val="000000"/>
          <w:spacing w:val="0"/>
          <w:w w:val="100"/>
          <w:position w:val="0"/>
        </w:rPr>
        <w:t>1</w:t>
      </w:r>
      <w:r>
        <w:rPr>
          <w:color w:val="000000"/>
          <w:spacing w:val="0"/>
          <w:w w:val="100"/>
          <w:position w:val="0"/>
        </w:rPr>
        <w:t>）</w:t>
        <w:tab/>
        <w:t>公司以全额包销方式进行承销业务：在公司将证券转售给投资者时，按发行价格确认为证券发 行收入，按已发行证券的承销价格结转证券的成本。</w:t>
      </w:r>
    </w:p>
    <w:p>
      <w:pPr>
        <w:pStyle w:val="Style33"/>
        <w:keepNext w:val="0"/>
        <w:keepLines w:val="0"/>
        <w:widowControl w:val="0"/>
        <w:shd w:val="clear" w:color="auto" w:fill="auto"/>
        <w:tabs>
          <w:tab w:pos="928" w:val="left"/>
        </w:tabs>
        <w:bidi w:val="0"/>
        <w:spacing w:before="0" w:after="0" w:line="315" w:lineRule="exact"/>
        <w:ind w:left="0" w:right="0" w:firstLine="440"/>
        <w:jc w:val="left"/>
      </w:pPr>
      <w:bookmarkStart w:id="895" w:name="bookmark895"/>
      <w:r>
        <w:rPr>
          <w:color w:val="000000"/>
          <w:spacing w:val="0"/>
          <w:w w:val="100"/>
          <w:position w:val="0"/>
        </w:rPr>
        <w:t>（</w:t>
      </w:r>
      <w:bookmarkEnd w:id="895"/>
      <w:r>
        <w:rPr>
          <w:rFonts w:ascii="Times New Roman" w:eastAsia="Times New Roman" w:hAnsi="Times New Roman" w:cs="Times New Roman"/>
          <w:color w:val="000000"/>
          <w:spacing w:val="0"/>
          <w:w w:val="100"/>
          <w:position w:val="0"/>
        </w:rPr>
        <w:t>2</w:t>
      </w:r>
      <w:r>
        <w:rPr>
          <w:color w:val="000000"/>
          <w:spacing w:val="0"/>
          <w:w w:val="100"/>
          <w:position w:val="0"/>
        </w:rPr>
        <w:t>）</w:t>
        <w:tab/>
        <w:t>公司以余额包销方式进行承销业务：在发行期结束后，与发行人结算发行价款时确认收入。</w:t>
      </w:r>
    </w:p>
    <w:p>
      <w:pPr>
        <w:pStyle w:val="Style33"/>
        <w:keepNext w:val="0"/>
        <w:keepLines w:val="0"/>
        <w:widowControl w:val="0"/>
        <w:shd w:val="clear" w:color="auto" w:fill="auto"/>
        <w:tabs>
          <w:tab w:pos="928" w:val="left"/>
        </w:tabs>
        <w:bidi w:val="0"/>
        <w:spacing w:before="0" w:after="80" w:line="315" w:lineRule="exact"/>
        <w:ind w:left="0" w:right="0" w:firstLine="440"/>
        <w:jc w:val="left"/>
      </w:pPr>
      <w:bookmarkStart w:id="896" w:name="bookmark896"/>
      <w:r>
        <w:rPr>
          <w:color w:val="000000"/>
          <w:spacing w:val="0"/>
          <w:w w:val="100"/>
          <w:position w:val="0"/>
        </w:rPr>
        <w:t>（</w:t>
      </w:r>
      <w:bookmarkEnd w:id="896"/>
      <w:r>
        <w:rPr>
          <w:rFonts w:ascii="Times New Roman" w:eastAsia="Times New Roman" w:hAnsi="Times New Roman" w:cs="Times New Roman"/>
          <w:color w:val="000000"/>
          <w:spacing w:val="0"/>
          <w:w w:val="100"/>
          <w:position w:val="0"/>
        </w:rPr>
        <w:t>3</w:t>
      </w:r>
      <w:r>
        <w:rPr>
          <w:color w:val="000000"/>
          <w:spacing w:val="0"/>
          <w:w w:val="100"/>
          <w:position w:val="0"/>
        </w:rPr>
        <w:t>）</w:t>
        <w:tab/>
        <w:t>证券保荐业务收入和财务顾问收入：于各项业务提供的相关服务完成时或按合同约定确认收入。</w:t>
      </w:r>
    </w:p>
    <w:p>
      <w:pPr>
        <w:pStyle w:val="Style33"/>
        <w:keepNext w:val="0"/>
        <w:keepLines w:val="0"/>
        <w:widowControl w:val="0"/>
        <w:shd w:val="clear" w:color="auto" w:fill="auto"/>
        <w:tabs>
          <w:tab w:pos="837" w:val="left"/>
        </w:tabs>
        <w:bidi w:val="0"/>
        <w:spacing w:before="0" w:after="0" w:line="329" w:lineRule="auto"/>
        <w:ind w:left="0" w:right="0" w:firstLine="440"/>
        <w:jc w:val="both"/>
      </w:pPr>
      <w:bookmarkStart w:id="897" w:name="bookmark897"/>
      <w:r>
        <w:rPr>
          <w:rFonts w:ascii="Times New Roman" w:eastAsia="Times New Roman" w:hAnsi="Times New Roman" w:cs="Times New Roman"/>
          <w:b/>
          <w:bCs/>
          <w:color w:val="000000"/>
          <w:spacing w:val="0"/>
          <w:w w:val="100"/>
          <w:position w:val="0"/>
        </w:rPr>
        <w:t>3</w:t>
      </w:r>
      <w:bookmarkEnd w:id="897"/>
      <w:r>
        <w:rPr>
          <w:b/>
          <w:bCs/>
          <w:color w:val="000000"/>
          <w:spacing w:val="0"/>
          <w:w w:val="100"/>
          <w:position w:val="0"/>
        </w:rPr>
        <w:t>）</w:t>
        <w:tab/>
        <w:t>资产管理业务收入</w:t>
      </w:r>
    </w:p>
    <w:p>
      <w:pPr>
        <w:pStyle w:val="Style33"/>
        <w:keepNext w:val="0"/>
        <w:keepLines w:val="0"/>
        <w:widowControl w:val="0"/>
        <w:shd w:val="clear" w:color="auto" w:fill="auto"/>
        <w:bidi w:val="0"/>
        <w:spacing w:before="0" w:after="80" w:line="315" w:lineRule="exact"/>
        <w:ind w:left="0" w:right="0" w:firstLine="440"/>
        <w:jc w:val="both"/>
      </w:pPr>
      <w:r>
        <w:rPr>
          <w:color w:val="000000"/>
          <w:spacing w:val="0"/>
          <w:w w:val="100"/>
          <w:position w:val="0"/>
        </w:rPr>
        <w:t>资产管理业务收入根据产品合同约定的受托资产管理人报酬的计算方法向所管理的资产管理产品收 取管理人费用，按权责发生制计算确认为收入。</w:t>
      </w:r>
    </w:p>
    <w:p>
      <w:pPr>
        <w:pStyle w:val="Style33"/>
        <w:keepNext w:val="0"/>
        <w:keepLines w:val="0"/>
        <w:widowControl w:val="0"/>
        <w:shd w:val="clear" w:color="auto" w:fill="auto"/>
        <w:tabs>
          <w:tab w:pos="837" w:val="left"/>
        </w:tabs>
        <w:bidi w:val="0"/>
        <w:spacing w:before="0" w:after="0" w:line="329" w:lineRule="auto"/>
        <w:ind w:left="0" w:right="0" w:firstLine="440"/>
        <w:jc w:val="both"/>
      </w:pPr>
      <w:bookmarkStart w:id="898" w:name="bookmark898"/>
      <w:r>
        <w:rPr>
          <w:rFonts w:ascii="Times New Roman" w:eastAsia="Times New Roman" w:hAnsi="Times New Roman" w:cs="Times New Roman"/>
          <w:b/>
          <w:bCs/>
          <w:color w:val="000000"/>
          <w:spacing w:val="0"/>
          <w:w w:val="100"/>
          <w:position w:val="0"/>
        </w:rPr>
        <w:t>4</w:t>
      </w:r>
      <w:bookmarkEnd w:id="898"/>
      <w:r>
        <w:rPr>
          <w:b/>
          <w:bCs/>
          <w:color w:val="000000"/>
          <w:spacing w:val="0"/>
          <w:w w:val="100"/>
          <w:position w:val="0"/>
        </w:rPr>
        <w:t>）</w:t>
        <w:tab/>
        <w:t>投资咨询业务收入</w:t>
      </w:r>
    </w:p>
    <w:p>
      <w:pPr>
        <w:pStyle w:val="Style33"/>
        <w:keepNext w:val="0"/>
        <w:keepLines w:val="0"/>
        <w:widowControl w:val="0"/>
        <w:shd w:val="clear" w:color="auto" w:fill="auto"/>
        <w:bidi w:val="0"/>
        <w:spacing w:before="0" w:after="80" w:line="315" w:lineRule="exact"/>
        <w:ind w:left="0" w:right="0" w:firstLine="440"/>
        <w:jc w:val="both"/>
      </w:pPr>
      <w:r>
        <w:rPr>
          <w:color w:val="000000"/>
          <w:spacing w:val="0"/>
          <w:w w:val="100"/>
          <w:position w:val="0"/>
        </w:rPr>
        <w:t>在与交易相关的经济利益能够流入企业，收入的金额能够可靠地计量时，按合同或协议规定确认为收 入。</w:t>
      </w:r>
    </w:p>
    <w:p>
      <w:pPr>
        <w:pStyle w:val="Style33"/>
        <w:keepNext w:val="0"/>
        <w:keepLines w:val="0"/>
        <w:widowControl w:val="0"/>
        <w:shd w:val="clear" w:color="auto" w:fill="auto"/>
        <w:tabs>
          <w:tab w:pos="837" w:val="left"/>
        </w:tabs>
        <w:bidi w:val="0"/>
        <w:spacing w:before="0" w:after="0" w:line="329" w:lineRule="auto"/>
        <w:ind w:left="0" w:right="0" w:firstLine="440"/>
        <w:jc w:val="left"/>
      </w:pPr>
      <w:bookmarkStart w:id="899" w:name="bookmark899"/>
      <w:r>
        <w:rPr>
          <w:rFonts w:ascii="Times New Roman" w:eastAsia="Times New Roman" w:hAnsi="Times New Roman" w:cs="Times New Roman"/>
          <w:b/>
          <w:bCs/>
          <w:color w:val="000000"/>
          <w:spacing w:val="0"/>
          <w:w w:val="100"/>
          <w:position w:val="0"/>
        </w:rPr>
        <w:t>5</w:t>
      </w:r>
      <w:bookmarkEnd w:id="899"/>
      <w:r>
        <w:rPr>
          <w:b/>
          <w:bCs/>
          <w:color w:val="000000"/>
          <w:spacing w:val="0"/>
          <w:w w:val="100"/>
          <w:position w:val="0"/>
        </w:rPr>
        <w:t>）</w:t>
        <w:tab/>
        <w:t>利息收入根据相关本金及实际利率按权责发生制原则确认</w:t>
      </w:r>
    </w:p>
    <w:p>
      <w:pPr>
        <w:pStyle w:val="Style33"/>
        <w:keepNext w:val="0"/>
        <w:keepLines w:val="0"/>
        <w:widowControl w:val="0"/>
        <w:shd w:val="clear" w:color="auto" w:fill="auto"/>
        <w:tabs>
          <w:tab w:pos="1011" w:val="left"/>
        </w:tabs>
        <w:bidi w:val="0"/>
        <w:spacing w:before="0" w:after="0" w:line="315" w:lineRule="exact"/>
        <w:ind w:left="0" w:right="0" w:firstLine="440"/>
        <w:jc w:val="left"/>
      </w:pPr>
      <w:bookmarkStart w:id="900" w:name="bookmark900"/>
      <w:r>
        <w:rPr>
          <w:color w:val="000000"/>
          <w:spacing w:val="0"/>
          <w:w w:val="100"/>
          <w:position w:val="0"/>
        </w:rPr>
        <w:t>（</w:t>
      </w:r>
      <w:bookmarkEnd w:id="900"/>
      <w:r>
        <w:rPr>
          <w:rFonts w:ascii="Times New Roman" w:eastAsia="Times New Roman" w:hAnsi="Times New Roman" w:cs="Times New Roman"/>
          <w:color w:val="000000"/>
          <w:spacing w:val="0"/>
          <w:w w:val="100"/>
          <w:position w:val="0"/>
        </w:rPr>
        <w:t>1</w:t>
      </w:r>
      <w:r>
        <w:rPr>
          <w:color w:val="000000"/>
          <w:spacing w:val="0"/>
          <w:w w:val="100"/>
          <w:position w:val="0"/>
        </w:rPr>
        <w:t>）</w:t>
        <w:tab/>
        <w:t>存款利息收入：在相关的收入金额能够可靠地计量，相关的经济利益可以收到时，按资金使用 时间和实际利率确认利息收入。实际利率与合同约定利率差别较小的，按合同约定利率计算利息收入。</w:t>
      </w:r>
    </w:p>
    <w:p>
      <w:pPr>
        <w:pStyle w:val="Style33"/>
        <w:keepNext w:val="0"/>
        <w:keepLines w:val="0"/>
        <w:widowControl w:val="0"/>
        <w:shd w:val="clear" w:color="auto" w:fill="auto"/>
        <w:bidi w:val="0"/>
        <w:spacing w:before="0" w:after="0" w:line="315" w:lineRule="exact"/>
        <w:ind w:left="0" w:right="0" w:firstLine="440"/>
        <w:jc w:val="left"/>
      </w:pPr>
      <w:bookmarkStart w:id="901" w:name="bookmark901"/>
      <w:r>
        <w:rPr>
          <w:color w:val="000000"/>
          <w:spacing w:val="0"/>
          <w:w w:val="100"/>
          <w:position w:val="0"/>
        </w:rPr>
        <w:t>（</w:t>
      </w:r>
      <w:bookmarkEnd w:id="901"/>
      <w:r>
        <w:rPr>
          <w:rFonts w:ascii="Times New Roman" w:eastAsia="Times New Roman" w:hAnsi="Times New Roman" w:cs="Times New Roman"/>
          <w:color w:val="000000"/>
          <w:spacing w:val="0"/>
          <w:w w:val="100"/>
          <w:position w:val="0"/>
        </w:rPr>
        <w:t>2</w:t>
      </w:r>
      <w:r>
        <w:rPr>
          <w:color w:val="000000"/>
          <w:spacing w:val="0"/>
          <w:w w:val="100"/>
          <w:position w:val="0"/>
        </w:rPr>
        <w:t>） 买入返售证券收入：在当期到期返售的，按返售价格与买入成本价格的差额，确认为当期收入; 在当期没有到期的，期末按摊余成本和实际利率计提利息确认为当期收入。实际利率与合同约定利率差别 较小的，按合同约定利率确认为当期收入。</w:t>
      </w:r>
    </w:p>
    <w:p>
      <w:pPr>
        <w:pStyle w:val="Style33"/>
        <w:keepNext w:val="0"/>
        <w:keepLines w:val="0"/>
        <w:widowControl w:val="0"/>
        <w:shd w:val="clear" w:color="auto" w:fill="auto"/>
        <w:tabs>
          <w:tab w:pos="1021" w:val="left"/>
        </w:tabs>
        <w:bidi w:val="0"/>
        <w:spacing w:before="0" w:after="80" w:line="315" w:lineRule="exact"/>
        <w:ind w:left="0" w:right="0" w:firstLine="440"/>
        <w:jc w:val="left"/>
      </w:pPr>
      <w:bookmarkStart w:id="902" w:name="bookmark902"/>
      <w:r>
        <w:rPr>
          <w:color w:val="000000"/>
          <w:spacing w:val="0"/>
          <w:w w:val="100"/>
          <w:position w:val="0"/>
        </w:rPr>
        <w:t>（</w:t>
      </w:r>
      <w:bookmarkEnd w:id="902"/>
      <w:r>
        <w:rPr>
          <w:rFonts w:ascii="Times New Roman" w:eastAsia="Times New Roman" w:hAnsi="Times New Roman" w:cs="Times New Roman"/>
          <w:color w:val="000000"/>
          <w:spacing w:val="0"/>
          <w:w w:val="100"/>
          <w:position w:val="0"/>
        </w:rPr>
        <w:t>3</w:t>
      </w:r>
      <w:r>
        <w:rPr>
          <w:color w:val="000000"/>
          <w:spacing w:val="0"/>
          <w:w w:val="100"/>
          <w:position w:val="0"/>
        </w:rPr>
        <w:t>）</w:t>
        <w:tab/>
        <w:t>融资融券利息收入：公司于融资融券合同约定的期限内，分别按合同约定的融资利率和出借金 额、合同约定的融券费率和出借的证券数量，分期确认融资和融券利息收入。</w:t>
      </w:r>
    </w:p>
    <w:p>
      <w:pPr>
        <w:pStyle w:val="Style33"/>
        <w:keepNext w:val="0"/>
        <w:keepLines w:val="0"/>
        <w:widowControl w:val="0"/>
        <w:shd w:val="clear" w:color="auto" w:fill="auto"/>
        <w:tabs>
          <w:tab w:pos="837" w:val="left"/>
        </w:tabs>
        <w:bidi w:val="0"/>
        <w:spacing w:before="0" w:after="0" w:line="329" w:lineRule="auto"/>
        <w:ind w:left="0" w:right="0" w:firstLine="440"/>
        <w:jc w:val="left"/>
      </w:pPr>
      <w:bookmarkStart w:id="903" w:name="bookmark903"/>
      <w:r>
        <w:rPr>
          <w:rFonts w:ascii="Times New Roman" w:eastAsia="Times New Roman" w:hAnsi="Times New Roman" w:cs="Times New Roman"/>
          <w:b/>
          <w:bCs/>
          <w:color w:val="000000"/>
          <w:spacing w:val="0"/>
          <w:w w:val="100"/>
          <w:position w:val="0"/>
        </w:rPr>
        <w:t>6</w:t>
      </w:r>
      <w:bookmarkEnd w:id="903"/>
      <w:r>
        <w:rPr>
          <w:b/>
          <w:bCs/>
          <w:color w:val="000000"/>
          <w:spacing w:val="0"/>
          <w:w w:val="100"/>
          <w:position w:val="0"/>
        </w:rPr>
        <w:t>）</w:t>
        <w:tab/>
        <w:t>其他业务收入以合同到期结算时或提供服务时确认为收入</w:t>
      </w:r>
    </w:p>
    <w:p>
      <w:pPr>
        <w:pStyle w:val="Style33"/>
        <w:keepNext w:val="0"/>
        <w:keepLines w:val="0"/>
        <w:widowControl w:val="0"/>
        <w:shd w:val="clear" w:color="auto" w:fill="auto"/>
        <w:tabs>
          <w:tab w:pos="837" w:val="left"/>
        </w:tabs>
        <w:bidi w:val="0"/>
        <w:spacing w:before="0" w:after="0" w:line="329" w:lineRule="auto"/>
        <w:ind w:left="0" w:right="0" w:firstLine="440"/>
        <w:jc w:val="both"/>
      </w:pPr>
      <w:bookmarkStart w:id="904" w:name="bookmark904"/>
      <w:r>
        <w:rPr>
          <w:rFonts w:ascii="Times New Roman" w:eastAsia="Times New Roman" w:hAnsi="Times New Roman" w:cs="Times New Roman"/>
          <w:b/>
          <w:bCs/>
          <w:color w:val="000000"/>
          <w:spacing w:val="0"/>
          <w:w w:val="100"/>
          <w:position w:val="0"/>
        </w:rPr>
        <w:t>7</w:t>
      </w:r>
      <w:bookmarkEnd w:id="904"/>
      <w:r>
        <w:rPr>
          <w:b/>
          <w:bCs/>
          <w:color w:val="000000"/>
          <w:spacing w:val="0"/>
          <w:w w:val="100"/>
          <w:position w:val="0"/>
        </w:rPr>
        <w:t>）</w:t>
        <w:tab/>
        <w:t>投资收益</w:t>
      </w:r>
    </w:p>
    <w:p>
      <w:pPr>
        <w:pStyle w:val="Style33"/>
        <w:keepNext w:val="0"/>
        <w:keepLines w:val="0"/>
        <w:widowControl w:val="0"/>
        <w:shd w:val="clear" w:color="auto" w:fill="auto"/>
        <w:bidi w:val="0"/>
        <w:spacing w:before="0" w:after="360" w:line="315" w:lineRule="exact"/>
        <w:ind w:left="0" w:right="0" w:firstLine="440"/>
        <w:jc w:val="both"/>
      </w:pPr>
      <w:r>
        <w:rPr>
          <w:color w:val="000000"/>
          <w:spacing w:val="0"/>
          <w:w w:val="100"/>
          <w:position w:val="0"/>
        </w:rPr>
        <w:t>公司持有金融资产期间取得的红利、股息或现金股利等，计入当期损益；处置金融资产时，按取得的 价款与账面价值之间的差额，计入当期损益，同时，调整公允价值变动损益或将原直接计入其他综合收益 的公允价值变动累计额对应处置部分的金额转出，计入投资损益；采用成本法核算长期股权投资的，按被 投资单位宣告发放的现金股利或利润中属于公司的部分确认当期损益；采用权益法核算长期股权投资的， 按被投资单位实现的净利润或经调整的净利润计算应享有的份额确认当期损益。</w:t>
      </w:r>
    </w:p>
    <w:p>
      <w:pPr>
        <w:pStyle w:val="Style30"/>
        <w:keepNext/>
        <w:keepLines/>
        <w:widowControl w:val="0"/>
        <w:shd w:val="clear" w:color="auto" w:fill="auto"/>
        <w:bidi w:val="0"/>
        <w:spacing w:before="0" w:after="200" w:line="329" w:lineRule="auto"/>
        <w:ind w:left="0" w:right="0" w:firstLine="0"/>
        <w:jc w:val="left"/>
      </w:pPr>
      <w:bookmarkStart w:id="905" w:name="bookmark905"/>
      <w:bookmarkStart w:id="906" w:name="bookmark906"/>
      <w:bookmarkStart w:id="907" w:name="bookmark907"/>
      <w:bookmarkStart w:id="908" w:name="bookmark908"/>
      <w:r>
        <w:rPr>
          <w:rFonts w:ascii="Times New Roman" w:eastAsia="Times New Roman" w:hAnsi="Times New Roman" w:cs="Times New Roman"/>
          <w:color w:val="000000"/>
          <w:spacing w:val="0"/>
          <w:w w:val="100"/>
          <w:position w:val="0"/>
        </w:rPr>
        <w:t>2</w:t>
      </w:r>
      <w:bookmarkEnd w:id="907"/>
      <w:r>
        <w:rPr>
          <w:rFonts w:ascii="Times New Roman" w:eastAsia="Times New Roman" w:hAnsi="Times New Roman" w:cs="Times New Roman"/>
          <w:color w:val="000000"/>
          <w:spacing w:val="0"/>
          <w:w w:val="100"/>
          <w:position w:val="0"/>
        </w:rPr>
        <w:t>2</w:t>
      </w:r>
      <w:r>
        <w:rPr>
          <w:color w:val="000000"/>
          <w:spacing w:val="0"/>
          <w:w w:val="100"/>
          <w:position w:val="0"/>
        </w:rPr>
        <w:t>、政府补助</w:t>
      </w:r>
      <w:bookmarkEnd w:id="905"/>
      <w:bookmarkEnd w:id="906"/>
      <w:bookmarkEnd w:id="908"/>
    </w:p>
    <w:p>
      <w:pPr>
        <w:pStyle w:val="Style47"/>
        <w:keepNext/>
        <w:keepLines/>
        <w:widowControl w:val="0"/>
        <w:shd w:val="clear" w:color="auto" w:fill="auto"/>
        <w:bidi w:val="0"/>
        <w:spacing w:before="0" w:after="280" w:line="315" w:lineRule="exact"/>
        <w:ind w:left="0" w:right="0" w:firstLine="0"/>
        <w:jc w:val="left"/>
      </w:pPr>
      <w:bookmarkStart w:id="909" w:name="bookmark909"/>
      <w:bookmarkStart w:id="910" w:name="bookmark910"/>
      <w:bookmarkStart w:id="911" w:name="bookmark911"/>
      <w:bookmarkStart w:id="912" w:name="bookmark912"/>
      <w:r>
        <w:rPr>
          <w:color w:val="000000"/>
          <w:spacing w:val="0"/>
          <w:w w:val="100"/>
          <w:position w:val="0"/>
        </w:rPr>
        <w:t>（</w:t>
      </w:r>
      <w:bookmarkEnd w:id="911"/>
      <w:r>
        <w:rPr>
          <w:rFonts w:ascii="Times New Roman" w:eastAsia="Times New Roman" w:hAnsi="Times New Roman" w:cs="Times New Roman"/>
          <w:color w:val="000000"/>
          <w:spacing w:val="0"/>
          <w:w w:val="100"/>
          <w:position w:val="0"/>
        </w:rPr>
        <w:t>1</w:t>
      </w:r>
      <w:r>
        <w:rPr>
          <w:color w:val="000000"/>
          <w:spacing w:val="0"/>
          <w:w w:val="100"/>
          <w:position w:val="0"/>
        </w:rPr>
        <w:t>）与资产相关的政府补助判断依据及会计处理方法</w:t>
      </w:r>
      <w:bookmarkEnd w:id="909"/>
      <w:bookmarkEnd w:id="910"/>
      <w:bookmarkEnd w:id="912"/>
    </w:p>
    <w:p>
      <w:pPr>
        <w:pStyle w:val="Style33"/>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政府补助，是本公司从政府无偿取得的货币性资产与非货币性资产。分为与资产相关的政府补助和与 收益相关的政府补助。</w:t>
      </w:r>
    </w:p>
    <w:p>
      <w:pPr>
        <w:pStyle w:val="Style33"/>
        <w:keepNext w:val="0"/>
        <w:keepLines w:val="0"/>
        <w:widowControl w:val="0"/>
        <w:shd w:val="clear" w:color="auto" w:fill="auto"/>
        <w:bidi w:val="0"/>
        <w:spacing w:before="0" w:after="0" w:line="311" w:lineRule="exact"/>
        <w:ind w:left="0" w:right="0" w:firstLine="440"/>
        <w:jc w:val="both"/>
      </w:pPr>
      <w:r>
        <w:rPr>
          <w:color w:val="000000"/>
          <w:spacing w:val="0"/>
          <w:w w:val="100"/>
          <w:position w:val="0"/>
        </w:rPr>
        <w:t>与资产相关的政府补助，是指本公司取得的、用于购建或以其他方式形成长期资产的政府补助，包括 购买固定资产或无形资产的财政拨款、固定资产专门借款的财政贴息等。与收益相关的政府补助，是指除 与资产相关的政府补助之外的政府补助。</w:t>
      </w:r>
    </w:p>
    <w:p>
      <w:pPr>
        <w:pStyle w:val="Style33"/>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本公司将政府补助划分为与资产相关的具体标准为：企业取得的，用于购建或以其他方式形成长期资 产的政府补助；</w:t>
      </w:r>
    </w:p>
    <w:p>
      <w:pPr>
        <w:pStyle w:val="Style33"/>
        <w:keepNext w:val="0"/>
        <w:keepLines w:val="0"/>
        <w:widowControl w:val="0"/>
        <w:shd w:val="clear" w:color="auto" w:fill="auto"/>
        <w:bidi w:val="0"/>
        <w:spacing w:before="0" w:after="0" w:line="311" w:lineRule="exact"/>
        <w:ind w:left="0" w:right="0" w:firstLine="440"/>
        <w:jc w:val="left"/>
      </w:pPr>
      <w:r>
        <w:rPr>
          <w:color w:val="000000"/>
          <w:spacing w:val="0"/>
          <w:w w:val="100"/>
          <w:position w:val="0"/>
        </w:rPr>
        <w:t>本公司将政府补助划分为与收益相关的具体标准为：除与资产相关的政府补助之外的政府补助；</w:t>
      </w:r>
    </w:p>
    <w:p>
      <w:pPr>
        <w:pStyle w:val="Style33"/>
        <w:keepNext w:val="0"/>
        <w:keepLines w:val="0"/>
        <w:widowControl w:val="0"/>
        <w:shd w:val="clear" w:color="auto" w:fill="auto"/>
        <w:bidi w:val="0"/>
        <w:spacing w:before="0" w:after="80" w:line="311" w:lineRule="exact"/>
        <w:ind w:left="0" w:right="0" w:firstLine="440"/>
        <w:jc w:val="both"/>
      </w:pPr>
      <w:r>
        <w:rPr>
          <w:color w:val="000000"/>
          <w:spacing w:val="0"/>
          <w:w w:val="100"/>
          <w:position w:val="0"/>
        </w:rPr>
        <w:t>对于政府文件未明确规定补助对象的，本公司将该政府补助划分为与资产相关或与收益相关的判断依 据为：是否用于购建或以其他方式形成长期资产。</w:t>
      </w:r>
    </w:p>
    <w:p>
      <w:pPr>
        <w:pStyle w:val="Style47"/>
        <w:keepNext/>
        <w:keepLines/>
        <w:widowControl w:val="0"/>
        <w:shd w:val="clear" w:color="auto" w:fill="auto"/>
        <w:bidi w:val="0"/>
        <w:spacing w:before="0" w:after="300" w:line="313" w:lineRule="exact"/>
        <w:ind w:left="0" w:right="0" w:firstLine="0"/>
        <w:jc w:val="left"/>
      </w:pPr>
      <w:bookmarkStart w:id="913" w:name="bookmark913"/>
      <w:bookmarkStart w:id="914" w:name="bookmark914"/>
      <w:bookmarkStart w:id="915" w:name="bookmark91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）与收益相关的政府补助判断依据及会计处理方法</w:t>
      </w:r>
      <w:bookmarkEnd w:id="913"/>
      <w:bookmarkEnd w:id="914"/>
      <w:bookmarkEnd w:id="915"/>
    </w:p>
    <w:p>
      <w:pPr>
        <w:pStyle w:val="Style33"/>
        <w:keepNext w:val="0"/>
        <w:keepLines w:val="0"/>
        <w:widowControl w:val="0"/>
        <w:shd w:val="clear" w:color="auto" w:fill="auto"/>
        <w:bidi w:val="0"/>
        <w:spacing w:before="0" w:after="0" w:line="310" w:lineRule="exact"/>
        <w:ind w:left="0" w:right="0" w:firstLine="440"/>
        <w:jc w:val="both"/>
      </w:pPr>
      <w:r>
        <w:rPr>
          <w:b/>
          <w:bCs/>
          <w:color w:val="000000"/>
          <w:spacing w:val="0"/>
          <w:w w:val="100"/>
          <w:position w:val="0"/>
        </w:rPr>
        <w:t>确认时点：</w:t>
      </w:r>
      <w:r>
        <w:rPr>
          <w:color w:val="000000"/>
          <w:spacing w:val="0"/>
          <w:w w:val="100"/>
          <w:position w:val="0"/>
        </w:rPr>
        <w:t>企业实际取得政府补助款项作为确认时点。</w:t>
      </w:r>
    </w:p>
    <w:p>
      <w:pPr>
        <w:pStyle w:val="Style33"/>
        <w:keepNext w:val="0"/>
        <w:keepLines w:val="0"/>
        <w:widowControl w:val="0"/>
        <w:shd w:val="clear" w:color="auto" w:fill="auto"/>
        <w:bidi w:val="0"/>
        <w:spacing w:before="0" w:after="0" w:line="310" w:lineRule="exact"/>
        <w:ind w:left="0" w:right="0" w:firstLine="440"/>
        <w:jc w:val="both"/>
      </w:pPr>
      <w:r>
        <w:rPr>
          <w:b/>
          <w:bCs/>
          <w:color w:val="000000"/>
          <w:spacing w:val="0"/>
          <w:w w:val="100"/>
          <w:position w:val="0"/>
        </w:rPr>
        <w:t>会计处理：</w:t>
      </w:r>
    </w:p>
    <w:p>
      <w:pPr>
        <w:pStyle w:val="Style33"/>
        <w:keepNext w:val="0"/>
        <w:keepLines w:val="0"/>
        <w:widowControl w:val="0"/>
        <w:shd w:val="clear" w:color="auto" w:fill="auto"/>
        <w:bidi w:val="0"/>
        <w:spacing w:before="0" w:after="300" w:line="310" w:lineRule="exact"/>
        <w:ind w:left="0" w:right="0" w:firstLine="440"/>
        <w:jc w:val="both"/>
      </w:pPr>
      <w:r>
        <w:rPr>
          <w:color w:val="000000"/>
          <w:spacing w:val="0"/>
          <w:w w:val="100"/>
          <w:position w:val="0"/>
        </w:rPr>
        <w:t>与资产相关的政府补助，确认为递延收益，按照所建造或购买的资产使用年限分期计入营业外收入； 与收益相关的政府补助，用于补偿本公司以后期间的相关费用或损失的，取得时确认为递延收益，在 确认相关费用的期间计入当期营业外收入；用于补偿本公司已发生的相关费用或损失的，取得时直接计入 当期营业外收入。</w:t>
      </w:r>
    </w:p>
    <w:p>
      <w:pPr>
        <w:pStyle w:val="Style30"/>
        <w:keepNext/>
        <w:keepLines/>
        <w:widowControl w:val="0"/>
        <w:shd w:val="clear" w:color="auto" w:fill="auto"/>
        <w:tabs>
          <w:tab w:pos="483" w:val="left"/>
        </w:tabs>
        <w:bidi w:val="0"/>
        <w:spacing w:before="0" w:after="300" w:line="313" w:lineRule="exact"/>
        <w:ind w:left="0" w:right="0" w:firstLine="0"/>
        <w:jc w:val="left"/>
      </w:pPr>
      <w:bookmarkStart w:id="916" w:name="bookmark916"/>
      <w:bookmarkStart w:id="917" w:name="bookmark917"/>
      <w:bookmarkStart w:id="918" w:name="bookmark918"/>
      <w:bookmarkStart w:id="919" w:name="bookmark919"/>
      <w:r>
        <w:rPr>
          <w:rFonts w:ascii="Times New Roman" w:eastAsia="Times New Roman" w:hAnsi="Times New Roman" w:cs="Times New Roman"/>
          <w:color w:val="000000"/>
          <w:spacing w:val="0"/>
          <w:w w:val="100"/>
          <w:position w:val="0"/>
        </w:rPr>
        <w:t>2</w:t>
      </w:r>
      <w:bookmarkEnd w:id="918"/>
      <w:r>
        <w:rPr>
          <w:rFonts w:ascii="Times New Roman" w:eastAsia="Times New Roman" w:hAnsi="Times New Roman" w:cs="Times New Roman"/>
          <w:color w:val="000000"/>
          <w:spacing w:val="0"/>
          <w:w w:val="100"/>
          <w:position w:val="0"/>
        </w:rPr>
        <w:t>3</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16"/>
      <w:bookmarkEnd w:id="917"/>
      <w:bookmarkEnd w:id="919"/>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对于可抵扣暂时性差异确认递延所得税资产，以未来期间很可能取得的用来抵扣可抵扣暂时性差异的 应纳税所得额为限。对于能够结转以后年度的可抵扣亏损和税款抵减，以很可能获得用来抵扣可抵扣亏损 和税款抵减的未来应纳税所得额为限，确认相应的递延所得税资产。</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对于应纳税暂时性差异，除特殊情况外，确认递延所得税负债。</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不确认递延所得税资产或递延所得税负债的特殊情况包括：商誉的初始确认；除企业合并以外的发生 时既不影响会计利润也不影响应纳税所得额（或可抵扣亏损）的其他交易或事项。</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当拥有以净额结算的法定权利，且意图以净额结算或取得资产、清偿负债同时进行时，当期所得税资 产及当期所得税负债以抵销后的净额列报。</w:t>
      </w:r>
    </w:p>
    <w:p>
      <w:pPr>
        <w:pStyle w:val="Style33"/>
        <w:keepNext w:val="0"/>
        <w:keepLines w:val="0"/>
        <w:widowControl w:val="0"/>
        <w:shd w:val="clear" w:color="auto" w:fill="auto"/>
        <w:bidi w:val="0"/>
        <w:spacing w:before="0" w:after="300" w:line="313" w:lineRule="exact"/>
        <w:ind w:left="0" w:right="0" w:firstLine="440"/>
        <w:jc w:val="both"/>
      </w:pPr>
      <w:r>
        <w:rPr>
          <w:color w:val="000000"/>
          <w:spacing w:val="0"/>
          <w:w w:val="100"/>
          <w:position w:val="0"/>
        </w:rPr>
        <w:t>当拥有以净额结算当期所得税资产及当期所得税负债的法定权利，且递延所得税资产及递延所得税负 债是与同一税收征管部门对同一纳税主体征收的所得税相关或者是对不同的纳税主体相关，但在未来每一 具有重要性的递延所得税资产及负债转回的期间内，涉及的纳税主体意图以净额结算当期所得税资产和负 债或是同时取得资产、清偿负债时，递延所得税资产及递延所得税负债以抵销后的净额列报。</w:t>
      </w:r>
    </w:p>
    <w:p>
      <w:pPr>
        <w:pStyle w:val="Style30"/>
        <w:keepNext/>
        <w:keepLines/>
        <w:widowControl w:val="0"/>
        <w:shd w:val="clear" w:color="auto" w:fill="auto"/>
        <w:tabs>
          <w:tab w:pos="483" w:val="left"/>
        </w:tabs>
        <w:bidi w:val="0"/>
        <w:spacing w:before="0" w:after="300" w:line="313" w:lineRule="exact"/>
        <w:ind w:left="0" w:right="0" w:firstLine="0"/>
        <w:jc w:val="left"/>
      </w:pPr>
      <w:bookmarkStart w:id="920" w:name="bookmark920"/>
      <w:bookmarkStart w:id="921" w:name="bookmark921"/>
      <w:bookmarkStart w:id="922" w:name="bookmark922"/>
      <w:bookmarkStart w:id="923" w:name="bookmark923"/>
      <w:r>
        <w:rPr>
          <w:rFonts w:ascii="Times New Roman" w:eastAsia="Times New Roman" w:hAnsi="Times New Roman" w:cs="Times New Roman"/>
          <w:color w:val="000000"/>
          <w:spacing w:val="0"/>
          <w:w w:val="100"/>
          <w:position w:val="0"/>
        </w:rPr>
        <w:t>2</w:t>
      </w:r>
      <w:bookmarkEnd w:id="922"/>
      <w:r>
        <w:rPr>
          <w:rFonts w:ascii="Times New Roman" w:eastAsia="Times New Roman" w:hAnsi="Times New Roman" w:cs="Times New Roman"/>
          <w:color w:val="000000"/>
          <w:spacing w:val="0"/>
          <w:w w:val="100"/>
          <w:position w:val="0"/>
        </w:rPr>
        <w:t>4</w:t>
      </w:r>
      <w:r>
        <w:rPr>
          <w:color w:val="000000"/>
          <w:spacing w:val="0"/>
          <w:w w:val="100"/>
          <w:position w:val="0"/>
        </w:rPr>
        <w:t>、</w:t>
        <w:tab/>
        <w:t>租赁</w:t>
      </w:r>
      <w:bookmarkEnd w:id="920"/>
      <w:bookmarkEnd w:id="921"/>
      <w:bookmarkEnd w:id="923"/>
    </w:p>
    <w:p>
      <w:pPr>
        <w:pStyle w:val="Style47"/>
        <w:keepNext/>
        <w:keepLines/>
        <w:widowControl w:val="0"/>
        <w:shd w:val="clear" w:color="auto" w:fill="auto"/>
        <w:tabs>
          <w:tab w:pos="493" w:val="left"/>
        </w:tabs>
        <w:bidi w:val="0"/>
        <w:spacing w:before="0" w:after="300" w:line="313" w:lineRule="exact"/>
        <w:ind w:left="0" w:right="0" w:firstLine="0"/>
        <w:jc w:val="left"/>
      </w:pPr>
      <w:bookmarkStart w:id="924" w:name="bookmark924"/>
      <w:bookmarkStart w:id="925" w:name="bookmark925"/>
      <w:bookmarkStart w:id="926" w:name="bookmark926"/>
      <w:bookmarkStart w:id="927" w:name="bookmark927"/>
      <w:r>
        <w:rPr>
          <w:color w:val="000000"/>
          <w:spacing w:val="0"/>
          <w:w w:val="100"/>
          <w:position w:val="0"/>
        </w:rPr>
        <w:t>（</w:t>
      </w:r>
      <w:bookmarkEnd w:id="926"/>
      <w:r>
        <w:rPr>
          <w:rFonts w:ascii="Times New Roman" w:eastAsia="Times New Roman" w:hAnsi="Times New Roman" w:cs="Times New Roman"/>
          <w:color w:val="000000"/>
          <w:spacing w:val="0"/>
          <w:w w:val="100"/>
          <w:position w:val="0"/>
        </w:rPr>
        <w:t>1</w:t>
      </w:r>
      <w:r>
        <w:rPr>
          <w:color w:val="000000"/>
          <w:spacing w:val="0"/>
          <w:w w:val="100"/>
          <w:position w:val="0"/>
        </w:rPr>
        <w:t>）</w:t>
        <w:tab/>
        <w:t>经营租赁的会计处理方法</w:t>
      </w:r>
      <w:bookmarkEnd w:id="924"/>
      <w:bookmarkEnd w:id="925"/>
      <w:bookmarkEnd w:id="927"/>
    </w:p>
    <w:p>
      <w:pPr>
        <w:pStyle w:val="Style33"/>
        <w:keepNext w:val="0"/>
        <w:keepLines w:val="0"/>
        <w:widowControl w:val="0"/>
        <w:shd w:val="clear" w:color="auto" w:fill="auto"/>
        <w:tabs>
          <w:tab w:pos="800" w:val="left"/>
        </w:tabs>
        <w:bidi w:val="0"/>
        <w:spacing w:before="0" w:after="0" w:line="315" w:lineRule="exact"/>
        <w:ind w:left="0" w:right="0" w:firstLine="440"/>
        <w:jc w:val="both"/>
      </w:pPr>
      <w:bookmarkStart w:id="928" w:name="bookmark928"/>
      <w:r>
        <w:rPr>
          <w:rFonts w:ascii="Times New Roman" w:eastAsia="Times New Roman" w:hAnsi="Times New Roman" w:cs="Times New Roman"/>
          <w:color w:val="000000"/>
          <w:spacing w:val="0"/>
          <w:w w:val="100"/>
          <w:position w:val="0"/>
        </w:rPr>
        <w:t>1</w:t>
      </w:r>
      <w:bookmarkEnd w:id="928"/>
      <w:r>
        <w:rPr>
          <w:color w:val="000000"/>
          <w:spacing w:val="0"/>
          <w:w w:val="100"/>
          <w:position w:val="0"/>
        </w:rPr>
        <w:t>）</w:t>
        <w:tab/>
        <w:t>公司租入资产所支付的租赁费，在不扣除免租期的整个租赁期内，按直线法进行分摊，计入当期 费用。公司支付的与租赁交易相关的初始直接费用，计入当期费用。</w:t>
      </w:r>
    </w:p>
    <w:p>
      <w:pPr>
        <w:pStyle w:val="Style33"/>
        <w:keepNext w:val="0"/>
        <w:keepLines w:val="0"/>
        <w:widowControl w:val="0"/>
        <w:shd w:val="clear" w:color="auto" w:fill="auto"/>
        <w:bidi w:val="0"/>
        <w:spacing w:before="0" w:after="0" w:line="315" w:lineRule="exact"/>
        <w:ind w:left="0" w:right="0" w:firstLine="440"/>
        <w:jc w:val="both"/>
      </w:pPr>
      <w:r>
        <w:rPr>
          <w:color w:val="000000"/>
          <w:spacing w:val="0"/>
          <w:w w:val="100"/>
          <w:position w:val="0"/>
        </w:rPr>
        <w:t>资产出租方承担了应由公司承担的与租赁相关的费用时，公司将该部分费用从租金总额中扣除，按扣 除后的租金费用在租赁期内分摊，计入当期费用。</w:t>
      </w:r>
    </w:p>
    <w:p>
      <w:pPr>
        <w:pStyle w:val="Style33"/>
        <w:keepNext w:val="0"/>
        <w:keepLines w:val="0"/>
        <w:widowControl w:val="0"/>
        <w:shd w:val="clear" w:color="auto" w:fill="auto"/>
        <w:tabs>
          <w:tab w:pos="810" w:val="left"/>
        </w:tabs>
        <w:bidi w:val="0"/>
        <w:spacing w:before="0" w:after="0" w:line="315" w:lineRule="exact"/>
        <w:ind w:left="0" w:right="0" w:firstLine="440"/>
        <w:jc w:val="both"/>
      </w:pPr>
      <w:bookmarkStart w:id="929" w:name="bookmark929"/>
      <w:r>
        <w:rPr>
          <w:rFonts w:ascii="Times New Roman" w:eastAsia="Times New Roman" w:hAnsi="Times New Roman" w:cs="Times New Roman"/>
          <w:color w:val="000000"/>
          <w:spacing w:val="0"/>
          <w:w w:val="100"/>
          <w:position w:val="0"/>
        </w:rPr>
        <w:t>2</w:t>
      </w:r>
      <w:bookmarkEnd w:id="929"/>
      <w:r>
        <w:rPr>
          <w:color w:val="000000"/>
          <w:spacing w:val="0"/>
          <w:w w:val="100"/>
          <w:position w:val="0"/>
        </w:rPr>
        <w:t>）</w:t>
        <w:tab/>
        <w:t>公司出租资产所收取的租赁费，在不扣除免租期的整个租赁期内，按直线法进行分摊，确认为租 赁相关收入。公司支付的与租赁交易相关的初始直接费用，计入当期费用；如金额较大的，则予以资本化, 在整个租赁期间内按照与租赁相关收入确认相同的基础分期计入当期收益。</w:t>
      </w:r>
    </w:p>
    <w:p>
      <w:pPr>
        <w:pStyle w:val="Style33"/>
        <w:keepNext w:val="0"/>
        <w:keepLines w:val="0"/>
        <w:widowControl w:val="0"/>
        <w:shd w:val="clear" w:color="auto" w:fill="auto"/>
        <w:bidi w:val="0"/>
        <w:spacing w:before="0" w:after="300" w:line="315" w:lineRule="exact"/>
        <w:ind w:left="0" w:right="0" w:firstLine="440"/>
        <w:jc w:val="both"/>
      </w:pPr>
      <w:r>
        <w:rPr>
          <w:color w:val="000000"/>
          <w:spacing w:val="0"/>
          <w:w w:val="100"/>
          <w:position w:val="0"/>
        </w:rPr>
        <w:t>公司承担了应由承租方承担的与租赁相关的费用时，公司将该部分费用从租金收入总额中扣除，按扣 除后的租金费用在租赁期内分配。</w:t>
      </w:r>
    </w:p>
    <w:p>
      <w:pPr>
        <w:pStyle w:val="Style47"/>
        <w:keepNext/>
        <w:keepLines/>
        <w:widowControl w:val="0"/>
        <w:shd w:val="clear" w:color="auto" w:fill="auto"/>
        <w:tabs>
          <w:tab w:pos="493" w:val="left"/>
        </w:tabs>
        <w:bidi w:val="0"/>
        <w:spacing w:before="0" w:after="300" w:line="313" w:lineRule="exact"/>
        <w:ind w:left="0" w:right="0" w:firstLine="0"/>
        <w:jc w:val="left"/>
      </w:pPr>
      <w:bookmarkStart w:id="930" w:name="bookmark930"/>
      <w:bookmarkStart w:id="931" w:name="bookmark931"/>
      <w:bookmarkStart w:id="932" w:name="bookmark932"/>
      <w:bookmarkStart w:id="933" w:name="bookmark933"/>
      <w:r>
        <w:rPr>
          <w:color w:val="000000"/>
          <w:spacing w:val="0"/>
          <w:w w:val="100"/>
          <w:position w:val="0"/>
        </w:rPr>
        <w:t>（</w:t>
      </w:r>
      <w:bookmarkEnd w:id="932"/>
      <w:r>
        <w:rPr>
          <w:rFonts w:ascii="Times New Roman" w:eastAsia="Times New Roman" w:hAnsi="Times New Roman" w:cs="Times New Roman"/>
          <w:color w:val="000000"/>
          <w:spacing w:val="0"/>
          <w:w w:val="100"/>
          <w:position w:val="0"/>
        </w:rPr>
        <w:t>2</w:t>
      </w:r>
      <w:r>
        <w:rPr>
          <w:color w:val="000000"/>
          <w:spacing w:val="0"/>
          <w:w w:val="100"/>
          <w:position w:val="0"/>
        </w:rPr>
        <w:t>）</w:t>
        <w:tab/>
        <w:t>融资租赁的会计处理方法</w:t>
      </w:r>
      <w:bookmarkEnd w:id="930"/>
      <w:bookmarkEnd w:id="931"/>
      <w:bookmarkEnd w:id="933"/>
    </w:p>
    <w:p>
      <w:pPr>
        <w:pStyle w:val="Style33"/>
        <w:keepNext w:val="0"/>
        <w:keepLines w:val="0"/>
        <w:widowControl w:val="0"/>
        <w:shd w:val="clear" w:color="auto" w:fill="auto"/>
        <w:bidi w:val="0"/>
        <w:spacing w:before="0" w:after="300" w:line="313" w:lineRule="exact"/>
        <w:ind w:left="0" w:right="0" w:firstLine="440"/>
        <w:jc w:val="both"/>
      </w:pPr>
      <w:r>
        <w:rPr>
          <w:color w:val="000000"/>
          <w:spacing w:val="0"/>
          <w:w w:val="100"/>
          <w:position w:val="0"/>
        </w:rPr>
        <w:t>本报告期未发生融资租赁事项。</w:t>
      </w:r>
    </w:p>
    <w:p>
      <w:pPr>
        <w:pStyle w:val="Style30"/>
        <w:keepNext/>
        <w:keepLines/>
        <w:widowControl w:val="0"/>
        <w:shd w:val="clear" w:color="auto" w:fill="auto"/>
        <w:tabs>
          <w:tab w:pos="483" w:val="left"/>
        </w:tabs>
        <w:bidi w:val="0"/>
        <w:spacing w:before="0" w:after="360" w:line="313" w:lineRule="exact"/>
        <w:ind w:left="0" w:right="0" w:firstLine="0"/>
        <w:jc w:val="left"/>
      </w:pPr>
      <w:bookmarkStart w:id="934" w:name="bookmark934"/>
      <w:bookmarkStart w:id="935" w:name="bookmark935"/>
      <w:bookmarkStart w:id="936" w:name="bookmark936"/>
      <w:bookmarkStart w:id="937" w:name="bookmark937"/>
      <w:r>
        <w:rPr>
          <w:rFonts w:ascii="Times New Roman" w:eastAsia="Times New Roman" w:hAnsi="Times New Roman" w:cs="Times New Roman"/>
          <w:color w:val="000000"/>
          <w:spacing w:val="0"/>
          <w:w w:val="100"/>
          <w:position w:val="0"/>
        </w:rPr>
        <w:t>2</w:t>
      </w:r>
      <w:bookmarkEnd w:id="936"/>
      <w:r>
        <w:rPr>
          <w:rFonts w:ascii="Times New Roman" w:eastAsia="Times New Roman" w:hAnsi="Times New Roman" w:cs="Times New Roman"/>
          <w:color w:val="000000"/>
          <w:spacing w:val="0"/>
          <w:w w:val="100"/>
          <w:position w:val="0"/>
        </w:rPr>
        <w:t>5</w:t>
      </w:r>
      <w:r>
        <w:rPr>
          <w:color w:val="000000"/>
          <w:spacing w:val="0"/>
          <w:w w:val="100"/>
          <w:position w:val="0"/>
        </w:rPr>
        <w:t>、</w:t>
        <w:tab/>
        <w:t>期货风险准备金</w:t>
      </w:r>
      <w:bookmarkEnd w:id="934"/>
      <w:bookmarkEnd w:id="935"/>
      <w:bookmarkEnd w:id="937"/>
    </w:p>
    <w:p>
      <w:pPr>
        <w:pStyle w:val="Style33"/>
        <w:keepNext w:val="0"/>
        <w:keepLines w:val="0"/>
        <w:widowControl w:val="0"/>
        <w:shd w:val="clear" w:color="auto" w:fill="auto"/>
        <w:bidi w:val="0"/>
        <w:spacing w:before="0" w:after="300" w:line="240" w:lineRule="auto"/>
        <w:ind w:left="0" w:right="0" w:firstLine="440"/>
        <w:jc w:val="both"/>
      </w:pPr>
      <w:r>
        <w:rPr>
          <w:color w:val="000000"/>
          <w:spacing w:val="0"/>
          <w:w w:val="100"/>
          <w:position w:val="0"/>
        </w:rPr>
        <w:t>本公司控股子公司江信国盛期货有限责任公司按下列政策计提期货风险准备金:</w:t>
      </w:r>
    </w:p>
    <w:p>
      <w:pPr>
        <w:pStyle w:val="Style33"/>
        <w:keepNext w:val="0"/>
        <w:keepLines w:val="0"/>
        <w:widowControl w:val="0"/>
        <w:shd w:val="clear" w:color="auto" w:fill="auto"/>
        <w:tabs>
          <w:tab w:pos="788" w:val="left"/>
        </w:tabs>
        <w:bidi w:val="0"/>
        <w:spacing w:before="0" w:after="0" w:line="313" w:lineRule="exact"/>
        <w:ind w:left="0" w:right="0" w:firstLine="440"/>
        <w:jc w:val="left"/>
      </w:pPr>
      <w:bookmarkStart w:id="938" w:name="bookmark938"/>
      <w:r>
        <w:rPr>
          <w:color w:val="000000"/>
          <w:spacing w:val="0"/>
          <w:w w:val="100"/>
          <w:position w:val="0"/>
        </w:rPr>
        <w:t>1</w:t>
      </w:r>
      <w:bookmarkEnd w:id="938"/>
      <w:r>
        <w:rPr>
          <w:color w:val="000000"/>
          <w:spacing w:val="0"/>
          <w:w w:val="100"/>
          <w:position w:val="0"/>
        </w:rPr>
        <w:t>、</w:t>
        <w:tab/>
        <w:t>期货风险准备金指按手续费净收入</w:t>
      </w:r>
      <w:r>
        <w:rPr>
          <w:color w:val="000000"/>
          <w:spacing w:val="0"/>
          <w:w w:val="100"/>
          <w:position w:val="0"/>
        </w:rPr>
        <w:t>5%</w:t>
      </w:r>
      <w:r>
        <w:rPr>
          <w:color w:val="000000"/>
          <w:spacing w:val="0"/>
          <w:w w:val="100"/>
          <w:position w:val="0"/>
        </w:rPr>
        <w:t>计提的期货风险准备金，计入当期损益。</w:t>
      </w:r>
    </w:p>
    <w:p>
      <w:pPr>
        <w:pStyle w:val="Style33"/>
        <w:keepNext w:val="0"/>
        <w:keepLines w:val="0"/>
        <w:widowControl w:val="0"/>
        <w:shd w:val="clear" w:color="auto" w:fill="auto"/>
        <w:tabs>
          <w:tab w:pos="802" w:val="left"/>
        </w:tabs>
        <w:bidi w:val="0"/>
        <w:spacing w:before="0" w:after="0" w:line="313" w:lineRule="exact"/>
        <w:ind w:left="0" w:right="0" w:firstLine="440"/>
        <w:jc w:val="left"/>
      </w:pPr>
      <w:bookmarkStart w:id="939" w:name="bookmark939"/>
      <w:r>
        <w:rPr>
          <w:color w:val="000000"/>
          <w:spacing w:val="0"/>
          <w:w w:val="100"/>
          <w:position w:val="0"/>
        </w:rPr>
        <w:t>2</w:t>
      </w:r>
      <w:bookmarkEnd w:id="939"/>
      <w:r>
        <w:rPr>
          <w:color w:val="000000"/>
          <w:spacing w:val="0"/>
          <w:w w:val="100"/>
          <w:position w:val="0"/>
        </w:rPr>
        <w:t>、</w:t>
        <w:tab/>
        <w:t>风险损失的确认标准为：</w:t>
      </w:r>
    </w:p>
    <w:p>
      <w:pPr>
        <w:pStyle w:val="Style33"/>
        <w:keepNext w:val="0"/>
        <w:keepLines w:val="0"/>
        <w:widowControl w:val="0"/>
        <w:shd w:val="clear" w:color="auto" w:fill="auto"/>
        <w:tabs>
          <w:tab w:pos="807" w:val="left"/>
        </w:tabs>
        <w:bidi w:val="0"/>
        <w:spacing w:before="0" w:after="0" w:line="313" w:lineRule="exact"/>
        <w:ind w:left="0" w:right="0" w:firstLine="440"/>
        <w:jc w:val="left"/>
      </w:pPr>
      <w:bookmarkStart w:id="940" w:name="bookmark940"/>
      <w:r>
        <w:rPr>
          <w:color w:val="000000"/>
          <w:spacing w:val="0"/>
          <w:w w:val="100"/>
          <w:position w:val="0"/>
        </w:rPr>
        <w:t>1</w:t>
      </w:r>
      <w:bookmarkEnd w:id="940"/>
      <w:r>
        <w:rPr>
          <w:color w:val="000000"/>
          <w:spacing w:val="0"/>
          <w:w w:val="100"/>
          <w:position w:val="0"/>
        </w:rPr>
        <w:t>）</w:t>
        <w:tab/>
      </w:r>
      <w:r>
        <w:rPr>
          <w:color w:val="000000"/>
          <w:spacing w:val="0"/>
          <w:w w:val="100"/>
          <w:position w:val="0"/>
        </w:rPr>
        <w:t>因管理不严、错单交易等造成的应由公司承担的客户交易损失；</w:t>
      </w:r>
    </w:p>
    <w:p>
      <w:pPr>
        <w:pStyle w:val="Style33"/>
        <w:keepNext w:val="0"/>
        <w:keepLines w:val="0"/>
        <w:widowControl w:val="0"/>
        <w:shd w:val="clear" w:color="auto" w:fill="auto"/>
        <w:tabs>
          <w:tab w:pos="822" w:val="left"/>
        </w:tabs>
        <w:bidi w:val="0"/>
        <w:spacing w:before="0" w:after="0" w:line="313" w:lineRule="exact"/>
        <w:ind w:left="0" w:right="0" w:firstLine="440"/>
        <w:jc w:val="left"/>
      </w:pPr>
      <w:bookmarkStart w:id="941" w:name="bookmark941"/>
      <w:r>
        <w:rPr>
          <w:color w:val="000000"/>
          <w:spacing w:val="0"/>
          <w:w w:val="100"/>
          <w:position w:val="0"/>
        </w:rPr>
        <w:t>2</w:t>
      </w:r>
      <w:bookmarkEnd w:id="941"/>
      <w:r>
        <w:rPr>
          <w:color w:val="000000"/>
          <w:spacing w:val="0"/>
          <w:w w:val="100"/>
          <w:position w:val="0"/>
        </w:rPr>
        <w:t>）</w:t>
        <w:tab/>
      </w:r>
      <w:r>
        <w:rPr>
          <w:color w:val="000000"/>
          <w:spacing w:val="0"/>
          <w:w w:val="100"/>
          <w:position w:val="0"/>
        </w:rPr>
        <w:t>因穿仓等原因形成难以收回的风险损失款</w:t>
      </w:r>
    </w:p>
    <w:p>
      <w:pPr>
        <w:pStyle w:val="Style33"/>
        <w:keepNext w:val="0"/>
        <w:keepLines w:val="0"/>
        <w:widowControl w:val="0"/>
        <w:shd w:val="clear" w:color="auto" w:fill="auto"/>
        <w:bidi w:val="0"/>
        <w:spacing w:before="0" w:after="460" w:line="313" w:lineRule="exact"/>
        <w:ind w:left="0" w:right="0" w:firstLine="440"/>
        <w:jc w:val="left"/>
      </w:pPr>
      <w:r>
        <w:rPr>
          <w:color w:val="000000"/>
          <w:spacing w:val="0"/>
          <w:w w:val="100"/>
          <w:position w:val="0"/>
        </w:rPr>
        <w:t>计提的期货风险准备金余额不足以弥补的损失金额计入当期损益。</w:t>
      </w:r>
    </w:p>
    <w:p>
      <w:pPr>
        <w:pStyle w:val="Style33"/>
        <w:keepNext w:val="0"/>
        <w:keepLines w:val="0"/>
        <w:widowControl w:val="0"/>
        <w:shd w:val="clear" w:color="auto" w:fill="auto"/>
        <w:tabs>
          <w:tab w:pos="478" w:val="left"/>
        </w:tabs>
        <w:bidi w:val="0"/>
        <w:spacing w:before="0" w:after="0" w:line="326" w:lineRule="auto"/>
        <w:ind w:left="0" w:right="0" w:firstLine="0"/>
        <w:jc w:val="left"/>
      </w:pPr>
      <w:bookmarkStart w:id="942" w:name="bookmark942"/>
      <w:r>
        <w:rPr>
          <w:rFonts w:ascii="Times New Roman" w:eastAsia="Times New Roman" w:hAnsi="Times New Roman" w:cs="Times New Roman"/>
          <w:b/>
          <w:bCs/>
          <w:color w:val="000000"/>
          <w:spacing w:val="0"/>
          <w:w w:val="100"/>
          <w:position w:val="0"/>
        </w:rPr>
        <w:t>2</w:t>
      </w:r>
      <w:bookmarkEnd w:id="942"/>
      <w:r>
        <w:rPr>
          <w:rFonts w:ascii="Times New Roman" w:eastAsia="Times New Roman" w:hAnsi="Times New Roman" w:cs="Times New Roman"/>
          <w:b/>
          <w:bCs/>
          <w:color w:val="000000"/>
          <w:spacing w:val="0"/>
          <w:w w:val="100"/>
          <w:position w:val="0"/>
        </w:rPr>
        <w:t>6</w:t>
      </w:r>
      <w:r>
        <w:rPr>
          <w:b/>
          <w:bCs/>
          <w:color w:val="000000"/>
          <w:spacing w:val="0"/>
          <w:w w:val="100"/>
          <w:position w:val="0"/>
        </w:rPr>
        <w:t>、</w:t>
        <w:tab/>
        <w:t>买入返售及卖出回购业务</w:t>
      </w:r>
    </w:p>
    <w:p>
      <w:pPr>
        <w:pStyle w:val="Style3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本公司对买入返售交易，按照合同或协议的约定，以一定的价格向交易对手买入相关资产（包括股票、 债券和票据），同时约定本公司于未来某确定日期再以约定价格返售相同之金融产品。买入返售按买入返 售相关资产时实际支付的款项入账。</w:t>
      </w:r>
    </w:p>
    <w:p>
      <w:pPr>
        <w:pStyle w:val="Style33"/>
        <w:keepNext w:val="0"/>
        <w:keepLines w:val="0"/>
        <w:widowControl w:val="0"/>
        <w:shd w:val="clear" w:color="auto" w:fill="auto"/>
        <w:bidi w:val="0"/>
        <w:spacing w:before="0" w:after="460" w:line="314" w:lineRule="exact"/>
        <w:ind w:left="0" w:right="0" w:firstLine="440"/>
        <w:jc w:val="both"/>
      </w:pPr>
      <w:r>
        <w:rPr>
          <w:color w:val="000000"/>
          <w:spacing w:val="0"/>
          <w:w w:val="100"/>
          <w:position w:val="0"/>
        </w:rPr>
        <w:t>本公司对于卖出回购交易，按照合同或协议的约定，以一定的价格将相关的资产（包括股票、债券和 票据）出售给交易对手，同时约定本公司于未来某确定日期再以约定价格回购相同之金融产品。卖出回购 按卖出回购相关资产时实际收到的款项入账。卖出的金融产品仍按原分类列示于本公司的资产负债表内， 并按照相关的会计政策核算。</w:t>
      </w:r>
    </w:p>
    <w:p>
      <w:pPr>
        <w:pStyle w:val="Style33"/>
        <w:keepNext w:val="0"/>
        <w:keepLines w:val="0"/>
        <w:widowControl w:val="0"/>
        <w:shd w:val="clear" w:color="auto" w:fill="auto"/>
        <w:tabs>
          <w:tab w:pos="478" w:val="left"/>
        </w:tabs>
        <w:bidi w:val="0"/>
        <w:spacing w:before="0" w:after="0" w:line="326" w:lineRule="auto"/>
        <w:ind w:left="0" w:right="0" w:firstLine="0"/>
        <w:jc w:val="left"/>
      </w:pPr>
      <w:bookmarkStart w:id="943" w:name="bookmark943"/>
      <w:r>
        <w:rPr>
          <w:rFonts w:ascii="Times New Roman" w:eastAsia="Times New Roman" w:hAnsi="Times New Roman" w:cs="Times New Roman"/>
          <w:b/>
          <w:bCs/>
          <w:color w:val="000000"/>
          <w:spacing w:val="0"/>
          <w:w w:val="100"/>
          <w:position w:val="0"/>
        </w:rPr>
        <w:t>2</w:t>
      </w:r>
      <w:bookmarkEnd w:id="943"/>
      <w:r>
        <w:rPr>
          <w:rFonts w:ascii="Times New Roman" w:eastAsia="Times New Roman" w:hAnsi="Times New Roman" w:cs="Times New Roman"/>
          <w:b/>
          <w:bCs/>
          <w:color w:val="000000"/>
          <w:spacing w:val="0"/>
          <w:w w:val="100"/>
          <w:position w:val="0"/>
        </w:rPr>
        <w:t>7</w:t>
      </w:r>
      <w:r>
        <w:rPr>
          <w:b/>
          <w:bCs/>
          <w:color w:val="000000"/>
          <w:spacing w:val="0"/>
          <w:w w:val="100"/>
          <w:position w:val="0"/>
        </w:rPr>
        <w:t>、</w:t>
        <w:tab/>
        <w:t>证券承销业务</w:t>
      </w:r>
    </w:p>
    <w:p>
      <w:pPr>
        <w:pStyle w:val="Style33"/>
        <w:keepNext w:val="0"/>
        <w:keepLines w:val="0"/>
        <w:widowControl w:val="0"/>
        <w:shd w:val="clear" w:color="auto" w:fill="auto"/>
        <w:bidi w:val="0"/>
        <w:spacing w:before="0" w:after="460" w:line="312" w:lineRule="exact"/>
        <w:ind w:left="0" w:right="0" w:firstLine="440"/>
        <w:jc w:val="both"/>
      </w:pPr>
      <w:r>
        <w:rPr>
          <w:color w:val="000000"/>
          <w:spacing w:val="0"/>
          <w:w w:val="100"/>
          <w:position w:val="0"/>
        </w:rPr>
        <w:t>公司证券承销业务分为全额包销、余额包销、代销方式。公司以全额包销方式进行承销业务的，在 按承销价格购入待发售的证券时，确认为一项资产；公司将证券转让给投资者时，按承销价格确认为证 券承销收入，按已承销证券的承销价格结转承销证券的成本。承销期结束后，如有未售出的证券，按承 购价转为公司的交易性金融资产或可供出售金融资产。公司以余额包销方式进行承销业务的，在收到委 托单位发售的证券时，只在专设的备查账簿中登记承销证券的情况，承销期结束后，如有未售出的证券， 按约定的承购价格转为公司的交易性金融资产或可供出售金融资产。公司以代销方式进行承销业务的， 在收到委托单位发售的证券时，只在专设的备查账簿中登记承销证券的情况。公司承销证券的手续费收 入，在承销业务提供的相关服务完成时确认为收入。</w:t>
      </w:r>
    </w:p>
    <w:p>
      <w:pPr>
        <w:pStyle w:val="Style33"/>
        <w:keepNext w:val="0"/>
        <w:keepLines w:val="0"/>
        <w:widowControl w:val="0"/>
        <w:shd w:val="clear" w:color="auto" w:fill="auto"/>
        <w:tabs>
          <w:tab w:pos="478" w:val="left"/>
        </w:tabs>
        <w:bidi w:val="0"/>
        <w:spacing w:before="0" w:after="0" w:line="326" w:lineRule="auto"/>
        <w:ind w:left="0" w:right="0" w:firstLine="0"/>
        <w:jc w:val="left"/>
      </w:pPr>
      <w:bookmarkStart w:id="944" w:name="bookmark944"/>
      <w:r>
        <w:rPr>
          <w:rFonts w:ascii="Times New Roman" w:eastAsia="Times New Roman" w:hAnsi="Times New Roman" w:cs="Times New Roman"/>
          <w:b/>
          <w:bCs/>
          <w:color w:val="000000"/>
          <w:spacing w:val="0"/>
          <w:w w:val="100"/>
          <w:position w:val="0"/>
        </w:rPr>
        <w:t>2</w:t>
      </w:r>
      <w:bookmarkEnd w:id="944"/>
      <w:r>
        <w:rPr>
          <w:rFonts w:ascii="Times New Roman" w:eastAsia="Times New Roman" w:hAnsi="Times New Roman" w:cs="Times New Roman"/>
          <w:b/>
          <w:bCs/>
          <w:color w:val="000000"/>
          <w:spacing w:val="0"/>
          <w:w w:val="100"/>
          <w:position w:val="0"/>
        </w:rPr>
        <w:t>8</w:t>
      </w:r>
      <w:r>
        <w:rPr>
          <w:b/>
          <w:bCs/>
          <w:color w:val="000000"/>
          <w:spacing w:val="0"/>
          <w:w w:val="100"/>
          <w:position w:val="0"/>
        </w:rPr>
        <w:t>、</w:t>
        <w:tab/>
        <w:t>受托投资管理业务</w:t>
      </w:r>
    </w:p>
    <w:p>
      <w:pPr>
        <w:pStyle w:val="Style33"/>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本公司受托投资管理业务，按受托的款项同时确认为资产和负债，在表外进行核算。使用受托资金 进行证券买卖时，通过受托资产科目进行会计核算。</w:t>
      </w:r>
    </w:p>
    <w:p>
      <w:pPr>
        <w:pStyle w:val="Style33"/>
        <w:keepNext w:val="0"/>
        <w:keepLines w:val="0"/>
        <w:widowControl w:val="0"/>
        <w:shd w:val="clear" w:color="auto" w:fill="auto"/>
        <w:bidi w:val="0"/>
        <w:spacing w:before="0" w:after="460" w:line="312" w:lineRule="exact"/>
        <w:ind w:left="0" w:right="0" w:firstLine="440"/>
        <w:jc w:val="both"/>
      </w:pPr>
      <w:r>
        <w:rPr>
          <w:color w:val="000000"/>
          <w:spacing w:val="0"/>
          <w:w w:val="100"/>
          <w:position w:val="0"/>
        </w:rPr>
        <w:t>本公司开展的受托投资管理业务包括集合资产管理业务和专项资产管理业务。为满足集合资产管理 业务和专项资产管理业务信息披露要求，本公司参照证券投资基金会计核算办法，对本公司开展集合资 产管理业务和专项资产管理业务单独进行财务核算和编制财务报表。</w:t>
      </w:r>
    </w:p>
    <w:p>
      <w:pPr>
        <w:pStyle w:val="Style33"/>
        <w:keepNext w:val="0"/>
        <w:keepLines w:val="0"/>
        <w:widowControl w:val="0"/>
        <w:shd w:val="clear" w:color="auto" w:fill="auto"/>
        <w:tabs>
          <w:tab w:pos="478" w:val="left"/>
        </w:tabs>
        <w:bidi w:val="0"/>
        <w:spacing w:before="0" w:after="0" w:line="326" w:lineRule="auto"/>
        <w:ind w:left="0" w:right="0" w:firstLine="0"/>
        <w:jc w:val="left"/>
      </w:pPr>
      <w:bookmarkStart w:id="945" w:name="bookmark945"/>
      <w:r>
        <w:rPr>
          <w:rFonts w:ascii="Times New Roman" w:eastAsia="Times New Roman" w:hAnsi="Times New Roman" w:cs="Times New Roman"/>
          <w:b/>
          <w:bCs/>
          <w:color w:val="000000"/>
          <w:spacing w:val="0"/>
          <w:w w:val="100"/>
          <w:position w:val="0"/>
        </w:rPr>
        <w:t>2</w:t>
      </w:r>
      <w:bookmarkEnd w:id="945"/>
      <w:r>
        <w:rPr>
          <w:rFonts w:ascii="Times New Roman" w:eastAsia="Times New Roman" w:hAnsi="Times New Roman" w:cs="Times New Roman"/>
          <w:b/>
          <w:bCs/>
          <w:color w:val="000000"/>
          <w:spacing w:val="0"/>
          <w:w w:val="100"/>
          <w:position w:val="0"/>
        </w:rPr>
        <w:t>9</w:t>
      </w:r>
      <w:r>
        <w:rPr>
          <w:b/>
          <w:bCs/>
          <w:color w:val="000000"/>
          <w:spacing w:val="0"/>
          <w:w w:val="100"/>
          <w:position w:val="0"/>
        </w:rPr>
        <w:t>、</w:t>
        <w:tab/>
        <w:t>融资融券业务</w:t>
      </w:r>
    </w:p>
    <w:p>
      <w:pPr>
        <w:pStyle w:val="Style33"/>
        <w:keepNext w:val="0"/>
        <w:keepLines w:val="0"/>
        <w:widowControl w:val="0"/>
        <w:shd w:val="clear" w:color="auto" w:fill="auto"/>
        <w:bidi w:val="0"/>
        <w:spacing w:before="0" w:after="0" w:line="319" w:lineRule="exact"/>
        <w:ind w:left="0" w:right="0" w:firstLine="440"/>
        <w:jc w:val="both"/>
      </w:pPr>
      <w:r>
        <w:rPr>
          <w:color w:val="000000"/>
          <w:spacing w:val="0"/>
          <w:w w:val="100"/>
          <w:position w:val="0"/>
        </w:rPr>
        <w:t>融资融券业务，分为融资业务和融券业务两类。本公司对融出的资金确认应收债权，并确认相应利 息收入；对融出的自有证券，不终止确认该证券，并确认相应利息收入；对客户融资融券并代客户买卖 证券时，作为证券经纪业务进行会计处理。</w:t>
      </w:r>
    </w:p>
    <w:p>
      <w:pPr>
        <w:pStyle w:val="Style33"/>
        <w:keepNext w:val="0"/>
        <w:keepLines w:val="0"/>
        <w:widowControl w:val="0"/>
        <w:shd w:val="clear" w:color="auto" w:fill="auto"/>
        <w:bidi w:val="0"/>
        <w:spacing w:before="0" w:after="460" w:line="319" w:lineRule="exact"/>
        <w:ind w:left="0" w:right="0" w:firstLine="440"/>
        <w:jc w:val="left"/>
      </w:pPr>
      <w:r>
        <w:rPr>
          <w:color w:val="000000"/>
          <w:spacing w:val="0"/>
          <w:w w:val="100"/>
          <w:position w:val="0"/>
        </w:rPr>
        <w:t>对于融资业务，按期末债权余额的</w:t>
      </w:r>
      <w:r>
        <w:rPr>
          <w:rFonts w:ascii="Times New Roman" w:eastAsia="Times New Roman" w:hAnsi="Times New Roman" w:cs="Times New Roman"/>
          <w:color w:val="000000"/>
          <w:spacing w:val="0"/>
          <w:w w:val="100"/>
          <w:position w:val="0"/>
        </w:rPr>
        <w:t>0.2%</w:t>
      </w:r>
      <w:r>
        <w:rPr>
          <w:color w:val="000000"/>
          <w:spacing w:val="0"/>
          <w:w w:val="100"/>
          <w:position w:val="0"/>
        </w:rPr>
        <w:t>计提坏账准备。</w:t>
      </w:r>
    </w:p>
    <w:p>
      <w:pPr>
        <w:pStyle w:val="Style33"/>
        <w:keepNext w:val="0"/>
        <w:keepLines w:val="0"/>
        <w:widowControl w:val="0"/>
        <w:shd w:val="clear" w:color="auto" w:fill="auto"/>
        <w:tabs>
          <w:tab w:pos="478" w:val="left"/>
        </w:tabs>
        <w:bidi w:val="0"/>
        <w:spacing w:before="0" w:after="0" w:line="326" w:lineRule="auto"/>
        <w:ind w:left="0" w:right="0" w:firstLine="0"/>
        <w:jc w:val="left"/>
      </w:pPr>
      <w:bookmarkStart w:id="946" w:name="bookmark946"/>
      <w:r>
        <w:rPr>
          <w:rFonts w:ascii="Times New Roman" w:eastAsia="Times New Roman" w:hAnsi="Times New Roman" w:cs="Times New Roman"/>
          <w:b/>
          <w:bCs/>
          <w:color w:val="000000"/>
          <w:spacing w:val="0"/>
          <w:w w:val="100"/>
          <w:position w:val="0"/>
        </w:rPr>
        <w:t>3</w:t>
      </w:r>
      <w:bookmarkEnd w:id="946"/>
      <w:r>
        <w:rPr>
          <w:rFonts w:ascii="Times New Roman" w:eastAsia="Times New Roman" w:hAnsi="Times New Roman" w:cs="Times New Roman"/>
          <w:b/>
          <w:bCs/>
          <w:color w:val="000000"/>
          <w:spacing w:val="0"/>
          <w:w w:val="100"/>
          <w:position w:val="0"/>
        </w:rPr>
        <w:t>0</w:t>
      </w:r>
      <w:r>
        <w:rPr>
          <w:b/>
          <w:bCs/>
          <w:color w:val="000000"/>
          <w:spacing w:val="0"/>
          <w:w w:val="100"/>
          <w:position w:val="0"/>
        </w:rPr>
        <w:t>、</w:t>
        <w:tab/>
        <w:t>转融通业务</w:t>
      </w:r>
    </w:p>
    <w:p>
      <w:pPr>
        <w:pStyle w:val="Style33"/>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转融通业务，是指证券金融公司将自有或者依法筹集的资金和证券出借给本公司，以供本公司办理 融资融券业务的经营活动。转融通业务分为转融资业务和转融券业务。</w:t>
      </w:r>
    </w:p>
    <w:p>
      <w:pPr>
        <w:pStyle w:val="Style33"/>
        <w:keepNext w:val="0"/>
        <w:keepLines w:val="0"/>
        <w:widowControl w:val="0"/>
        <w:shd w:val="clear" w:color="auto" w:fill="auto"/>
        <w:bidi w:val="0"/>
        <w:spacing w:before="0" w:after="280" w:line="240" w:lineRule="auto"/>
        <w:ind w:left="0" w:right="0" w:firstLine="440"/>
        <w:jc w:val="left"/>
      </w:pPr>
      <w:r>
        <w:rPr>
          <w:color w:val="000000"/>
          <w:spacing w:val="0"/>
          <w:w w:val="100"/>
          <w:position w:val="0"/>
        </w:rPr>
        <w:t>本公司对于融入的资金确认一项对出借方的负债，并确认相应的利息费用。</w:t>
      </w:r>
    </w:p>
    <w:p>
      <w:pPr>
        <w:pStyle w:val="Style33"/>
        <w:keepNext w:val="0"/>
        <w:keepLines w:val="0"/>
        <w:widowControl w:val="0"/>
        <w:shd w:val="clear" w:color="auto" w:fill="auto"/>
        <w:bidi w:val="0"/>
        <w:spacing w:before="0" w:after="480" w:line="317" w:lineRule="exact"/>
        <w:ind w:left="0" w:right="0" w:firstLine="440"/>
        <w:jc w:val="both"/>
      </w:pPr>
      <w:r>
        <w:rPr>
          <w:color w:val="000000"/>
          <w:spacing w:val="0"/>
          <w:w w:val="100"/>
          <w:position w:val="0"/>
        </w:rPr>
        <w:t>本公司对于融入的证券，由于其主要收益或风险不由本公司享有或承担，不确认该证券，但确认相 应的利息费用。</w:t>
      </w:r>
    </w:p>
    <w:p>
      <w:pPr>
        <w:pStyle w:val="Style33"/>
        <w:keepNext w:val="0"/>
        <w:keepLines w:val="0"/>
        <w:widowControl w:val="0"/>
        <w:shd w:val="clear" w:color="auto" w:fill="auto"/>
        <w:tabs>
          <w:tab w:pos="458" w:val="left"/>
        </w:tabs>
        <w:bidi w:val="0"/>
        <w:spacing w:before="0" w:after="0" w:line="329" w:lineRule="auto"/>
        <w:ind w:left="0" w:right="0" w:firstLine="0"/>
        <w:jc w:val="left"/>
      </w:pPr>
      <w:bookmarkStart w:id="947" w:name="bookmark947"/>
      <w:r>
        <w:rPr>
          <w:rFonts w:ascii="Times New Roman" w:eastAsia="Times New Roman" w:hAnsi="Times New Roman" w:cs="Times New Roman"/>
          <w:b/>
          <w:bCs/>
          <w:color w:val="000000"/>
          <w:spacing w:val="0"/>
          <w:w w:val="100"/>
          <w:position w:val="0"/>
        </w:rPr>
        <w:t>3</w:t>
      </w:r>
      <w:bookmarkEnd w:id="947"/>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期货业务核算方法</w:t>
      </w:r>
    </w:p>
    <w:p>
      <w:pPr>
        <w:pStyle w:val="Style33"/>
        <w:keepNext w:val="0"/>
        <w:keepLines w:val="0"/>
        <w:widowControl w:val="0"/>
        <w:shd w:val="clear" w:color="auto" w:fill="auto"/>
        <w:bidi w:val="0"/>
        <w:spacing w:before="0" w:after="480" w:line="317" w:lineRule="exact"/>
        <w:ind w:left="0" w:right="0" w:firstLine="440"/>
        <w:jc w:val="both"/>
      </w:pPr>
      <w:r>
        <w:rPr>
          <w:color w:val="000000"/>
          <w:spacing w:val="0"/>
          <w:w w:val="100"/>
          <w:position w:val="0"/>
        </w:rPr>
        <w:t>客户下达期货交易指令并成交之后，公司根据代理合同书拟定的收费标准，确认手续费收入，并直 接在客户保证金账户中结算扣除。</w:t>
      </w:r>
    </w:p>
    <w:p>
      <w:pPr>
        <w:pStyle w:val="Style33"/>
        <w:keepNext w:val="0"/>
        <w:keepLines w:val="0"/>
        <w:widowControl w:val="0"/>
        <w:shd w:val="clear" w:color="auto" w:fill="auto"/>
        <w:tabs>
          <w:tab w:pos="458" w:val="left"/>
        </w:tabs>
        <w:bidi w:val="0"/>
        <w:spacing w:before="0" w:after="0" w:line="329" w:lineRule="auto"/>
        <w:ind w:left="0" w:right="0" w:firstLine="0"/>
        <w:jc w:val="left"/>
      </w:pPr>
      <w:bookmarkStart w:id="948" w:name="bookmark948"/>
      <w:r>
        <w:rPr>
          <w:rFonts w:ascii="Times New Roman" w:eastAsia="Times New Roman" w:hAnsi="Times New Roman" w:cs="Times New Roman"/>
          <w:b/>
          <w:bCs/>
          <w:color w:val="000000"/>
          <w:spacing w:val="0"/>
          <w:w w:val="100"/>
          <w:position w:val="0"/>
        </w:rPr>
        <w:t>3</w:t>
      </w:r>
      <w:bookmarkEnd w:id="948"/>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客户交易结算资金的核算方法</w:t>
      </w:r>
    </w:p>
    <w:p>
      <w:pPr>
        <w:pStyle w:val="Style33"/>
        <w:keepNext w:val="0"/>
        <w:keepLines w:val="0"/>
        <w:widowControl w:val="0"/>
        <w:shd w:val="clear" w:color="auto" w:fill="auto"/>
        <w:tabs>
          <w:tab w:pos="996" w:val="left"/>
        </w:tabs>
        <w:bidi w:val="0"/>
        <w:spacing w:before="0" w:after="0" w:line="312" w:lineRule="exact"/>
        <w:ind w:left="0" w:right="0" w:firstLine="440"/>
        <w:jc w:val="left"/>
      </w:pPr>
      <w:bookmarkStart w:id="949" w:name="bookmark949"/>
      <w:r>
        <w:rPr>
          <w:color w:val="000000"/>
          <w:spacing w:val="0"/>
          <w:w w:val="100"/>
          <w:position w:val="0"/>
        </w:rPr>
        <w:t>（</w:t>
      </w:r>
      <w:bookmarkEnd w:id="949"/>
      <w:r>
        <w:rPr>
          <w:rFonts w:ascii="Times New Roman" w:eastAsia="Times New Roman" w:hAnsi="Times New Roman" w:cs="Times New Roman"/>
          <w:color w:val="000000"/>
          <w:spacing w:val="0"/>
          <w:w w:val="100"/>
          <w:position w:val="0"/>
        </w:rPr>
        <w:t>1</w:t>
      </w:r>
      <w:r>
        <w:rPr>
          <w:color w:val="000000"/>
          <w:spacing w:val="0"/>
          <w:w w:val="100"/>
          <w:position w:val="0"/>
        </w:rPr>
        <w:t>）</w:t>
        <w:tab/>
        <w:t>公司代理客户买卖收到的代理买卖证券款，全额存入公司指定的银行账户，同时确认为一项负 债，与客户进行相关的结算。</w:t>
      </w:r>
    </w:p>
    <w:p>
      <w:pPr>
        <w:pStyle w:val="Style33"/>
        <w:keepNext w:val="0"/>
        <w:keepLines w:val="0"/>
        <w:widowControl w:val="0"/>
        <w:shd w:val="clear" w:color="auto" w:fill="auto"/>
        <w:bidi w:val="0"/>
        <w:spacing w:before="0" w:after="0" w:line="317" w:lineRule="exact"/>
        <w:ind w:left="0" w:right="0" w:firstLine="440"/>
        <w:jc w:val="left"/>
      </w:pPr>
      <w:bookmarkStart w:id="950" w:name="bookmark950"/>
      <w:r>
        <w:rPr>
          <w:color w:val="000000"/>
          <w:spacing w:val="0"/>
          <w:w w:val="100"/>
          <w:position w:val="0"/>
        </w:rPr>
        <w:t>（</w:t>
      </w:r>
      <w:bookmarkEnd w:id="950"/>
      <w:r>
        <w:rPr>
          <w:rFonts w:ascii="Times New Roman" w:eastAsia="Times New Roman" w:hAnsi="Times New Roman" w:cs="Times New Roman"/>
          <w:color w:val="000000"/>
          <w:spacing w:val="0"/>
          <w:w w:val="100"/>
          <w:position w:val="0"/>
        </w:rPr>
        <w:t>2</w:t>
      </w:r>
      <w:r>
        <w:rPr>
          <w:color w:val="000000"/>
          <w:spacing w:val="0"/>
          <w:w w:val="100"/>
          <w:position w:val="0"/>
        </w:rPr>
        <w:t>） 公司接受客户委托通过证券交易所代理买卖证券，与客户清算时如买入证券成交总额大于卖出 证券成交总额，按清算日买卖证券成交价的差额，加代扣代缴的印花税和应向客户收取的佣金等手续费 减少客户交易结算资金；如买入证券成交总额小于卖出证券成交总额，按清算日买卖证券成交价的差额, 减代扣代缴的印花税和应向客户收取的佣金等手续费增加客户交易结算资金。</w:t>
      </w:r>
    </w:p>
    <w:p>
      <w:pPr>
        <w:pStyle w:val="Style33"/>
        <w:keepNext w:val="0"/>
        <w:keepLines w:val="0"/>
        <w:widowControl w:val="0"/>
        <w:shd w:val="clear" w:color="auto" w:fill="auto"/>
        <w:bidi w:val="0"/>
        <w:spacing w:before="0" w:after="480" w:line="314" w:lineRule="exact"/>
        <w:ind w:left="0" w:right="0" w:firstLine="0"/>
        <w:jc w:val="left"/>
      </w:pPr>
      <w:r>
        <w:rPr>
          <w:color w:val="000000"/>
          <w:spacing w:val="0"/>
          <w:w w:val="100"/>
          <w:position w:val="0"/>
        </w:rPr>
        <w:t>公司代理客户买卖证券的手续费收入，在证券买卖的交易日确认收入。</w:t>
      </w:r>
    </w:p>
    <w:p>
      <w:pPr>
        <w:pStyle w:val="Style33"/>
        <w:keepNext w:val="0"/>
        <w:keepLines w:val="0"/>
        <w:widowControl w:val="0"/>
        <w:shd w:val="clear" w:color="auto" w:fill="auto"/>
        <w:tabs>
          <w:tab w:pos="458" w:val="left"/>
        </w:tabs>
        <w:bidi w:val="0"/>
        <w:spacing w:before="0" w:after="0" w:line="329" w:lineRule="auto"/>
        <w:ind w:left="0" w:right="0" w:firstLine="0"/>
        <w:jc w:val="left"/>
      </w:pPr>
      <w:bookmarkStart w:id="951" w:name="bookmark951"/>
      <w:r>
        <w:rPr>
          <w:rFonts w:ascii="Times New Roman" w:eastAsia="Times New Roman" w:hAnsi="Times New Roman" w:cs="Times New Roman"/>
          <w:b/>
          <w:bCs/>
          <w:color w:val="000000"/>
          <w:spacing w:val="0"/>
          <w:w w:val="100"/>
          <w:position w:val="0"/>
        </w:rPr>
        <w:t>3</w:t>
      </w:r>
      <w:bookmarkEnd w:id="951"/>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一般风险准备金</w:t>
      </w:r>
    </w:p>
    <w:p>
      <w:pPr>
        <w:pStyle w:val="Style33"/>
        <w:keepNext w:val="0"/>
        <w:keepLines w:val="0"/>
        <w:widowControl w:val="0"/>
        <w:shd w:val="clear" w:color="auto" w:fill="auto"/>
        <w:bidi w:val="0"/>
        <w:spacing w:before="0" w:after="480" w:line="312" w:lineRule="exact"/>
        <w:ind w:left="0" w:right="0" w:firstLine="440"/>
        <w:jc w:val="left"/>
      </w:pPr>
      <w:r>
        <w:rPr>
          <w:color w:val="000000"/>
          <w:spacing w:val="0"/>
          <w:w w:val="100"/>
          <w:position w:val="0"/>
        </w:rPr>
        <w:t>本公司根据财政部颁布的《金融企业财务规则》及其实施指南和中国证监会证监机构字（</w:t>
      </w:r>
      <w:r>
        <w:rPr>
          <w:rFonts w:ascii="Times New Roman" w:eastAsia="Times New Roman" w:hAnsi="Times New Roman" w:cs="Times New Roman"/>
          <w:color w:val="000000"/>
          <w:spacing w:val="0"/>
          <w:w w:val="100"/>
          <w:position w:val="0"/>
        </w:rPr>
        <w:t>2007</w:t>
      </w:r>
      <w:r>
        <w:rPr>
          <w:color w:val="000000"/>
          <w:spacing w:val="0"/>
          <w:w w:val="100"/>
          <w:position w:val="0"/>
        </w:rPr>
        <w:t>）</w:t>
      </w:r>
      <w:r>
        <w:rPr>
          <w:rFonts w:ascii="Times New Roman" w:eastAsia="Times New Roman" w:hAnsi="Times New Roman" w:cs="Times New Roman"/>
          <w:color w:val="000000"/>
          <w:spacing w:val="0"/>
          <w:w w:val="100"/>
          <w:position w:val="0"/>
        </w:rPr>
        <w:t xml:space="preserve">320 </w:t>
      </w:r>
      <w:r>
        <w:rPr>
          <w:color w:val="000000"/>
          <w:spacing w:val="0"/>
          <w:w w:val="100"/>
          <w:position w:val="0"/>
        </w:rPr>
        <w:t>号《关于证券公司</w:t>
      </w:r>
      <w:r>
        <w:rPr>
          <w:rFonts w:ascii="Times New Roman" w:eastAsia="Times New Roman" w:hAnsi="Times New Roman" w:cs="Times New Roman"/>
          <w:color w:val="000000"/>
          <w:spacing w:val="0"/>
          <w:w w:val="100"/>
          <w:position w:val="0"/>
        </w:rPr>
        <w:t>2007</w:t>
      </w:r>
      <w:r>
        <w:rPr>
          <w:color w:val="000000"/>
          <w:spacing w:val="0"/>
          <w:w w:val="100"/>
          <w:position w:val="0"/>
        </w:rPr>
        <w:t>年年度工作的通知》的规定，按不低于当年税后利润的</w:t>
      </w:r>
      <w:r>
        <w:rPr>
          <w:rFonts w:ascii="Times New Roman" w:eastAsia="Times New Roman" w:hAnsi="Times New Roman" w:cs="Times New Roman"/>
          <w:color w:val="000000"/>
          <w:spacing w:val="0"/>
          <w:w w:val="100"/>
          <w:position w:val="0"/>
        </w:rPr>
        <w:t>10%</w:t>
      </w:r>
      <w:r>
        <w:rPr>
          <w:color w:val="000000"/>
          <w:spacing w:val="0"/>
          <w:w w:val="100"/>
          <w:position w:val="0"/>
        </w:rPr>
        <w:t>提取。</w:t>
      </w:r>
    </w:p>
    <w:p>
      <w:pPr>
        <w:pStyle w:val="Style33"/>
        <w:keepNext w:val="0"/>
        <w:keepLines w:val="0"/>
        <w:widowControl w:val="0"/>
        <w:shd w:val="clear" w:color="auto" w:fill="auto"/>
        <w:tabs>
          <w:tab w:pos="458" w:val="left"/>
        </w:tabs>
        <w:bidi w:val="0"/>
        <w:spacing w:before="0" w:after="0" w:line="329" w:lineRule="auto"/>
        <w:ind w:left="0" w:right="0" w:firstLine="0"/>
        <w:jc w:val="left"/>
      </w:pPr>
      <w:bookmarkStart w:id="952" w:name="bookmark952"/>
      <w:r>
        <w:rPr>
          <w:rFonts w:ascii="Times New Roman" w:eastAsia="Times New Roman" w:hAnsi="Times New Roman" w:cs="Times New Roman"/>
          <w:b/>
          <w:bCs/>
          <w:color w:val="000000"/>
          <w:spacing w:val="0"/>
          <w:w w:val="100"/>
          <w:position w:val="0"/>
        </w:rPr>
        <w:t>3</w:t>
      </w:r>
      <w:bookmarkEnd w:id="952"/>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交易风险准备金</w:t>
      </w:r>
    </w:p>
    <w:p>
      <w:pPr>
        <w:pStyle w:val="Style33"/>
        <w:keepNext w:val="0"/>
        <w:keepLines w:val="0"/>
        <w:widowControl w:val="0"/>
        <w:shd w:val="clear" w:color="auto" w:fill="auto"/>
        <w:bidi w:val="0"/>
        <w:spacing w:before="0" w:after="480" w:line="322" w:lineRule="exact"/>
        <w:ind w:left="0" w:right="0" w:firstLine="440"/>
        <w:jc w:val="left"/>
      </w:pPr>
      <w:r>
        <w:rPr>
          <w:color w:val="000000"/>
          <w:spacing w:val="0"/>
          <w:w w:val="100"/>
          <w:position w:val="0"/>
        </w:rPr>
        <w:t>本公司根据《证券法》和中国证监会证监机构字（</w:t>
      </w:r>
      <w:r>
        <w:rPr>
          <w:rFonts w:ascii="Times New Roman" w:eastAsia="Times New Roman" w:hAnsi="Times New Roman" w:cs="Times New Roman"/>
          <w:color w:val="000000"/>
          <w:spacing w:val="0"/>
          <w:w w:val="100"/>
          <w:position w:val="0"/>
        </w:rPr>
        <w:t>2007</w:t>
      </w:r>
      <w:r>
        <w:rPr>
          <w:color w:val="000000"/>
          <w:spacing w:val="0"/>
          <w:w w:val="100"/>
          <w:position w:val="0"/>
        </w:rPr>
        <w:t xml:space="preserve">） </w:t>
      </w:r>
      <w:r>
        <w:rPr>
          <w:rFonts w:ascii="Times New Roman" w:eastAsia="Times New Roman" w:hAnsi="Times New Roman" w:cs="Times New Roman"/>
          <w:color w:val="000000"/>
          <w:spacing w:val="0"/>
          <w:w w:val="100"/>
          <w:position w:val="0"/>
        </w:rPr>
        <w:t>320</w:t>
      </w:r>
      <w:r>
        <w:rPr>
          <w:color w:val="000000"/>
          <w:spacing w:val="0"/>
          <w:w w:val="100"/>
          <w:position w:val="0"/>
        </w:rPr>
        <w:t>号《关于证券公司</w:t>
      </w:r>
      <w:r>
        <w:rPr>
          <w:rFonts w:ascii="Times New Roman" w:eastAsia="Times New Roman" w:hAnsi="Times New Roman" w:cs="Times New Roman"/>
          <w:color w:val="000000"/>
          <w:spacing w:val="0"/>
          <w:w w:val="100"/>
          <w:position w:val="0"/>
        </w:rPr>
        <w:t>2007</w:t>
      </w:r>
      <w:r>
        <w:rPr>
          <w:color w:val="000000"/>
          <w:spacing w:val="0"/>
          <w:w w:val="100"/>
          <w:position w:val="0"/>
        </w:rPr>
        <w:t>年年度工作的 通知》的规定，按不低于当年税后利润的</w:t>
      </w:r>
      <w:r>
        <w:rPr>
          <w:rFonts w:ascii="Times New Roman" w:eastAsia="Times New Roman" w:hAnsi="Times New Roman" w:cs="Times New Roman"/>
          <w:color w:val="000000"/>
          <w:spacing w:val="0"/>
          <w:w w:val="100"/>
          <w:position w:val="0"/>
        </w:rPr>
        <w:t>10%</w:t>
      </w:r>
      <w:r>
        <w:rPr>
          <w:color w:val="000000"/>
          <w:spacing w:val="0"/>
          <w:w w:val="100"/>
          <w:position w:val="0"/>
        </w:rPr>
        <w:t>提取。</w:t>
      </w:r>
    </w:p>
    <w:p>
      <w:pPr>
        <w:pStyle w:val="Style33"/>
        <w:keepNext w:val="0"/>
        <w:keepLines w:val="0"/>
        <w:widowControl w:val="0"/>
        <w:shd w:val="clear" w:color="auto" w:fill="auto"/>
        <w:tabs>
          <w:tab w:pos="458" w:val="left"/>
        </w:tabs>
        <w:bidi w:val="0"/>
        <w:spacing w:before="0" w:after="0" w:line="329" w:lineRule="auto"/>
        <w:ind w:left="0" w:right="0" w:firstLine="0"/>
        <w:jc w:val="left"/>
      </w:pPr>
      <w:bookmarkStart w:id="953" w:name="bookmark953"/>
      <w:r>
        <w:rPr>
          <w:rFonts w:ascii="Times New Roman" w:eastAsia="Times New Roman" w:hAnsi="Times New Roman" w:cs="Times New Roman"/>
          <w:b/>
          <w:bCs/>
          <w:color w:val="000000"/>
          <w:spacing w:val="0"/>
          <w:w w:val="100"/>
          <w:position w:val="0"/>
        </w:rPr>
        <w:t>3</w:t>
      </w:r>
      <w:bookmarkEnd w:id="953"/>
      <w:r>
        <w:rPr>
          <w:rFonts w:ascii="Times New Roman" w:eastAsia="Times New Roman" w:hAnsi="Times New Roman" w:cs="Times New Roman"/>
          <w:b/>
          <w:bCs/>
          <w:color w:val="000000"/>
          <w:spacing w:val="0"/>
          <w:w w:val="100"/>
          <w:position w:val="0"/>
        </w:rPr>
        <w:t>5</w:t>
      </w:r>
      <w:r>
        <w:rPr>
          <w:b/>
          <w:bCs/>
          <w:color w:val="000000"/>
          <w:spacing w:val="0"/>
          <w:w w:val="100"/>
          <w:position w:val="0"/>
        </w:rPr>
        <w:t>、</w:t>
        <w:tab/>
        <w:t>其他重要会计政策和会计估计</w:t>
      </w:r>
    </w:p>
    <w:p>
      <w:pPr>
        <w:pStyle w:val="Style33"/>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本公司在运用会计政策过程中，由于经营活动内在的不确定性，本公司需要对无法准确计量的报表 项目的账面价值进行判断、估计和假设。这些判断、估计和假设是基于本公司过去的历史经验和其他因 素。这些判断、估计和假设会影响收入、费用、资产和负债的报告金额以及资产负债表日或有负债的披 露。然而，这些估计的不确定性所导致的结果可能造成对未来受影响的资产或负债的账面金额进行重大 调整。</w:t>
      </w:r>
    </w:p>
    <w:p>
      <w:pPr>
        <w:pStyle w:val="Style3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本公司对于上述判断、估计和假设在持续经营的基础上进行定期复核，会计估计的变更仅影响变更 当期的，其影响数在变更当期予以确认；即影响变更当期又影响未来期间的，其影响数在变更当期和未 来期间予以确认。</w:t>
      </w:r>
    </w:p>
    <w:p>
      <w:pPr>
        <w:pStyle w:val="Style33"/>
        <w:keepNext w:val="0"/>
        <w:keepLines w:val="0"/>
        <w:widowControl w:val="0"/>
        <w:shd w:val="clear" w:color="auto" w:fill="auto"/>
        <w:bidi w:val="0"/>
        <w:spacing w:before="0" w:after="0" w:line="317" w:lineRule="exact"/>
        <w:ind w:left="0" w:right="0" w:firstLine="440"/>
        <w:jc w:val="both"/>
      </w:pPr>
      <w:r>
        <w:rPr>
          <w:color w:val="000000"/>
          <w:spacing w:val="0"/>
          <w:w w:val="100"/>
          <w:position w:val="0"/>
        </w:rPr>
        <w:t>资产负债表日，会计估计中很可能导致未来期间资产、负债账面价值作出重大调整的关键假设和不 确定性主要有：</w:t>
      </w:r>
    </w:p>
    <w:p>
      <w:pPr>
        <w:pStyle w:val="Style33"/>
        <w:keepNext w:val="0"/>
        <w:keepLines w:val="0"/>
        <w:widowControl w:val="0"/>
        <w:shd w:val="clear" w:color="auto" w:fill="auto"/>
        <w:bidi w:val="0"/>
        <w:spacing w:before="0" w:after="0" w:line="312" w:lineRule="exact"/>
        <w:ind w:left="0" w:right="0" w:firstLine="440"/>
        <w:jc w:val="both"/>
      </w:pPr>
      <w:bookmarkStart w:id="954" w:name="bookmark954"/>
      <w:r>
        <w:rPr>
          <w:color w:val="000000"/>
          <w:spacing w:val="0"/>
          <w:w w:val="100"/>
          <w:position w:val="0"/>
        </w:rPr>
        <w:t>（</w:t>
      </w:r>
      <w:bookmarkEnd w:id="954"/>
      <w:r>
        <w:rPr>
          <w:rFonts w:ascii="Times New Roman" w:eastAsia="Times New Roman" w:hAnsi="Times New Roman" w:cs="Times New Roman"/>
          <w:color w:val="000000"/>
          <w:spacing w:val="0"/>
          <w:w w:val="100"/>
          <w:position w:val="0"/>
        </w:rPr>
        <w:t>1</w:t>
      </w:r>
      <w:r>
        <w:rPr>
          <w:color w:val="000000"/>
          <w:spacing w:val="0"/>
          <w:w w:val="100"/>
          <w:position w:val="0"/>
        </w:rPr>
        <w:t>） 金融资产的公允价值：本公司对没有活跃市场的金融工具，采用包括现金流量折现法等在内的 各种估值技术确定其公允价值。对于法律明令限制本公司在特定期间内处置的可供出售金融资产，其公 允价值是以市场报价为基础并根据该工具的特征进行调整。在估值时，本公司需对诸如自身和交易对手 的信用风险、市场波动率和相关性等方面进行估计，这些相关因素假设的变化会对金融工具的公允价值 产生影响。</w:t>
      </w:r>
    </w:p>
    <w:p>
      <w:pPr>
        <w:pStyle w:val="Style33"/>
        <w:keepNext w:val="0"/>
        <w:keepLines w:val="0"/>
        <w:widowControl w:val="0"/>
        <w:shd w:val="clear" w:color="auto" w:fill="auto"/>
        <w:tabs>
          <w:tab w:pos="996" w:val="left"/>
        </w:tabs>
        <w:bidi w:val="0"/>
        <w:spacing w:before="0" w:after="0" w:line="322" w:lineRule="exact"/>
        <w:ind w:left="0" w:right="0" w:firstLine="440"/>
        <w:jc w:val="both"/>
      </w:pPr>
      <w:bookmarkStart w:id="955" w:name="bookmark955"/>
      <w:r>
        <w:rPr>
          <w:color w:val="000000"/>
          <w:spacing w:val="0"/>
          <w:w w:val="100"/>
          <w:position w:val="0"/>
        </w:rPr>
        <w:t>（</w:t>
      </w:r>
      <w:bookmarkEnd w:id="955"/>
      <w:r>
        <w:rPr>
          <w:rFonts w:ascii="Times New Roman" w:eastAsia="Times New Roman" w:hAnsi="Times New Roman" w:cs="Times New Roman"/>
          <w:color w:val="000000"/>
          <w:spacing w:val="0"/>
          <w:w w:val="100"/>
          <w:position w:val="0"/>
        </w:rPr>
        <w:t>2</w:t>
      </w:r>
      <w:r>
        <w:rPr>
          <w:color w:val="000000"/>
          <w:spacing w:val="0"/>
          <w:w w:val="100"/>
          <w:position w:val="0"/>
        </w:rPr>
        <w:t>）</w:t>
        <w:tab/>
        <w:t>可供出售金融资产的减值：如果有客观证据表明划分为可供出售金融资产的权益工具投资公允 价值发生</w:t>
      </w:r>
      <w:r>
        <w:rPr>
          <w:rFonts w:ascii="Times New Roman" w:eastAsia="Times New Roman" w:hAnsi="Times New Roman" w:cs="Times New Roman"/>
          <w:color w:val="000000"/>
          <w:spacing w:val="0"/>
          <w:w w:val="100"/>
          <w:position w:val="0"/>
        </w:rPr>
        <w:t>“</w:t>
      </w:r>
      <w:r>
        <w:rPr>
          <w:color w:val="000000"/>
          <w:spacing w:val="0"/>
          <w:w w:val="100"/>
          <w:position w:val="0"/>
        </w:rPr>
        <w:t>严重</w:t>
      </w:r>
      <w:r>
        <w:rPr>
          <w:rFonts w:ascii="Times New Roman" w:eastAsia="Times New Roman" w:hAnsi="Times New Roman" w:cs="Times New Roman"/>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非暂时性</w:t>
      </w:r>
      <w:r>
        <w:rPr>
          <w:rFonts w:ascii="Times New Roman" w:eastAsia="Times New Roman" w:hAnsi="Times New Roman" w:cs="Times New Roman"/>
          <w:color w:val="000000"/>
          <w:spacing w:val="0"/>
          <w:w w:val="100"/>
          <w:position w:val="0"/>
        </w:rPr>
        <w:t>''</w:t>
      </w:r>
      <w:r>
        <w:rPr>
          <w:color w:val="000000"/>
          <w:spacing w:val="0"/>
          <w:w w:val="100"/>
          <w:position w:val="0"/>
        </w:rPr>
        <w:t xml:space="preserve">下跌，本公司对可供出售权益工具投资计提减值准备。本公司确定可供出售 </w:t>
      </w:r>
      <w:r>
        <w:rPr>
          <w:color w:val="000000"/>
          <w:spacing w:val="0"/>
          <w:w w:val="100"/>
          <w:position w:val="0"/>
        </w:rPr>
        <w:t>权益工具投资是否发生</w:t>
      </w:r>
      <w:r>
        <w:rPr>
          <w:rFonts w:ascii="Times New Roman" w:eastAsia="Times New Roman" w:hAnsi="Times New Roman" w:cs="Times New Roman"/>
          <w:color w:val="000000"/>
          <w:spacing w:val="0"/>
          <w:w w:val="100"/>
          <w:position w:val="0"/>
        </w:rPr>
        <w:t>“</w:t>
      </w:r>
      <w:r>
        <w:rPr>
          <w:color w:val="000000"/>
          <w:spacing w:val="0"/>
          <w:w w:val="100"/>
          <w:position w:val="0"/>
        </w:rPr>
        <w:t>严重</w:t>
      </w:r>
      <w:r>
        <w:rPr>
          <w:rFonts w:ascii="Times New Roman" w:eastAsia="Times New Roman" w:hAnsi="Times New Roman" w:cs="Times New Roman"/>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非暂时性</w:t>
      </w:r>
      <w:r>
        <w:rPr>
          <w:rFonts w:ascii="Times New Roman" w:eastAsia="Times New Roman" w:hAnsi="Times New Roman" w:cs="Times New Roman"/>
          <w:color w:val="000000"/>
          <w:spacing w:val="0"/>
          <w:w w:val="100"/>
          <w:position w:val="0"/>
        </w:rPr>
        <w:t>''</w:t>
      </w:r>
      <w:r>
        <w:rPr>
          <w:color w:val="000000"/>
          <w:spacing w:val="0"/>
          <w:w w:val="100"/>
          <w:position w:val="0"/>
        </w:rPr>
        <w:t>下跌很大程度上依赖于管理层的判断。本公司认为当可供出售 权益工具投资出现下列任何一种情况时，即表明该项投资的公允价值发生了</w:t>
      </w:r>
      <w:r>
        <w:rPr>
          <w:rFonts w:ascii="Times New Roman" w:eastAsia="Times New Roman" w:hAnsi="Times New Roman" w:cs="Times New Roman"/>
          <w:color w:val="000000"/>
          <w:spacing w:val="0"/>
          <w:w w:val="100"/>
          <w:position w:val="0"/>
        </w:rPr>
        <w:t>“</w:t>
      </w:r>
      <w:r>
        <w:rPr>
          <w:color w:val="000000"/>
          <w:spacing w:val="0"/>
          <w:w w:val="100"/>
          <w:position w:val="0"/>
        </w:rPr>
        <w:t>严重</w:t>
      </w:r>
      <w:r>
        <w:rPr>
          <w:rFonts w:ascii="Times New Roman" w:eastAsia="Times New Roman" w:hAnsi="Times New Roman" w:cs="Times New Roman"/>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非暂时性</w:t>
      </w:r>
      <w:r>
        <w:rPr>
          <w:rFonts w:ascii="Times New Roman" w:eastAsia="Times New Roman" w:hAnsi="Times New Roman" w:cs="Times New Roman"/>
          <w:color w:val="000000"/>
          <w:spacing w:val="0"/>
          <w:w w:val="100"/>
          <w:position w:val="0"/>
        </w:rPr>
        <w:t>''</w:t>
      </w:r>
      <w:r>
        <w:rPr>
          <w:color w:val="000000"/>
          <w:spacing w:val="0"/>
          <w:w w:val="100"/>
          <w:position w:val="0"/>
        </w:rPr>
        <w:t>下跌，应 当对其计提减值准备，确认减值损失：（</w:t>
      </w:r>
      <w:r>
        <w:rPr>
          <w:rFonts w:ascii="Times New Roman" w:eastAsia="Times New Roman" w:hAnsi="Times New Roman" w:cs="Times New Roman"/>
          <w:color w:val="000000"/>
          <w:spacing w:val="0"/>
          <w:w w:val="100"/>
          <w:position w:val="0"/>
        </w:rPr>
        <w:t>1</w:t>
      </w:r>
      <w:r>
        <w:rPr>
          <w:color w:val="000000"/>
          <w:spacing w:val="0"/>
          <w:w w:val="100"/>
          <w:position w:val="0"/>
        </w:rPr>
        <w:t>）单项投资的公允价值低于其持有成本</w:t>
      </w:r>
      <w:r>
        <w:rPr>
          <w:rFonts w:ascii="Times New Roman" w:eastAsia="Times New Roman" w:hAnsi="Times New Roman" w:cs="Times New Roman"/>
          <w:color w:val="000000"/>
          <w:spacing w:val="0"/>
          <w:w w:val="100"/>
          <w:position w:val="0"/>
        </w:rPr>
        <w:t>50%</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）单项投资 的公允价值持续低于其持有成本</w:t>
      </w:r>
      <w:r>
        <w:rPr>
          <w:rFonts w:ascii="Times New Roman" w:eastAsia="Times New Roman" w:hAnsi="Times New Roman" w:cs="Times New Roman"/>
          <w:color w:val="000000"/>
          <w:spacing w:val="0"/>
          <w:w w:val="100"/>
          <w:position w:val="0"/>
        </w:rPr>
        <w:t>12</w:t>
      </w:r>
      <w:r>
        <w:rPr>
          <w:color w:val="000000"/>
          <w:spacing w:val="0"/>
          <w:w w:val="100"/>
          <w:position w:val="0"/>
        </w:rPr>
        <w:t>个月以上。</w:t>
      </w:r>
    </w:p>
    <w:p>
      <w:pPr>
        <w:pStyle w:val="Style33"/>
        <w:keepNext w:val="0"/>
        <w:keepLines w:val="0"/>
        <w:widowControl w:val="0"/>
        <w:shd w:val="clear" w:color="auto" w:fill="auto"/>
        <w:tabs>
          <w:tab w:pos="1011" w:val="left"/>
        </w:tabs>
        <w:bidi w:val="0"/>
        <w:spacing w:before="0" w:after="0" w:line="318" w:lineRule="exact"/>
        <w:ind w:left="0" w:right="0" w:firstLine="440"/>
        <w:jc w:val="left"/>
      </w:pPr>
      <w:bookmarkStart w:id="956" w:name="bookmark956"/>
      <w:r>
        <w:rPr>
          <w:color w:val="000000"/>
          <w:spacing w:val="0"/>
          <w:w w:val="100"/>
          <w:position w:val="0"/>
        </w:rPr>
        <w:t>（</w:t>
      </w:r>
      <w:bookmarkEnd w:id="956"/>
      <w:r>
        <w:rPr>
          <w:rFonts w:ascii="Times New Roman" w:eastAsia="Times New Roman" w:hAnsi="Times New Roman" w:cs="Times New Roman"/>
          <w:color w:val="000000"/>
          <w:spacing w:val="0"/>
          <w:w w:val="100"/>
          <w:position w:val="0"/>
        </w:rPr>
        <w:t>3</w:t>
      </w:r>
      <w:r>
        <w:rPr>
          <w:color w:val="000000"/>
          <w:spacing w:val="0"/>
          <w:w w:val="100"/>
          <w:position w:val="0"/>
        </w:rPr>
        <w:t>）</w:t>
        <w:tab/>
        <w:t>融出资金减值：本公司定期检查融出资金以评估减值。在确认减值损失时，本公司须作出判断, 以确定是否存在任何可观察数据显示有客观证据需要计提减值。本公司先按个别基础复核客户所提供的 资金及证券抵押品的价值，再按组合基础判断是否出现减值。本公司定期复核融出资金减值方法及假设, 以减少预计损失与实际损失之间的差异。</w:t>
      </w:r>
    </w:p>
    <w:p>
      <w:pPr>
        <w:pStyle w:val="Style33"/>
        <w:keepNext w:val="0"/>
        <w:keepLines w:val="0"/>
        <w:widowControl w:val="0"/>
        <w:shd w:val="clear" w:color="auto" w:fill="auto"/>
        <w:bidi w:val="0"/>
        <w:spacing w:before="0" w:after="0" w:line="317" w:lineRule="exact"/>
        <w:ind w:left="0" w:right="0" w:firstLine="440"/>
        <w:jc w:val="left"/>
      </w:pPr>
      <w:bookmarkStart w:id="957" w:name="bookmark957"/>
      <w:r>
        <w:rPr>
          <w:color w:val="000000"/>
          <w:spacing w:val="0"/>
          <w:w w:val="100"/>
          <w:position w:val="0"/>
        </w:rPr>
        <w:t>（</w:t>
      </w:r>
      <w:bookmarkEnd w:id="957"/>
      <w:r>
        <w:rPr>
          <w:rFonts w:ascii="Times New Roman" w:eastAsia="Times New Roman" w:hAnsi="Times New Roman" w:cs="Times New Roman"/>
          <w:color w:val="000000"/>
          <w:spacing w:val="0"/>
          <w:w w:val="100"/>
          <w:position w:val="0"/>
        </w:rPr>
        <w:t>4</w:t>
      </w:r>
      <w:r>
        <w:rPr>
          <w:color w:val="000000"/>
          <w:spacing w:val="0"/>
          <w:w w:val="100"/>
          <w:position w:val="0"/>
        </w:rPr>
        <w:t>） 所得税以及递延所得税：本公司在正常的经营活动中，有部分交易其最终的税务处理和计算存 在一定的不确定性。如果这些税务事项的最终认定结果同最初确认的金额存在差异，则该差异将对其最 终认定期间的当期所得税和递延所得税产生影响。</w:t>
      </w:r>
    </w:p>
    <w:p>
      <w:pPr>
        <w:pStyle w:val="Style33"/>
        <w:keepNext w:val="0"/>
        <w:keepLines w:val="0"/>
        <w:widowControl w:val="0"/>
        <w:shd w:val="clear" w:color="auto" w:fill="auto"/>
        <w:bidi w:val="0"/>
        <w:spacing w:before="0" w:after="0" w:line="314" w:lineRule="exact"/>
        <w:ind w:left="0" w:right="0" w:firstLine="440"/>
        <w:jc w:val="left"/>
      </w:pPr>
      <w:bookmarkStart w:id="958" w:name="bookmark958"/>
      <w:r>
        <w:rPr>
          <w:color w:val="000000"/>
          <w:spacing w:val="0"/>
          <w:w w:val="100"/>
          <w:position w:val="0"/>
          <w:shd w:val="clear" w:color="auto" w:fill="FFFFFF"/>
        </w:rPr>
        <w:t>（</w:t>
      </w:r>
      <w:bookmarkEnd w:id="958"/>
      <w:r>
        <w:rPr>
          <w:rFonts w:ascii="Times New Roman" w:eastAsia="Times New Roman" w:hAnsi="Times New Roman" w:cs="Times New Roman"/>
          <w:color w:val="000000"/>
          <w:spacing w:val="0"/>
          <w:w w:val="100"/>
          <w:position w:val="0"/>
          <w:shd w:val="clear" w:color="auto" w:fill="FFFFFF"/>
        </w:rPr>
        <w:t>5</w:t>
      </w:r>
      <w:r>
        <w:rPr>
          <w:color w:val="000000"/>
          <w:spacing w:val="0"/>
          <w:w w:val="100"/>
          <w:position w:val="0"/>
          <w:shd w:val="clear" w:color="auto" w:fill="FFFFFF"/>
        </w:rPr>
        <w:t>） 合并范围的确定：评估本公司是否作为投资者控制被投资企业时须考虑所有事实及情况。控制 的定义包含以下三项要素：</w:t>
      </w:r>
      <w:r>
        <w:rPr>
          <w:rFonts w:ascii="Times New Roman" w:eastAsia="Times New Roman" w:hAnsi="Times New Roman" w:cs="Times New Roman"/>
          <w:color w:val="000000"/>
          <w:spacing w:val="0"/>
          <w:w w:val="100"/>
          <w:position w:val="0"/>
          <w:shd w:val="clear" w:color="auto" w:fill="FFFFFF"/>
        </w:rPr>
        <w:t>1）</w:t>
      </w:r>
      <w:r>
        <w:rPr>
          <w:color w:val="000000"/>
          <w:spacing w:val="0"/>
          <w:w w:val="100"/>
          <w:position w:val="0"/>
          <w:shd w:val="clear" w:color="auto" w:fill="FFFFFF"/>
        </w:rPr>
        <w:t>拥有对被投资者的权力；</w:t>
      </w:r>
      <w:r>
        <w:rPr>
          <w:rFonts w:ascii="Times New Roman" w:eastAsia="Times New Roman" w:hAnsi="Times New Roman" w:cs="Times New Roman"/>
          <w:color w:val="000000"/>
          <w:spacing w:val="0"/>
          <w:w w:val="100"/>
          <w:position w:val="0"/>
          <w:shd w:val="clear" w:color="auto" w:fill="FFFFFF"/>
        </w:rPr>
        <w:t>2）</w:t>
      </w:r>
      <w:r>
        <w:rPr>
          <w:color w:val="000000"/>
          <w:spacing w:val="0"/>
          <w:w w:val="100"/>
          <w:position w:val="0"/>
          <w:shd w:val="clear" w:color="auto" w:fill="FFFFFF"/>
        </w:rPr>
        <w:t>通过参与被投资者的相关活动而享有可变回报；</w:t>
      </w:r>
    </w:p>
    <w:p>
      <w:pPr>
        <w:pStyle w:val="Style33"/>
        <w:keepNext w:val="0"/>
        <w:keepLines w:val="0"/>
        <w:widowControl w:val="0"/>
        <w:shd w:val="clear" w:color="auto" w:fill="auto"/>
        <w:bidi w:val="0"/>
        <w:spacing w:before="0" w:after="0" w:line="314" w:lineRule="exact"/>
        <w:ind w:left="0" w:right="0" w:firstLine="0"/>
        <w:jc w:val="both"/>
      </w:pPr>
      <w:bookmarkStart w:id="959" w:name="bookmark959"/>
      <w:r>
        <w:rPr>
          <w:rFonts w:ascii="Times New Roman" w:eastAsia="Times New Roman" w:hAnsi="Times New Roman" w:cs="Times New Roman"/>
          <w:color w:val="000000"/>
          <w:spacing w:val="0"/>
          <w:w w:val="100"/>
          <w:position w:val="0"/>
        </w:rPr>
        <w:t>3</w:t>
      </w:r>
      <w:bookmarkEnd w:id="959"/>
      <w:r>
        <w:rPr>
          <w:rFonts w:ascii="Times New Roman" w:eastAsia="Times New Roman" w:hAnsi="Times New Roman" w:cs="Times New Roman"/>
          <w:color w:val="000000"/>
          <w:spacing w:val="0"/>
          <w:w w:val="100"/>
          <w:position w:val="0"/>
        </w:rPr>
        <w:t>）</w:t>
      </w:r>
      <w:r>
        <w:rPr>
          <w:color w:val="000000"/>
          <w:spacing w:val="0"/>
          <w:w w:val="100"/>
          <w:position w:val="0"/>
        </w:rPr>
        <w:t>有能力运用对被投资者的权力影响其回报的金额。倘若有事实及情况显示上述一项或多项要素发生了变 化，则本公司需要重新评估其是否对被投资企业构成控制。</w:t>
      </w:r>
    </w:p>
    <w:p>
      <w:pPr>
        <w:pStyle w:val="Style33"/>
        <w:keepNext w:val="0"/>
        <w:keepLines w:val="0"/>
        <w:widowControl w:val="0"/>
        <w:shd w:val="clear" w:color="auto" w:fill="auto"/>
        <w:bidi w:val="0"/>
        <w:spacing w:before="0" w:after="280" w:line="316" w:lineRule="exact"/>
        <w:ind w:left="0" w:right="0" w:firstLine="440"/>
        <w:jc w:val="both"/>
      </w:pPr>
      <w:r>
        <w:rPr>
          <w:color w:val="000000"/>
          <w:spacing w:val="0"/>
          <w:w w:val="100"/>
          <w:position w:val="0"/>
        </w:rPr>
        <w:t>对于本公司管理并投资的结构化主体</w:t>
      </w:r>
      <w:r>
        <w:rPr>
          <w:rFonts w:ascii="Times New Roman" w:eastAsia="Times New Roman" w:hAnsi="Times New Roman" w:cs="Times New Roman"/>
          <w:color w:val="000000"/>
          <w:spacing w:val="0"/>
          <w:w w:val="100"/>
          <w:position w:val="0"/>
        </w:rPr>
        <w:t>（</w:t>
      </w:r>
      <w:r>
        <w:rPr>
          <w:color w:val="000000"/>
          <w:spacing w:val="0"/>
          <w:w w:val="100"/>
          <w:position w:val="0"/>
        </w:rPr>
        <w:t>如资产管理计划等</w:t>
      </w:r>
      <w:r>
        <w:rPr>
          <w:rFonts w:ascii="Times New Roman" w:eastAsia="Times New Roman" w:hAnsi="Times New Roman" w:cs="Times New Roman"/>
          <w:color w:val="000000"/>
          <w:spacing w:val="0"/>
          <w:w w:val="100"/>
          <w:position w:val="0"/>
        </w:rPr>
        <w:t>）</w:t>
      </w:r>
      <w:r>
        <w:rPr>
          <w:color w:val="000000"/>
          <w:spacing w:val="0"/>
          <w:w w:val="100"/>
          <w:position w:val="0"/>
        </w:rPr>
        <w:t>，本公司会评估其所持有结构化主体连同其 管理人报酬所产生的可变回报的最大风险敞口是否足够重大以致表明本公司对结构化主体拥有控制权。 若本公司对管理的结构化主体拥有控制权，则将结构化主体纳入合并财务报表的合并范围。对于本公司 以外各方持有的结构化主体份额，因本公司作为发行人具有合约义务以现金回购其发售的份额，本公司 将其确认为以公允价值计量且其变动计入当期损益的金融负债。</w:t>
      </w:r>
    </w:p>
    <w:p>
      <w:pPr>
        <w:pStyle w:val="Style30"/>
        <w:keepNext/>
        <w:keepLines/>
        <w:widowControl w:val="0"/>
        <w:shd w:val="clear" w:color="auto" w:fill="auto"/>
        <w:bidi w:val="0"/>
        <w:spacing w:before="0" w:after="280" w:line="316" w:lineRule="exact"/>
        <w:ind w:left="0" w:right="0" w:firstLine="0"/>
        <w:jc w:val="left"/>
      </w:pPr>
      <w:bookmarkStart w:id="960" w:name="bookmark960"/>
      <w:bookmarkStart w:id="961" w:name="bookmark961"/>
      <w:bookmarkStart w:id="962" w:name="bookmark962"/>
      <w:bookmarkStart w:id="963" w:name="bookmark963"/>
      <w:r>
        <w:rPr>
          <w:rFonts w:ascii="Times New Roman" w:eastAsia="Times New Roman" w:hAnsi="Times New Roman" w:cs="Times New Roman"/>
          <w:color w:val="000000"/>
          <w:spacing w:val="0"/>
          <w:w w:val="100"/>
          <w:position w:val="0"/>
        </w:rPr>
        <w:t>3</w:t>
      </w:r>
      <w:bookmarkEnd w:id="962"/>
      <w:r>
        <w:rPr>
          <w:rFonts w:ascii="Times New Roman" w:eastAsia="Times New Roman" w:hAnsi="Times New Roman" w:cs="Times New Roman"/>
          <w:color w:val="000000"/>
          <w:spacing w:val="0"/>
          <w:w w:val="100"/>
          <w:position w:val="0"/>
        </w:rPr>
        <w:t>6</w:t>
      </w:r>
      <w:r>
        <w:rPr>
          <w:color w:val="000000"/>
          <w:spacing w:val="0"/>
          <w:w w:val="100"/>
          <w:position w:val="0"/>
        </w:rPr>
        <w:t>、重要会计政策和会计估计变更</w:t>
      </w:r>
      <w:bookmarkEnd w:id="960"/>
      <w:bookmarkEnd w:id="961"/>
      <w:bookmarkEnd w:id="963"/>
    </w:p>
    <w:p>
      <w:pPr>
        <w:pStyle w:val="Style47"/>
        <w:keepNext/>
        <w:keepLines/>
        <w:widowControl w:val="0"/>
        <w:shd w:val="clear" w:color="auto" w:fill="auto"/>
        <w:bidi w:val="0"/>
        <w:spacing w:before="0" w:after="280" w:line="316" w:lineRule="exact"/>
        <w:ind w:left="0" w:right="0" w:firstLine="0"/>
        <w:jc w:val="left"/>
      </w:pPr>
      <w:bookmarkStart w:id="964" w:name="bookmark964"/>
      <w:bookmarkStart w:id="965" w:name="bookmark965"/>
      <w:bookmarkStart w:id="966" w:name="bookmark966"/>
      <w:bookmarkStart w:id="967" w:name="bookmark967"/>
      <w:r>
        <w:rPr>
          <w:color w:val="000000"/>
          <w:spacing w:val="0"/>
          <w:w w:val="100"/>
          <w:position w:val="0"/>
        </w:rPr>
        <w:t>（</w:t>
      </w:r>
      <w:bookmarkEnd w:id="966"/>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964"/>
      <w:bookmarkEnd w:id="965"/>
      <w:bookmarkEnd w:id="967"/>
    </w:p>
    <w:p>
      <w:pPr>
        <w:pStyle w:val="Style33"/>
        <w:keepNext w:val="0"/>
        <w:keepLines w:val="0"/>
        <w:widowControl w:val="0"/>
        <w:shd w:val="clear" w:color="auto" w:fill="auto"/>
        <w:bidi w:val="0"/>
        <w:spacing w:before="0" w:after="0" w:line="316" w:lineRule="exact"/>
        <w:ind w:left="0" w:right="0" w:firstLine="440"/>
        <w:jc w:val="left"/>
      </w:pPr>
      <w:r>
        <w:rPr>
          <w:rFonts w:ascii="Times New Roman" w:eastAsia="Times New Roman" w:hAnsi="Times New Roman" w:cs="Times New Roman"/>
          <w:color w:val="000000"/>
          <w:spacing w:val="0"/>
          <w:w w:val="100"/>
          <w:position w:val="0"/>
        </w:rPr>
        <w:t>1</w:t>
      </w:r>
      <w:r>
        <w:rPr>
          <w:color w:val="000000"/>
          <w:spacing w:val="0"/>
          <w:w w:val="100"/>
          <w:position w:val="0"/>
        </w:rPr>
        <w:t>）执行财政部于</w:t>
      </w:r>
      <w:r>
        <w:rPr>
          <w:rFonts w:ascii="Times New Roman" w:eastAsia="Times New Roman" w:hAnsi="Times New Roman" w:cs="Times New Roman"/>
          <w:color w:val="000000"/>
          <w:spacing w:val="0"/>
          <w:w w:val="100"/>
          <w:position w:val="0"/>
        </w:rPr>
        <w:t>2014</w:t>
      </w:r>
      <w:r>
        <w:rPr>
          <w:color w:val="000000"/>
          <w:spacing w:val="0"/>
          <w:w w:val="100"/>
          <w:position w:val="0"/>
        </w:rPr>
        <w:t>年修订及新颁布的准则</w:t>
      </w:r>
    </w:p>
    <w:p>
      <w:pPr>
        <w:pStyle w:val="Style33"/>
        <w:keepNext w:val="0"/>
        <w:keepLines w:val="0"/>
        <w:widowControl w:val="0"/>
        <w:shd w:val="clear" w:color="auto" w:fill="auto"/>
        <w:bidi w:val="0"/>
        <w:spacing w:before="0" w:after="0" w:line="316" w:lineRule="exact"/>
        <w:ind w:left="0" w:right="0" w:firstLine="440"/>
        <w:jc w:val="left"/>
      </w:pPr>
      <w:r>
        <w:rPr>
          <w:color w:val="000000"/>
          <w:spacing w:val="0"/>
          <w:w w:val="100"/>
          <w:position w:val="0"/>
        </w:rPr>
        <w:t>本公司已执行财政部于</w:t>
      </w:r>
      <w:r>
        <w:rPr>
          <w:rFonts w:ascii="Times New Roman" w:eastAsia="Times New Roman" w:hAnsi="Times New Roman" w:cs="Times New Roman"/>
          <w:color w:val="000000"/>
          <w:spacing w:val="0"/>
          <w:w w:val="100"/>
          <w:position w:val="0"/>
        </w:rPr>
        <w:t>2014</w:t>
      </w:r>
      <w:r>
        <w:rPr>
          <w:color w:val="000000"/>
          <w:spacing w:val="0"/>
          <w:w w:val="100"/>
          <w:position w:val="0"/>
        </w:rPr>
        <w:t>年颁布的下列新的及修订的企业会计准则：</w:t>
      </w:r>
    </w:p>
    <w:p>
      <w:pPr>
        <w:pStyle w:val="Style33"/>
        <w:keepNext w:val="0"/>
        <w:keepLines w:val="0"/>
        <w:widowControl w:val="0"/>
        <w:shd w:val="clear" w:color="auto" w:fill="auto"/>
        <w:bidi w:val="0"/>
        <w:spacing w:before="0" w:after="0" w:line="316" w:lineRule="exact"/>
        <w:ind w:left="0" w:right="0" w:firstLine="440"/>
        <w:jc w:val="left"/>
      </w:pPr>
      <w:r>
        <w:rPr>
          <w:color w:val="000000"/>
          <w:spacing w:val="0"/>
          <w:w w:val="100"/>
          <w:position w:val="0"/>
        </w:rPr>
        <w:t>《企业会计准则</w:t>
      </w:r>
      <w:r>
        <w:rPr>
          <w:color w:val="000000"/>
          <w:spacing w:val="0"/>
          <w:w w:val="100"/>
          <w:position w:val="0"/>
        </w:rPr>
        <w:t>一</w:t>
      </w:r>
      <w:r>
        <w:rPr>
          <w:color w:val="000000"/>
          <w:spacing w:val="0"/>
          <w:w w:val="100"/>
          <w:position w:val="0"/>
        </w:rPr>
        <w:t>基本准则》（修订）、</w:t>
      </w:r>
    </w:p>
    <w:p>
      <w:pPr>
        <w:pStyle w:val="Style33"/>
        <w:keepNext w:val="0"/>
        <w:keepLines w:val="0"/>
        <w:widowControl w:val="0"/>
        <w:shd w:val="clear" w:color="auto" w:fill="auto"/>
        <w:bidi w:val="0"/>
        <w:spacing w:before="0" w:after="0" w:line="316" w:lineRule="exact"/>
        <w:ind w:left="0" w:right="0" w:firstLine="440"/>
        <w:jc w:val="left"/>
      </w:pPr>
      <w:r>
        <w:rPr>
          <w:color w:val="000000"/>
          <w:spacing w:val="0"/>
          <w:w w:val="100"/>
          <w:position w:val="0"/>
        </w:rPr>
        <w:t>《企业会计准则第</w:t>
      </w:r>
      <w:r>
        <w:rPr>
          <w:rFonts w:ascii="Times New Roman" w:eastAsia="Times New Roman" w:hAnsi="Times New Roman" w:cs="Times New Roman"/>
          <w:color w:val="000000"/>
          <w:spacing w:val="0"/>
          <w:w w:val="100"/>
          <w:position w:val="0"/>
        </w:rPr>
        <w:t>2</w:t>
      </w:r>
      <w:r>
        <w:rPr>
          <w:color w:val="000000"/>
          <w:spacing w:val="0"/>
          <w:w w:val="100"/>
          <w:position w:val="0"/>
        </w:rPr>
        <w:t>号——长期股权投资》（修订）、</w:t>
      </w:r>
    </w:p>
    <w:p>
      <w:pPr>
        <w:pStyle w:val="Style33"/>
        <w:keepNext w:val="0"/>
        <w:keepLines w:val="0"/>
        <w:widowControl w:val="0"/>
        <w:shd w:val="clear" w:color="auto" w:fill="auto"/>
        <w:bidi w:val="0"/>
        <w:spacing w:before="0" w:after="0" w:line="316" w:lineRule="exact"/>
        <w:ind w:left="0" w:right="0" w:firstLine="440"/>
        <w:jc w:val="left"/>
      </w:pPr>
      <w:r>
        <w:rPr>
          <w:color w:val="000000"/>
          <w:spacing w:val="0"/>
          <w:w w:val="100"/>
          <w:position w:val="0"/>
        </w:rPr>
        <w:t>《企业会计准则第</w:t>
      </w:r>
      <w:r>
        <w:rPr>
          <w:rFonts w:ascii="Times New Roman" w:eastAsia="Times New Roman" w:hAnsi="Times New Roman" w:cs="Times New Roman"/>
          <w:color w:val="000000"/>
          <w:spacing w:val="0"/>
          <w:w w:val="100"/>
          <w:position w:val="0"/>
        </w:rPr>
        <w:t>9</w:t>
      </w:r>
      <w:r>
        <w:rPr>
          <w:color w:val="000000"/>
          <w:spacing w:val="0"/>
          <w:w w:val="100"/>
          <w:position w:val="0"/>
        </w:rPr>
        <w:t>号一职工薪酬》（修订）、</w:t>
      </w:r>
    </w:p>
    <w:p>
      <w:pPr>
        <w:pStyle w:val="Style33"/>
        <w:keepNext w:val="0"/>
        <w:keepLines w:val="0"/>
        <w:widowControl w:val="0"/>
        <w:shd w:val="clear" w:color="auto" w:fill="auto"/>
        <w:bidi w:val="0"/>
        <w:spacing w:before="0" w:after="0" w:line="316" w:lineRule="exact"/>
        <w:ind w:left="0" w:right="0" w:firstLine="440"/>
        <w:jc w:val="left"/>
      </w:pPr>
      <w:r>
        <w:rPr>
          <w:color w:val="000000"/>
          <w:spacing w:val="0"/>
          <w:w w:val="100"/>
          <w:position w:val="0"/>
        </w:rPr>
        <w:t>《企业会计准则第</w:t>
      </w:r>
      <w:r>
        <w:rPr>
          <w:rFonts w:ascii="Times New Roman" w:eastAsia="Times New Roman" w:hAnsi="Times New Roman" w:cs="Times New Roman"/>
          <w:color w:val="000000"/>
          <w:spacing w:val="0"/>
          <w:w w:val="100"/>
          <w:position w:val="0"/>
        </w:rPr>
        <w:t>30</w:t>
      </w:r>
      <w:r>
        <w:rPr>
          <w:color w:val="000000"/>
          <w:spacing w:val="0"/>
          <w:w w:val="100"/>
          <w:position w:val="0"/>
        </w:rPr>
        <w:t>号一财务报表列报》（修订）、</w:t>
      </w:r>
    </w:p>
    <w:p>
      <w:pPr>
        <w:pStyle w:val="Style33"/>
        <w:keepNext w:val="0"/>
        <w:keepLines w:val="0"/>
        <w:widowControl w:val="0"/>
        <w:shd w:val="clear" w:color="auto" w:fill="auto"/>
        <w:bidi w:val="0"/>
        <w:spacing w:before="0" w:after="0" w:line="316" w:lineRule="exact"/>
        <w:ind w:left="0" w:right="0" w:firstLine="440"/>
        <w:jc w:val="left"/>
      </w:pPr>
      <w:r>
        <w:rPr>
          <w:color w:val="000000"/>
          <w:spacing w:val="0"/>
          <w:w w:val="100"/>
          <w:position w:val="0"/>
        </w:rPr>
        <w:t>《企业会计准则第</w:t>
      </w:r>
      <w:r>
        <w:rPr>
          <w:rFonts w:ascii="Times New Roman" w:eastAsia="Times New Roman" w:hAnsi="Times New Roman" w:cs="Times New Roman"/>
          <w:color w:val="000000"/>
          <w:spacing w:val="0"/>
          <w:w w:val="100"/>
          <w:position w:val="0"/>
        </w:rPr>
        <w:t>33</w:t>
      </w:r>
      <w:r>
        <w:rPr>
          <w:color w:val="000000"/>
          <w:spacing w:val="0"/>
          <w:w w:val="100"/>
          <w:position w:val="0"/>
        </w:rPr>
        <w:t>号一合并财务报表》（修订）、</w:t>
      </w:r>
    </w:p>
    <w:p>
      <w:pPr>
        <w:pStyle w:val="Style33"/>
        <w:keepNext w:val="0"/>
        <w:keepLines w:val="0"/>
        <w:widowControl w:val="0"/>
        <w:shd w:val="clear" w:color="auto" w:fill="auto"/>
        <w:bidi w:val="0"/>
        <w:spacing w:before="0" w:after="0" w:line="316" w:lineRule="exact"/>
        <w:ind w:left="0" w:right="0" w:firstLine="440"/>
        <w:jc w:val="left"/>
      </w:pPr>
      <w:r>
        <w:rPr>
          <w:color w:val="000000"/>
          <w:spacing w:val="0"/>
          <w:w w:val="100"/>
          <w:position w:val="0"/>
        </w:rPr>
        <w:t>《企业会计准则第</w:t>
      </w:r>
      <w:r>
        <w:rPr>
          <w:rFonts w:ascii="Times New Roman" w:eastAsia="Times New Roman" w:hAnsi="Times New Roman" w:cs="Times New Roman"/>
          <w:color w:val="000000"/>
          <w:spacing w:val="0"/>
          <w:w w:val="100"/>
          <w:position w:val="0"/>
        </w:rPr>
        <w:t>37</w:t>
      </w:r>
      <w:r>
        <w:rPr>
          <w:color w:val="000000"/>
          <w:spacing w:val="0"/>
          <w:w w:val="100"/>
          <w:position w:val="0"/>
        </w:rPr>
        <w:t>号一金融工具列报》（修订）、</w:t>
      </w:r>
    </w:p>
    <w:p>
      <w:pPr>
        <w:pStyle w:val="Style33"/>
        <w:keepNext w:val="0"/>
        <w:keepLines w:val="0"/>
        <w:widowControl w:val="0"/>
        <w:shd w:val="clear" w:color="auto" w:fill="auto"/>
        <w:bidi w:val="0"/>
        <w:spacing w:before="0" w:after="0" w:line="316" w:lineRule="exact"/>
        <w:ind w:left="0" w:right="0" w:firstLine="440"/>
        <w:jc w:val="left"/>
      </w:pPr>
      <w:r>
        <w:rPr>
          <w:color w:val="000000"/>
          <w:spacing w:val="0"/>
          <w:w w:val="100"/>
          <w:position w:val="0"/>
        </w:rPr>
        <w:t>《企业会计准则第</w:t>
      </w:r>
      <w:r>
        <w:rPr>
          <w:rFonts w:ascii="Times New Roman" w:eastAsia="Times New Roman" w:hAnsi="Times New Roman" w:cs="Times New Roman"/>
          <w:color w:val="000000"/>
          <w:spacing w:val="0"/>
          <w:w w:val="100"/>
          <w:position w:val="0"/>
        </w:rPr>
        <w:t>39</w:t>
      </w:r>
      <w:r>
        <w:rPr>
          <w:color w:val="000000"/>
          <w:spacing w:val="0"/>
          <w:w w:val="100"/>
          <w:position w:val="0"/>
        </w:rPr>
        <w:t>号一公允价值计量》、</w:t>
      </w:r>
    </w:p>
    <w:p>
      <w:pPr>
        <w:pStyle w:val="Style33"/>
        <w:keepNext w:val="0"/>
        <w:keepLines w:val="0"/>
        <w:widowControl w:val="0"/>
        <w:shd w:val="clear" w:color="auto" w:fill="auto"/>
        <w:bidi w:val="0"/>
        <w:spacing w:before="0" w:after="0" w:line="316" w:lineRule="exact"/>
        <w:ind w:left="0" w:right="0" w:firstLine="440"/>
        <w:jc w:val="left"/>
      </w:pPr>
      <w:r>
        <w:rPr>
          <w:color w:val="000000"/>
          <w:spacing w:val="0"/>
          <w:w w:val="100"/>
          <w:position w:val="0"/>
        </w:rPr>
        <w:t>《企业会计准则第</w:t>
      </w:r>
      <w:r>
        <w:rPr>
          <w:rFonts w:ascii="Times New Roman" w:eastAsia="Times New Roman" w:hAnsi="Times New Roman" w:cs="Times New Roman"/>
          <w:color w:val="000000"/>
          <w:spacing w:val="0"/>
          <w:w w:val="100"/>
          <w:position w:val="0"/>
        </w:rPr>
        <w:t>40</w:t>
      </w:r>
      <w:r>
        <w:rPr>
          <w:color w:val="000000"/>
          <w:spacing w:val="0"/>
          <w:w w:val="100"/>
          <w:position w:val="0"/>
        </w:rPr>
        <w:t>号——合营安排》、</w:t>
      </w:r>
    </w:p>
    <w:p>
      <w:pPr>
        <w:pStyle w:val="Style33"/>
        <w:keepNext w:val="0"/>
        <w:keepLines w:val="0"/>
        <w:widowControl w:val="0"/>
        <w:shd w:val="clear" w:color="auto" w:fill="auto"/>
        <w:bidi w:val="0"/>
        <w:spacing w:before="0" w:after="380" w:line="316" w:lineRule="exact"/>
        <w:ind w:left="0" w:right="0" w:firstLine="440"/>
        <w:jc w:val="left"/>
      </w:pPr>
      <w:r>
        <w:rPr>
          <w:color w:val="000000"/>
          <w:spacing w:val="0"/>
          <w:w w:val="100"/>
          <w:position w:val="0"/>
        </w:rPr>
        <w:t>《企业会计准则第</w:t>
      </w:r>
      <w:r>
        <w:rPr>
          <w:rFonts w:ascii="Times New Roman" w:eastAsia="Times New Roman" w:hAnsi="Times New Roman" w:cs="Times New Roman"/>
          <w:color w:val="000000"/>
          <w:spacing w:val="0"/>
          <w:w w:val="100"/>
          <w:position w:val="0"/>
        </w:rPr>
        <w:t>41</w:t>
      </w:r>
      <w:r>
        <w:rPr>
          <w:color w:val="000000"/>
          <w:spacing w:val="0"/>
          <w:w w:val="100"/>
          <w:position w:val="0"/>
        </w:rPr>
        <w:t>号——在其他主体中权益的披露》。</w:t>
      </w:r>
    </w:p>
    <w:p>
      <w:pPr>
        <w:pStyle w:val="Style33"/>
        <w:keepNext w:val="0"/>
        <w:keepLines w:val="0"/>
        <w:widowControl w:val="0"/>
        <w:shd w:val="clear" w:color="auto" w:fill="auto"/>
        <w:bidi w:val="0"/>
        <w:spacing w:before="0" w:after="0" w:line="316" w:lineRule="exact"/>
        <w:ind w:left="0" w:right="0" w:firstLine="440"/>
        <w:jc w:val="left"/>
      </w:pPr>
      <w:r>
        <w:rPr>
          <w:color w:val="000000"/>
          <w:spacing w:val="0"/>
          <w:w w:val="100"/>
          <w:position w:val="0"/>
        </w:rPr>
        <w:t>本公司已执行财政部于</w:t>
      </w:r>
      <w:r>
        <w:rPr>
          <w:rFonts w:ascii="Times New Roman" w:eastAsia="Times New Roman" w:hAnsi="Times New Roman" w:cs="Times New Roman"/>
          <w:color w:val="000000"/>
          <w:spacing w:val="0"/>
          <w:w w:val="100"/>
          <w:position w:val="0"/>
        </w:rPr>
        <w:t>2016</w:t>
      </w:r>
      <w:r>
        <w:rPr>
          <w:color w:val="000000"/>
          <w:spacing w:val="0"/>
          <w:w w:val="100"/>
          <w:position w:val="0"/>
        </w:rPr>
        <w:t>年颁布的下列新的及修订的企业会计准则：</w:t>
      </w:r>
    </w:p>
    <w:p>
      <w:pPr>
        <w:pStyle w:val="Style33"/>
        <w:keepNext w:val="0"/>
        <w:keepLines w:val="0"/>
        <w:widowControl w:val="0"/>
        <w:shd w:val="clear" w:color="auto" w:fill="auto"/>
        <w:bidi w:val="0"/>
        <w:spacing w:before="0" w:after="380" w:line="316" w:lineRule="exact"/>
        <w:ind w:left="0" w:right="0" w:firstLine="440"/>
        <w:jc w:val="left"/>
      </w:pPr>
      <w:r>
        <w:rPr>
          <w:color w:val="000000"/>
          <w:spacing w:val="0"/>
          <w:w w:val="100"/>
          <w:position w:val="0"/>
        </w:rPr>
        <w:t>《财政部关于印发</w:t>
      </w:r>
      <w:r>
        <w:rPr>
          <w:color w:val="000000"/>
          <w:spacing w:val="0"/>
          <w:w w:val="100"/>
          <w:position w:val="0"/>
        </w:rPr>
        <w:t>〈</w:t>
      </w:r>
      <w:r>
        <w:rPr>
          <w:color w:val="000000"/>
          <w:spacing w:val="0"/>
          <w:w w:val="100"/>
          <w:position w:val="0"/>
        </w:rPr>
        <w:t>增值税会计处理规定</w:t>
      </w:r>
      <w:r>
        <w:rPr>
          <w:color w:val="000000"/>
          <w:spacing w:val="0"/>
          <w:w w:val="100"/>
          <w:position w:val="0"/>
        </w:rPr>
        <w:t>〉</w:t>
      </w:r>
      <w:r>
        <w:rPr>
          <w:color w:val="000000"/>
          <w:spacing w:val="0"/>
          <w:w w:val="100"/>
          <w:position w:val="0"/>
        </w:rPr>
        <w:t>的通知》</w:t>
      </w:r>
      <w:r>
        <w:rPr>
          <w:color w:val="000000"/>
          <w:spacing w:val="0"/>
          <w:w w:val="100"/>
          <w:position w:val="0"/>
        </w:rPr>
        <w:t>（</w:t>
      </w:r>
      <w:r>
        <w:rPr>
          <w:color w:val="000000"/>
          <w:spacing w:val="0"/>
          <w:w w:val="100"/>
          <w:position w:val="0"/>
        </w:rPr>
        <w:t>财会〔</w:t>
      </w:r>
      <w:r>
        <w:rPr>
          <w:rFonts w:ascii="Times New Roman" w:eastAsia="Times New Roman" w:hAnsi="Times New Roman" w:cs="Times New Roman"/>
          <w:color w:val="000000"/>
          <w:spacing w:val="0"/>
          <w:w w:val="100"/>
          <w:position w:val="0"/>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rPr>
        <w:t>22</w:t>
      </w:r>
      <w:r>
        <w:rPr>
          <w:color w:val="000000"/>
          <w:spacing w:val="0"/>
          <w:w w:val="100"/>
          <w:position w:val="0"/>
        </w:rPr>
        <w:t>号</w:t>
      </w:r>
      <w:r>
        <w:rPr>
          <w:color w:val="000000"/>
          <w:spacing w:val="0"/>
          <w:w w:val="100"/>
          <w:position w:val="0"/>
        </w:rPr>
        <w:t>）</w:t>
      </w:r>
    </w:p>
    <w:p>
      <w:pPr>
        <w:pStyle w:val="Style33"/>
        <w:keepNext w:val="0"/>
        <w:keepLines w:val="0"/>
        <w:widowControl w:val="0"/>
        <w:shd w:val="clear" w:color="auto" w:fill="auto"/>
        <w:bidi w:val="0"/>
        <w:spacing w:before="0" w:after="460" w:line="317" w:lineRule="exact"/>
        <w:ind w:left="0" w:right="0" w:firstLine="440"/>
        <w:jc w:val="both"/>
      </w:pPr>
      <w:r>
        <w:rPr>
          <w:color w:val="000000"/>
          <w:spacing w:val="0"/>
          <w:w w:val="100"/>
          <w:position w:val="0"/>
        </w:rPr>
        <w:t>本公司执行上述企业会计准则的主要影响如：将自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日起企业经营活动发生的房产税、 土地使用税、车船使用税、印花税从“管理费用”项目重分类至“税金及附加”项目，</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 xml:space="preserve">日 </w:t>
      </w:r>
      <w:r>
        <w:rPr>
          <w:color w:val="000000"/>
          <w:spacing w:val="0"/>
          <w:w w:val="100"/>
          <w:position w:val="0"/>
        </w:rPr>
        <w:t>之前发生的税费不予调整。比较数据不予调整。</w:t>
      </w:r>
    </w:p>
    <w:p>
      <w:pPr>
        <w:pStyle w:val="Style33"/>
        <w:keepNext w:val="0"/>
        <w:keepLines w:val="0"/>
        <w:widowControl w:val="0"/>
        <w:shd w:val="clear" w:color="auto" w:fill="auto"/>
        <w:bidi w:val="0"/>
        <w:spacing w:before="0" w:after="100" w:line="240" w:lineRule="auto"/>
        <w:ind w:left="0" w:right="0" w:firstLine="520"/>
        <w:jc w:val="both"/>
      </w:pPr>
      <w:r>
        <w:rPr>
          <w:rFonts w:ascii="Times New Roman" w:eastAsia="Times New Roman" w:hAnsi="Times New Roman" w:cs="Times New Roman"/>
          <w:color w:val="000000"/>
          <w:spacing w:val="0"/>
          <w:w w:val="100"/>
          <w:position w:val="0"/>
        </w:rPr>
        <w:t>2</w:t>
      </w:r>
      <w:r>
        <w:rPr>
          <w:color w:val="000000"/>
          <w:spacing w:val="0"/>
          <w:w w:val="100"/>
          <w:position w:val="0"/>
        </w:rPr>
        <w:t>）其他重要会计政策变更</w:t>
      </w:r>
    </w:p>
    <w:p>
      <w:pPr>
        <w:pStyle w:val="Style33"/>
        <w:keepNext w:val="0"/>
        <w:keepLines w:val="0"/>
        <w:widowControl w:val="0"/>
        <w:shd w:val="clear" w:color="auto" w:fill="auto"/>
        <w:bidi w:val="0"/>
        <w:spacing w:before="0" w:after="360" w:line="240" w:lineRule="auto"/>
        <w:ind w:left="0" w:right="0" w:firstLine="520"/>
        <w:jc w:val="both"/>
      </w:pPr>
      <w:r>
        <w:rPr>
          <w:color w:val="000000"/>
          <w:spacing w:val="0"/>
          <w:w w:val="100"/>
          <w:position w:val="0"/>
        </w:rPr>
        <w:t>本报告期公司未发生其他重要会计政策变更。</w:t>
      </w:r>
    </w:p>
    <w:p>
      <w:pPr>
        <w:pStyle w:val="Style33"/>
        <w:keepNext w:val="0"/>
        <w:keepLines w:val="0"/>
        <w:widowControl w:val="0"/>
        <w:shd w:val="clear" w:color="auto" w:fill="auto"/>
        <w:tabs>
          <w:tab w:pos="7565" w:val="left"/>
        </w:tabs>
        <w:bidi w:val="0"/>
        <w:spacing w:before="0" w:after="360" w:line="240" w:lineRule="auto"/>
        <w:ind w:left="0" w:right="0" w:firstLine="0"/>
        <w:jc w:val="left"/>
      </w:pPr>
      <w:bookmarkStart w:id="968" w:name="bookmark968"/>
      <w:r>
        <w:rPr>
          <w:b/>
          <w:bCs/>
          <w:color w:val="000000"/>
          <w:spacing w:val="0"/>
          <w:w w:val="100"/>
          <w:position w:val="0"/>
        </w:rPr>
        <w:t>（</w:t>
      </w:r>
      <w:r>
        <w:rPr>
          <w:rFonts w:ascii="Times New Roman" w:eastAsia="Times New Roman" w:hAnsi="Times New Roman" w:cs="Times New Roman"/>
          <w:b/>
          <w:bCs/>
          <w:color w:val="000000"/>
          <w:spacing w:val="0"/>
          <w:w w:val="100"/>
          <w:position w:val="0"/>
        </w:rPr>
        <w:t>2</w:t>
      </w:r>
      <w:r>
        <w:rPr>
          <w:b/>
          <w:bCs/>
          <w:color w:val="000000"/>
          <w:spacing w:val="0"/>
          <w:w w:val="100"/>
          <w:position w:val="0"/>
        </w:rPr>
        <w:t>）重要会计估计变更</w:t>
        <w:tab/>
      </w: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968"/>
    </w:p>
    <w:p>
      <w:pPr>
        <w:pStyle w:val="Style23"/>
        <w:keepNext/>
        <w:keepLines/>
        <w:widowControl w:val="0"/>
        <w:shd w:val="clear" w:color="auto" w:fill="auto"/>
        <w:bidi w:val="0"/>
        <w:spacing w:before="0" w:after="360" w:line="240" w:lineRule="auto"/>
        <w:ind w:left="0" w:right="0" w:firstLine="0"/>
        <w:jc w:val="left"/>
        <w:rPr>
          <w:sz w:val="22"/>
          <w:szCs w:val="22"/>
        </w:rPr>
      </w:pPr>
      <w:bookmarkStart w:id="969" w:name="bookmark969"/>
      <w:bookmarkStart w:id="970" w:name="bookmark970"/>
      <w:bookmarkStart w:id="971" w:name="bookmark971"/>
      <w:bookmarkStart w:id="972" w:name="bookmark972"/>
      <w:bookmarkStart w:id="973" w:name="bookmark973"/>
      <w:r>
        <w:rPr>
          <w:b/>
          <w:bCs/>
          <w:color w:val="000000"/>
          <w:spacing w:val="0"/>
          <w:w w:val="100"/>
          <w:position w:val="0"/>
          <w:sz w:val="22"/>
          <w:szCs w:val="22"/>
        </w:rPr>
        <w:t>六</w:t>
      </w:r>
      <w:bookmarkEnd w:id="971"/>
      <w:r>
        <w:rPr>
          <w:b/>
          <w:bCs/>
          <w:color w:val="000000"/>
          <w:spacing w:val="0"/>
          <w:w w:val="100"/>
          <w:position w:val="0"/>
          <w:sz w:val="22"/>
          <w:szCs w:val="22"/>
        </w:rPr>
        <w:t>、税项</w:t>
      </w:r>
      <w:bookmarkEnd w:id="969"/>
      <w:bookmarkEnd w:id="970"/>
      <w:bookmarkEnd w:id="972"/>
      <w:bookmarkEnd w:id="973"/>
    </w:p>
    <w:p>
      <w:pPr>
        <w:pStyle w:val="Style30"/>
        <w:keepNext/>
        <w:keepLines/>
        <w:widowControl w:val="0"/>
        <w:shd w:val="clear" w:color="auto" w:fill="auto"/>
        <w:bidi w:val="0"/>
        <w:spacing w:before="0" w:after="300" w:line="240" w:lineRule="auto"/>
        <w:ind w:left="0" w:right="0" w:firstLine="0"/>
        <w:jc w:val="left"/>
      </w:pPr>
      <w:bookmarkStart w:id="974" w:name="bookmark974"/>
      <w:bookmarkStart w:id="975" w:name="bookmark975"/>
      <w:bookmarkStart w:id="976" w:name="bookmark976"/>
      <w:bookmarkStart w:id="977" w:name="bookmark977"/>
      <w:bookmarkStart w:id="978" w:name="bookmark978"/>
      <w:r>
        <w:rPr>
          <w:rFonts w:ascii="Times New Roman" w:eastAsia="Times New Roman" w:hAnsi="Times New Roman" w:cs="Times New Roman"/>
          <w:color w:val="000000"/>
          <w:spacing w:val="0"/>
          <w:w w:val="100"/>
          <w:position w:val="0"/>
        </w:rPr>
        <w:t>1</w:t>
      </w:r>
      <w:bookmarkEnd w:id="976"/>
      <w:r>
        <w:rPr>
          <w:color w:val="000000"/>
          <w:spacing w:val="0"/>
          <w:w w:val="100"/>
          <w:position w:val="0"/>
        </w:rPr>
        <w:t>、主要税种及税率</w:t>
      </w:r>
      <w:bookmarkEnd w:id="974"/>
      <w:bookmarkEnd w:id="975"/>
      <w:bookmarkEnd w:id="977"/>
      <w:bookmarkEnd w:id="978"/>
    </w:p>
    <w:tbl>
      <w:tblPr>
        <w:tblOverlap w:val="never"/>
        <w:jc w:val="center"/>
        <w:tblLayout w:type="fixed"/>
      </w:tblPr>
      <w:tblGrid>
        <w:gridCol w:w="2275"/>
        <w:gridCol w:w="5386"/>
        <w:gridCol w:w="1925"/>
      </w:tblGrid>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税率</w:t>
            </w:r>
          </w:p>
        </w:tc>
      </w:tr>
      <w:tr>
        <w:trPr>
          <w:trHeight w:val="102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按税法规定计算的销售货物和应税劳务收入为基础计算 销项税额，在扣除当期允许抵扣的进项税额后，差额部分 为应交增值税</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r>
              <w:rPr>
                <w:color w:val="000000"/>
                <w:spacing w:val="0"/>
                <w:w w:val="100"/>
                <w:position w:val="0"/>
              </w:rPr>
              <w:t>、</w:t>
            </w:r>
            <w:r>
              <w:rPr>
                <w:rFonts w:ascii="Times New Roman" w:eastAsia="Times New Roman" w:hAnsi="Times New Roman" w:cs="Times New Roman"/>
                <w:color w:val="000000"/>
                <w:spacing w:val="0"/>
                <w:w w:val="100"/>
                <w:position w:val="0"/>
              </w:rPr>
              <w:t>17%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按实际缴纳的营业税、增值税及消费税计征</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按应纳税所得额计征</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r>
              <w:rPr>
                <w:color w:val="000000"/>
                <w:spacing w:val="0"/>
                <w:w w:val="100"/>
                <w:position w:val="0"/>
              </w:rPr>
              <w:t>、</w:t>
            </w:r>
            <w:r>
              <w:rPr>
                <w:rFonts w:ascii="Times New Roman" w:eastAsia="Times New Roman" w:hAnsi="Times New Roman" w:cs="Times New Roman"/>
                <w:color w:val="000000"/>
                <w:spacing w:val="0"/>
                <w:w w:val="100"/>
                <w:position w:val="0"/>
              </w:rPr>
              <w:t xml:space="preserve">25% </w:t>
            </w:r>
            <w:r>
              <w:rPr>
                <w:color w:val="000000"/>
                <w:spacing w:val="0"/>
                <w:w w:val="100"/>
                <w:position w:val="0"/>
              </w:rPr>
              <w:t xml:space="preserve">（注 </w:t>
            </w:r>
            <w:r>
              <w:rPr>
                <w:rFonts w:ascii="Times New Roman" w:eastAsia="Times New Roman" w:hAnsi="Times New Roman" w:cs="Times New Roman"/>
                <w:color w:val="000000"/>
                <w:spacing w:val="0"/>
                <w:w w:val="100"/>
                <w:position w:val="0"/>
              </w:rPr>
              <w:t>1</w:t>
            </w:r>
            <w:r>
              <w:rPr>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按税法规定计算的应税劳务等收入为基础计征</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 xml:space="preserve">5% </w:t>
            </w:r>
            <w:r>
              <w:rPr>
                <w:color w:val="000000"/>
                <w:spacing w:val="0"/>
                <w:w w:val="100"/>
                <w:position w:val="0"/>
              </w:rPr>
              <w:t xml:space="preserve">（注 </w:t>
            </w:r>
            <w:r>
              <w:rPr>
                <w:rFonts w:ascii="Times New Roman" w:eastAsia="Times New Roman" w:hAnsi="Times New Roman" w:cs="Times New Roman"/>
                <w:color w:val="000000"/>
                <w:spacing w:val="0"/>
                <w:w w:val="100"/>
                <w:position w:val="0"/>
              </w:rPr>
              <w:t>2</w:t>
            </w: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按实际缴纳的营业税、增值税及消费税计征</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按实际缴纳的营业税、增值税及消费税计征</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3%</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按实际缴纳的营业税、增值税及消费税计征</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2%</w:t>
            </w:r>
          </w:p>
        </w:tc>
      </w:tr>
    </w:tbl>
    <w:p>
      <w:pPr>
        <w:pStyle w:val="Style26"/>
        <w:keepNext w:val="0"/>
        <w:keepLines w:val="0"/>
        <w:widowControl w:val="0"/>
        <w:shd w:val="clear" w:color="auto" w:fill="auto"/>
        <w:bidi w:val="0"/>
        <w:spacing w:before="0" w:after="0" w:line="312" w:lineRule="exact"/>
        <w:ind w:left="110" w:right="0" w:firstLine="0"/>
        <w:jc w:val="left"/>
      </w:pPr>
      <w:bookmarkStart w:id="979" w:name="bookmark979"/>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：本公司及全部下属分支机构按照国家税务总局公告</w:t>
      </w:r>
      <w:r>
        <w:rPr>
          <w:rFonts w:ascii="Times New Roman" w:eastAsia="Times New Roman" w:hAnsi="Times New Roman" w:cs="Times New Roman"/>
          <w:color w:val="000000"/>
          <w:spacing w:val="0"/>
          <w:w w:val="100"/>
          <w:position w:val="0"/>
        </w:rPr>
        <w:t>[2012]57</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国家税务总局关于印发《跨地 区经营汇总纳税企业所得税征收管理办法》的公告</w:t>
      </w:r>
      <w:r>
        <w:rPr>
          <w:rFonts w:ascii="Times New Roman" w:eastAsia="Times New Roman" w:hAnsi="Times New Roman" w:cs="Times New Roman"/>
          <w:color w:val="000000"/>
          <w:spacing w:val="0"/>
          <w:w w:val="100"/>
          <w:position w:val="0"/>
        </w:rPr>
        <w:t>''</w:t>
      </w:r>
      <w:r>
        <w:rPr>
          <w:color w:val="000000"/>
          <w:spacing w:val="0"/>
          <w:w w:val="100"/>
          <w:position w:val="0"/>
        </w:rPr>
        <w:t>的规定，实行就地预缴、汇总清算的所得税缴纳政策。</w:t>
      </w:r>
      <w:bookmarkEnd w:id="979"/>
    </w:p>
    <w:p>
      <w:pPr>
        <w:pStyle w:val="Style30"/>
        <w:keepNext/>
        <w:keepLines/>
        <w:widowControl w:val="0"/>
        <w:shd w:val="clear" w:color="auto" w:fill="auto"/>
        <w:bidi w:val="0"/>
        <w:spacing w:before="0" w:after="300" w:line="314" w:lineRule="exact"/>
        <w:ind w:left="0" w:right="0" w:firstLine="520"/>
        <w:jc w:val="left"/>
      </w:pPr>
      <w:bookmarkStart w:id="980" w:name="bookmark980"/>
      <w:bookmarkStart w:id="981" w:name="bookmark981"/>
      <w:bookmarkStart w:id="982" w:name="bookmark982"/>
      <w:r>
        <w:rPr>
          <w:b w:val="0"/>
          <w:bCs w:val="0"/>
          <w:color w:val="000000"/>
          <w:spacing w:val="0"/>
          <w:w w:val="100"/>
          <w:position w:val="0"/>
        </w:rPr>
        <w:t>注</w:t>
      </w:r>
      <w:r>
        <w:rPr>
          <w:rFonts w:ascii="Times New Roman" w:eastAsia="Times New Roman" w:hAnsi="Times New Roman" w:cs="Times New Roman"/>
          <w:b w:val="0"/>
          <w:bCs w:val="0"/>
          <w:color w:val="000000"/>
          <w:spacing w:val="0"/>
          <w:w w:val="100"/>
          <w:position w:val="0"/>
        </w:rPr>
        <w:t>2</w:t>
      </w:r>
      <w:r>
        <w:rPr>
          <w:b w:val="0"/>
          <w:bCs w:val="0"/>
          <w:color w:val="000000"/>
          <w:spacing w:val="0"/>
          <w:w w:val="100"/>
          <w:position w:val="0"/>
        </w:rPr>
        <w:t>：根据财税【</w:t>
      </w:r>
      <w:r>
        <w:rPr>
          <w:rFonts w:ascii="Times New Roman" w:eastAsia="Times New Roman" w:hAnsi="Times New Roman" w:cs="Times New Roman"/>
          <w:b w:val="0"/>
          <w:bCs w:val="0"/>
          <w:color w:val="000000"/>
          <w:spacing w:val="0"/>
          <w:w w:val="100"/>
          <w:position w:val="0"/>
        </w:rPr>
        <w:t>2016</w:t>
      </w:r>
      <w:r>
        <w:rPr>
          <w:b w:val="0"/>
          <w:bCs w:val="0"/>
          <w:color w:val="000000"/>
          <w:spacing w:val="0"/>
          <w:w w:val="100"/>
          <w:position w:val="0"/>
        </w:rPr>
        <w:t>】</w:t>
      </w:r>
      <w:r>
        <w:rPr>
          <w:rFonts w:ascii="Times New Roman" w:eastAsia="Times New Roman" w:hAnsi="Times New Roman" w:cs="Times New Roman"/>
          <w:b w:val="0"/>
          <w:bCs w:val="0"/>
          <w:color w:val="000000"/>
          <w:spacing w:val="0"/>
          <w:w w:val="100"/>
          <w:position w:val="0"/>
        </w:rPr>
        <w:t>36</w:t>
      </w:r>
      <w:r>
        <w:rPr>
          <w:b w:val="0"/>
          <w:bCs w:val="0"/>
          <w:color w:val="000000"/>
          <w:spacing w:val="0"/>
          <w:w w:val="100"/>
          <w:position w:val="0"/>
        </w:rPr>
        <w:t>号文，自</w:t>
      </w:r>
      <w:r>
        <w:rPr>
          <w:rFonts w:ascii="Times New Roman" w:eastAsia="Times New Roman" w:hAnsi="Times New Roman" w:cs="Times New Roman"/>
          <w:b w:val="0"/>
          <w:bCs w:val="0"/>
          <w:color w:val="000000"/>
          <w:spacing w:val="0"/>
          <w:w w:val="100"/>
          <w:position w:val="0"/>
        </w:rPr>
        <w:t>2016</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5</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 xml:space="preserve">日起，在全国范围内全面推开营业税改征增值税 </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以下称营改增</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试点，建筑业、房地产业、金融业、生活服务业等全部营业税纳税人纳入试点范围，由缴 纳营业税改为缴纳增值税；公司自</w:t>
      </w:r>
      <w:r>
        <w:rPr>
          <w:rFonts w:ascii="Times New Roman" w:eastAsia="Times New Roman" w:hAnsi="Times New Roman" w:cs="Times New Roman"/>
          <w:b w:val="0"/>
          <w:bCs w:val="0"/>
          <w:color w:val="000000"/>
          <w:spacing w:val="0"/>
          <w:w w:val="100"/>
          <w:position w:val="0"/>
        </w:rPr>
        <w:t>2016</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5</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日起缴纳增值税。</w:t>
      </w:r>
      <w:bookmarkEnd w:id="980"/>
      <w:bookmarkEnd w:id="981"/>
      <w:bookmarkEnd w:id="982"/>
    </w:p>
    <w:p>
      <w:pPr>
        <w:pStyle w:val="Style30"/>
        <w:keepNext/>
        <w:keepLines/>
        <w:widowControl w:val="0"/>
        <w:shd w:val="clear" w:color="auto" w:fill="auto"/>
        <w:bidi w:val="0"/>
        <w:spacing w:before="0" w:after="300" w:line="311" w:lineRule="exact"/>
        <w:ind w:left="0" w:right="0" w:firstLine="0"/>
        <w:jc w:val="left"/>
      </w:pPr>
      <w:bookmarkStart w:id="983" w:name="bookmark983"/>
      <w:bookmarkStart w:id="984" w:name="bookmark984"/>
      <w:bookmarkStart w:id="985" w:name="bookmark985"/>
      <w:bookmarkStart w:id="986" w:name="bookmark986"/>
      <w:r>
        <w:rPr>
          <w:rFonts w:ascii="Times New Roman" w:eastAsia="Times New Roman" w:hAnsi="Times New Roman" w:cs="Times New Roman"/>
          <w:color w:val="000000"/>
          <w:spacing w:val="0"/>
          <w:w w:val="100"/>
          <w:position w:val="0"/>
        </w:rPr>
        <w:t>2</w:t>
      </w:r>
      <w:bookmarkEnd w:id="985"/>
      <w:r>
        <w:rPr>
          <w:color w:val="000000"/>
          <w:spacing w:val="0"/>
          <w:w w:val="100"/>
          <w:position w:val="0"/>
        </w:rPr>
        <w:t>、税收优惠</w:t>
      </w:r>
      <w:bookmarkEnd w:id="983"/>
      <w:bookmarkEnd w:id="984"/>
      <w:bookmarkEnd w:id="986"/>
    </w:p>
    <w:p>
      <w:pPr>
        <w:pStyle w:val="Style33"/>
        <w:keepNext w:val="0"/>
        <w:keepLines w:val="0"/>
        <w:widowControl w:val="0"/>
        <w:shd w:val="clear" w:color="auto" w:fill="auto"/>
        <w:bidi w:val="0"/>
        <w:spacing w:before="0" w:after="360" w:line="307" w:lineRule="exact"/>
        <w:ind w:left="0" w:right="0" w:firstLine="520"/>
        <w:jc w:val="both"/>
      </w:pPr>
      <w:r>
        <w:rPr>
          <w:color w:val="000000"/>
          <w:spacing w:val="0"/>
          <w:w w:val="100"/>
          <w:position w:val="0"/>
        </w:rPr>
        <w:t>根据苏高企协【</w:t>
      </w:r>
      <w:r>
        <w:rPr>
          <w:rFonts w:ascii="Times New Roman" w:eastAsia="Times New Roman" w:hAnsi="Times New Roman" w:cs="Times New Roman"/>
          <w:color w:val="000000"/>
          <w:spacing w:val="0"/>
          <w:w w:val="100"/>
          <w:position w:val="0"/>
        </w:rPr>
        <w:t>2014</w:t>
      </w:r>
      <w:r>
        <w:rPr>
          <w:color w:val="000000"/>
          <w:spacing w:val="0"/>
          <w:w w:val="100"/>
          <w:position w:val="0"/>
        </w:rPr>
        <w:t>】</w:t>
      </w:r>
      <w:r>
        <w:rPr>
          <w:rFonts w:ascii="Times New Roman" w:eastAsia="Times New Roman" w:hAnsi="Times New Roman" w:cs="Times New Roman"/>
          <w:color w:val="000000"/>
          <w:spacing w:val="0"/>
          <w:w w:val="100"/>
          <w:position w:val="0"/>
        </w:rPr>
        <w:t>12</w:t>
      </w:r>
      <w:r>
        <w:rPr>
          <w:color w:val="000000"/>
          <w:spacing w:val="0"/>
          <w:w w:val="100"/>
          <w:position w:val="0"/>
        </w:rPr>
        <w:t>号文</w:t>
      </w:r>
      <w:r>
        <w:rPr>
          <w:rFonts w:ascii="Times New Roman" w:eastAsia="Times New Roman" w:hAnsi="Times New Roman" w:cs="Times New Roman"/>
          <w:color w:val="000000"/>
          <w:spacing w:val="0"/>
          <w:w w:val="100"/>
          <w:position w:val="0"/>
        </w:rPr>
        <w:t>“</w:t>
      </w:r>
      <w:r>
        <w:rPr>
          <w:color w:val="000000"/>
          <w:spacing w:val="0"/>
          <w:w w:val="100"/>
          <w:position w:val="0"/>
        </w:rPr>
        <w:t>关于公示江苏省</w:t>
      </w:r>
      <w:r>
        <w:rPr>
          <w:rFonts w:ascii="Times New Roman" w:eastAsia="Times New Roman" w:hAnsi="Times New Roman" w:cs="Times New Roman"/>
          <w:color w:val="000000"/>
          <w:spacing w:val="0"/>
          <w:w w:val="100"/>
          <w:position w:val="0"/>
        </w:rPr>
        <w:t>2014</w:t>
      </w:r>
      <w:r>
        <w:rPr>
          <w:color w:val="000000"/>
          <w:spacing w:val="0"/>
          <w:w w:val="100"/>
          <w:position w:val="0"/>
        </w:rPr>
        <w:t>年第一批复审通过高新技术企业名单的通知</w:t>
      </w:r>
      <w:r>
        <w:rPr>
          <w:rFonts w:ascii="Times New Roman" w:eastAsia="Times New Roman" w:hAnsi="Times New Roman" w:cs="Times New Roman"/>
          <w:color w:val="000000"/>
          <w:spacing w:val="0"/>
          <w:w w:val="100"/>
          <w:position w:val="0"/>
        </w:rPr>
        <w:t>”</w:t>
      </w:r>
      <w:r>
        <w:rPr>
          <w:color w:val="000000"/>
          <w:spacing w:val="0"/>
          <w:w w:val="100"/>
          <w:position w:val="0"/>
        </w:rPr>
        <w:t>，子 公司扬州华声电子实业有限公司于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 xml:space="preserve">日获得国家级高新技术企业证书，证书编号： </w:t>
      </w:r>
      <w:r>
        <w:rPr>
          <w:rFonts w:ascii="Times New Roman" w:eastAsia="Times New Roman" w:hAnsi="Times New Roman" w:cs="Times New Roman"/>
          <w:color w:val="000000"/>
          <w:spacing w:val="0"/>
          <w:w w:val="100"/>
          <w:position w:val="0"/>
        </w:rPr>
        <w:t>GF201432000694</w:t>
      </w:r>
      <w:r>
        <w:rPr>
          <w:color w:val="000000"/>
          <w:spacing w:val="0"/>
          <w:w w:val="100"/>
          <w:position w:val="0"/>
        </w:rPr>
        <w:t>，有效期</w:t>
      </w:r>
      <w:r>
        <w:rPr>
          <w:rFonts w:ascii="Times New Roman" w:eastAsia="Times New Roman" w:hAnsi="Times New Roman" w:cs="Times New Roman"/>
          <w:color w:val="000000"/>
          <w:spacing w:val="0"/>
          <w:w w:val="100"/>
          <w:position w:val="0"/>
        </w:rPr>
        <w:t>3</w:t>
      </w:r>
      <w:r>
        <w:rPr>
          <w:color w:val="000000"/>
          <w:spacing w:val="0"/>
          <w:w w:val="100"/>
          <w:position w:val="0"/>
        </w:rPr>
        <w:t>年，</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日期间企业所得税减按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w:t>
      </w:r>
    </w:p>
    <w:p>
      <w:pPr>
        <w:pStyle w:val="Style23"/>
        <w:keepNext/>
        <w:keepLines/>
        <w:widowControl w:val="0"/>
        <w:shd w:val="clear" w:color="auto" w:fill="auto"/>
        <w:bidi w:val="0"/>
        <w:spacing w:before="0" w:after="300" w:line="240" w:lineRule="auto"/>
        <w:ind w:left="0" w:right="0" w:firstLine="0"/>
        <w:jc w:val="left"/>
        <w:rPr>
          <w:sz w:val="22"/>
          <w:szCs w:val="22"/>
        </w:rPr>
      </w:pPr>
      <w:bookmarkStart w:id="987" w:name="bookmark987"/>
      <w:bookmarkStart w:id="988" w:name="bookmark988"/>
      <w:bookmarkStart w:id="989" w:name="bookmark989"/>
      <w:bookmarkStart w:id="990" w:name="bookmark990"/>
      <w:r>
        <w:rPr>
          <w:b/>
          <w:bCs/>
          <w:color w:val="000000"/>
          <w:spacing w:val="0"/>
          <w:w w:val="100"/>
          <w:position w:val="0"/>
          <w:sz w:val="22"/>
          <w:szCs w:val="22"/>
        </w:rPr>
        <w:t>七</w:t>
      </w:r>
      <w:bookmarkEnd w:id="989"/>
      <w:r>
        <w:rPr>
          <w:b/>
          <w:bCs/>
          <w:color w:val="000000"/>
          <w:spacing w:val="0"/>
          <w:w w:val="100"/>
          <w:position w:val="0"/>
          <w:sz w:val="22"/>
          <w:szCs w:val="22"/>
        </w:rPr>
        <w:t>、合并财务报表项目注释</w:t>
      </w:r>
      <w:bookmarkEnd w:id="987"/>
      <w:bookmarkEnd w:id="988"/>
      <w:bookmarkEnd w:id="990"/>
    </w:p>
    <w:p>
      <w:pPr>
        <w:pStyle w:val="Style30"/>
        <w:keepNext/>
        <w:keepLines/>
        <w:widowControl w:val="0"/>
        <w:shd w:val="clear" w:color="auto" w:fill="auto"/>
        <w:bidi w:val="0"/>
        <w:spacing w:before="0" w:after="360" w:line="311" w:lineRule="exact"/>
        <w:ind w:left="0" w:right="0" w:firstLine="0"/>
        <w:jc w:val="left"/>
      </w:pPr>
      <w:bookmarkStart w:id="991" w:name="bookmark991"/>
      <w:bookmarkStart w:id="992" w:name="bookmark992"/>
      <w:bookmarkStart w:id="993" w:name="bookmark993"/>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991"/>
      <w:bookmarkEnd w:id="992"/>
      <w:bookmarkEnd w:id="993"/>
    </w:p>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5957"/>
        <w:gridCol w:w="2021"/>
        <w:gridCol w:w="1718"/>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4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88,475.68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7,268.83</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7,734,874,836.37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40,742,609.32</w:t>
            </w:r>
          </w:p>
        </w:tc>
      </w:tr>
    </w:tbl>
    <w:p>
      <w:pPr>
        <w:spacing w:lineRule="exact" w:line="1"/>
        <w:rPr>
          <w:sz w:val="2"/>
          <w:szCs w:val="2"/>
        </w:rPr>
      </w:pPr>
      <w:r>
        <w:br w:type="page"/>
      </w:r>
    </w:p>
    <w:tbl>
      <w:tblPr>
        <w:tblOverlap w:val="never"/>
        <w:jc w:val="center"/>
        <w:tblLayout w:type="fixed"/>
      </w:tblPr>
      <w:tblGrid>
        <w:gridCol w:w="5957"/>
        <w:gridCol w:w="2021"/>
        <w:gridCol w:w="1718"/>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24,069,871.24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23,375,632.29</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7,759,033,183.29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64,125,510.44</w:t>
            </w:r>
          </w:p>
        </w:tc>
      </w:tr>
    </w:tbl>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其中因抵押、质押或冻结等对使用有限制，以及放在境外且资金汇回受到限制的货币资金明细如下:</w:t>
      </w:r>
    </w:p>
    <w:tbl>
      <w:tblPr>
        <w:tblOverlap w:val="never"/>
        <w:jc w:val="center"/>
        <w:tblLayout w:type="fixed"/>
      </w:tblPr>
      <w:tblGrid>
        <w:gridCol w:w="5957"/>
        <w:gridCol w:w="2021"/>
        <w:gridCol w:w="171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29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4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22,614,356.59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23,374,654.86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信用证保证金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908,587.45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977.43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锁汇保证金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546,927.20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24,069,871.24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23,375,632.29</w:t>
            </w:r>
          </w:p>
        </w:tc>
      </w:tr>
    </w:tbl>
    <w:p>
      <w:pPr>
        <w:pStyle w:val="Style26"/>
        <w:keepNext w:val="0"/>
        <w:keepLines w:val="0"/>
        <w:widowControl w:val="0"/>
        <w:shd w:val="clear" w:color="auto" w:fill="auto"/>
        <w:bidi w:val="0"/>
        <w:spacing w:before="0" w:after="0" w:line="240" w:lineRule="auto"/>
        <w:ind w:left="0" w:right="0" w:firstLine="0"/>
        <w:jc w:val="left"/>
      </w:pPr>
      <w:bookmarkStart w:id="994" w:name="bookmark994"/>
      <w:r>
        <w:rPr>
          <w:rFonts w:ascii="Times New Roman" w:eastAsia="Times New Roman" w:hAnsi="Times New Roman" w:cs="Times New Roman"/>
          <w:b/>
          <w:bCs/>
          <w:color w:val="000000"/>
          <w:spacing w:val="0"/>
          <w:w w:val="100"/>
          <w:position w:val="0"/>
        </w:rPr>
        <w:t>2</w:t>
      </w:r>
      <w:r>
        <w:rPr>
          <w:b/>
          <w:bCs/>
          <w:color w:val="000000"/>
          <w:spacing w:val="0"/>
          <w:w w:val="100"/>
          <w:position w:val="0"/>
        </w:rPr>
        <w:t>、结算备付金</w:t>
      </w:r>
      <w:bookmarkEnd w:id="994"/>
    </w:p>
    <w:p>
      <w:pPr>
        <w:widowControl w:val="0"/>
        <w:spacing w:after="319" w:line="1" w:lineRule="exact"/>
      </w:pPr>
    </w:p>
    <w:tbl>
      <w:tblPr>
        <w:tblOverlap w:val="never"/>
        <w:jc w:val="center"/>
        <w:tblLayout w:type="fixed"/>
      </w:tblPr>
      <w:tblGrid>
        <w:gridCol w:w="2981"/>
        <w:gridCol w:w="2126"/>
        <w:gridCol w:w="2074"/>
        <w:gridCol w:w="2400"/>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外币金额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40" w:firstLine="0"/>
              <w:jc w:val="right"/>
            </w:pPr>
            <w:r>
              <w:rPr>
                <w:color w:val="000000"/>
                <w:spacing w:val="0"/>
                <w:w w:val="100"/>
                <w:position w:val="0"/>
              </w:rPr>
              <w:t>折合人民币金额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其中：人民币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70,094,588.85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70,094,588.85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70,094,588.85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70,094,588.85</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其中：人民币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778,015,072.67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778,015,072.67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843,192.43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6.9370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5,849,225.89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1,442,952.41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0.8945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1,290,720.93</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785,155,019.49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其中：人民币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101,820,133.58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101,820,133.58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101,820,133.58</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957,069,741.92</w:t>
            </w:r>
          </w:p>
        </w:tc>
      </w:tr>
    </w:tbl>
    <w:p>
      <w:pPr>
        <w:pStyle w:val="Style26"/>
        <w:keepNext w:val="0"/>
        <w:keepLines w:val="0"/>
        <w:widowControl w:val="0"/>
        <w:shd w:val="clear" w:color="auto" w:fill="auto"/>
        <w:bidi w:val="0"/>
        <w:spacing w:before="0" w:after="0" w:line="240" w:lineRule="auto"/>
        <w:ind w:left="0" w:right="0" w:firstLine="0"/>
        <w:jc w:val="center"/>
      </w:pPr>
      <w:bookmarkStart w:id="995" w:name="bookmark995"/>
      <w:r>
        <w:rPr>
          <w:rFonts w:ascii="Times New Roman" w:eastAsia="Times New Roman" w:hAnsi="Times New Roman" w:cs="Times New Roman"/>
          <w:b/>
          <w:bCs/>
          <w:color w:val="000000"/>
          <w:spacing w:val="0"/>
          <w:w w:val="100"/>
          <w:position w:val="0"/>
        </w:rPr>
        <w:t>3</w:t>
      </w:r>
      <w:r>
        <w:rPr>
          <w:b/>
          <w:bCs/>
          <w:color w:val="000000"/>
          <w:spacing w:val="0"/>
          <w:w w:val="100"/>
          <w:position w:val="0"/>
        </w:rPr>
        <w:t>、以公允价值计量且其变动计入当期损益的金融资产</w:t>
      </w:r>
      <w:bookmarkEnd w:id="995"/>
    </w:p>
    <w:p>
      <w:pPr>
        <w:widowControl w:val="0"/>
        <w:spacing w:after="31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251"/>
        <w:gridCol w:w="2266"/>
        <w:gridCol w:w="2064"/>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2,412,043,481.70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其中：债务工具投资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1,151,731,980.00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60"/>
              <w:jc w:val="left"/>
            </w:pPr>
            <w:r>
              <w:rPr>
                <w:color w:val="000000"/>
                <w:spacing w:val="0"/>
                <w:w w:val="100"/>
                <w:position w:val="0"/>
              </w:rPr>
              <w:t>权益工具投资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1,249,182,374.95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6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11,129,126.75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2,412,043,481.70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0"/>
        <w:keepNext/>
        <w:keepLines/>
        <w:widowControl w:val="0"/>
        <w:shd w:val="clear" w:color="auto" w:fill="auto"/>
        <w:bidi w:val="0"/>
        <w:spacing w:before="0" w:after="340" w:line="240" w:lineRule="auto"/>
        <w:ind w:left="0" w:right="0" w:firstLine="0"/>
        <w:jc w:val="left"/>
      </w:pPr>
      <w:bookmarkStart w:id="996" w:name="bookmark996"/>
      <w:bookmarkStart w:id="997" w:name="bookmark997"/>
      <w:bookmarkStart w:id="998" w:name="bookmark998"/>
      <w:bookmarkStart w:id="999" w:name="bookmark999"/>
      <w:r>
        <w:rPr>
          <w:rFonts w:ascii="Times New Roman" w:eastAsia="Times New Roman" w:hAnsi="Times New Roman" w:cs="Times New Roman"/>
          <w:color w:val="000000"/>
          <w:spacing w:val="0"/>
          <w:w w:val="100"/>
          <w:position w:val="0"/>
        </w:rPr>
        <w:t>4</w:t>
      </w:r>
      <w:bookmarkEnd w:id="998"/>
      <w:r>
        <w:rPr>
          <w:color w:val="000000"/>
          <w:spacing w:val="0"/>
          <w:w w:val="100"/>
          <w:position w:val="0"/>
        </w:rPr>
        <w:t>、融出资金</w:t>
      </w:r>
      <w:bookmarkEnd w:id="996"/>
      <w:bookmarkEnd w:id="997"/>
      <w:bookmarkEnd w:id="999"/>
    </w:p>
    <w:p>
      <w:pPr>
        <w:pStyle w:val="Style26"/>
        <w:keepNext w:val="0"/>
        <w:keepLines w:val="0"/>
        <w:widowControl w:val="0"/>
        <w:shd w:val="clear" w:color="auto" w:fill="auto"/>
        <w:bidi w:val="0"/>
        <w:spacing w:before="0" w:after="0" w:line="240" w:lineRule="auto"/>
        <w:ind w:left="96"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)融出资金分类披露</w:t>
      </w:r>
    </w:p>
    <w:tbl>
      <w:tblPr>
        <w:tblOverlap w:val="never"/>
        <w:jc w:val="center"/>
        <w:tblLayout w:type="fixed"/>
      </w:tblPr>
      <w:tblGrid>
        <w:gridCol w:w="3787"/>
        <w:gridCol w:w="2597"/>
        <w:gridCol w:w="3269"/>
      </w:tblGrid>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2016.12.31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2015.12.31</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个人账面金额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2,202,204,755.56</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机构账面金额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14,601,634.25</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账面金额小计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2,216,806,389.81</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个人坏账准备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4,404,409.51</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机构坏账准备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29,203.27</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4,433,612.78</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个人账面净值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2,197,800,346.05</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机构账面净值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14,572,430.98</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账面净值小计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2,212,372,777.03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tbl>
      <w:tblPr>
        <w:tblOverlap w:val="never"/>
        <w:jc w:val="center"/>
        <w:tblLayout w:type="fixed"/>
      </w:tblPr>
      <w:tblGrid>
        <w:gridCol w:w="3830"/>
        <w:gridCol w:w="2554"/>
        <w:gridCol w:w="3269"/>
      </w:tblGrid>
      <w:tr>
        <w:trPr>
          <w:trHeight w:val="288"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00"/>
              <w:jc w:val="left"/>
            </w:pPr>
            <w:r>
              <w:rPr>
                <w:b/>
                <w:bCs/>
                <w:color w:val="000000"/>
                <w:spacing w:val="0"/>
                <w:w w:val="100"/>
                <w:position w:val="0"/>
              </w:rPr>
              <w:t>客户因融资融券业务向公司提供的担</w:t>
            </w:r>
          </w:p>
        </w:tc>
        <w:tc>
          <w:tcPr>
            <w:gridSpan w:val="2"/>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度保物公允价值</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2016.12.31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2015.12.31</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337,413,942.07</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7,140,754,891.77</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7,478,168,833.84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96" w:right="0" w:firstLine="0"/>
        <w:jc w:val="left"/>
      </w:pPr>
      <w:bookmarkStart w:id="1000" w:name="bookmark1000"/>
      <w:r>
        <w:rPr>
          <w:rFonts w:ascii="Times New Roman" w:eastAsia="Times New Roman" w:hAnsi="Times New Roman" w:cs="Times New Roman"/>
          <w:b/>
          <w:bCs/>
          <w:color w:val="000000"/>
          <w:spacing w:val="0"/>
          <w:w w:val="100"/>
          <w:position w:val="0"/>
        </w:rPr>
        <w:t>(2</w:t>
      </w:r>
      <w:r>
        <w:rPr>
          <w:b/>
          <w:bCs/>
          <w:color w:val="000000"/>
          <w:spacing w:val="0"/>
          <w:w w:val="100"/>
          <w:position w:val="0"/>
        </w:rPr>
        <w:t>)融资资金按账龄披露</w:t>
      </w:r>
      <w:bookmarkEnd w:id="1000"/>
    </w:p>
    <w:p>
      <w:pPr>
        <w:widowControl w:val="0"/>
        <w:spacing w:after="339" w:line="1" w:lineRule="exact"/>
      </w:pPr>
    </w:p>
    <w:tbl>
      <w:tblPr>
        <w:tblOverlap w:val="never"/>
        <w:jc w:val="left"/>
        <w:tblLayout w:type="fixed"/>
      </w:tblPr>
      <w:tblGrid>
        <w:gridCol w:w="3830"/>
        <w:gridCol w:w="2126"/>
        <w:gridCol w:w="994"/>
        <w:gridCol w:w="1843"/>
        <w:gridCol w:w="859"/>
      </w:tblGrid>
      <w:tr>
        <w:trPr>
          <w:trHeight w:val="403" w:hRule="exact"/>
        </w:trPr>
        <w:tc>
          <w:tcPr>
            <w:vMerge w:val="restart"/>
            <w:tcBorders>
              <w:top w:val="single" w:sz="4"/>
              <w:left w:val="single" w:sz="4"/>
            </w:tcBorders>
            <w:shd w:val="clear" w:color="auto" w:fill="FFFFFF"/>
            <w:vAlign w:val="center"/>
          </w:tcPr>
          <w:p>
            <w:pPr>
              <w:pStyle w:val="Style20"/>
              <w:keepNext w:val="0"/>
              <w:keepLines w:val="0"/>
              <w:framePr w:w="9653" w:h="3139" w:hSpace="19" w:vSpace="605" w:wrap="notBeside" w:vAnchor="text" w:hAnchor="text" w:x="149" w:y="1"/>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right w:val="single" w:sz="4"/>
            </w:tcBorders>
            <w:shd w:val="clear" w:color="auto" w:fill="FFFFFF"/>
            <w:vAlign w:val="center"/>
          </w:tcPr>
          <w:p>
            <w:pPr>
              <w:pStyle w:val="Style20"/>
              <w:keepNext w:val="0"/>
              <w:keepLines w:val="0"/>
              <w:framePr w:w="9653" w:h="3139" w:hSpace="19" w:vSpace="605" w:wrap="notBeside" w:vAnchor="text" w:hAnchor="text" w:x="149"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2016.12.31</w:t>
            </w:r>
          </w:p>
        </w:tc>
      </w:tr>
      <w:tr>
        <w:trPr>
          <w:trHeight w:val="403" w:hRule="exact"/>
        </w:trPr>
        <w:tc>
          <w:tcPr>
            <w:vMerge/>
            <w:tcBorders>
              <w:left w:val="single" w:sz="4"/>
            </w:tcBorders>
            <w:shd w:val="clear" w:color="auto" w:fill="FFFFFF"/>
            <w:vAlign w:val="center"/>
          </w:tcPr>
          <w:p>
            <w:pPr>
              <w:framePr w:w="9653" w:h="3139" w:hSpace="19" w:vSpace="605" w:wrap="notBeside" w:vAnchor="text" w:hAnchor="text" w:x="149" w:y="1"/>
            </w:pPr>
          </w:p>
        </w:tc>
        <w:tc>
          <w:tcPr>
            <w:gridSpan w:val="2"/>
            <w:tcBorders>
              <w:top w:val="single" w:sz="4"/>
              <w:left w:val="single" w:sz="4"/>
            </w:tcBorders>
            <w:shd w:val="clear" w:color="auto" w:fill="FFFFFF"/>
            <w:vAlign w:val="center"/>
          </w:tcPr>
          <w:p>
            <w:pPr>
              <w:pStyle w:val="Style20"/>
              <w:keepNext w:val="0"/>
              <w:keepLines w:val="0"/>
              <w:framePr w:w="9653" w:h="3139" w:hSpace="19" w:vSpace="605" w:wrap="notBeside" w:vAnchor="text" w:hAnchor="text" w:x="149" w:y="1"/>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FFFFFF"/>
            <w:vAlign w:val="center"/>
          </w:tcPr>
          <w:p>
            <w:pPr>
              <w:pStyle w:val="Style20"/>
              <w:keepNext w:val="0"/>
              <w:keepLines w:val="0"/>
              <w:framePr w:w="9653" w:h="3139" w:hSpace="19" w:vSpace="605" w:wrap="notBeside" w:vAnchor="text" w:hAnchor="text" w:x="149" w:y="1"/>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15" w:hRule="exact"/>
        </w:trPr>
        <w:tc>
          <w:tcPr>
            <w:vMerge/>
            <w:tcBorders>
              <w:left w:val="single" w:sz="4"/>
            </w:tcBorders>
            <w:shd w:val="clear" w:color="auto" w:fill="FFFFFF"/>
            <w:vAlign w:val="center"/>
          </w:tcPr>
          <w:p>
            <w:pPr>
              <w:framePr w:w="9653" w:h="3139" w:hSpace="19" w:vSpace="605" w:wrap="notBeside" w:vAnchor="text" w:hAnchor="text" w:x="149" w:y="1"/>
            </w:pPr>
          </w:p>
        </w:tc>
        <w:tc>
          <w:tcPr>
            <w:tcBorders>
              <w:top w:val="single" w:sz="4"/>
              <w:left w:val="single" w:sz="4"/>
            </w:tcBorders>
            <w:shd w:val="clear" w:color="auto" w:fill="FFFFFF"/>
            <w:vAlign w:val="center"/>
          </w:tcPr>
          <w:p>
            <w:pPr>
              <w:pStyle w:val="Style20"/>
              <w:keepNext w:val="0"/>
              <w:keepLines w:val="0"/>
              <w:framePr w:w="9653" w:h="3139" w:hSpace="19" w:vSpace="605" w:wrap="notBeside" w:vAnchor="text" w:hAnchor="text" w:x="149" w:y="1"/>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0"/>
              <w:keepNext w:val="0"/>
              <w:keepLines w:val="0"/>
              <w:framePr w:w="9653" w:h="3139" w:hSpace="19" w:vSpace="605" w:wrap="notBeside" w:vAnchor="text" w:hAnchor="text" w:x="149" w:y="1"/>
              <w:widowControl w:val="0"/>
              <w:shd w:val="clear" w:color="auto" w:fill="auto"/>
              <w:bidi w:val="0"/>
              <w:spacing w:before="0" w:after="80" w:line="240" w:lineRule="auto"/>
              <w:ind w:left="0" w:right="0" w:firstLine="280"/>
              <w:jc w:val="left"/>
            </w:pPr>
            <w:r>
              <w:rPr>
                <w:color w:val="000000"/>
                <w:spacing w:val="0"/>
                <w:w w:val="100"/>
                <w:position w:val="0"/>
              </w:rPr>
              <w:t>比例</w:t>
            </w:r>
          </w:p>
          <w:p>
            <w:pPr>
              <w:pStyle w:val="Style20"/>
              <w:keepNext w:val="0"/>
              <w:keepLines w:val="0"/>
              <w:framePr w:w="9653" w:h="3139" w:hSpace="19" w:vSpace="605" w:wrap="notBeside" w:vAnchor="text" w:hAnchor="text" w:x="149" w:y="1"/>
              <w:widowControl w:val="0"/>
              <w:shd w:val="clear" w:color="auto" w:fill="auto"/>
              <w:bidi w:val="0"/>
              <w:spacing w:before="0" w:after="0" w:line="240" w:lineRule="auto"/>
              <w:ind w:left="0" w:right="180" w:firstLine="0"/>
              <w:jc w:val="righ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framePr w:w="9653" w:h="3139" w:hSpace="19" w:vSpace="605" w:wrap="notBeside" w:vAnchor="text" w:hAnchor="text" w:x="149" w:y="1"/>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center"/>
          </w:tcPr>
          <w:p>
            <w:pPr>
              <w:pStyle w:val="Style20"/>
              <w:keepNext w:val="0"/>
              <w:keepLines w:val="0"/>
              <w:framePr w:w="9653" w:h="3139" w:hSpace="19" w:vSpace="605" w:wrap="notBeside" w:vAnchor="text" w:hAnchor="text" w:x="149" w:y="1"/>
              <w:widowControl w:val="0"/>
              <w:shd w:val="clear" w:color="auto" w:fill="auto"/>
              <w:bidi w:val="0"/>
              <w:spacing w:before="0" w:after="80" w:line="240" w:lineRule="auto"/>
              <w:ind w:left="0" w:right="0" w:firstLine="0"/>
              <w:jc w:val="center"/>
            </w:pPr>
            <w:r>
              <w:rPr>
                <w:color w:val="000000"/>
                <w:spacing w:val="0"/>
                <w:w w:val="100"/>
                <w:position w:val="0"/>
              </w:rPr>
              <w:t>比例</w:t>
            </w:r>
          </w:p>
          <w:p>
            <w:pPr>
              <w:pStyle w:val="Style20"/>
              <w:keepNext w:val="0"/>
              <w:keepLines w:val="0"/>
              <w:framePr w:w="9653" w:h="3139" w:hSpace="19" w:vSpace="605" w:wrap="notBeside" w:vAnchor="text" w:hAnchor="text" w:x="149" w:y="1"/>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0"/>
              <w:keepNext w:val="0"/>
              <w:keepLines w:val="0"/>
              <w:framePr w:w="9653" w:h="3139" w:hSpace="19" w:vSpace="605" w:wrap="notBeside" w:vAnchor="text" w:hAnchor="text" w:x="149" w:y="1"/>
              <w:widowControl w:val="0"/>
              <w:shd w:val="clear" w:color="auto" w:fill="auto"/>
              <w:bidi w:val="0"/>
              <w:spacing w:before="0" w:after="0" w:line="240" w:lineRule="auto"/>
              <w:ind w:left="0" w:right="0" w:firstLine="0"/>
              <w:jc w:val="left"/>
            </w:pPr>
            <w:r>
              <w:rPr>
                <w:color w:val="000000"/>
                <w:spacing w:val="0"/>
                <w:w w:val="100"/>
                <w:position w:val="0"/>
              </w:rPr>
              <w:t>1-3</w:t>
            </w:r>
            <w:r>
              <w:rPr>
                <w:color w:val="000000"/>
                <w:spacing w:val="0"/>
                <w:w w:val="100"/>
                <w:position w:val="0"/>
              </w:rPr>
              <w:t>个月</w:t>
            </w:r>
          </w:p>
        </w:tc>
        <w:tc>
          <w:tcPr>
            <w:tcBorders>
              <w:top w:val="single" w:sz="4"/>
              <w:left w:val="single" w:sz="4"/>
            </w:tcBorders>
            <w:shd w:val="clear" w:color="auto" w:fill="FFFFFF"/>
            <w:vAlign w:val="center"/>
          </w:tcPr>
          <w:p>
            <w:pPr>
              <w:pStyle w:val="Style20"/>
              <w:keepNext w:val="0"/>
              <w:keepLines w:val="0"/>
              <w:framePr w:w="9653" w:h="3139" w:hSpace="19" w:vSpace="605" w:wrap="notBeside" w:vAnchor="text" w:hAnchor="text" w:x="149" w:y="1"/>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1,433,939,800.82</w:t>
            </w:r>
          </w:p>
        </w:tc>
        <w:tc>
          <w:tcPr>
            <w:tcBorders>
              <w:top w:val="single" w:sz="4"/>
              <w:left w:val="single" w:sz="4"/>
            </w:tcBorders>
            <w:shd w:val="clear" w:color="auto" w:fill="FFFFFF"/>
            <w:vAlign w:val="center"/>
          </w:tcPr>
          <w:p>
            <w:pPr>
              <w:pStyle w:val="Style20"/>
              <w:keepNext w:val="0"/>
              <w:keepLines w:val="0"/>
              <w:framePr w:w="9653" w:h="3139" w:hSpace="19" w:vSpace="605" w:wrap="notBeside" w:vAnchor="text" w:hAnchor="text" w:x="149"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64.68</w:t>
            </w:r>
          </w:p>
        </w:tc>
        <w:tc>
          <w:tcPr>
            <w:tcBorders>
              <w:top w:val="single" w:sz="4"/>
              <w:left w:val="single" w:sz="4"/>
            </w:tcBorders>
            <w:shd w:val="clear" w:color="auto" w:fill="FFFFFF"/>
            <w:vAlign w:val="center"/>
          </w:tcPr>
          <w:p>
            <w:pPr>
              <w:pStyle w:val="Style20"/>
              <w:keepNext w:val="0"/>
              <w:keepLines w:val="0"/>
              <w:framePr w:w="9653" w:h="3139" w:hSpace="19" w:vSpace="605" w:wrap="notBeside" w:vAnchor="text" w:hAnchor="text" w:x="149" w:y="1"/>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2,867,879.60</w:t>
            </w:r>
          </w:p>
        </w:tc>
        <w:tc>
          <w:tcPr>
            <w:tcBorders>
              <w:top w:val="single" w:sz="4"/>
              <w:left w:val="single" w:sz="4"/>
              <w:right w:val="single" w:sz="4"/>
            </w:tcBorders>
            <w:shd w:val="clear" w:color="auto" w:fill="FFFFFF"/>
            <w:vAlign w:val="center"/>
          </w:tcPr>
          <w:p>
            <w:pPr>
              <w:pStyle w:val="Style20"/>
              <w:keepNext w:val="0"/>
              <w:keepLines w:val="0"/>
              <w:framePr w:w="9653" w:h="3139" w:hSpace="19" w:vSpace="605" w:wrap="notBeside" w:vAnchor="text" w:hAnchor="text" w:x="149"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0.20</w:t>
            </w:r>
          </w:p>
        </w:tc>
      </w:tr>
      <w:tr>
        <w:trPr>
          <w:trHeight w:val="398" w:hRule="exact"/>
        </w:trPr>
        <w:tc>
          <w:tcPr>
            <w:tcBorders>
              <w:top w:val="single" w:sz="4"/>
              <w:left w:val="single" w:sz="4"/>
            </w:tcBorders>
            <w:shd w:val="clear" w:color="auto" w:fill="FFFFFF"/>
            <w:vAlign w:val="center"/>
          </w:tcPr>
          <w:p>
            <w:pPr>
              <w:pStyle w:val="Style20"/>
              <w:keepNext w:val="0"/>
              <w:keepLines w:val="0"/>
              <w:framePr w:w="9653" w:h="3139" w:hSpace="19" w:vSpace="605" w:wrap="notBeside" w:vAnchor="text" w:hAnchor="text" w:x="149" w:y="1"/>
              <w:widowControl w:val="0"/>
              <w:shd w:val="clear" w:color="auto" w:fill="auto"/>
              <w:bidi w:val="0"/>
              <w:spacing w:before="0" w:after="0" w:line="240" w:lineRule="auto"/>
              <w:ind w:left="0" w:right="0" w:firstLine="0"/>
              <w:jc w:val="left"/>
            </w:pPr>
            <w:r>
              <w:rPr>
                <w:color w:val="000000"/>
                <w:spacing w:val="0"/>
                <w:w w:val="100"/>
                <w:position w:val="0"/>
              </w:rPr>
              <w:t>3-6</w:t>
            </w:r>
            <w:r>
              <w:rPr>
                <w:color w:val="000000"/>
                <w:spacing w:val="0"/>
                <w:w w:val="100"/>
                <w:position w:val="0"/>
              </w:rPr>
              <w:t>个月</w:t>
            </w:r>
          </w:p>
        </w:tc>
        <w:tc>
          <w:tcPr>
            <w:tcBorders>
              <w:top w:val="single" w:sz="4"/>
              <w:left w:val="single" w:sz="4"/>
            </w:tcBorders>
            <w:shd w:val="clear" w:color="auto" w:fill="FFFFFF"/>
            <w:vAlign w:val="center"/>
          </w:tcPr>
          <w:p>
            <w:pPr>
              <w:pStyle w:val="Style20"/>
              <w:keepNext w:val="0"/>
              <w:keepLines w:val="0"/>
              <w:framePr w:w="9653" w:h="3139" w:hSpace="19" w:vSpace="605" w:wrap="notBeside" w:vAnchor="text" w:hAnchor="text" w:x="149" w:y="1"/>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267,269,784.44</w:t>
            </w:r>
          </w:p>
        </w:tc>
        <w:tc>
          <w:tcPr>
            <w:tcBorders>
              <w:top w:val="single" w:sz="4"/>
              <w:left w:val="single" w:sz="4"/>
            </w:tcBorders>
            <w:shd w:val="clear" w:color="auto" w:fill="FFFFFF"/>
            <w:vAlign w:val="center"/>
          </w:tcPr>
          <w:p>
            <w:pPr>
              <w:pStyle w:val="Style20"/>
              <w:keepNext w:val="0"/>
              <w:keepLines w:val="0"/>
              <w:framePr w:w="9653" w:h="3139" w:hSpace="19" w:vSpace="605" w:wrap="notBeside" w:vAnchor="text" w:hAnchor="text" w:x="149"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12.06</w:t>
            </w:r>
          </w:p>
        </w:tc>
        <w:tc>
          <w:tcPr>
            <w:tcBorders>
              <w:top w:val="single" w:sz="4"/>
              <w:left w:val="single" w:sz="4"/>
            </w:tcBorders>
            <w:shd w:val="clear" w:color="auto" w:fill="FFFFFF"/>
            <w:vAlign w:val="center"/>
          </w:tcPr>
          <w:p>
            <w:pPr>
              <w:pStyle w:val="Style20"/>
              <w:keepNext w:val="0"/>
              <w:keepLines w:val="0"/>
              <w:framePr w:w="9653" w:h="3139" w:hSpace="19" w:vSpace="605" w:wrap="notBeside" w:vAnchor="text" w:hAnchor="text" w:x="149" w:y="1"/>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534,539.57</w:t>
            </w:r>
          </w:p>
        </w:tc>
        <w:tc>
          <w:tcPr>
            <w:tcBorders>
              <w:top w:val="single" w:sz="4"/>
              <w:left w:val="single" w:sz="4"/>
              <w:right w:val="single" w:sz="4"/>
            </w:tcBorders>
            <w:shd w:val="clear" w:color="auto" w:fill="FFFFFF"/>
            <w:vAlign w:val="center"/>
          </w:tcPr>
          <w:p>
            <w:pPr>
              <w:pStyle w:val="Style20"/>
              <w:keepNext w:val="0"/>
              <w:keepLines w:val="0"/>
              <w:framePr w:w="9653" w:h="3139" w:hSpace="19" w:vSpace="605" w:wrap="notBeside" w:vAnchor="text" w:hAnchor="text" w:x="149"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0.20</w:t>
            </w:r>
          </w:p>
        </w:tc>
      </w:tr>
      <w:tr>
        <w:trPr>
          <w:trHeight w:val="403" w:hRule="exact"/>
        </w:trPr>
        <w:tc>
          <w:tcPr>
            <w:tcBorders>
              <w:top w:val="single" w:sz="4"/>
              <w:left w:val="single" w:sz="4"/>
            </w:tcBorders>
            <w:shd w:val="clear" w:color="auto" w:fill="FFFFFF"/>
            <w:vAlign w:val="center"/>
          </w:tcPr>
          <w:p>
            <w:pPr>
              <w:pStyle w:val="Style20"/>
              <w:keepNext w:val="0"/>
              <w:keepLines w:val="0"/>
              <w:framePr w:w="9653" w:h="3139" w:hSpace="19" w:vSpace="605" w:wrap="notBeside" w:vAnchor="text" w:hAnchor="text" w:x="149" w:y="1"/>
              <w:widowControl w:val="0"/>
              <w:shd w:val="clear" w:color="auto" w:fill="auto"/>
              <w:bidi w:val="0"/>
              <w:spacing w:before="0" w:after="0" w:line="240" w:lineRule="auto"/>
              <w:ind w:left="0" w:right="0" w:firstLine="0"/>
              <w:jc w:val="left"/>
            </w:pPr>
            <w:r>
              <w:rPr>
                <w:color w:val="000000"/>
                <w:spacing w:val="0"/>
                <w:w w:val="100"/>
                <w:position w:val="0"/>
              </w:rPr>
              <w:t>6</w:t>
            </w:r>
            <w:r>
              <w:rPr>
                <w:color w:val="000000"/>
                <w:spacing w:val="0"/>
                <w:w w:val="100"/>
                <w:position w:val="0"/>
              </w:rPr>
              <w:t>个月以上</w:t>
            </w:r>
          </w:p>
        </w:tc>
        <w:tc>
          <w:tcPr>
            <w:tcBorders>
              <w:top w:val="single" w:sz="4"/>
              <w:left w:val="single" w:sz="4"/>
            </w:tcBorders>
            <w:shd w:val="clear" w:color="auto" w:fill="FFFFFF"/>
            <w:vAlign w:val="center"/>
          </w:tcPr>
          <w:p>
            <w:pPr>
              <w:pStyle w:val="Style20"/>
              <w:keepNext w:val="0"/>
              <w:keepLines w:val="0"/>
              <w:framePr w:w="9653" w:h="3139" w:hSpace="19" w:vSpace="605" w:wrap="notBeside" w:vAnchor="text" w:hAnchor="text" w:x="149" w:y="1"/>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515,596,804.55</w:t>
            </w:r>
          </w:p>
        </w:tc>
        <w:tc>
          <w:tcPr>
            <w:tcBorders>
              <w:top w:val="single" w:sz="4"/>
              <w:left w:val="single" w:sz="4"/>
            </w:tcBorders>
            <w:shd w:val="clear" w:color="auto" w:fill="FFFFFF"/>
            <w:vAlign w:val="center"/>
          </w:tcPr>
          <w:p>
            <w:pPr>
              <w:pStyle w:val="Style20"/>
              <w:keepNext w:val="0"/>
              <w:keepLines w:val="0"/>
              <w:framePr w:w="9653" w:h="3139" w:hSpace="19" w:vSpace="605" w:wrap="notBeside" w:vAnchor="text" w:hAnchor="text" w:x="149"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23.26</w:t>
            </w:r>
          </w:p>
        </w:tc>
        <w:tc>
          <w:tcPr>
            <w:tcBorders>
              <w:top w:val="single" w:sz="4"/>
              <w:left w:val="single" w:sz="4"/>
            </w:tcBorders>
            <w:shd w:val="clear" w:color="auto" w:fill="FFFFFF"/>
            <w:vAlign w:val="center"/>
          </w:tcPr>
          <w:p>
            <w:pPr>
              <w:pStyle w:val="Style20"/>
              <w:keepNext w:val="0"/>
              <w:keepLines w:val="0"/>
              <w:framePr w:w="9653" w:h="3139" w:hSpace="19" w:vSpace="605" w:wrap="notBeside" w:vAnchor="text" w:hAnchor="text" w:x="149" w:y="1"/>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1,031,193.61</w:t>
            </w:r>
          </w:p>
        </w:tc>
        <w:tc>
          <w:tcPr>
            <w:tcBorders>
              <w:top w:val="single" w:sz="4"/>
              <w:left w:val="single" w:sz="4"/>
              <w:right w:val="single" w:sz="4"/>
            </w:tcBorders>
            <w:shd w:val="clear" w:color="auto" w:fill="FFFFFF"/>
            <w:vAlign w:val="center"/>
          </w:tcPr>
          <w:p>
            <w:pPr>
              <w:pStyle w:val="Style20"/>
              <w:keepNext w:val="0"/>
              <w:keepLines w:val="0"/>
              <w:framePr w:w="9653" w:h="3139" w:hSpace="19" w:vSpace="605" w:wrap="notBeside" w:vAnchor="text" w:hAnchor="text" w:x="149"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0.20</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framePr w:w="9653" w:h="3139" w:hSpace="19" w:vSpace="605" w:wrap="notBeside" w:vAnchor="text" w:hAnchor="text" w:x="149" w:y="1"/>
              <w:widowControl w:val="0"/>
              <w:shd w:val="clear" w:color="auto" w:fill="auto"/>
              <w:bidi w:val="0"/>
              <w:spacing w:before="0" w:after="0" w:line="240" w:lineRule="auto"/>
              <w:ind w:left="17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framePr w:w="9653" w:h="3139" w:hSpace="19" w:vSpace="605" w:wrap="notBeside" w:vAnchor="text" w:hAnchor="text" w:x="149" w:y="1"/>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2,216,806,389.81</w:t>
            </w:r>
          </w:p>
        </w:tc>
        <w:tc>
          <w:tcPr>
            <w:tcBorders>
              <w:top w:val="single" w:sz="4"/>
              <w:left w:val="single" w:sz="4"/>
              <w:bottom w:val="single" w:sz="4"/>
            </w:tcBorders>
            <w:shd w:val="clear" w:color="auto" w:fill="FFFFFF"/>
            <w:vAlign w:val="center"/>
          </w:tcPr>
          <w:p>
            <w:pPr>
              <w:pStyle w:val="Style20"/>
              <w:keepNext w:val="0"/>
              <w:keepLines w:val="0"/>
              <w:framePr w:w="9653" w:h="3139" w:hSpace="19" w:vSpace="605" w:wrap="notBeside" w:vAnchor="text" w:hAnchor="text" w:x="149"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0"/>
              <w:keepNext w:val="0"/>
              <w:keepLines w:val="0"/>
              <w:framePr w:w="9653" w:h="3139" w:hSpace="19" w:vSpace="605" w:wrap="notBeside" w:vAnchor="text" w:hAnchor="text" w:x="149" w:y="1"/>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4,433,612.78</w:t>
            </w:r>
          </w:p>
        </w:tc>
        <w:tc>
          <w:tcPr>
            <w:tcBorders>
              <w:top w:val="single" w:sz="4"/>
              <w:left w:val="single" w:sz="4"/>
              <w:bottom w:val="single" w:sz="4"/>
              <w:right w:val="single" w:sz="4"/>
            </w:tcBorders>
            <w:shd w:val="clear" w:color="auto" w:fill="FFFFFF"/>
            <w:vAlign w:val="center"/>
          </w:tcPr>
          <w:p>
            <w:pPr>
              <w:pStyle w:val="Style20"/>
              <w:keepNext w:val="0"/>
              <w:keepLines w:val="0"/>
              <w:framePr w:w="9653" w:h="3139" w:hSpace="19" w:vSpace="605" w:wrap="notBeside" w:vAnchor="text" w:hAnchor="text" w:x="149"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0.20</w:t>
            </w:r>
          </w:p>
        </w:tc>
      </w:tr>
    </w:tbl>
    <w:p>
      <w:pPr>
        <w:pStyle w:val="Style26"/>
        <w:keepNext w:val="0"/>
        <w:keepLines w:val="0"/>
        <w:framePr w:w="1622" w:h="269" w:hSpace="129" w:wrap="notBeside" w:vAnchor="text" w:hAnchor="text" w:x="130" w:y="3467"/>
        <w:widowControl w:val="0"/>
        <w:shd w:val="clear" w:color="auto" w:fill="auto"/>
        <w:bidi w:val="0"/>
        <w:spacing w:before="0" w:after="0" w:line="240" w:lineRule="auto"/>
        <w:ind w:left="0" w:right="0" w:firstLine="0"/>
        <w:jc w:val="left"/>
      </w:pPr>
      <w:bookmarkStart w:id="1001" w:name="bookmark1001"/>
      <w:r>
        <w:rPr>
          <w:rFonts w:ascii="Times New Roman" w:eastAsia="Times New Roman" w:hAnsi="Times New Roman" w:cs="Times New Roman"/>
          <w:b/>
          <w:bCs/>
          <w:color w:val="000000"/>
          <w:spacing w:val="0"/>
          <w:w w:val="100"/>
          <w:position w:val="0"/>
        </w:rPr>
        <w:t>5</w:t>
      </w:r>
      <w:r>
        <w:rPr>
          <w:b/>
          <w:bCs/>
          <w:color w:val="000000"/>
          <w:spacing w:val="0"/>
          <w:w w:val="100"/>
          <w:position w:val="0"/>
        </w:rPr>
        <w:t>、衍生金融资产</w:t>
      </w:r>
      <w:bookmarkEnd w:id="1001"/>
    </w:p>
    <w:p>
      <w:pPr>
        <w:pStyle w:val="Style26"/>
        <w:keepNext w:val="0"/>
        <w:keepLines w:val="0"/>
        <w:framePr w:w="1642" w:h="298" w:hSpace="129" w:wrap="notBeside" w:vAnchor="text" w:hAnchor="text" w:x="8045" w:y="3447"/>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widowControl w:val="0"/>
        <w:spacing w:line="1" w:lineRule="exact"/>
      </w:pPr>
    </w:p>
    <w:p>
      <w:pPr>
        <w:pStyle w:val="Style30"/>
        <w:keepNext/>
        <w:keepLines/>
        <w:widowControl w:val="0"/>
        <w:shd w:val="clear" w:color="auto" w:fill="auto"/>
        <w:bidi w:val="0"/>
        <w:spacing w:before="0" w:after="340" w:line="240" w:lineRule="auto"/>
        <w:ind w:left="0" w:right="0" w:firstLine="0"/>
        <w:jc w:val="left"/>
      </w:pPr>
      <w:bookmarkStart w:id="1002" w:name="bookmark1002"/>
      <w:bookmarkStart w:id="1003" w:name="bookmark1003"/>
      <w:bookmarkStart w:id="1004" w:name="bookmark1004"/>
      <w:bookmarkStart w:id="1005" w:name="bookmark1005"/>
      <w:r>
        <w:rPr>
          <w:rFonts w:ascii="Times New Roman" w:eastAsia="Times New Roman" w:hAnsi="Times New Roman" w:cs="Times New Roman"/>
          <w:color w:val="000000"/>
          <w:spacing w:val="0"/>
          <w:w w:val="100"/>
          <w:position w:val="0"/>
        </w:rPr>
        <w:t>6</w:t>
      </w:r>
      <w:bookmarkEnd w:id="1004"/>
      <w:r>
        <w:rPr>
          <w:color w:val="000000"/>
          <w:spacing w:val="0"/>
          <w:w w:val="100"/>
          <w:position w:val="0"/>
        </w:rPr>
        <w:t>、应收票据</w:t>
      </w:r>
      <w:bookmarkEnd w:id="1002"/>
      <w:bookmarkEnd w:id="1003"/>
      <w:bookmarkEnd w:id="1005"/>
    </w:p>
    <w:p>
      <w:pPr>
        <w:pStyle w:val="Style47"/>
        <w:keepNext/>
        <w:keepLines/>
        <w:widowControl w:val="0"/>
        <w:numPr>
          <w:ilvl w:val="0"/>
          <w:numId w:val="21"/>
        </w:numPr>
        <w:shd w:val="clear" w:color="auto" w:fill="auto"/>
        <w:bidi w:val="0"/>
        <w:spacing w:before="0" w:after="340" w:line="240" w:lineRule="auto"/>
        <w:ind w:left="0" w:right="0" w:firstLine="140"/>
        <w:jc w:val="left"/>
      </w:pPr>
      <w:bookmarkStart w:id="1006" w:name="bookmark1006"/>
      <w:bookmarkStart w:id="1007" w:name="bookmark1007"/>
      <w:bookmarkStart w:id="1008" w:name="bookmark1008"/>
      <w:bookmarkStart w:id="1009" w:name="bookmark1009"/>
      <w:bookmarkEnd w:id="1008"/>
      <w:r>
        <w:rPr>
          <w:color w:val="000000"/>
          <w:spacing w:val="0"/>
          <w:w w:val="100"/>
          <w:position w:val="0"/>
        </w:rPr>
        <w:t>应收票据分类列示</w:t>
      </w:r>
      <w:bookmarkEnd w:id="1006"/>
      <w:bookmarkEnd w:id="1007"/>
      <w:bookmarkEnd w:id="1009"/>
    </w:p>
    <w:p>
      <w:pPr>
        <w:pStyle w:val="Style26"/>
        <w:keepNext w:val="0"/>
        <w:keepLines w:val="0"/>
        <w:widowControl w:val="0"/>
        <w:shd w:val="clear" w:color="auto" w:fill="auto"/>
        <w:bidi w:val="0"/>
        <w:spacing w:before="0" w:after="0" w:line="240" w:lineRule="auto"/>
        <w:ind w:left="8482" w:right="0" w:firstLine="0"/>
        <w:jc w:val="left"/>
      </w:pPr>
      <w:r>
        <w:rPr>
          <w:color w:val="000000"/>
          <w:spacing w:val="0"/>
          <w:w w:val="100"/>
          <w:position w:val="0"/>
        </w:rPr>
        <w:t>单位：元</w:t>
      </w:r>
    </w:p>
    <w:tbl>
      <w:tblPr>
        <w:tblOverlap w:val="never"/>
        <w:jc w:val="center"/>
        <w:tblLayout w:type="fixed"/>
      </w:tblPr>
      <w:tblGrid>
        <w:gridCol w:w="5390"/>
        <w:gridCol w:w="2126"/>
        <w:gridCol w:w="2064"/>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26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95,770,842.64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190,430,774.17</w:t>
            </w:r>
          </w:p>
        </w:tc>
      </w:tr>
    </w:tbl>
    <w:p>
      <w:pPr>
        <w:spacing w:lineRule="exact" w:line="1"/>
        <w:rPr>
          <w:sz w:val="2"/>
          <w:szCs w:val="2"/>
        </w:rPr>
      </w:pPr>
      <w:r>
        <w:br w:type="page"/>
      </w:r>
    </w:p>
    <w:tbl>
      <w:tblPr>
        <w:tblOverlap w:val="never"/>
        <w:jc w:val="center"/>
        <w:tblLayout w:type="fixed"/>
      </w:tblPr>
      <w:tblGrid>
        <w:gridCol w:w="5390"/>
        <w:gridCol w:w="2126"/>
        <w:gridCol w:w="2064"/>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24,891.70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95,795,734.34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190,430,774.17</w:t>
            </w:r>
          </w:p>
        </w:tc>
      </w:tr>
    </w:tbl>
    <w:p>
      <w:pPr>
        <w:widowControl w:val="0"/>
        <w:spacing w:after="339" w:line="1" w:lineRule="exact"/>
      </w:pPr>
    </w:p>
    <w:p>
      <w:pPr>
        <w:pStyle w:val="Style47"/>
        <w:keepNext/>
        <w:keepLines/>
        <w:widowControl w:val="0"/>
        <w:numPr>
          <w:ilvl w:val="0"/>
          <w:numId w:val="21"/>
        </w:numPr>
        <w:shd w:val="clear" w:color="auto" w:fill="auto"/>
        <w:tabs>
          <w:tab w:pos="493" w:val="left"/>
        </w:tabs>
        <w:bidi w:val="0"/>
        <w:spacing w:before="0" w:after="340" w:line="240" w:lineRule="auto"/>
        <w:ind w:left="0" w:right="0" w:firstLine="0"/>
        <w:jc w:val="left"/>
      </w:pPr>
      <w:bookmarkStart w:id="1010" w:name="bookmark1010"/>
      <w:bookmarkStart w:id="1011" w:name="bookmark1011"/>
      <w:bookmarkStart w:id="1012" w:name="bookmark1012"/>
      <w:bookmarkStart w:id="1013" w:name="bookmark1013"/>
      <w:bookmarkEnd w:id="1012"/>
      <w:r>
        <w:rPr>
          <w:color w:val="000000"/>
          <w:spacing w:val="0"/>
          <w:w w:val="100"/>
          <w:position w:val="0"/>
        </w:rPr>
        <w:t>期末无已质押的应收票据。</w:t>
      </w:r>
      <w:bookmarkEnd w:id="1010"/>
      <w:bookmarkEnd w:id="1011"/>
      <w:bookmarkEnd w:id="1013"/>
    </w:p>
    <w:p>
      <w:pPr>
        <w:pStyle w:val="Style47"/>
        <w:keepNext/>
        <w:keepLines/>
        <w:widowControl w:val="0"/>
        <w:numPr>
          <w:ilvl w:val="0"/>
          <w:numId w:val="21"/>
        </w:numPr>
        <w:shd w:val="clear" w:color="auto" w:fill="auto"/>
        <w:tabs>
          <w:tab w:pos="493" w:val="left"/>
        </w:tabs>
        <w:bidi w:val="0"/>
        <w:spacing w:before="0" w:after="340" w:line="240" w:lineRule="auto"/>
        <w:ind w:left="0" w:right="0" w:firstLine="0"/>
        <w:jc w:val="left"/>
      </w:pPr>
      <w:bookmarkStart w:id="1014" w:name="bookmark1014"/>
      <w:bookmarkStart w:id="1015" w:name="bookmark1015"/>
      <w:bookmarkStart w:id="1016" w:name="bookmark1016"/>
      <w:bookmarkStart w:id="1017" w:name="bookmark1017"/>
      <w:bookmarkEnd w:id="1016"/>
      <w:r>
        <w:rPr>
          <w:color w:val="000000"/>
          <w:spacing w:val="0"/>
          <w:w w:val="100"/>
          <w:position w:val="0"/>
        </w:rPr>
        <w:t>期末公司已背书或贴现且在资产负债表日尚未到期的应收票据</w:t>
      </w:r>
      <w:bookmarkEnd w:id="1014"/>
      <w:bookmarkEnd w:id="1015"/>
      <w:bookmarkEnd w:id="101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680"/>
        <w:gridCol w:w="2270"/>
        <w:gridCol w:w="2630"/>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234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期末未终止确认金额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336,311,505.51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470,922,883.22</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336,311,505.51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470,922,883.22</w:t>
            </w:r>
          </w:p>
        </w:tc>
      </w:tr>
    </w:tbl>
    <w:p>
      <w:pPr>
        <w:pStyle w:val="Style26"/>
        <w:keepNext w:val="0"/>
        <w:keepLines w:val="0"/>
        <w:widowControl w:val="0"/>
        <w:shd w:val="clear" w:color="auto" w:fill="auto"/>
        <w:bidi w:val="0"/>
        <w:spacing w:before="0" w:after="0" w:line="240" w:lineRule="auto"/>
        <w:ind w:left="96" w:right="0" w:firstLine="0"/>
        <w:jc w:val="left"/>
        <w:sectPr>
          <w:headerReference w:type="default" r:id="rId41"/>
          <w:footerReference w:type="default" r:id="rId42"/>
          <w:footnotePr>
            <w:pos w:val="pageBottom"/>
            <w:numFmt w:val="decimal"/>
            <w:numRestart w:val="continuous"/>
          </w:footnotePr>
          <w:pgSz w:w="11900" w:h="16840"/>
          <w:pgMar w:top="1393" w:right="979" w:bottom="1355" w:left="990" w:header="0" w:footer="3" w:gutter="0"/>
          <w:cols w:space="720"/>
          <w:noEndnote/>
          <w:rtlGutter w:val="0"/>
          <w:docGrid w:linePitch="360"/>
        </w:sectPr>
      </w:pPr>
      <w:bookmarkStart w:id="1018" w:name="bookmark1018"/>
      <w:r>
        <w:rPr>
          <w:rFonts w:ascii="Times New Roman" w:eastAsia="Times New Roman" w:hAnsi="Times New Roman" w:cs="Times New Roman"/>
          <w:b/>
          <w:bCs/>
          <w:color w:val="000000"/>
          <w:spacing w:val="0"/>
          <w:w w:val="100"/>
          <w:position w:val="0"/>
        </w:rPr>
        <w:t>(4</w:t>
      </w:r>
      <w:r>
        <w:rPr>
          <w:b/>
          <w:bCs/>
          <w:color w:val="000000"/>
          <w:spacing w:val="0"/>
          <w:w w:val="100"/>
          <w:position w:val="0"/>
        </w:rPr>
        <w:t>)期末无因出票人未履约而将其转为应收账款的票据。</w:t>
      </w:r>
      <w:bookmarkEnd w:id="1018"/>
    </w:p>
    <w:p>
      <w:pPr>
        <w:pStyle w:val="Style30"/>
        <w:keepNext/>
        <w:keepLines/>
        <w:widowControl w:val="0"/>
        <w:shd w:val="clear" w:color="auto" w:fill="auto"/>
        <w:bidi w:val="0"/>
        <w:spacing w:before="0" w:after="360" w:line="240" w:lineRule="auto"/>
        <w:ind w:left="0" w:right="0" w:firstLine="0"/>
        <w:jc w:val="left"/>
      </w:pPr>
      <w:bookmarkStart w:id="1019" w:name="bookmark1019"/>
      <w:bookmarkStart w:id="1020" w:name="bookmark1020"/>
      <w:bookmarkStart w:id="1021" w:name="bookmark1021"/>
      <w:bookmarkStart w:id="1022" w:name="bookmark1022"/>
      <w:r>
        <w:rPr>
          <w:rFonts w:ascii="Times New Roman" w:eastAsia="Times New Roman" w:hAnsi="Times New Roman" w:cs="Times New Roman"/>
          <w:color w:val="000000"/>
          <w:spacing w:val="0"/>
          <w:w w:val="100"/>
          <w:position w:val="0"/>
        </w:rPr>
        <w:t>7</w:t>
      </w:r>
      <w:bookmarkEnd w:id="1021"/>
      <w:r>
        <w:rPr>
          <w:color w:val="000000"/>
          <w:spacing w:val="0"/>
          <w:w w:val="100"/>
          <w:position w:val="0"/>
        </w:rPr>
        <w:t>、应收账款</w:t>
      </w:r>
      <w:bookmarkEnd w:id="1019"/>
      <w:bookmarkEnd w:id="1020"/>
      <w:bookmarkEnd w:id="1022"/>
    </w:p>
    <w:p>
      <w:pPr>
        <w:pStyle w:val="Style47"/>
        <w:keepNext/>
        <w:keepLines/>
        <w:widowControl w:val="0"/>
        <w:shd w:val="clear" w:color="auto" w:fill="auto"/>
        <w:bidi w:val="0"/>
        <w:spacing w:before="0" w:line="240" w:lineRule="auto"/>
        <w:ind w:left="0" w:right="0" w:firstLine="0"/>
        <w:jc w:val="left"/>
      </w:pPr>
      <w:r>
        <mc:AlternateContent>
          <mc:Choice Requires="wps">
            <w:drawing>
              <wp:anchor distT="0" distB="0" distL="0" distR="0" simplePos="0" relativeHeight="125829432" behindDoc="0" locked="0" layoutInCell="1" allowOverlap="1">
                <wp:simplePos x="0" y="0"/>
                <wp:positionH relativeFrom="page">
                  <wp:posOffset>1170940</wp:posOffset>
                </wp:positionH>
                <wp:positionV relativeFrom="paragraph">
                  <wp:posOffset>2717800</wp:posOffset>
                </wp:positionV>
                <wp:extent cx="3100070" cy="457200"/>
                <wp:wrapSquare wrapText="bothSides"/>
                <wp:docPr id="132" name="Shape 132"/>
                <a:graphic xmlns:a="http://schemas.openxmlformats.org/drawingml/2006/main">
                  <a:graphicData uri="http://schemas.microsoft.com/office/word/2010/wordprocessingShape">
                    <wps:wsp>
                      <wps:cNvSpPr txBox="1"/>
                      <wps:spPr>
                        <a:xfrm>
                          <a:ext cx="3100070" cy="457200"/>
                        </a:xfrm>
                        <a:prstGeom prst="rect"/>
                        <a:noFill/>
                      </wps:spPr>
                      <wps:txbx>
                        <w:txbxContent>
                          <w:p>
                            <w:pPr>
                              <w:pStyle w:val="Style33"/>
                              <w:keepNext w:val="0"/>
                              <w:keepLines w:val="0"/>
                              <w:widowControl w:val="0"/>
                              <w:shd w:val="clear" w:color="auto" w:fill="auto"/>
                              <w:bidi w:val="0"/>
                              <w:spacing w:before="0" w:after="0" w:line="350" w:lineRule="exact"/>
                              <w:ind w:left="0" w:right="0" w:firstLine="0"/>
                              <w:jc w:val="left"/>
                            </w:pPr>
                            <w:r>
                              <w:rPr>
                                <w:b/>
                                <w:bCs/>
                                <w:color w:val="000000"/>
                                <w:spacing w:val="0"/>
                                <w:w w:val="100"/>
                                <w:position w:val="0"/>
                              </w:rPr>
                              <w:t>期末单项金额重大并单项计提坏账准备的应收账款: 组合中，按账龄分析法计提坏账准备的应收账款：</w:t>
                            </w:r>
                          </w:p>
                        </w:txbxContent>
                      </wps:txbx>
                      <wps:bodyPr lIns="0" tIns="0" rIns="0" bIns="0">
                        <a:noAutoFit/>
                      </wps:bodyPr>
                    </wps:wsp>
                  </a:graphicData>
                </a:graphic>
              </wp:anchor>
            </w:drawing>
          </mc:Choice>
          <mc:Fallback>
            <w:pict>
              <v:shape id="_x0000_s1158" type="#_x0000_t202" style="position:absolute;margin-left:92.200000000000003pt;margin-top:214.pt;width:244.09999999999999pt;height:36.pt;z-index:-125829321;mso-wrap-distance-left:0;mso-wrap-distance-right:0;mso-position-horizontal-relative:page" filled="f" stroked="f">
                <v:textbox inset="0,0,0,0">
                  <w:txbxContent>
                    <w:p>
                      <w:pPr>
                        <w:pStyle w:val="Style33"/>
                        <w:keepNext w:val="0"/>
                        <w:keepLines w:val="0"/>
                        <w:widowControl w:val="0"/>
                        <w:shd w:val="clear" w:color="auto" w:fill="auto"/>
                        <w:bidi w:val="0"/>
                        <w:spacing w:before="0" w:after="0" w:line="350" w:lineRule="exact"/>
                        <w:ind w:left="0" w:right="0" w:firstLine="0"/>
                        <w:jc w:val="left"/>
                      </w:pPr>
                      <w:r>
                        <w:rPr>
                          <w:b/>
                          <w:bCs/>
                          <w:color w:val="000000"/>
                          <w:spacing w:val="0"/>
                          <w:w w:val="100"/>
                          <w:position w:val="0"/>
                        </w:rPr>
                        <w:t>期末单项金额重大并单项计提坏账准备的应收账款: 组合中，按账龄分析法计提坏账准备的应收账款：</w:t>
                      </w:r>
                    </w:p>
                  </w:txbxContent>
                </v:textbox>
                <w10:wrap type="square" anchorx="page"/>
              </v:shape>
            </w:pict>
          </mc:Fallback>
        </mc:AlternateContent>
      </w:r>
      <w:bookmarkStart w:id="1023" w:name="bookmark1023"/>
      <w:bookmarkStart w:id="1024" w:name="bookmark1024"/>
      <w:bookmarkStart w:id="1025" w:name="bookmark1025"/>
      <w:bookmarkStart w:id="1026" w:name="bookmark1026"/>
      <w:r>
        <w:rPr>
          <w:color w:val="000000"/>
          <w:spacing w:val="0"/>
          <w:w w:val="100"/>
          <w:position w:val="0"/>
        </w:rPr>
        <w:t>（</w:t>
      </w:r>
      <w:bookmarkEnd w:id="1025"/>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023"/>
      <w:bookmarkEnd w:id="1024"/>
      <w:bookmarkEnd w:id="1026"/>
    </w:p>
    <w:tbl>
      <w:tblPr>
        <w:tblOverlap w:val="never"/>
        <w:jc w:val="left"/>
        <w:tblLayout w:type="fixed"/>
      </w:tblPr>
      <w:tblGrid>
        <w:gridCol w:w="2419"/>
        <w:gridCol w:w="1560"/>
        <w:gridCol w:w="850"/>
        <w:gridCol w:w="1277"/>
        <w:gridCol w:w="706"/>
        <w:gridCol w:w="1421"/>
        <w:gridCol w:w="1416"/>
        <w:gridCol w:w="850"/>
        <w:gridCol w:w="1277"/>
        <w:gridCol w:w="706"/>
        <w:gridCol w:w="1430"/>
      </w:tblGrid>
      <w:tr>
        <w:trPr>
          <w:trHeight w:val="403" w:hRule="exact"/>
        </w:trPr>
        <w:tc>
          <w:tcPr>
            <w:vMerge w:val="restart"/>
            <w:tcBorders>
              <w:top w:val="single" w:sz="4"/>
              <w:left w:val="single" w:sz="4"/>
            </w:tcBorders>
            <w:shd w:val="clear" w:color="auto" w:fill="D3D3D3"/>
            <w:vAlign w:val="center"/>
          </w:tcPr>
          <w:p>
            <w:pPr>
              <w:pStyle w:val="Style20"/>
              <w:keepNext w:val="0"/>
              <w:keepLines w:val="0"/>
              <w:framePr w:w="13910" w:h="3360" w:vSpace="322" w:wrap="notBeside" w:vAnchor="text" w:hAnchor="text" w:x="6" w:y="323"/>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0"/>
              <w:keepNext w:val="0"/>
              <w:keepLines w:val="0"/>
              <w:framePr w:w="13910" w:h="3360" w:vSpace="322" w:wrap="notBeside" w:vAnchor="text" w:hAnchor="text" w:x="6" w:y="323"/>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0"/>
              <w:keepNext w:val="0"/>
              <w:keepLines w:val="0"/>
              <w:framePr w:w="13910" w:h="3360" w:vSpace="322" w:wrap="notBeside" w:vAnchor="text" w:hAnchor="text" w:x="6" w:y="323"/>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framePr w:w="13910" w:h="3360" w:vSpace="322" w:wrap="notBeside" w:vAnchor="text" w:hAnchor="text" w:x="6" w:y="323"/>
            </w:pPr>
          </w:p>
        </w:tc>
        <w:tc>
          <w:tcPr>
            <w:gridSpan w:val="2"/>
            <w:tcBorders>
              <w:top w:val="single" w:sz="4"/>
              <w:left w:val="single" w:sz="4"/>
            </w:tcBorders>
            <w:shd w:val="clear" w:color="auto" w:fill="D3D3D3"/>
            <w:vAlign w:val="center"/>
          </w:tcPr>
          <w:p>
            <w:pPr>
              <w:pStyle w:val="Style20"/>
              <w:keepNext w:val="0"/>
              <w:keepLines w:val="0"/>
              <w:framePr w:w="13910" w:h="3360" w:vSpace="322" w:wrap="notBeside" w:vAnchor="text" w:hAnchor="text" w:x="6" w:y="323"/>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0"/>
              <w:keepNext w:val="0"/>
              <w:keepLines w:val="0"/>
              <w:framePr w:w="13910" w:h="3360" w:vSpace="322" w:wrap="notBeside" w:vAnchor="text" w:hAnchor="text" w:x="6" w:y="323"/>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0"/>
              <w:keepNext w:val="0"/>
              <w:keepLines w:val="0"/>
              <w:framePr w:w="13910" w:h="3360" w:vSpace="322" w:wrap="notBeside" w:vAnchor="text" w:hAnchor="text" w:x="6" w:y="323"/>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0"/>
              <w:keepNext w:val="0"/>
              <w:keepLines w:val="0"/>
              <w:framePr w:w="13910" w:h="3360" w:vSpace="322" w:wrap="notBeside" w:vAnchor="text" w:hAnchor="text" w:x="6" w:y="323"/>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0"/>
              <w:keepNext w:val="0"/>
              <w:keepLines w:val="0"/>
              <w:framePr w:w="13910" w:h="3360" w:vSpace="322" w:wrap="notBeside" w:vAnchor="text" w:hAnchor="text" w:x="6" w:y="323"/>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0"/>
              <w:keepNext w:val="0"/>
              <w:keepLines w:val="0"/>
              <w:framePr w:w="13910" w:h="3360" w:vSpace="322" w:wrap="notBeside" w:vAnchor="text" w:hAnchor="text" w:x="6" w:y="323"/>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framePr w:w="13910" w:h="3360" w:vSpace="322" w:wrap="notBeside" w:vAnchor="text" w:hAnchor="text" w:x="6" w:y="323"/>
            </w:pPr>
          </w:p>
        </w:tc>
        <w:tc>
          <w:tcPr>
            <w:tcBorders>
              <w:top w:val="single" w:sz="4"/>
              <w:left w:val="single" w:sz="4"/>
            </w:tcBorders>
            <w:shd w:val="clear" w:color="auto" w:fill="D3D3D3"/>
            <w:vAlign w:val="center"/>
          </w:tcPr>
          <w:p>
            <w:pPr>
              <w:pStyle w:val="Style20"/>
              <w:keepNext w:val="0"/>
              <w:keepLines w:val="0"/>
              <w:framePr w:w="13910" w:h="3360" w:vSpace="322" w:wrap="notBeside" w:vAnchor="text" w:hAnchor="text" w:x="6" w:y="323"/>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framePr w:w="13910" w:h="3360" w:vSpace="322" w:wrap="notBeside" w:vAnchor="text" w:hAnchor="text" w:x="6" w:y="323"/>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0"/>
              <w:keepNext w:val="0"/>
              <w:keepLines w:val="0"/>
              <w:framePr w:w="13910" w:h="3360" w:vSpace="322" w:wrap="notBeside" w:vAnchor="text" w:hAnchor="text" w:x="6" w:y="323"/>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framePr w:w="13910" w:h="3360" w:vSpace="322" w:wrap="notBeside" w:vAnchor="text" w:hAnchor="text" w:x="6" w:y="323"/>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framePr w:w="13910" w:h="3360" w:vSpace="322" w:wrap="notBeside" w:vAnchor="text" w:hAnchor="text" w:x="6" w:y="323"/>
            </w:pPr>
          </w:p>
        </w:tc>
        <w:tc>
          <w:tcPr>
            <w:tcBorders>
              <w:top w:val="single" w:sz="4"/>
              <w:left w:val="single" w:sz="4"/>
            </w:tcBorders>
            <w:shd w:val="clear" w:color="auto" w:fill="D3D3D3"/>
            <w:vAlign w:val="center"/>
          </w:tcPr>
          <w:p>
            <w:pPr>
              <w:pStyle w:val="Style20"/>
              <w:keepNext w:val="0"/>
              <w:keepLines w:val="0"/>
              <w:framePr w:w="13910" w:h="3360" w:vSpace="322" w:wrap="notBeside" w:vAnchor="text" w:hAnchor="text" w:x="6" w:y="323"/>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framePr w:w="13910" w:h="3360" w:vSpace="322" w:wrap="notBeside" w:vAnchor="text" w:hAnchor="text" w:x="6" w:y="323"/>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0"/>
              <w:keepNext w:val="0"/>
              <w:keepLines w:val="0"/>
              <w:framePr w:w="13910" w:h="3360" w:vSpace="322" w:wrap="notBeside" w:vAnchor="text" w:hAnchor="text" w:x="6" w:y="323"/>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framePr w:w="13910" w:h="3360" w:vSpace="322" w:wrap="notBeside" w:vAnchor="text" w:hAnchor="text" w:x="6" w:y="323"/>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3D3D3"/>
            <w:vAlign w:val="center"/>
          </w:tcPr>
          <w:p>
            <w:pPr>
              <w:framePr w:w="13910" w:h="3360" w:vSpace="322" w:wrap="notBeside" w:vAnchor="text" w:hAnchor="text" w:x="6" w:y="323"/>
            </w:pPr>
          </w:p>
        </w:tc>
      </w:tr>
      <w:tr>
        <w:trPr>
          <w:trHeight w:val="715" w:hRule="exact"/>
        </w:trPr>
        <w:tc>
          <w:tcPr>
            <w:tcBorders>
              <w:top w:val="single" w:sz="4"/>
              <w:left w:val="single" w:sz="4"/>
            </w:tcBorders>
            <w:shd w:val="clear" w:color="auto" w:fill="D3D3D3"/>
            <w:vAlign w:val="center"/>
          </w:tcPr>
          <w:p>
            <w:pPr>
              <w:pStyle w:val="Style20"/>
              <w:keepNext w:val="0"/>
              <w:keepLines w:val="0"/>
              <w:framePr w:w="13910" w:h="3360" w:vSpace="322" w:wrap="notBeside" w:vAnchor="text" w:hAnchor="text" w:x="6" w:y="323"/>
              <w:widowControl w:val="0"/>
              <w:shd w:val="clear" w:color="auto" w:fill="auto"/>
              <w:bidi w:val="0"/>
              <w:spacing w:before="0" w:after="0" w:line="307" w:lineRule="exact"/>
              <w:ind w:left="0" w:right="0" w:firstLine="0"/>
              <w:jc w:val="left"/>
            </w:pPr>
            <w:r>
              <w:rPr>
                <w:color w:val="000000"/>
                <w:spacing w:val="0"/>
                <w:w w:val="100"/>
                <w:position w:val="0"/>
              </w:rPr>
              <w:t>单项金额重大并单独计提 坏账准备的应收账款</w:t>
            </w:r>
          </w:p>
        </w:tc>
        <w:tc>
          <w:tcPr>
            <w:tcBorders>
              <w:top w:val="single" w:sz="4"/>
              <w:left w:val="single" w:sz="4"/>
            </w:tcBorders>
            <w:shd w:val="clear" w:color="auto" w:fill="FFFFFF"/>
            <w:vAlign w:val="center"/>
          </w:tcPr>
          <w:p>
            <w:pPr>
              <w:pStyle w:val="Style20"/>
              <w:keepNext w:val="0"/>
              <w:keepLines w:val="0"/>
              <w:framePr w:w="13910" w:h="3360" w:vSpace="322" w:wrap="notBeside" w:vAnchor="text" w:hAnchor="text" w:x="6" w:y="323"/>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256,623,181.62</w:t>
            </w:r>
          </w:p>
        </w:tc>
        <w:tc>
          <w:tcPr>
            <w:tcBorders>
              <w:top w:val="single" w:sz="4"/>
              <w:left w:val="single" w:sz="4"/>
            </w:tcBorders>
            <w:shd w:val="clear" w:color="auto" w:fill="FFFFFF"/>
            <w:vAlign w:val="center"/>
          </w:tcPr>
          <w:p>
            <w:pPr>
              <w:pStyle w:val="Style20"/>
              <w:keepNext w:val="0"/>
              <w:keepLines w:val="0"/>
              <w:framePr w:w="13910" w:h="3360" w:vSpace="322" w:wrap="notBeside" w:vAnchor="text" w:hAnchor="text" w:x="6" w:y="323"/>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52.79%</w:t>
            </w:r>
          </w:p>
        </w:tc>
        <w:tc>
          <w:tcPr>
            <w:tcBorders>
              <w:top w:val="single" w:sz="4"/>
              <w:left w:val="single" w:sz="4"/>
            </w:tcBorders>
            <w:shd w:val="clear" w:color="auto" w:fill="FFFFFF"/>
            <w:vAlign w:val="top"/>
          </w:tcPr>
          <w:p>
            <w:pPr>
              <w:framePr w:w="13910" w:h="3360" w:vSpace="322" w:wrap="notBeside" w:vAnchor="text" w:hAnchor="text" w:x="6" w:y="323"/>
              <w:widowControl w:val="0"/>
              <w:rPr>
                <w:sz w:val="10"/>
                <w:szCs w:val="10"/>
              </w:rPr>
            </w:pPr>
          </w:p>
        </w:tc>
        <w:tc>
          <w:tcPr>
            <w:tcBorders>
              <w:top w:val="single" w:sz="4"/>
              <w:left w:val="single" w:sz="4"/>
            </w:tcBorders>
            <w:shd w:val="clear" w:color="auto" w:fill="FFFFFF"/>
            <w:vAlign w:val="top"/>
          </w:tcPr>
          <w:p>
            <w:pPr>
              <w:framePr w:w="13910" w:h="3360" w:vSpace="322" w:wrap="notBeside" w:vAnchor="text" w:hAnchor="text" w:x="6" w:y="323"/>
              <w:widowControl w:val="0"/>
              <w:rPr>
                <w:sz w:val="10"/>
                <w:szCs w:val="10"/>
              </w:rPr>
            </w:pPr>
          </w:p>
        </w:tc>
        <w:tc>
          <w:tcPr>
            <w:tcBorders>
              <w:top w:val="single" w:sz="4"/>
              <w:left w:val="single" w:sz="4"/>
            </w:tcBorders>
            <w:shd w:val="clear" w:color="auto" w:fill="FFFFFF"/>
            <w:vAlign w:val="center"/>
          </w:tcPr>
          <w:p>
            <w:pPr>
              <w:pStyle w:val="Style20"/>
              <w:keepNext w:val="0"/>
              <w:keepLines w:val="0"/>
              <w:framePr w:w="13910" w:h="3360" w:vSpace="322" w:wrap="notBeside" w:vAnchor="text" w:hAnchor="text" w:x="6" w:y="323"/>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256,623,181.62</w:t>
            </w:r>
          </w:p>
        </w:tc>
        <w:tc>
          <w:tcPr>
            <w:tcBorders>
              <w:top w:val="single" w:sz="4"/>
              <w:left w:val="single" w:sz="4"/>
            </w:tcBorders>
            <w:shd w:val="clear" w:color="auto" w:fill="FFFFFF"/>
            <w:vAlign w:val="top"/>
          </w:tcPr>
          <w:p>
            <w:pPr>
              <w:framePr w:w="13910" w:h="3360" w:vSpace="322" w:wrap="notBeside" w:vAnchor="text" w:hAnchor="text" w:x="6" w:y="323"/>
              <w:widowControl w:val="0"/>
              <w:rPr>
                <w:sz w:val="10"/>
                <w:szCs w:val="10"/>
              </w:rPr>
            </w:pPr>
          </w:p>
        </w:tc>
        <w:tc>
          <w:tcPr>
            <w:tcBorders>
              <w:top w:val="single" w:sz="4"/>
              <w:left w:val="single" w:sz="4"/>
            </w:tcBorders>
            <w:shd w:val="clear" w:color="auto" w:fill="FFFFFF"/>
            <w:vAlign w:val="top"/>
          </w:tcPr>
          <w:p>
            <w:pPr>
              <w:framePr w:w="13910" w:h="3360" w:vSpace="322" w:wrap="notBeside" w:vAnchor="text" w:hAnchor="text" w:x="6" w:y="323"/>
              <w:widowControl w:val="0"/>
              <w:rPr>
                <w:sz w:val="10"/>
                <w:szCs w:val="10"/>
              </w:rPr>
            </w:pPr>
          </w:p>
        </w:tc>
        <w:tc>
          <w:tcPr>
            <w:tcBorders>
              <w:top w:val="single" w:sz="4"/>
              <w:left w:val="single" w:sz="4"/>
            </w:tcBorders>
            <w:shd w:val="clear" w:color="auto" w:fill="FFFFFF"/>
            <w:vAlign w:val="top"/>
          </w:tcPr>
          <w:p>
            <w:pPr>
              <w:framePr w:w="13910" w:h="3360" w:vSpace="322" w:wrap="notBeside" w:vAnchor="text" w:hAnchor="text" w:x="6" w:y="323"/>
              <w:widowControl w:val="0"/>
              <w:rPr>
                <w:sz w:val="10"/>
                <w:szCs w:val="10"/>
              </w:rPr>
            </w:pPr>
          </w:p>
        </w:tc>
        <w:tc>
          <w:tcPr>
            <w:tcBorders>
              <w:top w:val="single" w:sz="4"/>
              <w:left w:val="single" w:sz="4"/>
            </w:tcBorders>
            <w:shd w:val="clear" w:color="auto" w:fill="FFFFFF"/>
            <w:vAlign w:val="top"/>
          </w:tcPr>
          <w:p>
            <w:pPr>
              <w:framePr w:w="13910" w:h="3360" w:vSpace="322" w:wrap="notBeside" w:vAnchor="text" w:hAnchor="text" w:x="6" w:y="323"/>
              <w:widowControl w:val="0"/>
              <w:rPr>
                <w:sz w:val="10"/>
                <w:szCs w:val="10"/>
              </w:rPr>
            </w:pPr>
          </w:p>
        </w:tc>
        <w:tc>
          <w:tcPr>
            <w:tcBorders>
              <w:top w:val="single" w:sz="4"/>
              <w:left w:val="single" w:sz="4"/>
              <w:right w:val="single" w:sz="4"/>
            </w:tcBorders>
            <w:shd w:val="clear" w:color="auto" w:fill="FFFFFF"/>
            <w:vAlign w:val="top"/>
          </w:tcPr>
          <w:p>
            <w:pPr>
              <w:framePr w:w="13910" w:h="3360" w:vSpace="322" w:wrap="notBeside" w:vAnchor="text" w:hAnchor="text" w:x="6" w:y="323"/>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framePr w:w="13910" w:h="3360" w:vSpace="322" w:wrap="notBeside" w:vAnchor="text" w:hAnchor="text" w:x="6" w:y="323"/>
              <w:widowControl w:val="0"/>
              <w:shd w:val="clear" w:color="auto" w:fill="auto"/>
              <w:bidi w:val="0"/>
              <w:spacing w:before="0" w:after="0" w:line="307" w:lineRule="exact"/>
              <w:ind w:left="0" w:right="0" w:firstLine="0"/>
              <w:jc w:val="left"/>
            </w:pPr>
            <w:r>
              <w:rPr>
                <w:color w:val="000000"/>
                <w:spacing w:val="0"/>
                <w:w w:val="100"/>
                <w:position w:val="0"/>
              </w:rPr>
              <w:t>按信用风险特征组合计提 坏账准备的应收账款</w:t>
            </w:r>
          </w:p>
        </w:tc>
        <w:tc>
          <w:tcPr>
            <w:tcBorders>
              <w:top w:val="single" w:sz="4"/>
              <w:left w:val="single" w:sz="4"/>
            </w:tcBorders>
            <w:shd w:val="clear" w:color="auto" w:fill="FFFFFF"/>
            <w:vAlign w:val="center"/>
          </w:tcPr>
          <w:p>
            <w:pPr>
              <w:pStyle w:val="Style20"/>
              <w:keepNext w:val="0"/>
              <w:keepLines w:val="0"/>
              <w:framePr w:w="13910" w:h="3360" w:vSpace="322" w:wrap="notBeside" w:vAnchor="text" w:hAnchor="text" w:x="6" w:y="323"/>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229,482,462.16</w:t>
            </w:r>
          </w:p>
        </w:tc>
        <w:tc>
          <w:tcPr>
            <w:tcBorders>
              <w:top w:val="single" w:sz="4"/>
              <w:left w:val="single" w:sz="4"/>
            </w:tcBorders>
            <w:shd w:val="clear" w:color="auto" w:fill="FFFFFF"/>
            <w:vAlign w:val="center"/>
          </w:tcPr>
          <w:p>
            <w:pPr>
              <w:pStyle w:val="Style20"/>
              <w:keepNext w:val="0"/>
              <w:keepLines w:val="0"/>
              <w:framePr w:w="13910" w:h="3360" w:vSpace="322" w:wrap="notBeside" w:vAnchor="text" w:hAnchor="text" w:x="6" w:y="323"/>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47.21%</w:t>
            </w:r>
          </w:p>
        </w:tc>
        <w:tc>
          <w:tcPr>
            <w:tcBorders>
              <w:top w:val="single" w:sz="4"/>
              <w:left w:val="single" w:sz="4"/>
            </w:tcBorders>
            <w:shd w:val="clear" w:color="auto" w:fill="FFFFFF"/>
            <w:vAlign w:val="center"/>
          </w:tcPr>
          <w:p>
            <w:pPr>
              <w:pStyle w:val="Style20"/>
              <w:keepNext w:val="0"/>
              <w:keepLines w:val="0"/>
              <w:framePr w:w="13910" w:h="3360" w:vSpace="322" w:wrap="notBeside" w:vAnchor="text" w:hAnchor="text" w:x="6" w:y="323"/>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3,235,026.42</w:t>
            </w:r>
          </w:p>
        </w:tc>
        <w:tc>
          <w:tcPr>
            <w:tcBorders>
              <w:top w:val="single" w:sz="4"/>
              <w:left w:val="single" w:sz="4"/>
            </w:tcBorders>
            <w:shd w:val="clear" w:color="auto" w:fill="FFFFFF"/>
            <w:vAlign w:val="center"/>
          </w:tcPr>
          <w:p>
            <w:pPr>
              <w:pStyle w:val="Style20"/>
              <w:keepNext w:val="0"/>
              <w:keepLines w:val="0"/>
              <w:framePr w:w="13910" w:h="3360" w:vSpace="322" w:wrap="notBeside" w:vAnchor="text" w:hAnchor="text" w:x="6" w:y="323"/>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1.41%</w:t>
            </w:r>
          </w:p>
        </w:tc>
        <w:tc>
          <w:tcPr>
            <w:tcBorders>
              <w:top w:val="single" w:sz="4"/>
              <w:left w:val="single" w:sz="4"/>
            </w:tcBorders>
            <w:shd w:val="clear" w:color="auto" w:fill="FFFFFF"/>
            <w:vAlign w:val="center"/>
          </w:tcPr>
          <w:p>
            <w:pPr>
              <w:pStyle w:val="Style20"/>
              <w:keepNext w:val="0"/>
              <w:keepLines w:val="0"/>
              <w:framePr w:w="13910" w:h="3360" w:vSpace="322" w:wrap="notBeside" w:vAnchor="text" w:hAnchor="text" w:x="6" w:y="323"/>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226,247,435.74</w:t>
            </w:r>
          </w:p>
        </w:tc>
        <w:tc>
          <w:tcPr>
            <w:tcBorders>
              <w:top w:val="single" w:sz="4"/>
              <w:left w:val="single" w:sz="4"/>
            </w:tcBorders>
            <w:shd w:val="clear" w:color="auto" w:fill="FFFFFF"/>
            <w:vAlign w:val="center"/>
          </w:tcPr>
          <w:p>
            <w:pPr>
              <w:pStyle w:val="Style20"/>
              <w:keepNext w:val="0"/>
              <w:keepLines w:val="0"/>
              <w:framePr w:w="13910" w:h="3360" w:vSpace="322" w:wrap="notBeside" w:vAnchor="text" w:hAnchor="text" w:x="6" w:y="323"/>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299,277,548.08</w:t>
            </w:r>
          </w:p>
        </w:tc>
        <w:tc>
          <w:tcPr>
            <w:tcBorders>
              <w:top w:val="single" w:sz="4"/>
              <w:left w:val="single" w:sz="4"/>
            </w:tcBorders>
            <w:shd w:val="clear" w:color="auto" w:fill="FFFFFF"/>
            <w:vAlign w:val="center"/>
          </w:tcPr>
          <w:p>
            <w:pPr>
              <w:pStyle w:val="Style20"/>
              <w:keepNext w:val="0"/>
              <w:keepLines w:val="0"/>
              <w:framePr w:w="13910" w:h="3360" w:vSpace="322" w:wrap="notBeside" w:vAnchor="text" w:hAnchor="text" w:x="6" w:y="323"/>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framePr w:w="13910" w:h="3360" w:vSpace="322" w:wrap="notBeside" w:vAnchor="text" w:hAnchor="text" w:x="6" w:y="323"/>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1,095,890.31</w:t>
            </w:r>
          </w:p>
        </w:tc>
        <w:tc>
          <w:tcPr>
            <w:tcBorders>
              <w:top w:val="single" w:sz="4"/>
              <w:left w:val="single" w:sz="4"/>
            </w:tcBorders>
            <w:shd w:val="clear" w:color="auto" w:fill="FFFFFF"/>
            <w:vAlign w:val="center"/>
          </w:tcPr>
          <w:p>
            <w:pPr>
              <w:pStyle w:val="Style20"/>
              <w:keepNext w:val="0"/>
              <w:keepLines w:val="0"/>
              <w:framePr w:w="13910" w:h="3360" w:vSpace="322" w:wrap="notBeside" w:vAnchor="text" w:hAnchor="text" w:x="6" w:y="323"/>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0.37%</w:t>
            </w:r>
          </w:p>
        </w:tc>
        <w:tc>
          <w:tcPr>
            <w:tcBorders>
              <w:top w:val="single" w:sz="4"/>
              <w:left w:val="single" w:sz="4"/>
              <w:right w:val="single" w:sz="4"/>
            </w:tcBorders>
            <w:shd w:val="clear" w:color="auto" w:fill="FFFFFF"/>
            <w:vAlign w:val="center"/>
          </w:tcPr>
          <w:p>
            <w:pPr>
              <w:pStyle w:val="Style20"/>
              <w:keepNext w:val="0"/>
              <w:keepLines w:val="0"/>
              <w:framePr w:w="13910" w:h="3360" w:vSpace="322" w:wrap="notBeside" w:vAnchor="text" w:hAnchor="text" w:x="6" w:y="323"/>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298,181,657.77</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framePr w:w="13910" w:h="3360" w:vSpace="322" w:wrap="notBeside" w:vAnchor="text" w:hAnchor="text" w:x="6" w:y="323"/>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framePr w:w="13910" w:h="3360" w:vSpace="322" w:wrap="notBeside" w:vAnchor="text" w:hAnchor="text" w:x="6" w:y="323"/>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486,105,643.78</w:t>
            </w:r>
          </w:p>
        </w:tc>
        <w:tc>
          <w:tcPr>
            <w:tcBorders>
              <w:top w:val="single" w:sz="4"/>
              <w:left w:val="single" w:sz="4"/>
              <w:bottom w:val="single" w:sz="4"/>
            </w:tcBorders>
            <w:shd w:val="clear" w:color="auto" w:fill="FFFFFF"/>
            <w:vAlign w:val="center"/>
          </w:tcPr>
          <w:p>
            <w:pPr>
              <w:pStyle w:val="Style20"/>
              <w:keepNext w:val="0"/>
              <w:keepLines w:val="0"/>
              <w:framePr w:w="13910" w:h="3360" w:vSpace="322" w:wrap="notBeside" w:vAnchor="text" w:hAnchor="text" w:x="6" w:y="323"/>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0"/>
              <w:keepNext w:val="0"/>
              <w:keepLines w:val="0"/>
              <w:framePr w:w="13910" w:h="3360" w:vSpace="322" w:wrap="notBeside" w:vAnchor="text" w:hAnchor="text" w:x="6" w:y="323"/>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3,235,026.42</w:t>
            </w:r>
          </w:p>
        </w:tc>
        <w:tc>
          <w:tcPr>
            <w:tcBorders>
              <w:top w:val="single" w:sz="4"/>
              <w:left w:val="single" w:sz="4"/>
              <w:bottom w:val="single" w:sz="4"/>
            </w:tcBorders>
            <w:shd w:val="clear" w:color="auto" w:fill="FFFFFF"/>
            <w:vAlign w:val="center"/>
          </w:tcPr>
          <w:p>
            <w:pPr>
              <w:pStyle w:val="Style20"/>
              <w:keepNext w:val="0"/>
              <w:keepLines w:val="0"/>
              <w:framePr w:w="13910" w:h="3360" w:vSpace="322" w:wrap="notBeside" w:vAnchor="text" w:hAnchor="text" w:x="6" w:y="323"/>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0.67%</w:t>
            </w:r>
          </w:p>
        </w:tc>
        <w:tc>
          <w:tcPr>
            <w:tcBorders>
              <w:top w:val="single" w:sz="4"/>
              <w:left w:val="single" w:sz="4"/>
              <w:bottom w:val="single" w:sz="4"/>
            </w:tcBorders>
            <w:shd w:val="clear" w:color="auto" w:fill="FFFFFF"/>
            <w:vAlign w:val="center"/>
          </w:tcPr>
          <w:p>
            <w:pPr>
              <w:pStyle w:val="Style20"/>
              <w:keepNext w:val="0"/>
              <w:keepLines w:val="0"/>
              <w:framePr w:w="13910" w:h="3360" w:vSpace="322" w:wrap="notBeside" w:vAnchor="text" w:hAnchor="text" w:x="6" w:y="323"/>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482,870,617.36</w:t>
            </w:r>
          </w:p>
        </w:tc>
        <w:tc>
          <w:tcPr>
            <w:tcBorders>
              <w:top w:val="single" w:sz="4"/>
              <w:left w:val="single" w:sz="4"/>
              <w:bottom w:val="single" w:sz="4"/>
            </w:tcBorders>
            <w:shd w:val="clear" w:color="auto" w:fill="FFFFFF"/>
            <w:vAlign w:val="center"/>
          </w:tcPr>
          <w:p>
            <w:pPr>
              <w:pStyle w:val="Style20"/>
              <w:keepNext w:val="0"/>
              <w:keepLines w:val="0"/>
              <w:framePr w:w="13910" w:h="3360" w:vSpace="322" w:wrap="notBeside" w:vAnchor="text" w:hAnchor="text" w:x="6" w:y="323"/>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299,277,548.08</w:t>
            </w:r>
          </w:p>
        </w:tc>
        <w:tc>
          <w:tcPr>
            <w:tcBorders>
              <w:top w:val="single" w:sz="4"/>
              <w:left w:val="single" w:sz="4"/>
              <w:bottom w:val="single" w:sz="4"/>
            </w:tcBorders>
            <w:shd w:val="clear" w:color="auto" w:fill="FFFFFF"/>
            <w:vAlign w:val="center"/>
          </w:tcPr>
          <w:p>
            <w:pPr>
              <w:pStyle w:val="Style20"/>
              <w:keepNext w:val="0"/>
              <w:keepLines w:val="0"/>
              <w:framePr w:w="13910" w:h="3360" w:vSpace="322" w:wrap="notBeside" w:vAnchor="text" w:hAnchor="text" w:x="6" w:y="323"/>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0"/>
              <w:keepNext w:val="0"/>
              <w:keepLines w:val="0"/>
              <w:framePr w:w="13910" w:h="3360" w:vSpace="322" w:wrap="notBeside" w:vAnchor="text" w:hAnchor="text" w:x="6" w:y="323"/>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1,095,890.31</w:t>
            </w:r>
          </w:p>
        </w:tc>
        <w:tc>
          <w:tcPr>
            <w:tcBorders>
              <w:top w:val="single" w:sz="4"/>
              <w:left w:val="single" w:sz="4"/>
              <w:bottom w:val="single" w:sz="4"/>
            </w:tcBorders>
            <w:shd w:val="clear" w:color="auto" w:fill="FFFFFF"/>
            <w:vAlign w:val="center"/>
          </w:tcPr>
          <w:p>
            <w:pPr>
              <w:pStyle w:val="Style20"/>
              <w:keepNext w:val="0"/>
              <w:keepLines w:val="0"/>
              <w:framePr w:w="13910" w:h="3360" w:vSpace="322" w:wrap="notBeside" w:vAnchor="text" w:hAnchor="text" w:x="6" w:y="323"/>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0.37%</w:t>
            </w:r>
          </w:p>
        </w:tc>
        <w:tc>
          <w:tcPr>
            <w:tcBorders>
              <w:top w:val="single" w:sz="4"/>
              <w:left w:val="single" w:sz="4"/>
              <w:bottom w:val="single" w:sz="4"/>
              <w:right w:val="single" w:sz="4"/>
            </w:tcBorders>
            <w:shd w:val="clear" w:color="auto" w:fill="FFFFFF"/>
            <w:vAlign w:val="center"/>
          </w:tcPr>
          <w:p>
            <w:pPr>
              <w:pStyle w:val="Style20"/>
              <w:keepNext w:val="0"/>
              <w:keepLines w:val="0"/>
              <w:framePr w:w="13910" w:h="3360" w:vSpace="322" w:wrap="notBeside" w:vAnchor="text" w:hAnchor="text" w:x="6" w:y="323"/>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298,181,657.77</w:t>
            </w:r>
          </w:p>
        </w:tc>
      </w:tr>
    </w:tbl>
    <w:p>
      <w:pPr>
        <w:pStyle w:val="Style26"/>
        <w:keepNext w:val="0"/>
        <w:keepLines w:val="0"/>
        <w:framePr w:w="984" w:h="259" w:hSpace="5" w:wrap="notBeside" w:vAnchor="text" w:hAnchor="text" w:x="12918" w:y="1"/>
        <w:widowControl w:val="0"/>
        <w:shd w:val="clear" w:color="auto" w:fill="auto"/>
        <w:bidi w:val="0"/>
        <w:spacing w:before="0" w:after="0" w:line="240" w:lineRule="auto"/>
        <w:ind w:left="0" w:right="0" w:firstLine="0"/>
        <w:jc w:val="left"/>
      </w:pPr>
      <w:r>
        <w:rPr>
          <w:color w:val="000000"/>
          <w:spacing w:val="0"/>
          <w:w w:val="100"/>
          <w:position w:val="0"/>
        </w:rPr>
        <w:t>单位：元</w:t>
      </w:r>
    </w:p>
    <w:p>
      <w:pPr>
        <w:pStyle w:val="Style26"/>
        <w:keepNext w:val="0"/>
        <w:keepLines w:val="0"/>
        <w:framePr w:w="1656" w:h="730" w:hSpace="5" w:wrap="notBeside" w:vAnchor="text" w:hAnchor="text" w:x="12241" w:y="3688"/>
        <w:widowControl w:val="0"/>
        <w:shd w:val="clear" w:color="auto" w:fill="auto"/>
        <w:bidi w:val="0"/>
        <w:spacing w:before="0" w:after="0" w:line="355" w:lineRule="exact"/>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 xml:space="preserve">不适用 </w:t>
      </w: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widowControl w:val="0"/>
        <w:spacing w:line="1" w:lineRule="exact"/>
      </w:pPr>
    </w:p>
    <w:p>
      <w:pPr>
        <w:pStyle w:val="Style26"/>
        <w:keepNext w:val="0"/>
        <w:keepLines w:val="0"/>
        <w:widowControl w:val="0"/>
        <w:shd w:val="clear" w:color="auto" w:fill="auto"/>
        <w:tabs>
          <w:tab w:pos="8189" w:val="left"/>
        </w:tabs>
        <w:bidi w:val="0"/>
        <w:spacing w:before="0" w:after="0" w:line="240" w:lineRule="auto"/>
        <w:ind w:left="0" w:right="0" w:firstLine="0"/>
        <w:jc w:val="center"/>
      </w:pPr>
      <w:r>
        <w:rPr>
          <w:color w:val="000000"/>
          <w:spacing w:val="0"/>
          <w:w w:val="100"/>
          <w:position w:val="0"/>
        </w:rPr>
        <w:t>组合</w:t>
      </w:r>
      <w:r>
        <w:rPr>
          <w:rFonts w:ascii="Times New Roman" w:eastAsia="Times New Roman" w:hAnsi="Times New Roman" w:cs="Times New Roman"/>
          <w:color w:val="000000"/>
          <w:spacing w:val="0"/>
          <w:w w:val="100"/>
          <w:position w:val="0"/>
        </w:rPr>
        <w:t>1</w:t>
      </w:r>
      <w:r>
        <w:rPr>
          <w:color w:val="000000"/>
          <w:spacing w:val="0"/>
          <w:w w:val="100"/>
          <w:position w:val="0"/>
        </w:rPr>
        <w:t>中，按账龄分析法计提坏账准备的应收账款（线缆业务）</w:t>
        <w:tab/>
        <w:t>单位：元</w:t>
      </w:r>
    </w:p>
    <w:tbl>
      <w:tblPr>
        <w:tblOverlap w:val="never"/>
        <w:jc w:val="center"/>
        <w:tblLayout w:type="fixed"/>
      </w:tblPr>
      <w:tblGrid>
        <w:gridCol w:w="4402"/>
        <w:gridCol w:w="3403"/>
        <w:gridCol w:w="2976"/>
        <w:gridCol w:w="3130"/>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年以内分项</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个月以内（含</w:t>
            </w:r>
            <w:r>
              <w:rPr>
                <w:rFonts w:ascii="Times New Roman" w:eastAsia="Times New Roman" w:hAnsi="Times New Roman" w:cs="Times New Roman"/>
                <w:color w:val="000000"/>
                <w:spacing w:val="0"/>
                <w:w w:val="100"/>
                <w:position w:val="0"/>
              </w:rPr>
              <w:t>3</w:t>
            </w:r>
            <w:r>
              <w:rPr>
                <w:color w:val="000000"/>
                <w:spacing w:val="0"/>
                <w:w w:val="100"/>
                <w:position w:val="0"/>
              </w:rPr>
              <w:t>个月）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211,613,291.21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个月至</w:t>
            </w:r>
            <w:r>
              <w:rPr>
                <w:rFonts w:ascii="Times New Roman" w:eastAsia="Times New Roman" w:hAnsi="Times New Roman" w:cs="Times New Roman"/>
                <w:color w:val="000000"/>
                <w:spacing w:val="0"/>
                <w:w w:val="100"/>
                <w:position w:val="0"/>
              </w:rPr>
              <w:t>6</w:t>
            </w:r>
            <w:r>
              <w:rPr>
                <w:color w:val="000000"/>
                <w:spacing w:val="0"/>
                <w:w w:val="100"/>
                <w:position w:val="0"/>
              </w:rPr>
              <w:t>个月（含</w:t>
            </w:r>
            <w:r>
              <w:rPr>
                <w:rFonts w:ascii="Times New Roman" w:eastAsia="Times New Roman" w:hAnsi="Times New Roman" w:cs="Times New Roman"/>
                <w:color w:val="000000"/>
                <w:spacing w:val="0"/>
                <w:w w:val="100"/>
                <w:position w:val="0"/>
              </w:rPr>
              <w:t>6</w:t>
            </w:r>
            <w:r>
              <w:rPr>
                <w:color w:val="000000"/>
                <w:spacing w:val="0"/>
                <w:w w:val="100"/>
                <w:position w:val="0"/>
              </w:rPr>
              <w:t>个月）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5,685,379.42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284,268.97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个月至</w:t>
            </w:r>
            <w:r>
              <w:rPr>
                <w:rFonts w:ascii="Times New Roman" w:eastAsia="Times New Roman" w:hAnsi="Times New Roman" w:cs="Times New Roman"/>
                <w:color w:val="000000"/>
                <w:spacing w:val="0"/>
                <w:w w:val="100"/>
                <w:position w:val="0"/>
              </w:rPr>
              <w:t>1</w:t>
            </w:r>
            <w:r>
              <w:rPr>
                <w:color w:val="000000"/>
                <w:spacing w:val="0"/>
                <w:w w:val="100"/>
                <w:position w:val="0"/>
              </w:rPr>
              <w:t>年（含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3,432,571.10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1,716,285.55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1,180,300.45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1,180,300.45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221,911,542.18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3,180,854.97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left"/>
        <w:tblLayout w:type="fixed"/>
      </w:tblPr>
      <w:tblGrid>
        <w:gridCol w:w="2712"/>
        <w:gridCol w:w="2266"/>
        <w:gridCol w:w="1704"/>
        <w:gridCol w:w="1133"/>
        <w:gridCol w:w="1133"/>
        <w:gridCol w:w="1843"/>
        <w:gridCol w:w="3130"/>
      </w:tblGrid>
      <w:tr>
        <w:trPr>
          <w:trHeight w:val="346" w:hRule="exact"/>
        </w:trPr>
        <w:tc>
          <w:tcPr>
            <w:vMerge w:val="restart"/>
            <w:tcBorders>
              <w:top w:val="single" w:sz="4"/>
              <w:left w:val="single" w:sz="4"/>
            </w:tcBorders>
            <w:shd w:val="clear" w:color="auto" w:fill="FFFFFF"/>
            <w:vAlign w:val="center"/>
          </w:tcPr>
          <w:p>
            <w:pPr>
              <w:pStyle w:val="Style20"/>
              <w:keepNext w:val="0"/>
              <w:keepLines w:val="0"/>
              <w:framePr w:w="13920" w:h="2534" w:vSpace="341" w:wrap="notBeside" w:vAnchor="text" w:hAnchor="text" w:y="342"/>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tcBorders>
            <w:shd w:val="clear" w:color="auto" w:fill="FFFFFF"/>
            <w:vAlign w:val="center"/>
          </w:tcPr>
          <w:p>
            <w:pPr>
              <w:pStyle w:val="Style20"/>
              <w:keepNext w:val="0"/>
              <w:keepLines w:val="0"/>
              <w:framePr w:w="13920" w:h="2534" w:vSpace="341" w:wrap="notBeside" w:vAnchor="text" w:hAnchor="text" w:y="342"/>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2016.12.31</w:t>
            </w:r>
          </w:p>
        </w:tc>
        <w:tc>
          <w:tcPr>
            <w:gridSpan w:val="3"/>
            <w:tcBorders>
              <w:top w:val="single" w:sz="4"/>
              <w:left w:val="single" w:sz="4"/>
              <w:right w:val="single" w:sz="4"/>
            </w:tcBorders>
            <w:shd w:val="clear" w:color="auto" w:fill="FFFFFF"/>
            <w:vAlign w:val="center"/>
          </w:tcPr>
          <w:p>
            <w:pPr>
              <w:pStyle w:val="Style20"/>
              <w:keepNext w:val="0"/>
              <w:keepLines w:val="0"/>
              <w:framePr w:w="13920" w:h="2534" w:vSpace="341" w:wrap="notBeside" w:vAnchor="text" w:hAnchor="text" w:y="342"/>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2015.12.31</w:t>
            </w:r>
          </w:p>
        </w:tc>
      </w:tr>
      <w:tr>
        <w:trPr>
          <w:trHeight w:val="341" w:hRule="exact"/>
        </w:trPr>
        <w:tc>
          <w:tcPr>
            <w:vMerge/>
            <w:tcBorders>
              <w:left w:val="single" w:sz="4"/>
            </w:tcBorders>
            <w:shd w:val="clear" w:color="auto" w:fill="FFFFFF"/>
            <w:vAlign w:val="center"/>
          </w:tcPr>
          <w:p>
            <w:pPr>
              <w:framePr w:w="13920" w:h="2534" w:vSpace="341" w:wrap="notBeside" w:vAnchor="text" w:hAnchor="text" w:y="342"/>
            </w:pPr>
          </w:p>
        </w:tc>
        <w:tc>
          <w:tcPr>
            <w:tcBorders>
              <w:top w:val="single" w:sz="4"/>
              <w:left w:val="single" w:sz="4"/>
            </w:tcBorders>
            <w:shd w:val="clear" w:color="auto" w:fill="FFFFFF"/>
            <w:vAlign w:val="center"/>
          </w:tcPr>
          <w:p>
            <w:pPr>
              <w:pStyle w:val="Style20"/>
              <w:keepNext w:val="0"/>
              <w:keepLines w:val="0"/>
              <w:framePr w:w="13920" w:h="2534" w:vSpace="341" w:wrap="notBeside" w:vAnchor="text" w:hAnchor="text" w:y="342"/>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0"/>
              <w:keepNext w:val="0"/>
              <w:keepLines w:val="0"/>
              <w:framePr w:w="13920" w:h="2534" w:vSpace="341" w:wrap="notBeside" w:vAnchor="text" w:hAnchor="text" w:y="342"/>
              <w:widowControl w:val="0"/>
              <w:shd w:val="clear" w:color="auto" w:fill="auto"/>
              <w:bidi w:val="0"/>
              <w:spacing w:before="0" w:after="0" w:line="240" w:lineRule="auto"/>
              <w:ind w:left="0" w:right="0" w:firstLine="42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0"/>
              <w:keepNext w:val="0"/>
              <w:keepLines w:val="0"/>
              <w:framePr w:w="13920" w:h="2534" w:vSpace="341" w:wrap="notBeside" w:vAnchor="text" w:hAnchor="text" w:y="342"/>
              <w:widowControl w:val="0"/>
              <w:shd w:val="clear" w:color="auto" w:fill="auto"/>
              <w:bidi w:val="0"/>
              <w:spacing w:before="0" w:after="0" w:line="240" w:lineRule="auto"/>
              <w:ind w:left="0" w:right="0" w:firstLine="0"/>
              <w:jc w:val="left"/>
            </w:pPr>
            <w:r>
              <w:rPr>
                <w:color w:val="000000"/>
                <w:spacing w:val="0"/>
                <w:w w:val="100"/>
                <w:position w:val="0"/>
              </w:rPr>
              <w:t>计提比例</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framePr w:w="13920" w:h="2534" w:vSpace="341" w:wrap="notBeside" w:vAnchor="text" w:hAnchor="text" w:y="342"/>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0"/>
              <w:keepNext w:val="0"/>
              <w:keepLines w:val="0"/>
              <w:framePr w:w="13920" w:h="2534" w:vSpace="341" w:wrap="notBeside" w:vAnchor="text" w:hAnchor="text" w:y="342"/>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center"/>
          </w:tcPr>
          <w:p>
            <w:pPr>
              <w:pStyle w:val="Style20"/>
              <w:keepNext w:val="0"/>
              <w:keepLines w:val="0"/>
              <w:framePr w:w="13920" w:h="2534" w:vSpace="341" w:wrap="notBeside" w:vAnchor="text" w:hAnchor="text" w:y="342"/>
              <w:widowControl w:val="0"/>
              <w:shd w:val="clear" w:color="auto" w:fill="auto"/>
              <w:bidi w:val="0"/>
              <w:spacing w:before="0" w:after="0" w:line="240" w:lineRule="auto"/>
              <w:ind w:left="0" w:right="0" w:firstLine="0"/>
              <w:jc w:val="center"/>
            </w:pPr>
            <w:r>
              <w:rPr>
                <w:color w:val="000000"/>
                <w:spacing w:val="0"/>
                <w:w w:val="100"/>
                <w:position w:val="0"/>
              </w:rPr>
              <w:t>计提比例</w:t>
            </w:r>
            <w:r>
              <w:rPr>
                <w:color w:val="000000"/>
                <w:spacing w:val="0"/>
                <w:w w:val="100"/>
                <w:position w:val="0"/>
              </w:rPr>
              <w:t>％</w:t>
            </w:r>
          </w:p>
        </w:tc>
      </w:tr>
      <w:tr>
        <w:trPr>
          <w:trHeight w:val="346" w:hRule="exact"/>
        </w:trPr>
        <w:tc>
          <w:tcPr>
            <w:tcBorders>
              <w:top w:val="single" w:sz="4"/>
              <w:left w:val="single" w:sz="4"/>
            </w:tcBorders>
            <w:shd w:val="clear" w:color="auto" w:fill="FFFFFF"/>
            <w:vAlign w:val="center"/>
          </w:tcPr>
          <w:p>
            <w:pPr>
              <w:pStyle w:val="Style20"/>
              <w:keepNext w:val="0"/>
              <w:keepLines w:val="0"/>
              <w:framePr w:w="13920" w:h="2534" w:vSpace="341" w:wrap="notBeside" w:vAnchor="text" w:hAnchor="text" w:y="342"/>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0"/>
              <w:keepNext w:val="0"/>
              <w:keepLines w:val="0"/>
              <w:framePr w:w="13920" w:h="2534" w:vSpace="341" w:wrap="notBeside" w:vAnchor="text" w:hAnchor="text" w:y="342"/>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7,235,431.91</w:t>
            </w:r>
          </w:p>
        </w:tc>
        <w:tc>
          <w:tcPr>
            <w:tcBorders>
              <w:top w:val="single" w:sz="4"/>
              <w:left w:val="single" w:sz="4"/>
            </w:tcBorders>
            <w:shd w:val="clear" w:color="auto" w:fill="FFFFFF"/>
            <w:vAlign w:val="center"/>
          </w:tcPr>
          <w:p>
            <w:pPr>
              <w:pStyle w:val="Style20"/>
              <w:keepNext w:val="0"/>
              <w:keepLines w:val="0"/>
              <w:framePr w:w="13920" w:h="2534" w:vSpace="341" w:wrap="notBeside" w:vAnchor="text" w:hAnchor="text" w:y="342"/>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35,192.94</w:t>
            </w:r>
          </w:p>
        </w:tc>
        <w:tc>
          <w:tcPr>
            <w:tcBorders>
              <w:top w:val="single" w:sz="4"/>
              <w:left w:val="single" w:sz="4"/>
            </w:tcBorders>
            <w:shd w:val="clear" w:color="auto" w:fill="FFFFFF"/>
            <w:vAlign w:val="center"/>
          </w:tcPr>
          <w:p>
            <w:pPr>
              <w:pStyle w:val="Style20"/>
              <w:keepNext w:val="0"/>
              <w:keepLines w:val="0"/>
              <w:framePr w:w="13920" w:h="2534" w:vSpace="341" w:wrap="notBeside" w:vAnchor="text" w:hAnchor="text" w:y="342"/>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0.50</w:t>
            </w:r>
          </w:p>
        </w:tc>
        <w:tc>
          <w:tcPr>
            <w:tcBorders>
              <w:top w:val="single" w:sz="4"/>
              <w:left w:val="single" w:sz="4"/>
            </w:tcBorders>
            <w:shd w:val="clear" w:color="auto" w:fill="FFFFFF"/>
            <w:vAlign w:val="top"/>
          </w:tcPr>
          <w:p>
            <w:pPr>
              <w:framePr w:w="13920" w:h="2534" w:vSpace="341" w:wrap="notBeside" w:vAnchor="text" w:hAnchor="text" w:y="342"/>
              <w:widowControl w:val="0"/>
              <w:rPr>
                <w:sz w:val="10"/>
                <w:szCs w:val="10"/>
              </w:rPr>
            </w:pPr>
          </w:p>
        </w:tc>
        <w:tc>
          <w:tcPr>
            <w:tcBorders>
              <w:top w:val="single" w:sz="4"/>
              <w:left w:val="single" w:sz="4"/>
            </w:tcBorders>
            <w:shd w:val="clear" w:color="auto" w:fill="FFFFFF"/>
            <w:vAlign w:val="top"/>
          </w:tcPr>
          <w:p>
            <w:pPr>
              <w:framePr w:w="13920" w:h="2534" w:vSpace="341" w:wrap="notBeside" w:vAnchor="text" w:hAnchor="text" w:y="342"/>
              <w:widowControl w:val="0"/>
              <w:rPr>
                <w:sz w:val="10"/>
                <w:szCs w:val="10"/>
              </w:rPr>
            </w:pPr>
          </w:p>
        </w:tc>
        <w:tc>
          <w:tcPr>
            <w:tcBorders>
              <w:top w:val="single" w:sz="4"/>
              <w:left w:val="single" w:sz="4"/>
              <w:right w:val="single" w:sz="4"/>
            </w:tcBorders>
            <w:shd w:val="clear" w:color="auto" w:fill="FFFFFF"/>
            <w:vAlign w:val="top"/>
          </w:tcPr>
          <w:p>
            <w:pPr>
              <w:framePr w:w="13920" w:h="2534" w:vSpace="341" w:wrap="notBeside" w:vAnchor="text" w:hAnchor="text" w:y="342"/>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framePr w:w="13920" w:h="2534" w:vSpace="341" w:wrap="notBeside" w:vAnchor="text" w:hAnchor="text" w:y="342"/>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framePr w:w="13920" w:h="2534" w:vSpace="341" w:wrap="notBeside" w:vAnchor="text" w:hAnchor="text" w:y="342"/>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150,913.39</w:t>
            </w:r>
          </w:p>
        </w:tc>
        <w:tc>
          <w:tcPr>
            <w:tcBorders>
              <w:top w:val="single" w:sz="4"/>
              <w:left w:val="single" w:sz="4"/>
            </w:tcBorders>
            <w:shd w:val="clear" w:color="auto" w:fill="FFFFFF"/>
            <w:vAlign w:val="center"/>
          </w:tcPr>
          <w:p>
            <w:pPr>
              <w:pStyle w:val="Style20"/>
              <w:keepNext w:val="0"/>
              <w:keepLines w:val="0"/>
              <w:framePr w:w="13920" w:h="2534" w:vSpace="341" w:wrap="notBeside" w:vAnchor="text" w:hAnchor="text" w:y="342"/>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1,509.14</w:t>
            </w:r>
          </w:p>
        </w:tc>
        <w:tc>
          <w:tcPr>
            <w:tcBorders>
              <w:top w:val="single" w:sz="4"/>
              <w:left w:val="single" w:sz="4"/>
            </w:tcBorders>
            <w:shd w:val="clear" w:color="auto" w:fill="FFFFFF"/>
            <w:vAlign w:val="center"/>
          </w:tcPr>
          <w:p>
            <w:pPr>
              <w:pStyle w:val="Style20"/>
              <w:keepNext w:val="0"/>
              <w:keepLines w:val="0"/>
              <w:framePr w:w="13920" w:h="2534" w:vSpace="341" w:wrap="notBeside" w:vAnchor="text" w:hAnchor="text" w:y="342"/>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framePr w:w="13920" w:h="2534" w:vSpace="341" w:wrap="notBeside" w:vAnchor="text" w:hAnchor="text" w:y="342"/>
              <w:widowControl w:val="0"/>
              <w:rPr>
                <w:sz w:val="10"/>
                <w:szCs w:val="10"/>
              </w:rPr>
            </w:pPr>
          </w:p>
        </w:tc>
        <w:tc>
          <w:tcPr>
            <w:tcBorders>
              <w:top w:val="single" w:sz="4"/>
              <w:left w:val="single" w:sz="4"/>
            </w:tcBorders>
            <w:shd w:val="clear" w:color="auto" w:fill="FFFFFF"/>
            <w:vAlign w:val="top"/>
          </w:tcPr>
          <w:p>
            <w:pPr>
              <w:framePr w:w="13920" w:h="2534" w:vSpace="341" w:wrap="notBeside" w:vAnchor="text" w:hAnchor="text" w:y="342"/>
              <w:widowControl w:val="0"/>
              <w:rPr>
                <w:sz w:val="10"/>
                <w:szCs w:val="10"/>
              </w:rPr>
            </w:pPr>
          </w:p>
        </w:tc>
        <w:tc>
          <w:tcPr>
            <w:tcBorders>
              <w:top w:val="single" w:sz="4"/>
              <w:left w:val="single" w:sz="4"/>
              <w:right w:val="single" w:sz="4"/>
            </w:tcBorders>
            <w:shd w:val="clear" w:color="auto" w:fill="FFFFFF"/>
            <w:vAlign w:val="top"/>
          </w:tcPr>
          <w:p>
            <w:pPr>
              <w:framePr w:w="13920" w:h="2534" w:vSpace="341" w:wrap="notBeside" w:vAnchor="text" w:hAnchor="text" w:y="342"/>
              <w:widowControl w:val="0"/>
              <w:rPr>
                <w:sz w:val="10"/>
                <w:szCs w:val="10"/>
              </w:rPr>
            </w:pPr>
          </w:p>
        </w:tc>
      </w:tr>
      <w:tr>
        <w:trPr>
          <w:trHeight w:val="470" w:hRule="exact"/>
        </w:trPr>
        <w:tc>
          <w:tcPr>
            <w:tcBorders>
              <w:top w:val="single" w:sz="4"/>
              <w:left w:val="single" w:sz="4"/>
            </w:tcBorders>
            <w:shd w:val="clear" w:color="auto" w:fill="FFFFFF"/>
            <w:vAlign w:val="center"/>
          </w:tcPr>
          <w:p>
            <w:pPr>
              <w:pStyle w:val="Style20"/>
              <w:keepNext w:val="0"/>
              <w:keepLines w:val="0"/>
              <w:framePr w:w="13920" w:h="2534" w:vSpace="341" w:wrap="notBeside" w:vAnchor="text" w:hAnchor="text" w:y="342"/>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framePr w:w="13920" w:h="2534" w:vSpace="341" w:wrap="notBeside" w:vAnchor="text" w:hAnchor="text" w:y="342"/>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19,761.94</w:t>
            </w:r>
          </w:p>
        </w:tc>
        <w:tc>
          <w:tcPr>
            <w:tcBorders>
              <w:top w:val="single" w:sz="4"/>
              <w:left w:val="single" w:sz="4"/>
            </w:tcBorders>
            <w:shd w:val="clear" w:color="auto" w:fill="FFFFFF"/>
            <w:vAlign w:val="center"/>
          </w:tcPr>
          <w:p>
            <w:pPr>
              <w:pStyle w:val="Style20"/>
              <w:keepNext w:val="0"/>
              <w:keepLines w:val="0"/>
              <w:framePr w:w="13920" w:h="2534" w:vSpace="341" w:wrap="notBeside" w:vAnchor="text" w:hAnchor="text" w:y="342"/>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988.10</w:t>
            </w:r>
          </w:p>
        </w:tc>
        <w:tc>
          <w:tcPr>
            <w:tcBorders>
              <w:top w:val="single" w:sz="4"/>
              <w:left w:val="single" w:sz="4"/>
            </w:tcBorders>
            <w:shd w:val="clear" w:color="auto" w:fill="FFFFFF"/>
            <w:vAlign w:val="center"/>
          </w:tcPr>
          <w:p>
            <w:pPr>
              <w:pStyle w:val="Style20"/>
              <w:keepNext w:val="0"/>
              <w:keepLines w:val="0"/>
              <w:framePr w:w="13920" w:h="2534" w:vSpace="341" w:wrap="notBeside" w:vAnchor="text" w:hAnchor="text" w:y="342"/>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FFFFFF"/>
            <w:vAlign w:val="top"/>
          </w:tcPr>
          <w:p>
            <w:pPr>
              <w:framePr w:w="13920" w:h="2534" w:vSpace="341" w:wrap="notBeside" w:vAnchor="text" w:hAnchor="text" w:y="342"/>
              <w:widowControl w:val="0"/>
              <w:rPr>
                <w:sz w:val="10"/>
                <w:szCs w:val="10"/>
              </w:rPr>
            </w:pPr>
          </w:p>
        </w:tc>
        <w:tc>
          <w:tcPr>
            <w:tcBorders>
              <w:top w:val="single" w:sz="4"/>
              <w:left w:val="single" w:sz="4"/>
            </w:tcBorders>
            <w:shd w:val="clear" w:color="auto" w:fill="FFFFFF"/>
            <w:vAlign w:val="top"/>
          </w:tcPr>
          <w:p>
            <w:pPr>
              <w:framePr w:w="13920" w:h="2534" w:vSpace="341" w:wrap="notBeside" w:vAnchor="text" w:hAnchor="text" w:y="342"/>
              <w:widowControl w:val="0"/>
              <w:rPr>
                <w:sz w:val="10"/>
                <w:szCs w:val="10"/>
              </w:rPr>
            </w:pPr>
          </w:p>
        </w:tc>
        <w:tc>
          <w:tcPr>
            <w:tcBorders>
              <w:top w:val="single" w:sz="4"/>
              <w:left w:val="single" w:sz="4"/>
              <w:right w:val="single" w:sz="4"/>
            </w:tcBorders>
            <w:shd w:val="clear" w:color="auto" w:fill="FFFFFF"/>
            <w:vAlign w:val="top"/>
          </w:tcPr>
          <w:p>
            <w:pPr>
              <w:framePr w:w="13920" w:h="2534" w:vSpace="341" w:wrap="notBeside" w:vAnchor="text" w:hAnchor="text" w:y="342"/>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framePr w:w="13920" w:h="2534" w:vSpace="341" w:wrap="notBeside" w:vAnchor="text" w:hAnchor="text" w:y="342"/>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0"/>
              <w:keepNext w:val="0"/>
              <w:keepLines w:val="0"/>
              <w:framePr w:w="13920" w:h="2534" w:vSpace="341" w:wrap="notBeside" w:vAnchor="text" w:hAnchor="text" w:y="342"/>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164,812.74</w:t>
            </w:r>
          </w:p>
        </w:tc>
        <w:tc>
          <w:tcPr>
            <w:tcBorders>
              <w:top w:val="single" w:sz="4"/>
              <w:left w:val="single" w:sz="4"/>
            </w:tcBorders>
            <w:shd w:val="clear" w:color="auto" w:fill="FFFFFF"/>
            <w:vAlign w:val="center"/>
          </w:tcPr>
          <w:p>
            <w:pPr>
              <w:pStyle w:val="Style20"/>
              <w:keepNext w:val="0"/>
              <w:keepLines w:val="0"/>
              <w:framePr w:w="13920" w:h="2534" w:vSpace="341" w:wrap="notBeside" w:vAnchor="text" w:hAnchor="text" w:y="342"/>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16,481.27</w:t>
            </w:r>
          </w:p>
        </w:tc>
        <w:tc>
          <w:tcPr>
            <w:tcBorders>
              <w:top w:val="single" w:sz="4"/>
              <w:left w:val="single" w:sz="4"/>
            </w:tcBorders>
            <w:shd w:val="clear" w:color="auto" w:fill="FFFFFF"/>
            <w:vAlign w:val="center"/>
          </w:tcPr>
          <w:p>
            <w:pPr>
              <w:pStyle w:val="Style20"/>
              <w:keepNext w:val="0"/>
              <w:keepLines w:val="0"/>
              <w:framePr w:w="13920" w:h="2534" w:vSpace="341" w:wrap="notBeside" w:vAnchor="text" w:hAnchor="text" w:y="342"/>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top"/>
          </w:tcPr>
          <w:p>
            <w:pPr>
              <w:framePr w:w="13920" w:h="2534" w:vSpace="341" w:wrap="notBeside" w:vAnchor="text" w:hAnchor="text" w:y="342"/>
              <w:widowControl w:val="0"/>
              <w:rPr>
                <w:sz w:val="10"/>
                <w:szCs w:val="10"/>
              </w:rPr>
            </w:pPr>
          </w:p>
        </w:tc>
        <w:tc>
          <w:tcPr>
            <w:tcBorders>
              <w:top w:val="single" w:sz="4"/>
              <w:left w:val="single" w:sz="4"/>
            </w:tcBorders>
            <w:shd w:val="clear" w:color="auto" w:fill="FFFFFF"/>
            <w:vAlign w:val="top"/>
          </w:tcPr>
          <w:p>
            <w:pPr>
              <w:framePr w:w="13920" w:h="2534" w:vSpace="341" w:wrap="notBeside" w:vAnchor="text" w:hAnchor="text" w:y="342"/>
              <w:widowControl w:val="0"/>
              <w:rPr>
                <w:sz w:val="10"/>
                <w:szCs w:val="10"/>
              </w:rPr>
            </w:pPr>
          </w:p>
        </w:tc>
        <w:tc>
          <w:tcPr>
            <w:tcBorders>
              <w:top w:val="single" w:sz="4"/>
              <w:left w:val="single" w:sz="4"/>
              <w:right w:val="single" w:sz="4"/>
            </w:tcBorders>
            <w:shd w:val="clear" w:color="auto" w:fill="FFFFFF"/>
            <w:vAlign w:val="top"/>
          </w:tcPr>
          <w:p>
            <w:pPr>
              <w:framePr w:w="13920" w:h="2534" w:vSpace="341" w:wrap="notBeside" w:vAnchor="text" w:hAnchor="text" w:y="342"/>
              <w:widowControl w:val="0"/>
              <w:rPr>
                <w:sz w:val="10"/>
                <w:szCs w:val="10"/>
              </w:rPr>
            </w:pPr>
          </w:p>
        </w:tc>
      </w:tr>
      <w:tr>
        <w:trPr>
          <w:trHeight w:val="350" w:hRule="exact"/>
        </w:trPr>
        <w:tc>
          <w:tcPr>
            <w:tcBorders>
              <w:top w:val="single" w:sz="4"/>
              <w:left w:val="single" w:sz="4"/>
              <w:bottom w:val="single" w:sz="4"/>
            </w:tcBorders>
            <w:shd w:val="clear" w:color="auto" w:fill="FFFFFF"/>
            <w:vAlign w:val="center"/>
          </w:tcPr>
          <w:p>
            <w:pPr>
              <w:pStyle w:val="Style20"/>
              <w:keepNext w:val="0"/>
              <w:keepLines w:val="0"/>
              <w:framePr w:w="13920" w:h="2534" w:vSpace="341" w:wrap="notBeside" w:vAnchor="text" w:hAnchor="text" w:y="342"/>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framePr w:w="13920" w:h="2534" w:vSpace="341" w:wrap="notBeside" w:vAnchor="text" w:hAnchor="text" w:y="342"/>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7,570,919.98</w:t>
            </w:r>
          </w:p>
        </w:tc>
        <w:tc>
          <w:tcPr>
            <w:tcBorders>
              <w:top w:val="single" w:sz="4"/>
              <w:left w:val="single" w:sz="4"/>
              <w:bottom w:val="single" w:sz="4"/>
            </w:tcBorders>
            <w:shd w:val="clear" w:color="auto" w:fill="FFFFFF"/>
            <w:vAlign w:val="center"/>
          </w:tcPr>
          <w:p>
            <w:pPr>
              <w:pStyle w:val="Style20"/>
              <w:keepNext w:val="0"/>
              <w:keepLines w:val="0"/>
              <w:framePr w:w="13920" w:h="2534" w:vSpace="341" w:wrap="notBeside" w:vAnchor="text" w:hAnchor="text" w:y="342"/>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54,171.45</w:t>
            </w:r>
          </w:p>
        </w:tc>
        <w:tc>
          <w:tcPr>
            <w:tcBorders>
              <w:top w:val="single" w:sz="4"/>
              <w:left w:val="single" w:sz="4"/>
              <w:bottom w:val="single" w:sz="4"/>
            </w:tcBorders>
            <w:shd w:val="clear" w:color="auto" w:fill="FFFFFF"/>
            <w:vAlign w:val="top"/>
          </w:tcPr>
          <w:p>
            <w:pPr>
              <w:framePr w:w="13920" w:h="2534" w:vSpace="341" w:wrap="notBeside" w:vAnchor="text" w:hAnchor="text" w:y="342"/>
              <w:widowControl w:val="0"/>
              <w:rPr>
                <w:sz w:val="10"/>
                <w:szCs w:val="10"/>
              </w:rPr>
            </w:pPr>
          </w:p>
        </w:tc>
        <w:tc>
          <w:tcPr>
            <w:tcBorders>
              <w:top w:val="single" w:sz="4"/>
              <w:left w:val="single" w:sz="4"/>
              <w:bottom w:val="single" w:sz="4"/>
            </w:tcBorders>
            <w:shd w:val="clear" w:color="auto" w:fill="FFFFFF"/>
            <w:vAlign w:val="top"/>
          </w:tcPr>
          <w:p>
            <w:pPr>
              <w:framePr w:w="13920" w:h="2534" w:vSpace="341" w:wrap="notBeside" w:vAnchor="text" w:hAnchor="text" w:y="342"/>
              <w:widowControl w:val="0"/>
              <w:rPr>
                <w:sz w:val="10"/>
                <w:szCs w:val="10"/>
              </w:rPr>
            </w:pPr>
          </w:p>
        </w:tc>
        <w:tc>
          <w:tcPr>
            <w:tcBorders>
              <w:top w:val="single" w:sz="4"/>
              <w:left w:val="single" w:sz="4"/>
              <w:bottom w:val="single" w:sz="4"/>
            </w:tcBorders>
            <w:shd w:val="clear" w:color="auto" w:fill="FFFFFF"/>
            <w:vAlign w:val="top"/>
          </w:tcPr>
          <w:p>
            <w:pPr>
              <w:framePr w:w="13920" w:h="2534" w:vSpace="341" w:wrap="notBeside" w:vAnchor="text" w:hAnchor="text" w:y="342"/>
              <w:widowControl w:val="0"/>
              <w:rPr>
                <w:sz w:val="10"/>
                <w:szCs w:val="10"/>
              </w:rPr>
            </w:pPr>
          </w:p>
        </w:tc>
        <w:tc>
          <w:tcPr>
            <w:tcBorders>
              <w:top w:val="single" w:sz="4"/>
              <w:left w:val="single" w:sz="4"/>
              <w:bottom w:val="single" w:sz="4"/>
              <w:right w:val="single" w:sz="4"/>
            </w:tcBorders>
            <w:shd w:val="clear" w:color="auto" w:fill="FFFFFF"/>
            <w:vAlign w:val="top"/>
          </w:tcPr>
          <w:p>
            <w:pPr>
              <w:framePr w:w="13920" w:h="2534" w:vSpace="341" w:wrap="notBeside" w:vAnchor="text" w:hAnchor="text" w:y="342"/>
              <w:widowControl w:val="0"/>
              <w:rPr>
                <w:sz w:val="10"/>
                <w:szCs w:val="10"/>
              </w:rPr>
            </w:pPr>
          </w:p>
        </w:tc>
      </w:tr>
    </w:tbl>
    <w:p>
      <w:pPr>
        <w:pStyle w:val="Style26"/>
        <w:keepNext w:val="0"/>
        <w:keepLines w:val="0"/>
        <w:framePr w:w="6230" w:h="326" w:hSpace="7690"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组合</w:t>
      </w:r>
      <w:r>
        <w:rPr>
          <w:rFonts w:ascii="Times New Roman" w:eastAsia="Times New Roman" w:hAnsi="Times New Roman" w:cs="Times New Roman"/>
          <w:color w:val="000000"/>
          <w:spacing w:val="0"/>
          <w:w w:val="100"/>
          <w:position w:val="0"/>
        </w:rPr>
        <w:t>2</w:t>
      </w:r>
      <w:r>
        <w:rPr>
          <w:color w:val="000000"/>
          <w:spacing w:val="0"/>
          <w:w w:val="100"/>
          <w:position w:val="0"/>
        </w:rPr>
        <w:t>中，按账龄组合法计提坏账准备的应收账款（证券业务）</w:t>
      </w:r>
    </w:p>
    <w:p>
      <w:pPr>
        <w:pStyle w:val="Style26"/>
        <w:keepNext w:val="0"/>
        <w:keepLines w:val="0"/>
        <w:framePr w:w="1642" w:h="298" w:hSpace="12278" w:wrap="notBeside" w:vAnchor="text" w:hAnchor="text" w:x="12260" w:y="292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widowControl w:val="0"/>
        <w:spacing w:line="1" w:lineRule="exact"/>
        <w:sectPr>
          <w:headerReference w:type="default" r:id="rId43"/>
          <w:footerReference w:type="default" r:id="rId44"/>
          <w:footnotePr>
            <w:pos w:val="pageBottom"/>
            <w:numFmt w:val="decimal"/>
            <w:numRestart w:val="continuous"/>
          </w:footnotePr>
          <w:pgSz w:w="16840" w:h="11900" w:orient="landscape"/>
          <w:pgMar w:top="1124" w:right="1499" w:bottom="1484" w:left="1422" w:header="0" w:footer="3" w:gutter="0"/>
          <w:cols w:space="720"/>
          <w:noEndnote/>
          <w:rtlGutter w:val="0"/>
          <w:docGrid w:linePitch="360"/>
        </w:sectPr>
      </w:pPr>
      <w:r>
        <mc:AlternateContent>
          <mc:Choice Requires="wps">
            <w:drawing>
              <wp:anchor distT="664210" distB="182880" distL="0" distR="0" simplePos="0" relativeHeight="125829434" behindDoc="0" locked="0" layoutInCell="1" allowOverlap="1">
                <wp:simplePos x="0" y="0"/>
                <wp:positionH relativeFrom="page">
                  <wp:posOffset>908685</wp:posOffset>
                </wp:positionH>
                <wp:positionV relativeFrom="margin">
                  <wp:posOffset>2463165</wp:posOffset>
                </wp:positionV>
                <wp:extent cx="8832850" cy="877570"/>
                <wp:wrapSquare wrapText="bothSides"/>
                <wp:docPr id="139" name="Shape 139"/>
                <a:graphic xmlns:a="http://schemas.openxmlformats.org/drawingml/2006/main">
                  <a:graphicData uri="http://schemas.microsoft.com/office/word/2010/wordprocessingShape">
                    <wps:wsp>
                      <wps:cNvSpPr txBox="1"/>
                      <wps:spPr>
                        <a:xfrm>
                          <a:ext cx="8832850" cy="877570"/>
                        </a:xfrm>
                        <a:prstGeom prst="rect"/>
                        <a:noFill/>
                      </wps:spPr>
                      <wps:txbx>
                        <w:txbxContent>
                          <w:tbl>
                            <w:tblPr>
                              <w:tblOverlap w:val="never"/>
                              <w:jc w:val="left"/>
                              <w:tblLayout w:type="fixed"/>
                            </w:tblPr>
                            <w:tblGrid>
                              <w:gridCol w:w="2702"/>
                              <w:gridCol w:w="2266"/>
                              <w:gridCol w:w="1704"/>
                              <w:gridCol w:w="1133"/>
                              <w:gridCol w:w="1133"/>
                              <w:gridCol w:w="1843"/>
                              <w:gridCol w:w="3130"/>
                            </w:tblGrid>
                            <w:tr>
                              <w:trPr>
                                <w:tblHeader/>
                                <w:trHeight w:val="360"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2016.12.31</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2015.12.31</w:t>
                                  </w:r>
                                </w:p>
                              </w:tc>
                            </w:tr>
                            <w:tr>
                              <w:trPr>
                                <w:trHeight w:val="35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color w:val="000000"/>
                                      <w:spacing w:val="0"/>
                                      <w:w w:val="100"/>
                                      <w:position w:val="0"/>
                                    </w:rPr>
                                    <w:t>％</w:t>
                                  </w:r>
                                </w:p>
                              </w:tc>
                            </w:tr>
                            <w:tr>
                              <w:trPr>
                                <w:trHeight w:val="66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根据其风险特征不存在减值 风险，不计提坏账准备</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256,623,181.62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line="1" w:lineRule="exact"/>
                            </w:pPr>
                          </w:p>
                        </w:txbxContent>
                      </wps:txbx>
                      <wps:bodyPr lIns="0" tIns="0" rIns="0" bIns="0">
                        <a:noAutoFit/>
                      </wps:bodyPr>
                    </wps:wsp>
                  </a:graphicData>
                </a:graphic>
              </wp:anchor>
            </w:drawing>
          </mc:Choice>
          <mc:Fallback>
            <w:pict>
              <v:shape id="_x0000_s1165" type="#_x0000_t202" style="position:absolute;margin-left:71.549999999999997pt;margin-top:193.95000000000002pt;width:695.5pt;height:69.100000000000009pt;z-index:-125829319;mso-wrap-distance-left:0;mso-wrap-distance-top:52.300000000000004pt;mso-wrap-distance-right:0;mso-wrap-distance-bottom:14.4pt;mso-position-horizontal-relative:page;mso-position-vertical-relative:margin" filled="f" stroked="f">
                <v:textbox inset="0,0,0,0">
                  <w:txbxContent>
                    <w:tbl>
                      <w:tblPr>
                        <w:tblOverlap w:val="never"/>
                        <w:jc w:val="left"/>
                        <w:tblLayout w:type="fixed"/>
                      </w:tblPr>
                      <w:tblGrid>
                        <w:gridCol w:w="2702"/>
                        <w:gridCol w:w="2266"/>
                        <w:gridCol w:w="1704"/>
                        <w:gridCol w:w="1133"/>
                        <w:gridCol w:w="1133"/>
                        <w:gridCol w:w="1843"/>
                        <w:gridCol w:w="3130"/>
                      </w:tblGrid>
                      <w:tr>
                        <w:trPr>
                          <w:tblHeader/>
                          <w:trHeight w:val="360"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2016.12.31</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2015.12.31</w:t>
                            </w:r>
                          </w:p>
                        </w:tc>
                      </w:tr>
                      <w:tr>
                        <w:trPr>
                          <w:trHeight w:val="35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color w:val="000000"/>
                                <w:spacing w:val="0"/>
                                <w:w w:val="100"/>
                                <w:position w:val="0"/>
                              </w:rPr>
                              <w:t>％</w:t>
                            </w:r>
                          </w:p>
                        </w:tc>
                      </w:tr>
                      <w:tr>
                        <w:trPr>
                          <w:trHeight w:val="66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根据其风险特征不存在减值 风险，不计提坏账准备</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256,623,181.62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line="1" w:lineRule="exact"/>
                      </w:pPr>
                    </w:p>
                  </w:txbxContent>
                </v:textbox>
                <w10:wrap type="square" anchorx="page" anchory="margin"/>
              </v:shape>
            </w:pict>
          </mc:Fallback>
        </mc:AlternateContent>
      </w:r>
      <w:r>
        <mc:AlternateContent>
          <mc:Choice Requires="wps">
            <w:drawing>
              <wp:anchor distT="0" distB="0" distL="0" distR="0" simplePos="0" relativeHeight="503316484" behindDoc="0" locked="0" layoutInCell="1" allowOverlap="1">
                <wp:simplePos x="0" y="0"/>
                <wp:positionH relativeFrom="page">
                  <wp:posOffset>1167765</wp:posOffset>
                </wp:positionH>
                <wp:positionV relativeFrom="margin">
                  <wp:posOffset>3355975</wp:posOffset>
                </wp:positionV>
                <wp:extent cx="3359150" cy="167640"/>
                <wp:wrapNone/>
                <wp:docPr id="141" name="Shape 141"/>
                <a:graphic xmlns:a="http://schemas.openxmlformats.org/drawingml/2006/main">
                  <a:graphicData uri="http://schemas.microsoft.com/office/word/2010/wordprocessingShape">
                    <wps:wsp>
                      <wps:cNvSpPr txBox="1"/>
                      <wps:spPr>
                        <a:xfrm>
                          <a:ext cx="3359150" cy="16764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确定该组合依据的说明：详见附注五、（十一）应收款项</w:t>
                            </w:r>
                          </w:p>
                        </w:txbxContent>
                      </wps:txbx>
                      <wps:bodyPr lIns="0" tIns="0" rIns="0" bIns="0">
                        <a:noAutoFit/>
                      </wps:bodyPr>
                    </wps:wsp>
                  </a:graphicData>
                </a:graphic>
              </wp:anchor>
            </w:drawing>
          </mc:Choice>
          <mc:Fallback>
            <w:pict>
              <v:shape id="_x0000_s1167" type="#_x0000_t202" style="position:absolute;margin-left:91.950000000000003pt;margin-top:264.25pt;width:264.5pt;height:13.200000000000001pt;z-index:251657731;mso-wrap-distance-left:0;mso-wrap-distance-right:0;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确定该组合依据的说明：详见附注五、（十一）应收款项</w:t>
                      </w:r>
                    </w:p>
                  </w:txbxContent>
                </v:textbox>
                <w10:wrap anchorx="page" anchory="margin"/>
              </v:shape>
            </w:pict>
          </mc:Fallback>
        </mc:AlternateContent>
      </w:r>
      <w:r>
        <mc:AlternateContent>
          <mc:Choice Requires="wps">
            <w:drawing>
              <wp:anchor distT="0" distB="0" distL="0" distR="0" simplePos="0" relativeHeight="503316486" behindDoc="0" locked="0" layoutInCell="1" allowOverlap="1">
                <wp:simplePos x="0" y="0"/>
                <wp:positionH relativeFrom="page">
                  <wp:posOffset>1167765</wp:posOffset>
                </wp:positionH>
                <wp:positionV relativeFrom="margin">
                  <wp:posOffset>1798955</wp:posOffset>
                </wp:positionV>
                <wp:extent cx="3215640" cy="661670"/>
                <wp:wrapNone/>
                <wp:docPr id="143" name="Shape 143"/>
                <a:graphic xmlns:a="http://schemas.openxmlformats.org/drawingml/2006/main">
                  <a:graphicData uri="http://schemas.microsoft.com/office/word/2010/wordprocessingShape">
                    <wps:wsp>
                      <wps:cNvSpPr txBox="1"/>
                      <wps:spPr>
                        <a:xfrm>
                          <a:ext cx="3215640" cy="661670"/>
                        </a:xfrm>
                        <a:prstGeom prst="rect"/>
                        <a:noFill/>
                      </wps:spPr>
                      <wps:txbx>
                        <w:txbxContent>
                          <w:p>
                            <w:pPr>
                              <w:pStyle w:val="Style26"/>
                              <w:keepNext w:val="0"/>
                              <w:keepLines w:val="0"/>
                              <w:widowControl w:val="0"/>
                              <w:shd w:val="clear" w:color="auto" w:fill="auto"/>
                              <w:bidi w:val="0"/>
                              <w:spacing w:before="0" w:after="0" w:line="350" w:lineRule="exact"/>
                              <w:ind w:left="0" w:right="0" w:firstLine="0"/>
                              <w:jc w:val="left"/>
                            </w:pPr>
                            <w:r>
                              <w:rPr>
                                <w:color w:val="000000"/>
                                <w:spacing w:val="0"/>
                                <w:w w:val="100"/>
                                <w:position w:val="0"/>
                              </w:rPr>
                              <w:t>组合中，采用余额百分比法计提坏账准备的应收账款: 组合中，采用其他方法计提坏账准备的应收账款： 组合</w:t>
                            </w:r>
                            <w:r>
                              <w:rPr>
                                <w:rFonts w:ascii="Times New Roman" w:eastAsia="Times New Roman" w:hAnsi="Times New Roman" w:cs="Times New Roman"/>
                                <w:color w:val="000000"/>
                                <w:spacing w:val="0"/>
                                <w:w w:val="100"/>
                                <w:position w:val="0"/>
                              </w:rPr>
                              <w:t>3</w:t>
                            </w:r>
                            <w:r>
                              <w:rPr>
                                <w:color w:val="000000"/>
                                <w:spacing w:val="0"/>
                                <w:w w:val="100"/>
                                <w:position w:val="0"/>
                              </w:rPr>
                              <w:t>中，按特定组合法计提坏账准备的应收账款</w:t>
                            </w:r>
                          </w:p>
                        </w:txbxContent>
                      </wps:txbx>
                      <wps:bodyPr lIns="0" tIns="0" rIns="0" bIns="0">
                        <a:noAutoFit/>
                      </wps:bodyPr>
                    </wps:wsp>
                  </a:graphicData>
                </a:graphic>
              </wp:anchor>
            </w:drawing>
          </mc:Choice>
          <mc:Fallback>
            <w:pict>
              <v:shape id="_x0000_s1169" type="#_x0000_t202" style="position:absolute;margin-left:91.950000000000003pt;margin-top:141.65000000000001pt;width:253.20000000000002pt;height:52.100000000000001pt;z-index:251657733;mso-wrap-distance-left:0;mso-wrap-distance-right:0;mso-position-horizontal-relative:page;mso-position-vertical-relative:margin" filled="f" stroked="f">
                <v:textbox inset="0,0,0,0">
                  <w:txbxContent>
                    <w:p>
                      <w:pPr>
                        <w:pStyle w:val="Style26"/>
                        <w:keepNext w:val="0"/>
                        <w:keepLines w:val="0"/>
                        <w:widowControl w:val="0"/>
                        <w:shd w:val="clear" w:color="auto" w:fill="auto"/>
                        <w:bidi w:val="0"/>
                        <w:spacing w:before="0" w:after="0" w:line="350" w:lineRule="exact"/>
                        <w:ind w:left="0" w:right="0" w:firstLine="0"/>
                        <w:jc w:val="left"/>
                      </w:pPr>
                      <w:r>
                        <w:rPr>
                          <w:color w:val="000000"/>
                          <w:spacing w:val="0"/>
                          <w:w w:val="100"/>
                          <w:position w:val="0"/>
                        </w:rPr>
                        <w:t>组合中，采用余额百分比法计提坏账准备的应收账款: 组合中，采用其他方法计提坏账准备的应收账款： 组合</w:t>
                      </w:r>
                      <w:r>
                        <w:rPr>
                          <w:rFonts w:ascii="Times New Roman" w:eastAsia="Times New Roman" w:hAnsi="Times New Roman" w:cs="Times New Roman"/>
                          <w:color w:val="000000"/>
                          <w:spacing w:val="0"/>
                          <w:w w:val="100"/>
                          <w:position w:val="0"/>
                        </w:rPr>
                        <w:t>3</w:t>
                      </w:r>
                      <w:r>
                        <w:rPr>
                          <w:color w:val="000000"/>
                          <w:spacing w:val="0"/>
                          <w:w w:val="100"/>
                          <w:position w:val="0"/>
                        </w:rPr>
                        <w:t>中，按特定组合法计提坏账准备的应收账款</w:t>
                      </w:r>
                    </w:p>
                  </w:txbxContent>
                </v:textbox>
                <w10:wrap anchorx="page" anchory="margin"/>
              </v:shape>
            </w:pict>
          </mc:Fallback>
        </mc:AlternateContent>
      </w:r>
    </w:p>
    <w:p>
      <w:pPr>
        <w:widowControl w:val="0"/>
        <w:spacing w:before="29" w:after="29" w:line="240" w:lineRule="exact"/>
        <w:rPr>
          <w:sz w:val="19"/>
          <w:szCs w:val="19"/>
        </w:rPr>
      </w:pPr>
    </w:p>
    <w:p>
      <w:pPr>
        <w:widowControl w:val="0"/>
        <w:spacing w:line="1" w:lineRule="exact"/>
        <w:sectPr>
          <w:footnotePr>
            <w:pos w:val="pageBottom"/>
            <w:numFmt w:val="decimal"/>
            <w:numRestart w:val="continuous"/>
          </w:footnotePr>
          <w:type w:val="continuous"/>
          <w:pgSz w:w="16840" w:h="11900" w:orient="landscape"/>
          <w:pgMar w:top="1147" w:right="0" w:bottom="1157" w:left="0" w:header="0" w:footer="3" w:gutter="0"/>
          <w:cols w:space="720"/>
          <w:noEndnote/>
          <w:rtlGutter w:val="0"/>
          <w:docGrid w:linePitch="360"/>
        </w:sectPr>
      </w:pPr>
    </w:p>
    <w:p>
      <w:pPr>
        <w:pStyle w:val="Style33"/>
        <w:keepNext w:val="0"/>
        <w:keepLines w:val="0"/>
        <w:framePr w:w="408" w:h="264" w:wrap="none" w:vAnchor="text" w:hAnchor="page" w:x="1533" w:y="21"/>
        <w:widowControl w:val="0"/>
        <w:shd w:val="clear" w:color="auto" w:fill="auto"/>
        <w:bidi w:val="0"/>
        <w:spacing w:before="0" w:after="0" w:line="240" w:lineRule="auto"/>
        <w:ind w:left="0" w:right="0" w:firstLine="0"/>
        <w:jc w:val="both"/>
      </w:pPr>
      <w:r>
        <w:rPr>
          <w:rFonts w:ascii="Times New Roman" w:eastAsia="Times New Roman" w:hAnsi="Times New Roman" w:cs="Times New Roman"/>
          <w:b/>
          <w:bCs/>
          <w:color w:val="000000"/>
          <w:spacing w:val="0"/>
          <w:w w:val="100"/>
          <w:position w:val="0"/>
        </w:rPr>
        <w:t>(2</w:t>
      </w:r>
      <w:r>
        <w:rPr>
          <w:b/>
          <w:bCs/>
          <w:color w:val="000000"/>
          <w:spacing w:val="0"/>
          <w:w w:val="100"/>
          <w:position w:val="0"/>
        </w:rPr>
        <w:t>)</w:t>
      </w:r>
    </w:p>
    <w:p>
      <w:pPr>
        <w:pStyle w:val="Style47"/>
        <w:keepNext/>
        <w:keepLines/>
        <w:framePr w:w="3782" w:h="274" w:wrap="none" w:vAnchor="text" w:hAnchor="page" w:x="1946" w:y="21"/>
        <w:widowControl w:val="0"/>
        <w:shd w:val="clear" w:color="auto" w:fill="auto"/>
        <w:bidi w:val="0"/>
        <w:spacing w:before="0" w:after="0" w:line="240" w:lineRule="auto"/>
        <w:ind w:left="0" w:right="0" w:firstLine="0"/>
        <w:jc w:val="left"/>
      </w:pPr>
      <w:bookmarkStart w:id="1027" w:name="bookmark1027"/>
      <w:bookmarkStart w:id="1028" w:name="bookmark1028"/>
      <w:bookmarkStart w:id="1029" w:name="bookmark1029"/>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1,861,036.03</w:t>
      </w:r>
      <w:r>
        <w:rPr>
          <w:color w:val="000000"/>
          <w:spacing w:val="0"/>
          <w:w w:val="100"/>
          <w:position w:val="0"/>
        </w:rPr>
        <w:t>元。</w:t>
      </w:r>
      <w:bookmarkEnd w:id="1027"/>
      <w:bookmarkEnd w:id="1028"/>
      <w:bookmarkEnd w:id="1029"/>
    </w:p>
    <w:p>
      <w:pPr>
        <w:pStyle w:val="Style33"/>
        <w:keepNext w:val="0"/>
        <w:keepLines w:val="0"/>
        <w:framePr w:w="408" w:h="269" w:wrap="none" w:vAnchor="text" w:hAnchor="page" w:x="1533" w:y="615"/>
        <w:widowControl w:val="0"/>
        <w:shd w:val="clear" w:color="auto" w:fill="auto"/>
        <w:bidi w:val="0"/>
        <w:spacing w:before="0" w:after="0" w:line="240" w:lineRule="auto"/>
        <w:ind w:left="0" w:right="0" w:firstLine="0"/>
        <w:jc w:val="both"/>
      </w:pPr>
      <w:r>
        <w:rPr>
          <w:rFonts w:ascii="Times New Roman" w:eastAsia="Times New Roman" w:hAnsi="Times New Roman" w:cs="Times New Roman"/>
          <w:b/>
          <w:bCs/>
          <w:color w:val="000000"/>
          <w:spacing w:val="0"/>
          <w:w w:val="100"/>
          <w:position w:val="0"/>
        </w:rPr>
        <w:t>(3</w:t>
      </w:r>
      <w:r>
        <w:rPr>
          <w:b/>
          <w:bCs/>
          <w:color w:val="000000"/>
          <w:spacing w:val="0"/>
          <w:w w:val="100"/>
          <w:position w:val="0"/>
        </w:rPr>
        <w:t>)</w:t>
      </w:r>
    </w:p>
    <w:p>
      <w:pPr>
        <w:pStyle w:val="Style47"/>
        <w:keepNext/>
        <w:keepLines/>
        <w:framePr w:w="2779" w:h="274" w:wrap="none" w:vAnchor="text" w:hAnchor="page" w:x="1946" w:y="611"/>
        <w:widowControl w:val="0"/>
        <w:shd w:val="clear" w:color="auto" w:fill="auto"/>
        <w:bidi w:val="0"/>
        <w:spacing w:before="0" w:after="0" w:line="240" w:lineRule="auto"/>
        <w:ind w:left="0" w:right="0" w:firstLine="0"/>
        <w:jc w:val="left"/>
      </w:pPr>
      <w:bookmarkStart w:id="1030" w:name="bookmark1030"/>
      <w:bookmarkStart w:id="1031" w:name="bookmark1031"/>
      <w:bookmarkStart w:id="1032" w:name="bookmark1032"/>
      <w:r>
        <w:rPr>
          <w:color w:val="000000"/>
          <w:spacing w:val="0"/>
          <w:w w:val="100"/>
          <w:position w:val="0"/>
        </w:rPr>
        <w:t>本期无实际核销的应收账款。</w:t>
      </w:r>
      <w:bookmarkEnd w:id="1030"/>
      <w:bookmarkEnd w:id="1031"/>
      <w:bookmarkEnd w:id="1032"/>
    </w:p>
    <w:p>
      <w:pPr>
        <w:pStyle w:val="Style33"/>
        <w:keepNext w:val="0"/>
        <w:keepLines w:val="0"/>
        <w:framePr w:w="408" w:h="264" w:wrap="none" w:vAnchor="text" w:hAnchor="page" w:x="1533" w:y="1230"/>
        <w:widowControl w:val="0"/>
        <w:shd w:val="clear" w:color="auto" w:fill="auto"/>
        <w:bidi w:val="0"/>
        <w:spacing w:before="0" w:after="0" w:line="240" w:lineRule="auto"/>
        <w:ind w:left="0" w:right="0" w:firstLine="0"/>
        <w:jc w:val="both"/>
      </w:pPr>
      <w:r>
        <w:rPr>
          <w:rFonts w:ascii="Times New Roman" w:eastAsia="Times New Roman" w:hAnsi="Times New Roman" w:cs="Times New Roman"/>
          <w:b/>
          <w:bCs/>
          <w:color w:val="000000"/>
          <w:spacing w:val="0"/>
          <w:w w:val="100"/>
          <w:position w:val="0"/>
        </w:rPr>
        <w:t>(4</w:t>
      </w:r>
      <w:r>
        <w:rPr>
          <w:b/>
          <w:bCs/>
          <w:color w:val="000000"/>
          <w:spacing w:val="0"/>
          <w:w w:val="100"/>
          <w:position w:val="0"/>
        </w:rPr>
        <w:t>)</w:t>
      </w:r>
    </w:p>
    <w:p>
      <w:pPr>
        <w:pStyle w:val="Style47"/>
        <w:keepNext/>
        <w:keepLines/>
        <w:framePr w:w="4464" w:h="274" w:wrap="none" w:vAnchor="text" w:hAnchor="page" w:x="1951" w:y="1225"/>
        <w:widowControl w:val="0"/>
        <w:shd w:val="clear" w:color="auto" w:fill="auto"/>
        <w:bidi w:val="0"/>
        <w:spacing w:before="0" w:after="0" w:line="240" w:lineRule="auto"/>
        <w:ind w:left="0" w:right="0" w:firstLine="0"/>
        <w:jc w:val="left"/>
      </w:pPr>
      <w:bookmarkStart w:id="1033" w:name="bookmark1033"/>
      <w:bookmarkStart w:id="1034" w:name="bookmark1034"/>
      <w:bookmarkStart w:id="1035" w:name="bookmark1035"/>
      <w:r>
        <w:rPr>
          <w:color w:val="000000"/>
          <w:spacing w:val="0"/>
          <w:w w:val="100"/>
          <w:position w:val="0"/>
        </w:rPr>
        <w:t>按欠款方归集的期末余额前五名的应收账款情况</w:t>
      </w:r>
      <w:bookmarkEnd w:id="1033"/>
      <w:bookmarkEnd w:id="1034"/>
      <w:bookmarkEnd w:id="1035"/>
    </w:p>
    <w:p>
      <w:pPr>
        <w:widowControl w:val="0"/>
        <w:spacing w:line="360" w:lineRule="exact"/>
      </w:pPr>
    </w:p>
    <w:p>
      <w:pPr>
        <w:widowControl w:val="0"/>
        <w:spacing w:line="360" w:lineRule="exact"/>
      </w:pPr>
    </w:p>
    <w:p>
      <w:pPr>
        <w:widowControl w:val="0"/>
        <w:spacing w:line="360" w:lineRule="exact"/>
      </w:pPr>
    </w:p>
    <w:p>
      <w:pPr>
        <w:widowControl w:val="0"/>
        <w:spacing w:after="417" w:line="1" w:lineRule="exact"/>
      </w:pPr>
    </w:p>
    <w:p>
      <w:pPr>
        <w:widowControl w:val="0"/>
        <w:spacing w:line="1" w:lineRule="exact"/>
        <w:sectPr>
          <w:footnotePr>
            <w:pos w:val="pageBottom"/>
            <w:numFmt w:val="decimal"/>
            <w:numRestart w:val="continuous"/>
          </w:footnotePr>
          <w:type w:val="continuous"/>
          <w:pgSz w:w="16840" w:h="11900" w:orient="landscape"/>
          <w:pgMar w:top="1147" w:right="1456" w:bottom="1157" w:left="1422" w:header="0" w:footer="3" w:gutter="0"/>
          <w:cols w:space="720"/>
          <w:noEndnote/>
          <w:rtlGutter w:val="0"/>
          <w:docGrid w:linePitch="360"/>
        </w:sectPr>
      </w:pPr>
    </w:p>
    <w:p>
      <w:pPr>
        <w:pStyle w:val="Style26"/>
        <w:keepNext w:val="0"/>
        <w:keepLines w:val="0"/>
        <w:widowControl w:val="0"/>
        <w:shd w:val="clear" w:color="auto" w:fill="auto"/>
        <w:bidi w:val="0"/>
        <w:spacing w:before="0" w:after="0" w:line="240" w:lineRule="auto"/>
        <w:ind w:left="494" w:right="0" w:firstLine="0"/>
        <w:jc w:val="left"/>
      </w:pPr>
      <w:r>
        <w:rPr>
          <w:b/>
          <w:bCs/>
          <w:color w:val="000000"/>
          <w:spacing w:val="0"/>
          <w:w w:val="100"/>
          <w:position w:val="0"/>
        </w:rPr>
        <w:t>按欠款方归集的期末余额前五名的应收账款情况（线缆业务）</w:t>
      </w:r>
    </w:p>
    <w:tbl>
      <w:tblPr>
        <w:tblOverlap w:val="never"/>
        <w:jc w:val="center"/>
        <w:tblLayout w:type="fixed"/>
      </w:tblPr>
      <w:tblGrid>
        <w:gridCol w:w="1704"/>
        <w:gridCol w:w="2126"/>
        <w:gridCol w:w="2554"/>
        <w:gridCol w:w="1699"/>
        <w:gridCol w:w="1570"/>
      </w:tblGrid>
      <w:tr>
        <w:trPr>
          <w:trHeight w:val="384"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单位名称</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65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240" w:right="0" w:hanging="240"/>
              <w:jc w:val="both"/>
            </w:pPr>
            <w:r>
              <w:rPr>
                <w:color w:val="000000"/>
                <w:spacing w:val="0"/>
                <w:w w:val="100"/>
                <w:position w:val="0"/>
              </w:rPr>
              <w:t>占应收账款合计数 的比例（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r>
      <w:tr>
        <w:trPr>
          <w:trHeight w:val="38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95,789,607.51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96,573,965.56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43.52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784,358.05</w:t>
            </w:r>
          </w:p>
        </w:tc>
      </w:tr>
      <w:tr>
        <w:trPr>
          <w:trHeight w:val="38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33,225,995.04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34,261,736.70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15.44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1,035,741.66</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25,704,667.67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25,704,667.67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11.58</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14,810,957.01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14,817,365.34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6.68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6,408.33</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11,204,523.85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11,204,523.85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5.05</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180,735,751.08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182,562,259.12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82.27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1,826,508.04</w:t>
            </w:r>
          </w:p>
        </w:tc>
      </w:tr>
    </w:tbl>
    <w:p>
      <w:pPr>
        <w:widowControl w:val="0"/>
        <w:spacing w:line="1" w:lineRule="exact"/>
      </w:pPr>
    </w:p>
    <w:p>
      <w:pPr>
        <w:pStyle w:val="Style26"/>
        <w:keepNext w:val="0"/>
        <w:keepLines w:val="0"/>
        <w:widowControl w:val="0"/>
        <w:shd w:val="clear" w:color="auto" w:fill="auto"/>
        <w:bidi w:val="0"/>
        <w:spacing w:before="0" w:after="0" w:line="240" w:lineRule="auto"/>
        <w:ind w:left="490" w:right="0" w:firstLine="0"/>
        <w:jc w:val="left"/>
      </w:pPr>
      <w:r>
        <w:rPr>
          <w:b/>
          <w:bCs/>
          <w:color w:val="000000"/>
          <w:spacing w:val="0"/>
          <w:w w:val="100"/>
          <w:position w:val="0"/>
        </w:rPr>
        <w:t>按欠款方归集的期末余额前五名的应收账款情况（证券业务）</w:t>
      </w:r>
    </w:p>
    <w:tbl>
      <w:tblPr>
        <w:tblOverlap w:val="never"/>
        <w:jc w:val="center"/>
        <w:tblLayout w:type="fixed"/>
      </w:tblPr>
      <w:tblGrid>
        <w:gridCol w:w="2981"/>
        <w:gridCol w:w="1699"/>
        <w:gridCol w:w="1704"/>
        <w:gridCol w:w="1699"/>
        <w:gridCol w:w="1570"/>
      </w:tblGrid>
      <w:tr>
        <w:trPr>
          <w:trHeight w:val="346"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left"/>
            </w:pPr>
            <w:r>
              <w:rPr>
                <w:color w:val="000000"/>
                <w:spacing w:val="0"/>
                <w:w w:val="100"/>
                <w:position w:val="0"/>
              </w:rPr>
              <w:t>单位名称</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账面价值</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65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240" w:right="0" w:hanging="240"/>
              <w:jc w:val="both"/>
            </w:pPr>
            <w:r>
              <w:rPr>
                <w:color w:val="000000"/>
                <w:spacing w:val="0"/>
                <w:w w:val="100"/>
                <w:position w:val="0"/>
              </w:rPr>
              <w:t>占应收账款合计数 的比例（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221,353,044.55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221,353,044.55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80.40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35,145,439.87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35,145,439.87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12.77</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3,863,974.60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3,883,391.56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1.41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19,416.96</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3,197,809.90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3,213,879.30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16,069.40</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490,537.98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493,003.00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0.18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2,465.02</w:t>
            </w:r>
          </w:p>
        </w:tc>
      </w:tr>
      <w:tr>
        <w:trPr>
          <w:trHeight w:val="3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264,050,806.90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264,088,758.28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95.93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37,951.38</w:t>
            </w:r>
          </w:p>
        </w:tc>
      </w:tr>
    </w:tbl>
    <w:p>
      <w:pPr>
        <w:widowControl w:val="0"/>
        <w:spacing w:line="1" w:lineRule="exact"/>
      </w:pPr>
    </w:p>
    <w:p>
      <w:pPr>
        <w:pStyle w:val="Style26"/>
        <w:keepNext w:val="0"/>
        <w:keepLines w:val="0"/>
        <w:widowControl w:val="0"/>
        <w:shd w:val="clear" w:color="auto" w:fill="auto"/>
        <w:bidi w:val="0"/>
        <w:spacing w:before="0" w:after="0" w:line="240" w:lineRule="auto"/>
        <w:ind w:left="398" w:right="0" w:firstLine="0"/>
        <w:jc w:val="left"/>
      </w:pPr>
      <w:r>
        <w:rPr>
          <w:b/>
          <w:bCs/>
          <w:color w:val="000000"/>
          <w:spacing w:val="0"/>
          <w:w w:val="100"/>
          <w:position w:val="0"/>
        </w:rPr>
        <w:t>按欠款方归集的期末余额前五名的应收账款情况（线缆业务）</w:t>
      </w:r>
    </w:p>
    <w:tbl>
      <w:tblPr>
        <w:tblOverlap w:val="never"/>
        <w:jc w:val="center"/>
        <w:tblLayout w:type="fixed"/>
      </w:tblPr>
      <w:tblGrid>
        <w:gridCol w:w="2981"/>
        <w:gridCol w:w="1699"/>
        <w:gridCol w:w="1704"/>
        <w:gridCol w:w="1699"/>
        <w:gridCol w:w="1570"/>
      </w:tblGrid>
      <w:tr>
        <w:trPr>
          <w:trHeight w:val="346"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left"/>
            </w:pPr>
            <w:r>
              <w:rPr>
                <w:color w:val="000000"/>
                <w:spacing w:val="0"/>
                <w:w w:val="100"/>
                <w:position w:val="0"/>
              </w:rPr>
              <w:t>单位名称</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账面价值</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65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240" w:right="0" w:hanging="240"/>
              <w:jc w:val="both"/>
            </w:pPr>
            <w:r>
              <w:rPr>
                <w:color w:val="000000"/>
                <w:spacing w:val="0"/>
                <w:w w:val="100"/>
                <w:position w:val="0"/>
              </w:rPr>
              <w:t>占应收账款合计数 的比例（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213,392,569.77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213,436,254.00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71.32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43,684.23</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12,903,199.99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13,145,997.68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4.39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242,797.69</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12,876,674.75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12,876,774.75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4.30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9,922,505.26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10,112,025.68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3.38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189,520.42</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8,654,706.92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8,774,527.89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119,820.97</w:t>
            </w:r>
          </w:p>
        </w:tc>
      </w:tr>
      <w:tr>
        <w:trPr>
          <w:trHeight w:val="35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257,749,656.69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258,345,580.00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86.32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595,923.31</w:t>
            </w:r>
          </w:p>
        </w:tc>
      </w:tr>
    </w:tbl>
    <w:p>
      <w:pPr>
        <w:widowControl w:val="0"/>
        <w:spacing w:after="9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398" w:right="0" w:firstLine="0"/>
        <w:jc w:val="left"/>
      </w:pPr>
      <w:r>
        <w:rPr>
          <w:b/>
          <w:bCs/>
          <w:color w:val="000000"/>
          <w:spacing w:val="0"/>
          <w:w w:val="100"/>
          <w:position w:val="0"/>
        </w:rPr>
        <w:t>按明细分类的应收账款情况（证券业务）</w:t>
      </w:r>
    </w:p>
    <w:tbl>
      <w:tblPr>
        <w:tblOverlap w:val="never"/>
        <w:jc w:val="center"/>
        <w:tblLayout w:type="fixed"/>
      </w:tblPr>
      <w:tblGrid>
        <w:gridCol w:w="3691"/>
        <w:gridCol w:w="2693"/>
        <w:gridCol w:w="3269"/>
      </w:tblGrid>
      <w:tr>
        <w:trPr>
          <w:trHeight w:val="47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2016.12.31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2015.12.31</w:t>
            </w:r>
          </w:p>
        </w:tc>
      </w:tr>
      <w:tr>
        <w:trPr>
          <w:trHeight w:val="47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证券清算款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35,145,439.87</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证券经纪业务款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221,353,044.55</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资管计划管理费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3,883,391.56</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3,812,225.62</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264,194,101.60</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减：坏账准备</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54,171.45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691"/>
        <w:gridCol w:w="2693"/>
        <w:gridCol w:w="3269"/>
      </w:tblGrid>
      <w:tr>
        <w:trPr>
          <w:trHeight w:val="480"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应收款项账面价值</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264,139,930.15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47"/>
        <w:keepNext/>
        <w:keepLines/>
        <w:widowControl w:val="0"/>
        <w:shd w:val="clear" w:color="auto" w:fill="auto"/>
        <w:tabs>
          <w:tab w:pos="493" w:val="left"/>
        </w:tabs>
        <w:bidi w:val="0"/>
        <w:spacing w:before="0" w:after="340" w:line="240" w:lineRule="auto"/>
        <w:ind w:left="0" w:right="0" w:firstLine="0"/>
        <w:jc w:val="left"/>
      </w:pPr>
      <w:bookmarkStart w:id="1036" w:name="bookmark1036"/>
      <w:bookmarkStart w:id="1037" w:name="bookmark1037"/>
      <w:bookmarkStart w:id="1038" w:name="bookmark1038"/>
      <w:bookmarkStart w:id="1039" w:name="bookmark1039"/>
      <w:r>
        <w:rPr>
          <w:color w:val="000000"/>
          <w:spacing w:val="0"/>
          <w:w w:val="100"/>
          <w:position w:val="0"/>
        </w:rPr>
        <w:t>（</w:t>
      </w:r>
      <w:bookmarkEnd w:id="1038"/>
      <w:r>
        <w:rPr>
          <w:rFonts w:ascii="Times New Roman" w:eastAsia="Times New Roman" w:hAnsi="Times New Roman" w:cs="Times New Roman"/>
          <w:color w:val="000000"/>
          <w:spacing w:val="0"/>
          <w:w w:val="100"/>
          <w:position w:val="0"/>
        </w:rPr>
        <w:t>5</w:t>
      </w:r>
      <w:r>
        <w:rPr>
          <w:color w:val="000000"/>
          <w:spacing w:val="0"/>
          <w:w w:val="100"/>
          <w:position w:val="0"/>
        </w:rPr>
        <w:t>）</w:t>
        <w:tab/>
        <w:t>本期无因金融资产转移而终止确认的应收账款。</w:t>
      </w:r>
      <w:bookmarkEnd w:id="1036"/>
      <w:bookmarkEnd w:id="1037"/>
      <w:bookmarkEnd w:id="1039"/>
    </w:p>
    <w:p>
      <w:pPr>
        <w:pStyle w:val="Style47"/>
        <w:keepNext/>
        <w:keepLines/>
        <w:widowControl w:val="0"/>
        <w:shd w:val="clear" w:color="auto" w:fill="auto"/>
        <w:bidi w:val="0"/>
        <w:spacing w:before="0" w:after="340" w:line="240" w:lineRule="auto"/>
        <w:ind w:left="0" w:right="0" w:firstLine="0"/>
        <w:jc w:val="left"/>
      </w:pPr>
      <w:bookmarkStart w:id="1040" w:name="bookmark1040"/>
      <w:bookmarkStart w:id="1041" w:name="bookmark1041"/>
      <w:bookmarkStart w:id="1042" w:name="bookmark1042"/>
      <w:bookmarkStart w:id="1043" w:name="bookmark1043"/>
      <w:r>
        <w:rPr>
          <w:color w:val="000000"/>
          <w:spacing w:val="0"/>
          <w:w w:val="100"/>
          <w:position w:val="0"/>
        </w:rPr>
        <w:t>（</w:t>
      </w:r>
      <w:bookmarkEnd w:id="1042"/>
      <w:r>
        <w:rPr>
          <w:rFonts w:ascii="Times New Roman" w:eastAsia="Times New Roman" w:hAnsi="Times New Roman" w:cs="Times New Roman"/>
          <w:color w:val="000000"/>
          <w:spacing w:val="0"/>
          <w:w w:val="100"/>
          <w:position w:val="0"/>
        </w:rPr>
        <w:t>6</w:t>
      </w:r>
      <w:r>
        <w:rPr>
          <w:color w:val="000000"/>
          <w:spacing w:val="0"/>
          <w:w w:val="100"/>
          <w:position w:val="0"/>
        </w:rPr>
        <w:t>） 本期无转移应收账款且继续涉入形成的资产、负债金额。</w:t>
      </w:r>
      <w:bookmarkEnd w:id="1040"/>
      <w:bookmarkEnd w:id="1041"/>
      <w:bookmarkEnd w:id="1043"/>
    </w:p>
    <w:p>
      <w:pPr>
        <w:pStyle w:val="Style30"/>
        <w:keepNext/>
        <w:keepLines/>
        <w:widowControl w:val="0"/>
        <w:shd w:val="clear" w:color="auto" w:fill="auto"/>
        <w:bidi w:val="0"/>
        <w:spacing w:before="0" w:after="340" w:line="240" w:lineRule="auto"/>
        <w:ind w:left="0" w:right="0" w:firstLine="0"/>
        <w:jc w:val="left"/>
      </w:pPr>
      <w:bookmarkStart w:id="1044" w:name="bookmark1044"/>
      <w:bookmarkStart w:id="1045" w:name="bookmark1045"/>
      <w:bookmarkStart w:id="1046" w:name="bookmark1046"/>
      <w:bookmarkStart w:id="1047" w:name="bookmark1047"/>
      <w:r>
        <w:rPr>
          <w:rFonts w:ascii="Times New Roman" w:eastAsia="Times New Roman" w:hAnsi="Times New Roman" w:cs="Times New Roman"/>
          <w:color w:val="000000"/>
          <w:spacing w:val="0"/>
          <w:w w:val="100"/>
          <w:position w:val="0"/>
        </w:rPr>
        <w:t>8</w:t>
      </w:r>
      <w:bookmarkEnd w:id="1046"/>
      <w:r>
        <w:rPr>
          <w:color w:val="000000"/>
          <w:spacing w:val="0"/>
          <w:w w:val="100"/>
          <w:position w:val="0"/>
        </w:rPr>
        <w:t>、预付款项</w:t>
      </w:r>
      <w:bookmarkEnd w:id="1044"/>
      <w:bookmarkEnd w:id="1045"/>
      <w:bookmarkEnd w:id="1047"/>
    </w:p>
    <w:p>
      <w:pPr>
        <w:pStyle w:val="Style47"/>
        <w:keepNext/>
        <w:keepLines/>
        <w:widowControl w:val="0"/>
        <w:shd w:val="clear" w:color="auto" w:fill="auto"/>
        <w:bidi w:val="0"/>
        <w:spacing w:before="0" w:after="340" w:line="240" w:lineRule="auto"/>
        <w:ind w:left="0" w:right="0" w:firstLine="0"/>
        <w:jc w:val="left"/>
      </w:pPr>
      <w:bookmarkStart w:id="1048" w:name="bookmark1048"/>
      <w:bookmarkStart w:id="1049" w:name="bookmark1049"/>
      <w:bookmarkStart w:id="1050" w:name="bookmark1050"/>
      <w:bookmarkStart w:id="1051" w:name="bookmark1051"/>
      <w:r>
        <w:rPr>
          <w:color w:val="000000"/>
          <w:spacing w:val="0"/>
          <w:w w:val="100"/>
          <w:position w:val="0"/>
        </w:rPr>
        <w:t>（</w:t>
      </w:r>
      <w:bookmarkEnd w:id="1050"/>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048"/>
      <w:bookmarkEnd w:id="1049"/>
      <w:bookmarkEnd w:id="1051"/>
    </w:p>
    <w:p>
      <w:pPr>
        <w:pStyle w:val="Style26"/>
        <w:keepNext w:val="0"/>
        <w:keepLines w:val="0"/>
        <w:widowControl w:val="0"/>
        <w:shd w:val="clear" w:color="auto" w:fill="auto"/>
        <w:bidi w:val="0"/>
        <w:spacing w:before="0" w:after="0" w:line="240" w:lineRule="auto"/>
        <w:ind w:left="8587" w:right="0" w:firstLine="0"/>
        <w:jc w:val="lef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18,255,651.30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99.68%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8,084,640.44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99.76%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58,416.65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0.32%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19,603.58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0.24%</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18,314,067.95</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8,104,244.02</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年且金额重要的预付款项未及时结算原因的说明:</w:t>
      </w:r>
    </w:p>
    <w:p>
      <w:pPr>
        <w:widowControl w:val="0"/>
        <w:spacing w:after="339" w:line="1" w:lineRule="exact"/>
      </w:pPr>
    </w:p>
    <w:p>
      <w:pPr>
        <w:pStyle w:val="Style47"/>
        <w:keepNext/>
        <w:keepLines/>
        <w:widowControl w:val="0"/>
        <w:shd w:val="clear" w:color="auto" w:fill="auto"/>
        <w:bidi w:val="0"/>
        <w:spacing w:before="0" w:after="340" w:line="240" w:lineRule="auto"/>
        <w:ind w:left="0" w:right="0" w:firstLine="140"/>
        <w:jc w:val="left"/>
      </w:pPr>
      <w:bookmarkStart w:id="1052" w:name="bookmark1052"/>
      <w:bookmarkStart w:id="1053" w:name="bookmark1053"/>
      <w:bookmarkStart w:id="1054" w:name="bookmark1054"/>
      <w:bookmarkStart w:id="1055" w:name="bookmark1055"/>
      <w:r>
        <w:rPr>
          <w:color w:val="000000"/>
          <w:spacing w:val="0"/>
          <w:w w:val="100"/>
          <w:position w:val="0"/>
        </w:rPr>
        <w:t>（</w:t>
      </w:r>
      <w:bookmarkEnd w:id="1054"/>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052"/>
      <w:bookmarkEnd w:id="1053"/>
      <w:bookmarkEnd w:id="1055"/>
    </w:p>
    <w:p>
      <w:pPr>
        <w:pStyle w:val="Style26"/>
        <w:keepNext w:val="0"/>
        <w:keepLines w:val="0"/>
        <w:widowControl w:val="0"/>
        <w:shd w:val="clear" w:color="auto" w:fill="auto"/>
        <w:bidi w:val="0"/>
        <w:spacing w:before="0" w:after="0" w:line="240" w:lineRule="auto"/>
        <w:ind w:left="595" w:right="0" w:firstLine="0"/>
        <w:jc w:val="left"/>
      </w:pPr>
      <w:r>
        <w:rPr>
          <w:rFonts w:ascii="Times New Roman" w:eastAsia="Times New Roman" w:hAnsi="Times New Roman" w:cs="Times New Roman"/>
          <w:b/>
          <w:bCs/>
          <w:color w:val="000000"/>
          <w:spacing w:val="0"/>
          <w:w w:val="100"/>
          <w:position w:val="0"/>
        </w:rPr>
        <w:t>2016</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bl>
      <w:tblPr>
        <w:tblOverlap w:val="never"/>
        <w:jc w:val="center"/>
        <w:tblLayout w:type="fixed"/>
      </w:tblPr>
      <w:tblGrid>
        <w:gridCol w:w="2837"/>
        <w:gridCol w:w="2506"/>
        <w:gridCol w:w="4171"/>
      </w:tblGrid>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预付对象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占预付款期末余额合计数的比例</w:t>
            </w:r>
            <w:r>
              <w:rPr>
                <w:color w:val="000000"/>
                <w:spacing w:val="0"/>
                <w:w w:val="100"/>
                <w:position w:val="0"/>
              </w:rPr>
              <w:t>％</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2,744,137.30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14.98</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2,099,524.47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11.46</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1,099,669.22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969,756.26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5.30</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710,769.00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3.88</w:t>
            </w:r>
          </w:p>
        </w:tc>
      </w:tr>
      <w:tr>
        <w:trPr>
          <w:trHeight w:val="3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7,623,856.25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41.63</w:t>
            </w:r>
          </w:p>
        </w:tc>
      </w:tr>
    </w:tbl>
    <w:p>
      <w:pPr>
        <w:widowControl w:val="0"/>
        <w:spacing w:after="33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595" w:right="0" w:firstLine="0"/>
        <w:jc w:val="left"/>
      </w:pPr>
      <w:r>
        <w:rPr>
          <w:rFonts w:ascii="Times New Roman" w:eastAsia="Times New Roman" w:hAnsi="Times New Roman" w:cs="Times New Roman"/>
          <w:b/>
          <w:bCs/>
          <w:color w:val="000000"/>
          <w:spacing w:val="0"/>
          <w:w w:val="100"/>
          <w:position w:val="0"/>
        </w:rPr>
        <w:t>2015</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bl>
      <w:tblPr>
        <w:tblOverlap w:val="never"/>
        <w:jc w:val="center"/>
        <w:tblLayout w:type="fixed"/>
      </w:tblPr>
      <w:tblGrid>
        <w:gridCol w:w="2842"/>
        <w:gridCol w:w="2558"/>
        <w:gridCol w:w="4114"/>
      </w:tblGrid>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预付对象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占预付款期末余额合计数的比例</w:t>
            </w:r>
            <w:r>
              <w:rPr>
                <w:color w:val="000000"/>
                <w:spacing w:val="0"/>
                <w:w w:val="100"/>
                <w:position w:val="0"/>
              </w:rPr>
              <w:t>％</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6,220,848.62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76.76</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720,720.00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8.89</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401,173.33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4.95</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266,580.00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3.29</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104,276.08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w:t>
            </w:r>
          </w:p>
        </w:tc>
      </w:tr>
      <w:tr>
        <w:trPr>
          <w:trHeight w:val="3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7,713,598.03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95.18</w:t>
            </w:r>
          </w:p>
        </w:tc>
      </w:tr>
    </w:tbl>
    <w:p>
      <w:pPr>
        <w:widowControl w:val="0"/>
        <w:spacing w:after="33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left"/>
      </w:pPr>
      <w:bookmarkStart w:id="1056" w:name="bookmark1056"/>
      <w:r>
        <w:rPr>
          <w:rFonts w:ascii="Times New Roman" w:eastAsia="Times New Roman" w:hAnsi="Times New Roman" w:cs="Times New Roman"/>
          <w:b/>
          <w:bCs/>
          <w:color w:val="000000"/>
          <w:spacing w:val="0"/>
          <w:w w:val="100"/>
          <w:position w:val="0"/>
        </w:rPr>
        <w:t>9</w:t>
      </w:r>
      <w:r>
        <w:rPr>
          <w:b/>
          <w:bCs/>
          <w:color w:val="000000"/>
          <w:spacing w:val="0"/>
          <w:w w:val="100"/>
          <w:position w:val="0"/>
        </w:rPr>
        <w:t>、存出保证金</w:t>
      </w:r>
      <w:bookmarkEnd w:id="1056"/>
    </w:p>
    <w:tbl>
      <w:tblPr>
        <w:tblOverlap w:val="never"/>
        <w:jc w:val="center"/>
        <w:tblLayout w:type="fixed"/>
      </w:tblPr>
      <w:tblGrid>
        <w:gridCol w:w="1349"/>
        <w:gridCol w:w="3648"/>
        <w:gridCol w:w="4517"/>
      </w:tblGrid>
      <w:tr>
        <w:trPr>
          <w:trHeight w:val="379"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bl>
    <w:p>
      <w:pPr>
        <w:widowControl w:val="0"/>
        <w:spacing w:line="1" w:lineRule="exact"/>
      </w:pPr>
      <w:r>
        <w:br w:type="page"/>
      </w:r>
    </w:p>
    <w:tbl>
      <w:tblPr>
        <w:tblOverlap w:val="never"/>
        <w:jc w:val="center"/>
        <w:tblLayout w:type="fixed"/>
      </w:tblPr>
      <w:tblGrid>
        <w:gridCol w:w="1349"/>
        <w:gridCol w:w="1339"/>
        <w:gridCol w:w="955"/>
        <w:gridCol w:w="1354"/>
        <w:gridCol w:w="1176"/>
        <w:gridCol w:w="1027"/>
        <w:gridCol w:w="2314"/>
      </w:tblGrid>
      <w:tr>
        <w:trPr>
          <w:trHeight w:val="67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外币金额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折算汇率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折合人民币金 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折合人民币金额</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交易保证金</w:t>
            </w:r>
          </w:p>
        </w:tc>
        <w:tc>
          <w:tcPr>
            <w:tcBorders>
              <w:top w:val="single" w:sz="4"/>
              <w:left w:val="single" w:sz="4"/>
            </w:tcBorders>
            <w:shd w:val="clear" w:color="auto" w:fill="FFFFFF"/>
            <w:vAlign w:val="center"/>
          </w:tcPr>
          <w:p>
            <w:pPr>
              <w:pStyle w:val="Style20"/>
              <w:keepNext w:val="0"/>
              <w:keepLines w:val="0"/>
              <w:widowControl w:val="0"/>
              <w:shd w:val="clear" w:color="auto" w:fill="auto"/>
              <w:tabs>
                <w:tab w:leader="dot" w:pos="682"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b/>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112,250,191.34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其中：人民币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109,929,951.34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109,929,951.34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6.9370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1,872,990.00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0.8945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447,250.00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379,999,958.04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379,999,958.04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其中：人民币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379,999,958.04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379,999,958.04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tabs>
                <w:tab w:leader="dot" w:pos="682"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b/>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492,250,149.38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bookmarkStart w:id="1057" w:name="bookmark1057"/>
      <w:r>
        <w:rPr>
          <w:rFonts w:ascii="Times New Roman" w:eastAsia="Times New Roman" w:hAnsi="Times New Roman" w:cs="Times New Roman"/>
          <w:b/>
          <w:bCs/>
          <w:color w:val="000000"/>
          <w:spacing w:val="0"/>
          <w:w w:val="100"/>
          <w:position w:val="0"/>
        </w:rPr>
        <w:t>10</w:t>
      </w:r>
      <w:r>
        <w:rPr>
          <w:b/>
          <w:bCs/>
          <w:color w:val="000000"/>
          <w:spacing w:val="0"/>
          <w:w w:val="100"/>
          <w:position w:val="0"/>
        </w:rPr>
        <w:t>、应收利息</w:t>
      </w:r>
      <w:bookmarkEnd w:id="1057"/>
    </w:p>
    <w:p>
      <w:pPr>
        <w:widowControl w:val="0"/>
        <w:spacing w:after="339" w:line="1" w:lineRule="exact"/>
      </w:pPr>
    </w:p>
    <w:p>
      <w:pPr>
        <w:pStyle w:val="Style47"/>
        <w:keepNext/>
        <w:keepLines/>
        <w:widowControl w:val="0"/>
        <w:numPr>
          <w:ilvl w:val="0"/>
          <w:numId w:val="23"/>
        </w:numPr>
        <w:shd w:val="clear" w:color="auto" w:fill="auto"/>
        <w:bidi w:val="0"/>
        <w:spacing w:before="0" w:after="340" w:line="240" w:lineRule="auto"/>
        <w:ind w:left="0" w:right="0" w:firstLine="0"/>
        <w:jc w:val="left"/>
      </w:pPr>
      <w:bookmarkStart w:id="1058" w:name="bookmark1058"/>
      <w:bookmarkStart w:id="1059" w:name="bookmark1059"/>
      <w:bookmarkStart w:id="1060" w:name="bookmark1060"/>
      <w:bookmarkStart w:id="1061" w:name="bookmark1061"/>
      <w:bookmarkEnd w:id="1060"/>
      <w:r>
        <w:rPr>
          <w:color w:val="000000"/>
          <w:spacing w:val="0"/>
          <w:w w:val="100"/>
          <w:position w:val="0"/>
        </w:rPr>
        <w:t>应收利息分类</w:t>
      </w:r>
      <w:bookmarkEnd w:id="1058"/>
      <w:bookmarkEnd w:id="1059"/>
      <w:bookmarkEnd w:id="106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65,712,901.10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融资融券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8,038,184.01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买入返售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5,232,311.42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65,780.39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79,049,176.92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96" w:right="0" w:firstLine="0"/>
        <w:jc w:val="left"/>
        <w:sectPr>
          <w:headerReference w:type="default" r:id="rId45"/>
          <w:footerReference w:type="default" r:id="rId46"/>
          <w:footnotePr>
            <w:pos w:val="pageBottom"/>
            <w:numFmt w:val="decimal"/>
            <w:numRestart w:val="continuous"/>
          </w:footnotePr>
          <w:pgSz w:w="11900" w:h="16840"/>
          <w:pgMar w:top="1441" w:right="1130" w:bottom="1465" w:left="1097" w:header="0" w:footer="3" w:gutter="0"/>
          <w:cols w:space="720"/>
          <w:noEndnote/>
          <w:rtlGutter w:val="0"/>
          <w:docGrid w:linePitch="360"/>
        </w:sectPr>
      </w:pPr>
      <w:bookmarkStart w:id="1062" w:name="bookmark1062"/>
      <w:r>
        <w:rPr>
          <w:b/>
          <w:bCs/>
          <w:color w:val="000000"/>
          <w:spacing w:val="0"/>
          <w:w w:val="100"/>
          <w:position w:val="0"/>
        </w:rPr>
        <w:t>(</w:t>
      </w:r>
      <w:r>
        <w:rPr>
          <w:rFonts w:ascii="Times New Roman" w:eastAsia="Times New Roman" w:hAnsi="Times New Roman" w:cs="Times New Roman"/>
          <w:b/>
          <w:bCs/>
          <w:color w:val="000000"/>
          <w:spacing w:val="0"/>
          <w:w w:val="100"/>
          <w:position w:val="0"/>
        </w:rPr>
        <w:t>2</w:t>
      </w:r>
      <w:r>
        <w:rPr>
          <w:b/>
          <w:bCs/>
          <w:color w:val="000000"/>
          <w:spacing w:val="0"/>
          <w:w w:val="100"/>
          <w:position w:val="0"/>
        </w:rPr>
        <w:t>)本期无重要逾期利息。</w:t>
      </w:r>
      <w:bookmarkEnd w:id="1062"/>
    </w:p>
    <w:p>
      <w:pPr>
        <w:pStyle w:val="Style30"/>
        <w:keepNext/>
        <w:keepLines/>
        <w:widowControl w:val="0"/>
        <w:shd w:val="clear" w:color="auto" w:fill="auto"/>
        <w:bidi w:val="0"/>
        <w:spacing w:before="0" w:after="360" w:line="240" w:lineRule="auto"/>
        <w:ind w:left="0" w:right="0" w:firstLine="0"/>
        <w:jc w:val="left"/>
      </w:pPr>
      <w:bookmarkStart w:id="1063" w:name="bookmark1063"/>
      <w:bookmarkStart w:id="1064" w:name="bookmark1064"/>
      <w:bookmarkStart w:id="1065" w:name="bookmark1065"/>
      <w:r>
        <w:rPr>
          <w:rFonts w:ascii="Times New Roman" w:eastAsia="Times New Roman" w:hAnsi="Times New Roman" w:cs="Times New Roman"/>
          <w:color w:val="000000"/>
          <w:spacing w:val="0"/>
          <w:w w:val="100"/>
          <w:position w:val="0"/>
        </w:rPr>
        <w:t>11</w:t>
      </w:r>
      <w:r>
        <w:rPr>
          <w:color w:val="000000"/>
          <w:spacing w:val="0"/>
          <w:w w:val="100"/>
          <w:position w:val="0"/>
        </w:rPr>
        <w:t>、其他应收款</w:t>
      </w:r>
      <w:bookmarkEnd w:id="1063"/>
      <w:bookmarkEnd w:id="1064"/>
      <w:bookmarkEnd w:id="1065"/>
    </w:p>
    <w:p>
      <w:pPr>
        <w:pStyle w:val="Style47"/>
        <w:keepNext/>
        <w:keepLines/>
        <w:widowControl w:val="0"/>
        <w:shd w:val="clear" w:color="auto" w:fill="auto"/>
        <w:bidi w:val="0"/>
        <w:spacing w:before="0" w:line="240" w:lineRule="auto"/>
        <w:ind w:left="0" w:right="0" w:firstLine="0"/>
        <w:jc w:val="left"/>
      </w:pPr>
      <w:bookmarkStart w:id="1066" w:name="bookmark1066"/>
      <w:bookmarkStart w:id="1067" w:name="bookmark1067"/>
      <w:bookmarkStart w:id="1068" w:name="bookmark1068"/>
      <w:bookmarkStart w:id="1069" w:name="bookmark1069"/>
      <w:r>
        <w:rPr>
          <w:color w:val="000000"/>
          <w:spacing w:val="0"/>
          <w:w w:val="100"/>
          <w:position w:val="0"/>
        </w:rPr>
        <w:t>（</w:t>
      </w:r>
      <w:bookmarkEnd w:id="1068"/>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066"/>
      <w:bookmarkEnd w:id="1067"/>
      <w:bookmarkEnd w:id="1069"/>
    </w:p>
    <w:p>
      <w:pPr>
        <w:pStyle w:val="Style26"/>
        <w:keepNext w:val="0"/>
        <w:keepLines w:val="0"/>
        <w:widowControl w:val="0"/>
        <w:shd w:val="clear" w:color="auto" w:fill="auto"/>
        <w:bidi w:val="0"/>
        <w:spacing w:before="0" w:after="0" w:line="240" w:lineRule="auto"/>
        <w:ind w:left="12912" w:right="0" w:firstLine="0"/>
        <w:jc w:val="left"/>
      </w:pPr>
      <w:r>
        <w:rPr>
          <w:color w:val="000000"/>
          <w:spacing w:val="0"/>
          <w:w w:val="100"/>
          <w:position w:val="0"/>
        </w:rPr>
        <w:t>单位：元</w:t>
      </w:r>
    </w:p>
    <w:tbl>
      <w:tblPr>
        <w:tblOverlap w:val="never"/>
        <w:jc w:val="center"/>
        <w:tblLayout w:type="fixed"/>
      </w:tblPr>
      <w:tblGrid>
        <w:gridCol w:w="2986"/>
        <w:gridCol w:w="1416"/>
        <w:gridCol w:w="850"/>
        <w:gridCol w:w="1277"/>
        <w:gridCol w:w="850"/>
        <w:gridCol w:w="1421"/>
        <w:gridCol w:w="1416"/>
        <w:gridCol w:w="850"/>
        <w:gridCol w:w="994"/>
        <w:gridCol w:w="710"/>
        <w:gridCol w:w="1282"/>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27"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按信用风险特征组合计提坏账 准备的其他应收款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17,707,641.31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399,795.27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17,307,846.04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1,873,241.04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62,006.46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1,811,234.58</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17,707,641.31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399,795.27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2.26%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17,307,846.04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1,873,241.04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62,006.46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1,811,234.58</w:t>
            </w:r>
          </w:p>
        </w:tc>
      </w:tr>
    </w:tbl>
    <w:p>
      <w:pPr>
        <w:pStyle w:val="Style26"/>
        <w:keepNext w:val="0"/>
        <w:keepLines w:val="0"/>
        <w:widowControl w:val="0"/>
        <w:shd w:val="clear" w:color="auto" w:fill="auto"/>
        <w:tabs>
          <w:tab w:pos="7872" w:val="left"/>
        </w:tabs>
        <w:bidi w:val="0"/>
        <w:spacing w:before="0" w:after="80" w:line="240" w:lineRule="auto"/>
        <w:ind w:left="413" w:right="0" w:firstLine="0"/>
        <w:jc w:val="left"/>
      </w:pPr>
      <w:r>
        <w:rPr>
          <w:b/>
          <w:bCs/>
          <w:color w:val="000000"/>
          <w:spacing w:val="0"/>
          <w:w w:val="100"/>
          <w:position w:val="0"/>
        </w:rPr>
        <w:t>期末单项金额重大并单项计提坏账准备的其他应收款：</w:t>
        <w:tab/>
      </w: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6"/>
        <w:keepNext w:val="0"/>
        <w:keepLines w:val="0"/>
        <w:widowControl w:val="0"/>
        <w:shd w:val="clear" w:color="auto" w:fill="auto"/>
        <w:tabs>
          <w:tab w:pos="7872" w:val="left"/>
        </w:tabs>
        <w:bidi w:val="0"/>
        <w:spacing w:before="0" w:after="0" w:line="240" w:lineRule="auto"/>
        <w:ind w:left="413" w:right="0" w:firstLine="0"/>
        <w:jc w:val="left"/>
      </w:pPr>
      <w:r>
        <w:rPr>
          <w:b/>
          <w:bCs/>
          <w:color w:val="000000"/>
          <w:spacing w:val="0"/>
          <w:w w:val="100"/>
          <w:position w:val="0"/>
        </w:rPr>
        <w:t>组合中，按账龄分析法计提坏账准备的其他应收款：</w:t>
        <w:tab/>
      </w: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widowControl w:val="0"/>
        <w:spacing w:after="59" w:line="1" w:lineRule="exact"/>
      </w:pPr>
    </w:p>
    <w:p>
      <w:pPr>
        <w:pStyle w:val="Style26"/>
        <w:keepNext w:val="0"/>
        <w:keepLines w:val="0"/>
        <w:widowControl w:val="0"/>
        <w:shd w:val="clear" w:color="auto" w:fill="auto"/>
        <w:tabs>
          <w:tab w:pos="12893" w:val="left"/>
        </w:tabs>
        <w:bidi w:val="0"/>
        <w:spacing w:before="0" w:after="0" w:line="240" w:lineRule="auto"/>
        <w:ind w:left="4910" w:right="0" w:firstLine="0"/>
        <w:jc w:val="left"/>
      </w:pPr>
      <w:r>
        <w:rPr>
          <w:b/>
          <w:bCs/>
          <w:color w:val="000000"/>
          <w:spacing w:val="0"/>
          <w:w w:val="100"/>
          <w:position w:val="0"/>
        </w:rPr>
        <w:t>组合中</w:t>
      </w:r>
      <w:r>
        <w:rPr>
          <w:rFonts w:ascii="Times New Roman" w:eastAsia="Times New Roman" w:hAnsi="Times New Roman" w:cs="Times New Roman"/>
          <w:b/>
          <w:bCs/>
          <w:color w:val="000000"/>
          <w:spacing w:val="0"/>
          <w:w w:val="100"/>
          <w:position w:val="0"/>
        </w:rPr>
        <w:t>1</w:t>
      </w:r>
      <w:r>
        <w:rPr>
          <w:b/>
          <w:bCs/>
          <w:color w:val="000000"/>
          <w:spacing w:val="0"/>
          <w:w w:val="100"/>
          <w:position w:val="0"/>
        </w:rPr>
        <w:t>中，按账龄分析法计提坏账准备的其他应收款：</w:t>
        <w:tab/>
      </w:r>
      <w:r>
        <w:rPr>
          <w:color w:val="000000"/>
          <w:spacing w:val="0"/>
          <w:w w:val="100"/>
          <w:position w:val="0"/>
        </w:rPr>
        <w:t>单位：元</w:t>
      </w:r>
    </w:p>
    <w:tbl>
      <w:tblPr>
        <w:tblOverlap w:val="never"/>
        <w:jc w:val="center"/>
        <w:tblLayout w:type="fixed"/>
      </w:tblPr>
      <w:tblGrid>
        <w:gridCol w:w="2986"/>
        <w:gridCol w:w="3542"/>
        <w:gridCol w:w="3686"/>
        <w:gridCol w:w="3835"/>
      </w:tblGrid>
      <w:tr>
        <w:trPr>
          <w:trHeight w:val="326"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年以内分项</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rPr>
              <w:t>3</w:t>
            </w:r>
            <w:r>
              <w:rPr>
                <w:color w:val="000000"/>
                <w:spacing w:val="0"/>
                <w:w w:val="100"/>
                <w:position w:val="0"/>
              </w:rPr>
              <w:t>个月以内（含</w:t>
            </w:r>
            <w:r>
              <w:rPr>
                <w:rFonts w:ascii="Times New Roman" w:eastAsia="Times New Roman" w:hAnsi="Times New Roman" w:cs="Times New Roman"/>
                <w:color w:val="000000"/>
                <w:spacing w:val="0"/>
                <w:w w:val="100"/>
                <w:position w:val="0"/>
              </w:rPr>
              <w:t>3</w:t>
            </w:r>
            <w:r>
              <w:rPr>
                <w:color w:val="000000"/>
                <w:spacing w:val="0"/>
                <w:w w:val="100"/>
                <w:position w:val="0"/>
              </w:rPr>
              <w:t>个月）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104,033.53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个月至</w:t>
            </w:r>
            <w:r>
              <w:rPr>
                <w:rFonts w:ascii="Times New Roman" w:eastAsia="Times New Roman" w:hAnsi="Times New Roman" w:cs="Times New Roman"/>
                <w:color w:val="000000"/>
                <w:spacing w:val="0"/>
                <w:w w:val="100"/>
                <w:position w:val="0"/>
              </w:rPr>
              <w:t>6</w:t>
            </w:r>
            <w:r>
              <w:rPr>
                <w:color w:val="000000"/>
                <w:spacing w:val="0"/>
                <w:w w:val="100"/>
                <w:position w:val="0"/>
              </w:rPr>
              <w:t>个月（含</w:t>
            </w:r>
            <w:r>
              <w:rPr>
                <w:rFonts w:ascii="Times New Roman" w:eastAsia="Times New Roman" w:hAnsi="Times New Roman" w:cs="Times New Roman"/>
                <w:color w:val="000000"/>
                <w:spacing w:val="0"/>
                <w:w w:val="100"/>
                <w:position w:val="0"/>
              </w:rPr>
              <w:t>6</w:t>
            </w:r>
            <w:r>
              <w:rPr>
                <w:color w:val="000000"/>
                <w:spacing w:val="0"/>
                <w:w w:val="100"/>
                <w:position w:val="0"/>
              </w:rPr>
              <w:t>个月）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00" w:right="0" w:firstLine="0"/>
              <w:jc w:val="both"/>
            </w:pPr>
            <w:r>
              <w:rPr>
                <w:rFonts w:ascii="Times New Roman" w:eastAsia="Times New Roman" w:hAnsi="Times New Roman" w:cs="Times New Roman"/>
                <w:color w:val="000000"/>
                <w:spacing w:val="0"/>
                <w:w w:val="100"/>
                <w:position w:val="0"/>
              </w:rPr>
              <w:t>4,815,532.96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个月至</w:t>
            </w:r>
            <w:r>
              <w:rPr>
                <w:rFonts w:ascii="Times New Roman" w:eastAsia="Times New Roman" w:hAnsi="Times New Roman" w:cs="Times New Roman"/>
                <w:color w:val="000000"/>
                <w:spacing w:val="0"/>
                <w:w w:val="100"/>
                <w:position w:val="0"/>
              </w:rPr>
              <w:t>1</w:t>
            </w:r>
            <w:r>
              <w:rPr>
                <w:color w:val="000000"/>
                <w:spacing w:val="0"/>
                <w:w w:val="100"/>
                <w:position w:val="0"/>
              </w:rPr>
              <w:t>年（含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00" w:right="0" w:firstLine="0"/>
              <w:jc w:val="both"/>
            </w:pPr>
            <w:r>
              <w:rPr>
                <w:rFonts w:ascii="Times New Roman" w:eastAsia="Times New Roman" w:hAnsi="Times New Roman" w:cs="Times New Roman"/>
                <w:color w:val="000000"/>
                <w:spacing w:val="0"/>
                <w:w w:val="100"/>
                <w:position w:val="0"/>
              </w:rPr>
              <w:t>1,023,056.19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51,152.80%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215,868.99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21,586.90%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445,000.00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222,500.00%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00" w:right="0" w:firstLine="0"/>
              <w:jc w:val="both"/>
            </w:pPr>
            <w:r>
              <w:rPr>
                <w:rFonts w:ascii="Times New Roman" w:eastAsia="Times New Roman" w:hAnsi="Times New Roman" w:cs="Times New Roman"/>
                <w:color w:val="000000"/>
                <w:spacing w:val="0"/>
                <w:w w:val="100"/>
                <w:position w:val="0"/>
              </w:rPr>
              <w:t>6,603,491.67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37.29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295,239.70%</w:t>
            </w:r>
          </w:p>
        </w:tc>
      </w:tr>
    </w:tbl>
    <w:p>
      <w:pPr>
        <w:sectPr>
          <w:headerReference w:type="default" r:id="rId47"/>
          <w:footerReference w:type="default" r:id="rId48"/>
          <w:footnotePr>
            <w:pos w:val="pageBottom"/>
            <w:numFmt w:val="decimal"/>
            <w:numRestart w:val="continuous"/>
          </w:footnotePr>
          <w:pgSz w:w="16840" w:h="11900" w:orient="landscape"/>
          <w:pgMar w:top="1186" w:right="1360" w:bottom="1186" w:left="1422" w:header="0" w:footer="3" w:gutter="0"/>
          <w:cols w:space="720"/>
          <w:noEndnote/>
          <w:rtlGutter w:val="0"/>
          <w:docGrid w:linePitch="360"/>
        </w:sectPr>
      </w:pPr>
    </w:p>
    <w:p>
      <w:pPr>
        <w:pStyle w:val="Style26"/>
        <w:keepNext w:val="0"/>
        <w:keepLines w:val="0"/>
        <w:widowControl w:val="0"/>
        <w:shd w:val="clear" w:color="auto" w:fill="auto"/>
        <w:bidi w:val="0"/>
        <w:spacing w:before="0" w:after="0" w:line="240" w:lineRule="auto"/>
        <w:ind w:left="408" w:right="0" w:firstLine="0"/>
        <w:jc w:val="left"/>
      </w:pPr>
      <w:r>
        <w:rPr>
          <w:b/>
          <w:bCs/>
          <w:color w:val="000000"/>
          <w:spacing w:val="0"/>
          <w:w w:val="100"/>
          <w:position w:val="0"/>
        </w:rPr>
        <w:t>组合中</w:t>
      </w:r>
      <w:r>
        <w:rPr>
          <w:rFonts w:ascii="Times New Roman" w:eastAsia="Times New Roman" w:hAnsi="Times New Roman" w:cs="Times New Roman"/>
          <w:b/>
          <w:bCs/>
          <w:color w:val="000000"/>
          <w:spacing w:val="0"/>
          <w:w w:val="100"/>
          <w:position w:val="0"/>
        </w:rPr>
        <w:t>2</w:t>
      </w:r>
      <w:r>
        <w:rPr>
          <w:b/>
          <w:bCs/>
          <w:color w:val="000000"/>
          <w:spacing w:val="0"/>
          <w:w w:val="100"/>
          <w:position w:val="0"/>
        </w:rPr>
        <w:t>中，按账龄分析法计提坏账准备的其他应收款:</w:t>
      </w:r>
    </w:p>
    <w:tbl>
      <w:tblPr>
        <w:tblOverlap w:val="never"/>
        <w:jc w:val="center"/>
        <w:tblLayout w:type="fixed"/>
      </w:tblPr>
      <w:tblGrid>
        <w:gridCol w:w="2131"/>
        <w:gridCol w:w="1603"/>
        <w:gridCol w:w="1008"/>
        <w:gridCol w:w="1498"/>
        <w:gridCol w:w="1152"/>
        <w:gridCol w:w="1018"/>
        <w:gridCol w:w="1243"/>
      </w:tblGrid>
      <w:tr>
        <w:trPr>
          <w:trHeight w:val="346"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2016.12.31</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2015.12.31</w:t>
            </w:r>
          </w:p>
        </w:tc>
      </w:tr>
      <w:tr>
        <w:trPr>
          <w:trHeight w:val="341"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坏账准备</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w:t>
            </w:r>
          </w:p>
        </w:tc>
      </w:tr>
      <w:tr>
        <w:trPr>
          <w:trHeight w:val="34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tcBorders>
              <w:left w:val="single" w:sz="4"/>
              <w:right w:val="single" w:sz="4"/>
            </w:tcBorders>
            <w:shd w:val="clear" w:color="auto" w:fill="FFFFFF"/>
            <w:vAlign w:val="center"/>
          </w:tcPr>
          <w:p>
            <w:pP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9,607,845.21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54.26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49,023.45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1,045,295.23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10,452.95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435.00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450,574.20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45,057.42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11,104,149.64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62.71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104,555.57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tabs>
          <w:tab w:pos="7459" w:val="left"/>
        </w:tabs>
        <w:bidi w:val="0"/>
        <w:spacing w:before="0" w:after="0" w:line="240" w:lineRule="auto"/>
        <w:ind w:left="0" w:right="0" w:firstLine="0"/>
        <w:jc w:val="center"/>
      </w:pPr>
      <w:r>
        <w:rPr>
          <w:b/>
          <w:bCs/>
          <w:color w:val="000000"/>
          <w:spacing w:val="0"/>
          <w:w w:val="100"/>
          <w:position w:val="0"/>
        </w:rPr>
        <w:t>组合中，采用余额百分比法计提坏账准备的其他应收款：</w:t>
        <w:tab/>
      </w: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widowControl w:val="0"/>
        <w:spacing w:after="59" w:line="1" w:lineRule="exact"/>
      </w:pPr>
    </w:p>
    <w:p>
      <w:pPr>
        <w:pStyle w:val="Style33"/>
        <w:keepNext w:val="0"/>
        <w:keepLines w:val="0"/>
        <w:widowControl w:val="0"/>
        <w:shd w:val="clear" w:color="auto" w:fill="auto"/>
        <w:tabs>
          <w:tab w:pos="7870" w:val="left"/>
        </w:tabs>
        <w:bidi w:val="0"/>
        <w:spacing w:before="0" w:after="360" w:line="240" w:lineRule="auto"/>
        <w:ind w:left="0" w:right="0" w:firstLine="420"/>
        <w:jc w:val="left"/>
      </w:pPr>
      <w:r>
        <w:rPr>
          <w:b/>
          <w:bCs/>
          <w:color w:val="000000"/>
          <w:spacing w:val="0"/>
          <w:w w:val="100"/>
          <w:position w:val="0"/>
        </w:rPr>
        <w:t>组合中，采用其他方法计提坏账准备的其他应收款：</w:t>
        <w:tab/>
      </w:r>
      <w:r>
        <w:rPr>
          <w:color w:val="000000"/>
          <w:spacing w:val="0"/>
          <w:w w:val="100"/>
          <w:position w:val="0"/>
        </w:rPr>
        <w:t>口</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47"/>
        <w:keepNext/>
        <w:keepLines/>
        <w:widowControl w:val="0"/>
        <w:shd w:val="clear" w:color="auto" w:fill="auto"/>
        <w:tabs>
          <w:tab w:pos="493" w:val="left"/>
        </w:tabs>
        <w:bidi w:val="0"/>
        <w:spacing w:before="0" w:line="240" w:lineRule="auto"/>
        <w:ind w:left="0" w:right="0" w:firstLine="0"/>
        <w:jc w:val="left"/>
      </w:pPr>
      <w:bookmarkStart w:id="1070" w:name="bookmark1070"/>
      <w:bookmarkStart w:id="1071" w:name="bookmark1071"/>
      <w:bookmarkStart w:id="1072" w:name="bookmark1072"/>
      <w:bookmarkStart w:id="1073" w:name="bookmark1073"/>
      <w:r>
        <w:rPr>
          <w:rFonts w:ascii="Times New Roman" w:eastAsia="Times New Roman" w:hAnsi="Times New Roman" w:cs="Times New Roman"/>
          <w:color w:val="000000"/>
          <w:spacing w:val="0"/>
          <w:w w:val="100"/>
          <w:position w:val="0"/>
        </w:rPr>
        <w:t>（</w:t>
      </w:r>
      <w:bookmarkEnd w:id="1072"/>
      <w:r>
        <w:rPr>
          <w:rFonts w:ascii="Times New Roman" w:eastAsia="Times New Roman" w:hAnsi="Times New Roman" w:cs="Times New Roman"/>
          <w:color w:val="000000"/>
          <w:spacing w:val="0"/>
          <w:w w:val="100"/>
          <w:position w:val="0"/>
        </w:rPr>
        <w:t>2</w:t>
      </w:r>
      <w:r>
        <w:rPr>
          <w:color w:val="000000"/>
          <w:spacing w:val="0"/>
          <w:w w:val="100"/>
          <w:position w:val="0"/>
        </w:rPr>
        <w:t>）</w:t>
        <w:tab/>
        <w:t>本期计提坏账准备金额</w:t>
      </w:r>
      <w:r>
        <w:rPr>
          <w:rFonts w:ascii="Times New Roman" w:eastAsia="Times New Roman" w:hAnsi="Times New Roman" w:cs="Times New Roman"/>
          <w:color w:val="000000"/>
          <w:spacing w:val="0"/>
          <w:w w:val="100"/>
          <w:position w:val="0"/>
        </w:rPr>
        <w:t>233,233.24</w:t>
      </w:r>
      <w:r>
        <w:rPr>
          <w:color w:val="000000"/>
          <w:spacing w:val="0"/>
          <w:w w:val="100"/>
          <w:position w:val="0"/>
        </w:rPr>
        <w:t>元；本期无收回或转回坏账准备。</w:t>
      </w:r>
      <w:bookmarkEnd w:id="1070"/>
      <w:bookmarkEnd w:id="1071"/>
      <w:bookmarkEnd w:id="1073"/>
    </w:p>
    <w:p>
      <w:pPr>
        <w:pStyle w:val="Style47"/>
        <w:keepNext/>
        <w:keepLines/>
        <w:widowControl w:val="0"/>
        <w:shd w:val="clear" w:color="auto" w:fill="auto"/>
        <w:tabs>
          <w:tab w:pos="493" w:val="left"/>
        </w:tabs>
        <w:bidi w:val="0"/>
        <w:spacing w:before="0" w:line="240" w:lineRule="auto"/>
        <w:ind w:left="0" w:right="0" w:firstLine="0"/>
        <w:jc w:val="left"/>
      </w:pPr>
      <w:bookmarkStart w:id="1074" w:name="bookmark1074"/>
      <w:bookmarkStart w:id="1075" w:name="bookmark1075"/>
      <w:bookmarkStart w:id="1076" w:name="bookmark1076"/>
      <w:bookmarkStart w:id="1077" w:name="bookmark1077"/>
      <w:r>
        <w:rPr>
          <w:rFonts w:ascii="Times New Roman" w:eastAsia="Times New Roman" w:hAnsi="Times New Roman" w:cs="Times New Roman"/>
          <w:color w:val="000000"/>
          <w:spacing w:val="0"/>
          <w:w w:val="100"/>
          <w:position w:val="0"/>
        </w:rPr>
        <w:t>（</w:t>
      </w:r>
      <w:bookmarkEnd w:id="1076"/>
      <w:r>
        <w:rPr>
          <w:rFonts w:ascii="Times New Roman" w:eastAsia="Times New Roman" w:hAnsi="Times New Roman" w:cs="Times New Roman"/>
          <w:color w:val="000000"/>
          <w:spacing w:val="0"/>
          <w:w w:val="100"/>
          <w:position w:val="0"/>
        </w:rPr>
        <w:t>3</w:t>
      </w:r>
      <w:r>
        <w:rPr>
          <w:color w:val="000000"/>
          <w:spacing w:val="0"/>
          <w:w w:val="100"/>
          <w:position w:val="0"/>
        </w:rPr>
        <w:t>）</w:t>
        <w:tab/>
        <w:t>本期无实际核销的其他应收款。</w:t>
      </w:r>
      <w:bookmarkEnd w:id="1074"/>
      <w:bookmarkEnd w:id="1075"/>
      <w:bookmarkEnd w:id="1077"/>
    </w:p>
    <w:p>
      <w:pPr>
        <w:pStyle w:val="Style47"/>
        <w:keepNext/>
        <w:keepLines/>
        <w:widowControl w:val="0"/>
        <w:shd w:val="clear" w:color="auto" w:fill="auto"/>
        <w:tabs>
          <w:tab w:pos="493" w:val="left"/>
        </w:tabs>
        <w:bidi w:val="0"/>
        <w:spacing w:before="0" w:line="240" w:lineRule="auto"/>
        <w:ind w:left="0" w:right="0" w:firstLine="0"/>
        <w:jc w:val="left"/>
      </w:pPr>
      <w:bookmarkStart w:id="1078" w:name="bookmark1078"/>
      <w:bookmarkStart w:id="1079" w:name="bookmark1079"/>
      <w:bookmarkStart w:id="1080" w:name="bookmark1080"/>
      <w:bookmarkStart w:id="1081" w:name="bookmark1081"/>
      <w:r>
        <w:rPr>
          <w:rFonts w:ascii="Times New Roman" w:eastAsia="Times New Roman" w:hAnsi="Times New Roman" w:cs="Times New Roman"/>
          <w:color w:val="000000"/>
          <w:spacing w:val="0"/>
          <w:w w:val="100"/>
          <w:position w:val="0"/>
        </w:rPr>
        <w:t>（</w:t>
      </w:r>
      <w:bookmarkEnd w:id="1080"/>
      <w:r>
        <w:rPr>
          <w:rFonts w:ascii="Times New Roman" w:eastAsia="Times New Roman" w:hAnsi="Times New Roman" w:cs="Times New Roman"/>
          <w:color w:val="000000"/>
          <w:spacing w:val="0"/>
          <w:w w:val="100"/>
          <w:position w:val="0"/>
        </w:rPr>
        <w:t>4</w:t>
      </w:r>
      <w:r>
        <w:rPr>
          <w:color w:val="000000"/>
          <w:spacing w:val="0"/>
          <w:w w:val="100"/>
          <w:position w:val="0"/>
        </w:rPr>
        <w:t>）</w:t>
        <w:tab/>
        <w:t>其他应收款按款项性质分类情况</w:t>
      </w:r>
      <w:bookmarkEnd w:id="1078"/>
      <w:bookmarkEnd w:id="1079"/>
      <w:bookmarkEnd w:id="1081"/>
    </w:p>
    <w:p>
      <w:pPr>
        <w:pStyle w:val="Style26"/>
        <w:keepNext w:val="0"/>
        <w:keepLines w:val="0"/>
        <w:widowControl w:val="0"/>
        <w:shd w:val="clear" w:color="auto" w:fill="auto"/>
        <w:bidi w:val="0"/>
        <w:spacing w:before="0" w:after="0" w:line="240" w:lineRule="auto"/>
        <w:ind w:left="8587"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款项性质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246,530.39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559,080.42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5,585,064.00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542,312.00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817,291.51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563,151.59</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10,741,215.21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168,400.00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317,540.20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40,297.03</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17,707,641.31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1,873,241.04</w:t>
            </w:r>
          </w:p>
        </w:tc>
      </w:tr>
    </w:tbl>
    <w:p>
      <w:pPr>
        <w:widowControl w:val="0"/>
        <w:spacing w:after="299" w:line="1" w:lineRule="exact"/>
      </w:pPr>
    </w:p>
    <w:p>
      <w:pPr>
        <w:pStyle w:val="Style47"/>
        <w:keepNext/>
        <w:keepLines/>
        <w:widowControl w:val="0"/>
        <w:shd w:val="clear" w:color="auto" w:fill="auto"/>
        <w:tabs>
          <w:tab w:pos="493" w:val="left"/>
        </w:tabs>
        <w:bidi w:val="0"/>
        <w:spacing w:before="0" w:after="300" w:line="302" w:lineRule="exact"/>
        <w:ind w:left="0" w:right="0" w:firstLine="0"/>
        <w:jc w:val="left"/>
      </w:pPr>
      <w:bookmarkStart w:id="1082" w:name="bookmark1082"/>
      <w:bookmarkStart w:id="1083" w:name="bookmark1083"/>
      <w:bookmarkStart w:id="1084" w:name="bookmark1084"/>
      <w:bookmarkStart w:id="1085" w:name="bookmark1085"/>
      <w:r>
        <w:rPr>
          <w:color w:val="000000"/>
          <w:spacing w:val="0"/>
          <w:w w:val="100"/>
          <w:position w:val="0"/>
        </w:rPr>
        <w:t>（</w:t>
      </w:r>
      <w:bookmarkEnd w:id="1084"/>
      <w:r>
        <w:rPr>
          <w:rFonts w:ascii="Times New Roman" w:eastAsia="Times New Roman" w:hAnsi="Times New Roman" w:cs="Times New Roman"/>
          <w:color w:val="000000"/>
          <w:spacing w:val="0"/>
          <w:w w:val="100"/>
          <w:position w:val="0"/>
        </w:rPr>
        <w:t>5</w:t>
      </w:r>
      <w:r>
        <w:rPr>
          <w:color w:val="000000"/>
          <w:spacing w:val="0"/>
          <w:w w:val="100"/>
          <w:position w:val="0"/>
        </w:rPr>
        <w:t>）</w:t>
        <w:tab/>
        <w:t>按欠款方归集的期末余额前五名的其他应收款情况</w:t>
      </w:r>
      <w:bookmarkEnd w:id="1082"/>
      <w:bookmarkEnd w:id="1083"/>
      <w:bookmarkEnd w:id="1085"/>
    </w:p>
    <w:p>
      <w:pPr>
        <w:pStyle w:val="Style33"/>
        <w:keepNext w:val="0"/>
        <w:keepLines w:val="0"/>
        <w:widowControl w:val="0"/>
        <w:shd w:val="clear" w:color="auto" w:fill="auto"/>
        <w:bidi w:val="0"/>
        <w:spacing w:before="0" w:after="300" w:line="302" w:lineRule="exact"/>
        <w:ind w:left="0" w:right="0" w:firstLine="420"/>
        <w:jc w:val="both"/>
      </w:pPr>
      <w:r>
        <w:rPr>
          <w:color w:val="000000"/>
          <w:spacing w:val="0"/>
          <w:w w:val="100"/>
          <w:position w:val="0"/>
        </w:rPr>
        <w:t>按欠款方归集的期末余额前五名其他应收款汇总金额</w:t>
      </w:r>
      <w:r>
        <w:rPr>
          <w:rFonts w:ascii="Times New Roman" w:eastAsia="Times New Roman" w:hAnsi="Times New Roman" w:cs="Times New Roman"/>
          <w:color w:val="000000"/>
          <w:spacing w:val="0"/>
          <w:w w:val="100"/>
          <w:position w:val="0"/>
        </w:rPr>
        <w:t>9,805,270.50</w:t>
      </w:r>
      <w:r>
        <w:rPr>
          <w:color w:val="000000"/>
          <w:spacing w:val="0"/>
          <w:w w:val="100"/>
          <w:position w:val="0"/>
        </w:rPr>
        <w:t>元，占其他应收款期末余额合计数 的比例</w:t>
      </w:r>
      <w:r>
        <w:rPr>
          <w:rFonts w:ascii="Times New Roman" w:eastAsia="Times New Roman" w:hAnsi="Times New Roman" w:cs="Times New Roman"/>
          <w:color w:val="000000"/>
          <w:spacing w:val="0"/>
          <w:w w:val="100"/>
          <w:position w:val="0"/>
        </w:rPr>
        <w:t>55.37%</w:t>
      </w:r>
      <w:r>
        <w:rPr>
          <w:color w:val="000000"/>
          <w:spacing w:val="0"/>
          <w:w w:val="100"/>
          <w:position w:val="0"/>
        </w:rPr>
        <w:t>，相应计提的坏账准备期末余额汇总金额</w:t>
      </w:r>
      <w:r>
        <w:rPr>
          <w:rFonts w:ascii="Times New Roman" w:eastAsia="Times New Roman" w:hAnsi="Times New Roman" w:cs="Times New Roman"/>
          <w:color w:val="000000"/>
          <w:spacing w:val="0"/>
          <w:w w:val="100"/>
          <w:position w:val="0"/>
        </w:rPr>
        <w:t>118,570.60</w:t>
      </w:r>
      <w:r>
        <w:rPr>
          <w:color w:val="000000"/>
          <w:spacing w:val="0"/>
          <w:w w:val="100"/>
          <w:position w:val="0"/>
        </w:rPr>
        <w:t>元。</w:t>
      </w:r>
    </w:p>
    <w:p>
      <w:pPr>
        <w:pStyle w:val="Style47"/>
        <w:keepNext/>
        <w:keepLines/>
        <w:widowControl w:val="0"/>
        <w:shd w:val="clear" w:color="auto" w:fill="auto"/>
        <w:tabs>
          <w:tab w:pos="493" w:val="left"/>
        </w:tabs>
        <w:bidi w:val="0"/>
        <w:spacing w:before="0" w:after="300" w:line="302" w:lineRule="exact"/>
        <w:ind w:left="0" w:right="0" w:firstLine="0"/>
        <w:jc w:val="left"/>
      </w:pPr>
      <w:bookmarkStart w:id="1086" w:name="bookmark1086"/>
      <w:bookmarkStart w:id="1087" w:name="bookmark1087"/>
      <w:bookmarkStart w:id="1088" w:name="bookmark1088"/>
      <w:bookmarkStart w:id="1089" w:name="bookmark1089"/>
      <w:r>
        <w:rPr>
          <w:color w:val="000000"/>
          <w:spacing w:val="0"/>
          <w:w w:val="100"/>
          <w:position w:val="0"/>
        </w:rPr>
        <w:t>（</w:t>
      </w:r>
      <w:bookmarkEnd w:id="1088"/>
      <w:r>
        <w:rPr>
          <w:rFonts w:ascii="Times New Roman" w:eastAsia="Times New Roman" w:hAnsi="Times New Roman" w:cs="Times New Roman"/>
          <w:color w:val="000000"/>
          <w:spacing w:val="0"/>
          <w:w w:val="100"/>
          <w:position w:val="0"/>
        </w:rPr>
        <w:t>6</w:t>
      </w:r>
      <w:r>
        <w:rPr>
          <w:color w:val="000000"/>
          <w:spacing w:val="0"/>
          <w:w w:val="100"/>
          <w:position w:val="0"/>
        </w:rPr>
        <w:t>）</w:t>
        <w:tab/>
        <w:t>本期无涉及政府补助的应收款项。</w:t>
      </w:r>
      <w:bookmarkEnd w:id="1086"/>
      <w:bookmarkEnd w:id="1087"/>
      <w:bookmarkEnd w:id="1089"/>
    </w:p>
    <w:p>
      <w:pPr>
        <w:pStyle w:val="Style47"/>
        <w:keepNext/>
        <w:keepLines/>
        <w:widowControl w:val="0"/>
        <w:shd w:val="clear" w:color="auto" w:fill="auto"/>
        <w:tabs>
          <w:tab w:pos="493" w:val="left"/>
        </w:tabs>
        <w:bidi w:val="0"/>
        <w:spacing w:before="0" w:after="300" w:line="302" w:lineRule="exact"/>
        <w:ind w:left="0" w:right="0" w:firstLine="0"/>
        <w:jc w:val="left"/>
      </w:pPr>
      <w:bookmarkStart w:id="1090" w:name="bookmark1090"/>
      <w:bookmarkStart w:id="1091" w:name="bookmark1091"/>
      <w:bookmarkStart w:id="1092" w:name="bookmark1092"/>
      <w:bookmarkStart w:id="1093" w:name="bookmark1093"/>
      <w:r>
        <w:rPr>
          <w:color w:val="000000"/>
          <w:spacing w:val="0"/>
          <w:w w:val="100"/>
          <w:position w:val="0"/>
        </w:rPr>
        <w:t>（</w:t>
      </w:r>
      <w:bookmarkEnd w:id="1092"/>
      <w:r>
        <w:rPr>
          <w:rFonts w:ascii="Times New Roman" w:eastAsia="Times New Roman" w:hAnsi="Times New Roman" w:cs="Times New Roman"/>
          <w:color w:val="000000"/>
          <w:spacing w:val="0"/>
          <w:w w:val="100"/>
          <w:position w:val="0"/>
        </w:rPr>
        <w:t>7</w:t>
      </w:r>
      <w:r>
        <w:rPr>
          <w:color w:val="000000"/>
          <w:spacing w:val="0"/>
          <w:w w:val="100"/>
          <w:position w:val="0"/>
        </w:rPr>
        <w:t>）</w:t>
        <w:tab/>
        <w:t>本期无因金融资产转移而终止确认的其他应收款。</w:t>
      </w:r>
      <w:bookmarkEnd w:id="1090"/>
      <w:bookmarkEnd w:id="1091"/>
      <w:bookmarkEnd w:id="1093"/>
    </w:p>
    <w:p>
      <w:pPr>
        <w:pStyle w:val="Style47"/>
        <w:keepNext/>
        <w:keepLines/>
        <w:widowControl w:val="0"/>
        <w:shd w:val="clear" w:color="auto" w:fill="auto"/>
        <w:tabs>
          <w:tab w:pos="493" w:val="left"/>
        </w:tabs>
        <w:bidi w:val="0"/>
        <w:spacing w:before="0" w:after="300" w:line="302" w:lineRule="exact"/>
        <w:ind w:left="0" w:right="0" w:firstLine="0"/>
        <w:jc w:val="left"/>
      </w:pPr>
      <w:bookmarkStart w:id="1094" w:name="bookmark1094"/>
      <w:bookmarkStart w:id="1095" w:name="bookmark1095"/>
      <w:bookmarkStart w:id="1096" w:name="bookmark1096"/>
      <w:bookmarkStart w:id="1097" w:name="bookmark1097"/>
      <w:r>
        <w:rPr>
          <w:color w:val="000000"/>
          <w:spacing w:val="0"/>
          <w:w w:val="100"/>
          <w:position w:val="0"/>
        </w:rPr>
        <w:t>（</w:t>
      </w:r>
      <w:bookmarkEnd w:id="1096"/>
      <w:r>
        <w:rPr>
          <w:rFonts w:ascii="Times New Roman" w:eastAsia="Times New Roman" w:hAnsi="Times New Roman" w:cs="Times New Roman"/>
          <w:color w:val="000000"/>
          <w:spacing w:val="0"/>
          <w:w w:val="100"/>
          <w:position w:val="0"/>
        </w:rPr>
        <w:t>8</w:t>
      </w:r>
      <w:r>
        <w:rPr>
          <w:color w:val="000000"/>
          <w:spacing w:val="0"/>
          <w:w w:val="100"/>
          <w:position w:val="0"/>
        </w:rPr>
        <w:t>）</w:t>
        <w:tab/>
        <w:t>本期无转移其他应收款且继续涉入形成的资产、负债。</w:t>
      </w:r>
      <w:bookmarkEnd w:id="1094"/>
      <w:bookmarkEnd w:id="1095"/>
      <w:bookmarkEnd w:id="1097"/>
    </w:p>
    <w:p>
      <w:pPr>
        <w:pStyle w:val="Style30"/>
        <w:keepNext/>
        <w:keepLines/>
        <w:widowControl w:val="0"/>
        <w:shd w:val="clear" w:color="auto" w:fill="auto"/>
        <w:bidi w:val="0"/>
        <w:spacing w:before="0" w:after="360" w:line="302" w:lineRule="exact"/>
        <w:ind w:left="0" w:right="0" w:firstLine="0"/>
        <w:jc w:val="left"/>
      </w:pPr>
      <w:bookmarkStart w:id="1098" w:name="bookmark1098"/>
      <w:bookmarkStart w:id="1099" w:name="bookmark1099"/>
      <w:bookmarkStart w:id="1100" w:name="bookmark1100"/>
      <w:r>
        <w:rPr>
          <w:rFonts w:ascii="Times New Roman" w:eastAsia="Times New Roman" w:hAnsi="Times New Roman" w:cs="Times New Roman"/>
          <w:color w:val="000000"/>
          <w:spacing w:val="0"/>
          <w:w w:val="100"/>
          <w:position w:val="0"/>
        </w:rPr>
        <w:t>12</w:t>
      </w:r>
      <w:r>
        <w:rPr>
          <w:color w:val="000000"/>
          <w:spacing w:val="0"/>
          <w:w w:val="100"/>
          <w:position w:val="0"/>
        </w:rPr>
        <w:t>、买入返售金融资产</w:t>
      </w:r>
      <w:bookmarkEnd w:id="1098"/>
      <w:bookmarkEnd w:id="1099"/>
      <w:bookmarkEnd w:id="1100"/>
    </w:p>
    <w:p>
      <w:pPr>
        <w:pStyle w:val="Style30"/>
        <w:keepNext/>
        <w:keepLines/>
        <w:widowControl w:val="0"/>
        <w:shd w:val="clear" w:color="auto" w:fill="auto"/>
        <w:bidi w:val="0"/>
        <w:spacing w:before="0" w:after="300" w:line="240" w:lineRule="auto"/>
        <w:ind w:left="0" w:right="0" w:firstLine="0"/>
        <w:jc w:val="left"/>
      </w:pPr>
      <w:bookmarkStart w:id="1098" w:name="bookmark1098"/>
      <w:bookmarkStart w:id="1099" w:name="bookmark1099"/>
      <w:bookmarkStart w:id="1101" w:name="bookmark1101"/>
      <w:r>
        <w:rPr>
          <w:color w:val="000000"/>
          <w:spacing w:val="0"/>
          <w:w w:val="100"/>
          <w:position w:val="0"/>
        </w:rPr>
        <w:t>（</w:t>
      </w:r>
      <w:bookmarkEnd w:id="1101"/>
      <w:r>
        <w:rPr>
          <w:rFonts w:ascii="Times New Roman" w:eastAsia="Times New Roman" w:hAnsi="Times New Roman" w:cs="Times New Roman"/>
          <w:color w:val="000000"/>
          <w:spacing w:val="0"/>
          <w:w w:val="100"/>
          <w:position w:val="0"/>
        </w:rPr>
        <w:t>1</w:t>
      </w:r>
      <w:r>
        <w:rPr>
          <w:color w:val="000000"/>
          <w:spacing w:val="0"/>
          <w:w w:val="100"/>
          <w:position w:val="0"/>
        </w:rPr>
        <w:t>）按标的物类别列示</w:t>
      </w:r>
      <w:bookmarkEnd w:id="1098"/>
      <w:bookmarkEnd w:id="1099"/>
      <w:r>
        <w:br w:type="page"/>
      </w:r>
    </w:p>
    <w:tbl>
      <w:tblPr>
        <w:tblOverlap w:val="never"/>
        <w:jc w:val="center"/>
        <w:tblLayout w:type="fixed"/>
      </w:tblPr>
      <w:tblGrid>
        <w:gridCol w:w="3730"/>
        <w:gridCol w:w="2347"/>
        <w:gridCol w:w="3437"/>
      </w:tblGrid>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2016.12.31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2015.12.31</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2,931,480,000.00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42,000,500.00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2,973,480,500.00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减：减值准备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5,862,960.00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买入返售金融资产账面价值</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2,967,617,540.00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96"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)按业务类别列示</w:t>
      </w:r>
    </w:p>
    <w:tbl>
      <w:tblPr>
        <w:tblOverlap w:val="never"/>
        <w:jc w:val="center"/>
        <w:tblLayout w:type="fixed"/>
      </w:tblPr>
      <w:tblGrid>
        <w:gridCol w:w="3734"/>
        <w:gridCol w:w="2342"/>
        <w:gridCol w:w="3437"/>
      </w:tblGrid>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2016.12.31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2015.12.31</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自营买入返售证券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42,000,500.00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股票质押式回购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2,931,480,000.00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2,973,480,500.00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(3</w:t>
      </w:r>
      <w:r>
        <w:rPr>
          <w:b/>
          <w:bCs/>
          <w:color w:val="000000"/>
          <w:spacing w:val="0"/>
          <w:w w:val="100"/>
          <w:position w:val="0"/>
        </w:rPr>
        <w:t>)自营买入返售证券、股票质押回购等的剩余期限</w:t>
      </w:r>
    </w:p>
    <w:tbl>
      <w:tblPr>
        <w:tblOverlap w:val="never"/>
        <w:jc w:val="center"/>
        <w:tblLayout w:type="fixed"/>
      </w:tblPr>
      <w:tblGrid>
        <w:gridCol w:w="3734"/>
        <w:gridCol w:w="2342"/>
        <w:gridCol w:w="3437"/>
      </w:tblGrid>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2016.12.31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2015.12.31</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一个月以内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42,000,500.00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一个月至三个月内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27,000,000.00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三个月至一年内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1,683,290,000.00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1,221,190,000.00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2,973,480,500.00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96" w:right="0" w:firstLine="0"/>
        <w:jc w:val="left"/>
      </w:pPr>
      <w:r>
        <w:rPr>
          <w:rFonts w:ascii="Times New Roman" w:eastAsia="Times New Roman" w:hAnsi="Times New Roman" w:cs="Times New Roman"/>
          <w:b/>
          <w:bCs/>
          <w:color w:val="000000"/>
          <w:spacing w:val="0"/>
          <w:w w:val="100"/>
          <w:position w:val="0"/>
        </w:rPr>
        <w:t>(4</w:t>
      </w:r>
      <w:r>
        <w:rPr>
          <w:b/>
          <w:bCs/>
          <w:color w:val="000000"/>
          <w:spacing w:val="0"/>
          <w:w w:val="100"/>
          <w:position w:val="0"/>
        </w:rPr>
        <w:t>)买入返售金融资产的担保物信息</w:t>
      </w:r>
    </w:p>
    <w:p>
      <w:pPr>
        <w:pStyle w:val="Style33"/>
        <w:keepNext w:val="0"/>
        <w:keepLines w:val="0"/>
        <w:widowControl w:val="0"/>
        <w:shd w:val="clear" w:color="auto" w:fill="auto"/>
        <w:bidi w:val="0"/>
        <w:spacing w:before="0" w:after="300" w:line="312" w:lineRule="exact"/>
        <w:ind w:left="0" w:right="0" w:firstLine="44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日，本公司买入返售金融资产余额中回购方提供的担保物公允价值为 </w:t>
      </w:r>
      <w:r>
        <w:rPr>
          <w:rFonts w:ascii="Times New Roman" w:eastAsia="Times New Roman" w:hAnsi="Times New Roman" w:cs="Times New Roman"/>
          <w:color w:val="000000"/>
          <w:spacing w:val="0"/>
          <w:w w:val="100"/>
          <w:position w:val="0"/>
        </w:rPr>
        <w:t>6,051,923,152.8</w:t>
      </w:r>
      <w:r>
        <w:rPr>
          <w:rFonts w:ascii="Times New Roman" w:eastAsia="Times New Roman" w:hAnsi="Times New Roman" w:cs="Times New Roman"/>
          <w:color w:val="000000"/>
          <w:spacing w:val="0"/>
          <w:w w:val="100"/>
          <w:position w:val="0"/>
        </w:rPr>
        <w:t>2</w:t>
      </w:r>
      <w:r>
        <w:rPr>
          <w:color w:val="000000"/>
          <w:spacing w:val="0"/>
          <w:w w:val="100"/>
          <w:position w:val="0"/>
        </w:rPr>
        <w:t>元。</w:t>
      </w:r>
    </w:p>
    <w:p>
      <w:pPr>
        <w:pStyle w:val="Style30"/>
        <w:keepNext/>
        <w:keepLines/>
        <w:widowControl w:val="0"/>
        <w:shd w:val="clear" w:color="auto" w:fill="auto"/>
        <w:bidi w:val="0"/>
        <w:spacing w:before="0" w:after="300" w:line="312" w:lineRule="exact"/>
        <w:ind w:left="0" w:right="0" w:firstLine="0"/>
        <w:jc w:val="left"/>
      </w:pPr>
      <w:bookmarkStart w:id="1102" w:name="bookmark1102"/>
      <w:bookmarkStart w:id="1103" w:name="bookmark1103"/>
      <w:bookmarkStart w:id="1104" w:name="bookmark1104"/>
      <w:r>
        <w:rPr>
          <w:rFonts w:ascii="Times New Roman" w:eastAsia="Times New Roman" w:hAnsi="Times New Roman" w:cs="Times New Roman"/>
          <w:color w:val="000000"/>
          <w:spacing w:val="0"/>
          <w:w w:val="100"/>
          <w:position w:val="0"/>
        </w:rPr>
        <w:t>13</w:t>
      </w:r>
      <w:r>
        <w:rPr>
          <w:color w:val="000000"/>
          <w:spacing w:val="0"/>
          <w:w w:val="100"/>
          <w:position w:val="0"/>
        </w:rPr>
        <w:t>、存货</w:t>
      </w:r>
      <w:bookmarkEnd w:id="1102"/>
      <w:bookmarkEnd w:id="1103"/>
      <w:bookmarkEnd w:id="1104"/>
    </w:p>
    <w:p>
      <w:pPr>
        <w:pStyle w:val="Style33"/>
        <w:keepNext w:val="0"/>
        <w:keepLines w:val="0"/>
        <w:widowControl w:val="0"/>
        <w:shd w:val="clear" w:color="auto" w:fill="auto"/>
        <w:tabs>
          <w:tab w:pos="8922" w:val="left"/>
        </w:tabs>
        <w:bidi w:val="0"/>
        <w:spacing w:before="0" w:after="300" w:line="312" w:lineRule="exact"/>
        <w:ind w:left="0" w:right="0" w:firstLine="440"/>
        <w:jc w:val="left"/>
      </w:pPr>
      <w:r>
        <w:rPr>
          <w:color w:val="000000"/>
          <w:spacing w:val="0"/>
          <w:w w:val="100"/>
          <w:position w:val="0"/>
        </w:rPr>
        <w:t>公司是否需要遵守房地产行业的披露要求</w:t>
        <w:tab/>
        <w:t>否</w:t>
      </w:r>
    </w:p>
    <w:p>
      <w:pPr>
        <w:pStyle w:val="Style47"/>
        <w:keepNext/>
        <w:keepLines/>
        <w:widowControl w:val="0"/>
        <w:numPr>
          <w:ilvl w:val="0"/>
          <w:numId w:val="25"/>
        </w:numPr>
        <w:shd w:val="clear" w:color="auto" w:fill="auto"/>
        <w:bidi w:val="0"/>
        <w:spacing w:before="0" w:line="312" w:lineRule="exact"/>
        <w:ind w:left="0" w:right="0" w:firstLine="0"/>
        <w:jc w:val="left"/>
      </w:pPr>
      <w:bookmarkStart w:id="1105" w:name="bookmark1105"/>
      <w:bookmarkStart w:id="1106" w:name="bookmark1106"/>
      <w:bookmarkStart w:id="1107" w:name="bookmark1107"/>
      <w:bookmarkStart w:id="1108" w:name="bookmark1108"/>
      <w:bookmarkEnd w:id="1107"/>
      <w:r>
        <w:rPr>
          <w:color w:val="000000"/>
          <w:spacing w:val="0"/>
          <w:w w:val="100"/>
          <w:position w:val="0"/>
        </w:rPr>
        <w:t>存货分类</w:t>
      </w:r>
      <w:bookmarkEnd w:id="1105"/>
      <w:bookmarkEnd w:id="1106"/>
      <w:bookmarkEnd w:id="1108"/>
    </w:p>
    <w:p>
      <w:pPr>
        <w:pStyle w:val="Style26"/>
        <w:keepNext w:val="0"/>
        <w:keepLines w:val="0"/>
        <w:widowControl w:val="0"/>
        <w:shd w:val="clear" w:color="auto" w:fill="auto"/>
        <w:bidi w:val="0"/>
        <w:spacing w:before="0" w:after="0" w:line="240" w:lineRule="auto"/>
        <w:ind w:left="8587" w:right="0" w:firstLine="0"/>
        <w:jc w:val="left"/>
      </w:pPr>
      <w:r>
        <w:rPr>
          <w:color w:val="000000"/>
          <w:spacing w:val="0"/>
          <w:w w:val="100"/>
          <w:position w:val="0"/>
        </w:rPr>
        <w:t>单位：元</w:t>
      </w:r>
    </w:p>
    <w:tbl>
      <w:tblPr>
        <w:tblOverlap w:val="never"/>
        <w:jc w:val="center"/>
        <w:tblLayout w:type="fixed"/>
      </w:tblPr>
      <w:tblGrid>
        <w:gridCol w:w="1373"/>
        <w:gridCol w:w="1469"/>
        <w:gridCol w:w="1267"/>
        <w:gridCol w:w="1426"/>
        <w:gridCol w:w="1416"/>
        <w:gridCol w:w="1277"/>
        <w:gridCol w:w="1426"/>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28,406,460.89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307,286.56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28,099,174.33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26,368,188.99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874,999.21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25,493,189.78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23,135,094.78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23,135,094.78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16,961,841.12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16,961,841.12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2,459,081.15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265,376.68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2,193,704.47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2,594,873.51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438,803.27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2,156,070.24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半成品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27,924,819.69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57,779.29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27,867,040.40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16,378,232.81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159,472.57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16,218,760.24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产成品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78,614,307.84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503,274.63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78,111,033.21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62,746,324.29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1,464,384.69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61,281,939.60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71,815,809.23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71,815,809.23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委托加工物资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863,293.21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863,293.21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401,828.40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401,828.40</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233,218,866.79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1,133,717.16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232,085,149.63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125,451,289.12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2,937,659.74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122,513,629.38</w:t>
            </w:r>
          </w:p>
        </w:tc>
      </w:tr>
    </w:tbl>
    <w:p>
      <w:pPr>
        <w:spacing w:lineRule="exact" w:line="1"/>
        <w:rPr>
          <w:sz w:val="2"/>
          <w:szCs w:val="2"/>
        </w:rPr>
      </w:pPr>
      <w:r>
        <w:br w:type="page"/>
      </w:r>
    </w:p>
    <w:p>
      <w:pPr>
        <w:pStyle w:val="Style33"/>
        <w:keepNext w:val="0"/>
        <w:keepLines w:val="0"/>
        <w:widowControl w:val="0"/>
        <w:shd w:val="clear" w:color="auto" w:fill="auto"/>
        <w:tabs>
          <w:tab w:pos="9230" w:val="left"/>
        </w:tabs>
        <w:bidi w:val="0"/>
        <w:spacing w:before="0" w:after="280" w:line="322" w:lineRule="exact"/>
        <w:ind w:left="0" w:right="0" w:firstLine="440"/>
        <w:jc w:val="left"/>
      </w:pPr>
      <w:r>
        <w:rPr>
          <w:color w:val="000000"/>
          <w:spacing w:val="0"/>
          <w:w w:val="100"/>
          <w:position w:val="0"/>
        </w:rPr>
        <w:t>公司是否需遵守《深圳证券交易所行业信息披露指引第</w:t>
      </w:r>
      <w:r>
        <w:rPr>
          <w:rFonts w:ascii="Times New Roman" w:eastAsia="Times New Roman" w:hAnsi="Times New Roman" w:cs="Times New Roman"/>
          <w:color w:val="000000"/>
          <w:spacing w:val="0"/>
          <w:w w:val="100"/>
          <w:position w:val="0"/>
        </w:rPr>
        <w:t>4</w:t>
      </w:r>
      <w:r>
        <w:rPr>
          <w:color w:val="000000"/>
          <w:spacing w:val="0"/>
          <w:w w:val="100"/>
          <w:position w:val="0"/>
        </w:rPr>
        <w:t>号</w:t>
      </w:r>
      <w:r>
        <w:rPr>
          <w:color w:val="000000"/>
          <w:spacing w:val="0"/>
          <w:w w:val="100"/>
          <w:position w:val="0"/>
        </w:rPr>
        <w:t>一</w:t>
      </w:r>
      <w:r>
        <w:rPr>
          <w:color w:val="000000"/>
          <w:spacing w:val="0"/>
          <w:w w:val="100"/>
          <w:position w:val="0"/>
        </w:rPr>
        <w:t>上市公司从事种业、种植业务》的披 露要求</w:t>
        <w:tab/>
        <w:t>否</w:t>
      </w:r>
    </w:p>
    <w:p>
      <w:pPr>
        <w:pStyle w:val="Style47"/>
        <w:keepNext/>
        <w:keepLines/>
        <w:widowControl w:val="0"/>
        <w:shd w:val="clear" w:color="auto" w:fill="auto"/>
        <w:bidi w:val="0"/>
        <w:spacing w:before="0" w:line="322" w:lineRule="exact"/>
        <w:ind w:left="0" w:right="0" w:firstLine="0"/>
        <w:jc w:val="left"/>
      </w:pPr>
      <w:bookmarkStart w:id="1109" w:name="bookmark1109"/>
      <w:bookmarkStart w:id="1110" w:name="bookmark1110"/>
      <w:bookmarkStart w:id="1111" w:name="bookmark1111"/>
      <w:bookmarkStart w:id="1112" w:name="bookmark1112"/>
      <w:r>
        <w:rPr>
          <w:color w:val="000000"/>
          <w:spacing w:val="0"/>
          <w:w w:val="100"/>
          <w:position w:val="0"/>
        </w:rPr>
        <w:t>（</w:t>
      </w:r>
      <w:bookmarkEnd w:id="1111"/>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1109"/>
      <w:bookmarkEnd w:id="1110"/>
      <w:bookmarkEnd w:id="1112"/>
    </w:p>
    <w:p>
      <w:pPr>
        <w:pStyle w:val="Style26"/>
        <w:keepNext w:val="0"/>
        <w:keepLines w:val="0"/>
        <w:widowControl w:val="0"/>
        <w:shd w:val="clear" w:color="auto" w:fill="auto"/>
        <w:bidi w:val="0"/>
        <w:spacing w:before="0" w:after="0" w:line="240" w:lineRule="auto"/>
        <w:ind w:left="8587"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计提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转回或转销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874,999.21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267,551.43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835,264.08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307,286.56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438,803.27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79,858.96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253,285.55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265,376.68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半成品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159,472.57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78,997.90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180,691.18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57,779.29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产成品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1,464,384.69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1,087,777.22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2,048,887.28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503,274.63</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2,937,659.74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1,514,185.51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3,318,128.09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1,133,717.16</w:t>
            </w:r>
          </w:p>
        </w:tc>
      </w:tr>
    </w:tbl>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确定可变现净值的具体依据：确定呆滞存货范围；根据呆滞存货实际品质状况、消化处理成本以及市 场价格确定该部分呆滞存货的可变现净值。</w:t>
      </w:r>
    </w:p>
    <w:p>
      <w:pPr>
        <w:widowControl w:val="0"/>
        <w:spacing w:after="279" w:line="1" w:lineRule="exact"/>
      </w:pPr>
    </w:p>
    <w:p>
      <w:pPr>
        <w:pStyle w:val="Style47"/>
        <w:keepNext/>
        <w:keepLines/>
        <w:widowControl w:val="0"/>
        <w:shd w:val="clear" w:color="auto" w:fill="auto"/>
        <w:tabs>
          <w:tab w:pos="493" w:val="left"/>
        </w:tabs>
        <w:bidi w:val="0"/>
        <w:spacing w:before="0" w:after="280" w:line="317" w:lineRule="exact"/>
        <w:ind w:left="0" w:right="0" w:firstLine="0"/>
        <w:jc w:val="left"/>
      </w:pPr>
      <w:bookmarkStart w:id="1113" w:name="bookmark1113"/>
      <w:bookmarkStart w:id="1114" w:name="bookmark1114"/>
      <w:bookmarkStart w:id="1115" w:name="bookmark1115"/>
      <w:bookmarkStart w:id="1116" w:name="bookmark1116"/>
      <w:r>
        <w:rPr>
          <w:color w:val="000000"/>
          <w:spacing w:val="0"/>
          <w:w w:val="100"/>
          <w:position w:val="0"/>
        </w:rPr>
        <w:t>（</w:t>
      </w:r>
      <w:bookmarkEnd w:id="1115"/>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存货期末余额未含有借款费用资本化金额。</w:t>
      </w:r>
      <w:bookmarkEnd w:id="1113"/>
      <w:bookmarkEnd w:id="1114"/>
      <w:bookmarkEnd w:id="1116"/>
    </w:p>
    <w:p>
      <w:pPr>
        <w:pStyle w:val="Style47"/>
        <w:keepNext/>
        <w:keepLines/>
        <w:widowControl w:val="0"/>
        <w:shd w:val="clear" w:color="auto" w:fill="auto"/>
        <w:tabs>
          <w:tab w:pos="493" w:val="left"/>
        </w:tabs>
        <w:bidi w:val="0"/>
        <w:spacing w:before="0" w:line="317" w:lineRule="exact"/>
        <w:ind w:left="0" w:right="0" w:firstLine="0"/>
        <w:jc w:val="left"/>
      </w:pPr>
      <w:bookmarkStart w:id="1117" w:name="bookmark1117"/>
      <w:bookmarkStart w:id="1118" w:name="bookmark1118"/>
      <w:bookmarkStart w:id="1119" w:name="bookmark1119"/>
      <w:bookmarkStart w:id="1120" w:name="bookmark1120"/>
      <w:r>
        <w:rPr>
          <w:color w:val="000000"/>
          <w:spacing w:val="0"/>
          <w:w w:val="100"/>
          <w:position w:val="0"/>
        </w:rPr>
        <w:t>（</w:t>
      </w:r>
      <w:bookmarkEnd w:id="1119"/>
      <w:r>
        <w:rPr>
          <w:rFonts w:ascii="Times New Roman" w:eastAsia="Times New Roman" w:hAnsi="Times New Roman" w:cs="Times New Roman"/>
          <w:color w:val="000000"/>
          <w:spacing w:val="0"/>
          <w:w w:val="100"/>
          <w:position w:val="0"/>
        </w:rPr>
        <w:t>4</w:t>
      </w:r>
      <w:r>
        <w:rPr>
          <w:color w:val="000000"/>
          <w:spacing w:val="0"/>
          <w:w w:val="100"/>
          <w:position w:val="0"/>
        </w:rPr>
        <w:t>）</w:t>
        <w:tab/>
        <w:t>期末无建造合同形成的已完工未结算资产。</w:t>
      </w:r>
      <w:bookmarkEnd w:id="1117"/>
      <w:bookmarkEnd w:id="1118"/>
      <w:bookmarkEnd w:id="1120"/>
    </w:p>
    <w:p>
      <w:pPr>
        <w:pStyle w:val="Style30"/>
        <w:keepNext/>
        <w:keepLines/>
        <w:widowControl w:val="0"/>
        <w:shd w:val="clear" w:color="auto" w:fill="auto"/>
        <w:bidi w:val="0"/>
        <w:spacing w:before="0" w:after="280" w:line="331" w:lineRule="auto"/>
        <w:ind w:left="0" w:right="0" w:firstLine="0"/>
        <w:jc w:val="left"/>
      </w:pPr>
      <w:bookmarkStart w:id="1121" w:name="bookmark1121"/>
      <w:bookmarkStart w:id="1122" w:name="bookmark1122"/>
      <w:bookmarkStart w:id="1123" w:name="bookmark1123"/>
      <w:bookmarkStart w:id="1124" w:name="bookmark1124"/>
      <w:r>
        <w:rPr>
          <w:rFonts w:ascii="Times New Roman" w:eastAsia="Times New Roman" w:hAnsi="Times New Roman" w:cs="Times New Roman"/>
          <w:color w:val="000000"/>
          <w:spacing w:val="0"/>
          <w:w w:val="100"/>
          <w:position w:val="0"/>
        </w:rPr>
        <w:t>1</w:t>
      </w:r>
      <w:bookmarkEnd w:id="1123"/>
      <w:r>
        <w:rPr>
          <w:rFonts w:ascii="Times New Roman" w:eastAsia="Times New Roman" w:hAnsi="Times New Roman" w:cs="Times New Roman"/>
          <w:color w:val="000000"/>
          <w:spacing w:val="0"/>
          <w:w w:val="100"/>
          <w:position w:val="0"/>
        </w:rPr>
        <w:t>4</w:t>
      </w:r>
      <w:r>
        <w:rPr>
          <w:color w:val="000000"/>
          <w:spacing w:val="0"/>
          <w:w w:val="100"/>
          <w:position w:val="0"/>
        </w:rPr>
        <w:t>、一年内到期的非流动资产</w:t>
      </w:r>
      <w:bookmarkEnd w:id="1121"/>
      <w:bookmarkEnd w:id="1122"/>
      <w:bookmarkEnd w:id="1124"/>
    </w:p>
    <w:p>
      <w:pPr>
        <w:pStyle w:val="Style26"/>
        <w:keepNext w:val="0"/>
        <w:keepLines w:val="0"/>
        <w:widowControl w:val="0"/>
        <w:shd w:val="clear" w:color="auto" w:fill="auto"/>
        <w:bidi w:val="0"/>
        <w:spacing w:before="0" w:after="0" w:line="240" w:lineRule="auto"/>
        <w:ind w:left="8587"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留抵增值税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11,165,916.85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待认证进项税额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2,972,662.13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672,917.07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预缴企业所得税及营业税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2,481,928.51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3,476,900.12</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405,000,000.00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421,620,507.49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4,149,817.19</w:t>
            </w:r>
          </w:p>
        </w:tc>
      </w:tr>
    </w:tbl>
    <w:p>
      <w:pPr>
        <w:widowControl w:val="0"/>
        <w:spacing w:after="359" w:line="1" w:lineRule="exact"/>
      </w:pPr>
    </w:p>
    <w:p>
      <w:pPr>
        <w:pStyle w:val="Style30"/>
        <w:keepNext/>
        <w:keepLines/>
        <w:widowControl w:val="0"/>
        <w:shd w:val="clear" w:color="auto" w:fill="auto"/>
        <w:bidi w:val="0"/>
        <w:spacing w:before="0" w:after="360" w:line="240" w:lineRule="auto"/>
        <w:ind w:left="0" w:right="0" w:firstLine="0"/>
        <w:jc w:val="left"/>
      </w:pPr>
      <w:bookmarkStart w:id="1125" w:name="bookmark1125"/>
      <w:bookmarkStart w:id="1126" w:name="bookmark1126"/>
      <w:bookmarkStart w:id="1127" w:name="bookmark1127"/>
      <w:bookmarkStart w:id="1128" w:name="bookmark1128"/>
      <w:r>
        <w:rPr>
          <w:rFonts w:ascii="Times New Roman" w:eastAsia="Times New Roman" w:hAnsi="Times New Roman" w:cs="Times New Roman"/>
          <w:color w:val="000000"/>
          <w:spacing w:val="0"/>
          <w:w w:val="100"/>
          <w:position w:val="0"/>
        </w:rPr>
        <w:t>1</w:t>
      </w:r>
      <w:bookmarkEnd w:id="1127"/>
      <w:r>
        <w:rPr>
          <w:rFonts w:ascii="Times New Roman" w:eastAsia="Times New Roman" w:hAnsi="Times New Roman" w:cs="Times New Roman"/>
          <w:color w:val="000000"/>
          <w:spacing w:val="0"/>
          <w:w w:val="100"/>
          <w:position w:val="0"/>
        </w:rPr>
        <w:t>5</w:t>
      </w:r>
      <w:r>
        <w:rPr>
          <w:color w:val="000000"/>
          <w:spacing w:val="0"/>
          <w:w w:val="100"/>
          <w:position w:val="0"/>
        </w:rPr>
        <w:t>、可供出售金融资产</w:t>
      </w:r>
      <w:bookmarkEnd w:id="1125"/>
      <w:bookmarkEnd w:id="1126"/>
      <w:bookmarkEnd w:id="1128"/>
    </w:p>
    <w:p>
      <w:pPr>
        <w:pStyle w:val="Style47"/>
        <w:keepNext/>
        <w:keepLines/>
        <w:widowControl w:val="0"/>
        <w:shd w:val="clear" w:color="auto" w:fill="auto"/>
        <w:bidi w:val="0"/>
        <w:spacing w:before="0" w:line="240" w:lineRule="auto"/>
        <w:ind w:left="0" w:right="0" w:firstLine="0"/>
        <w:jc w:val="left"/>
      </w:pPr>
      <w:bookmarkStart w:id="1129" w:name="bookmark1129"/>
      <w:bookmarkStart w:id="1130" w:name="bookmark1130"/>
      <w:bookmarkStart w:id="1131" w:name="bookmark1131"/>
      <w:bookmarkStart w:id="1132" w:name="bookmark1132"/>
      <w:r>
        <w:rPr>
          <w:color w:val="000000"/>
          <w:spacing w:val="0"/>
          <w:w w:val="100"/>
          <w:position w:val="0"/>
        </w:rPr>
        <w:t>（</w:t>
      </w:r>
      <w:bookmarkEnd w:id="1131"/>
      <w:r>
        <w:rPr>
          <w:rFonts w:ascii="Times New Roman" w:eastAsia="Times New Roman" w:hAnsi="Times New Roman" w:cs="Times New Roman"/>
          <w:color w:val="000000"/>
          <w:spacing w:val="0"/>
          <w:w w:val="100"/>
          <w:position w:val="0"/>
        </w:rPr>
        <w:t>1</w:t>
      </w:r>
      <w:r>
        <w:rPr>
          <w:color w:val="000000"/>
          <w:spacing w:val="0"/>
          <w:w w:val="100"/>
          <w:position w:val="0"/>
        </w:rPr>
        <w:t>）可供出售金融资产情况</w:t>
      </w:r>
      <w:bookmarkEnd w:id="1129"/>
      <w:bookmarkEnd w:id="1130"/>
      <w:bookmarkEnd w:id="1132"/>
    </w:p>
    <w:p>
      <w:pPr>
        <w:pStyle w:val="Style26"/>
        <w:keepNext w:val="0"/>
        <w:keepLines w:val="0"/>
        <w:widowControl w:val="0"/>
        <w:shd w:val="clear" w:color="auto" w:fill="auto"/>
        <w:bidi w:val="0"/>
        <w:spacing w:before="0" w:after="0" w:line="240" w:lineRule="auto"/>
        <w:ind w:left="8587" w:right="0" w:firstLine="0"/>
        <w:jc w:val="left"/>
      </w:pPr>
      <w:r>
        <w:rPr>
          <w:color w:val="000000"/>
          <w:spacing w:val="0"/>
          <w:w w:val="100"/>
          <w:position w:val="0"/>
        </w:rPr>
        <w:t>单位： 元</w:t>
      </w:r>
    </w:p>
    <w:tbl>
      <w:tblPr>
        <w:tblOverlap w:val="never"/>
        <w:jc w:val="center"/>
        <w:tblLayout w:type="fixed"/>
      </w:tblPr>
      <w:tblGrid>
        <w:gridCol w:w="2414"/>
        <w:gridCol w:w="1699"/>
        <w:gridCol w:w="1421"/>
        <w:gridCol w:w="1560"/>
        <w:gridCol w:w="706"/>
        <w:gridCol w:w="850"/>
        <w:gridCol w:w="931"/>
      </w:tblGrid>
      <w:tr>
        <w:trPr>
          <w:trHeight w:val="326"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63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账面余 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减值准 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可供出售权益工具：</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4,133,859,462.24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4,618,570.68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4,129,240,891.56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按公允价值计量的</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3,658,859,462.24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4,618,570.68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3,654,240,891.56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14"/>
        <w:gridCol w:w="1690"/>
        <w:gridCol w:w="1430"/>
        <w:gridCol w:w="1560"/>
        <w:gridCol w:w="706"/>
        <w:gridCol w:w="850"/>
        <w:gridCol w:w="931"/>
      </w:tblGrid>
      <w:tr>
        <w:trPr>
          <w:trHeight w:val="32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按成本计量的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475,000,000.00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4,133,859,462.24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4,618,570.68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4,129,240,891.56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7"/>
        <w:keepNext/>
        <w:keepLines/>
        <w:widowControl w:val="0"/>
        <w:shd w:val="clear" w:color="auto" w:fill="auto"/>
        <w:bidi w:val="0"/>
        <w:spacing w:before="0" w:after="0" w:line="314" w:lineRule="exact"/>
        <w:ind w:left="0" w:right="0" w:firstLine="440"/>
        <w:jc w:val="both"/>
      </w:pPr>
      <w:bookmarkStart w:id="1133" w:name="bookmark1133"/>
      <w:bookmarkStart w:id="1134" w:name="bookmark1134"/>
      <w:bookmarkStart w:id="1135" w:name="bookmark1135"/>
      <w:r>
        <w:rPr>
          <w:b w:val="0"/>
          <w:bCs w:val="0"/>
          <w:color w:val="000000"/>
          <w:spacing w:val="0"/>
          <w:w w:val="100"/>
          <w:position w:val="0"/>
        </w:rPr>
        <w:t>注</w:t>
      </w:r>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w:t>
      </w:r>
      <w:r>
        <w:rPr>
          <w:rFonts w:ascii="Times New Roman" w:eastAsia="Times New Roman" w:hAnsi="Times New Roman" w:cs="Times New Roman"/>
          <w:b w:val="0"/>
          <w:bCs w:val="0"/>
          <w:color w:val="000000"/>
          <w:spacing w:val="0"/>
          <w:w w:val="100"/>
          <w:position w:val="0"/>
        </w:rPr>
        <w:t>2016</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12</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31</w:t>
      </w:r>
      <w:r>
        <w:rPr>
          <w:b w:val="0"/>
          <w:bCs w:val="0"/>
          <w:color w:val="000000"/>
          <w:spacing w:val="0"/>
          <w:w w:val="100"/>
          <w:position w:val="0"/>
        </w:rPr>
        <w:t>日期末余额中的股权投资含本公司之子公司深圳华声前海投资有限公司于</w:t>
      </w:r>
      <w:r>
        <w:rPr>
          <w:rFonts w:ascii="Times New Roman" w:eastAsia="Times New Roman" w:hAnsi="Times New Roman" w:cs="Times New Roman"/>
          <w:b w:val="0"/>
          <w:bCs w:val="0"/>
          <w:color w:val="000000"/>
          <w:spacing w:val="0"/>
          <w:w w:val="100"/>
          <w:position w:val="0"/>
        </w:rPr>
        <w:t xml:space="preserve">2016 </w:t>
      </w:r>
      <w:r>
        <w:rPr>
          <w:b w:val="0"/>
          <w:bCs w:val="0"/>
          <w:color w:val="000000"/>
          <w:spacing w:val="0"/>
          <w:w w:val="100"/>
          <w:position w:val="0"/>
        </w:rPr>
        <w:t>年受让北京凤凰祥瑞互联投资基金(有限合伙)持有的北京快乐时代科技发展有限公司</w:t>
      </w:r>
      <w:r>
        <w:rPr>
          <w:rFonts w:ascii="Times New Roman" w:eastAsia="Times New Roman" w:hAnsi="Times New Roman" w:cs="Times New Roman"/>
          <w:b w:val="0"/>
          <w:bCs w:val="0"/>
          <w:color w:val="000000"/>
          <w:spacing w:val="0"/>
          <w:w w:val="100"/>
          <w:position w:val="0"/>
        </w:rPr>
        <w:t>5%</w:t>
      </w:r>
      <w:r>
        <w:rPr>
          <w:b w:val="0"/>
          <w:bCs w:val="0"/>
          <w:color w:val="000000"/>
          <w:spacing w:val="0"/>
          <w:w w:val="100"/>
          <w:position w:val="0"/>
        </w:rPr>
        <w:t>的股权，转让 价格为</w:t>
      </w:r>
      <w:r>
        <w:rPr>
          <w:rFonts w:ascii="Times New Roman" w:eastAsia="Times New Roman" w:hAnsi="Times New Roman" w:cs="Times New Roman"/>
          <w:b w:val="0"/>
          <w:bCs w:val="0"/>
          <w:color w:val="000000"/>
          <w:spacing w:val="0"/>
          <w:w w:val="100"/>
          <w:position w:val="0"/>
        </w:rPr>
        <w:t>37,500</w:t>
      </w:r>
      <w:r>
        <w:rPr>
          <w:b w:val="0"/>
          <w:bCs w:val="0"/>
          <w:color w:val="000000"/>
          <w:spacing w:val="0"/>
          <w:w w:val="100"/>
          <w:position w:val="0"/>
        </w:rPr>
        <w:t>万元，按照成本法入账；含子公司国盛证券</w:t>
      </w:r>
      <w:r>
        <w:rPr>
          <w:rFonts w:ascii="Times New Roman" w:eastAsia="Times New Roman" w:hAnsi="Times New Roman" w:cs="Times New Roman"/>
          <w:b w:val="0"/>
          <w:bCs w:val="0"/>
          <w:color w:val="000000"/>
          <w:spacing w:val="0"/>
          <w:w w:val="100"/>
          <w:position w:val="0"/>
        </w:rPr>
        <w:t>2015</w:t>
      </w:r>
      <w:r>
        <w:rPr>
          <w:b w:val="0"/>
          <w:bCs w:val="0"/>
          <w:color w:val="000000"/>
          <w:spacing w:val="0"/>
          <w:w w:val="100"/>
          <w:position w:val="0"/>
        </w:rPr>
        <w:t>年出资</w:t>
      </w:r>
      <w:r>
        <w:rPr>
          <w:rFonts w:ascii="Times New Roman" w:eastAsia="Times New Roman" w:hAnsi="Times New Roman" w:cs="Times New Roman"/>
          <w:b w:val="0"/>
          <w:bCs w:val="0"/>
          <w:color w:val="000000"/>
          <w:spacing w:val="0"/>
          <w:w w:val="100"/>
          <w:position w:val="0"/>
        </w:rPr>
        <w:t>10,000</w:t>
      </w:r>
      <w:r>
        <w:rPr>
          <w:b w:val="0"/>
          <w:bCs w:val="0"/>
          <w:color w:val="000000"/>
          <w:spacing w:val="0"/>
          <w:w w:val="100"/>
          <w:position w:val="0"/>
        </w:rPr>
        <w:t>万元对中证机构间报价系 统股份有限公司进行投资，持股比例为</w:t>
      </w:r>
      <w:r>
        <w:rPr>
          <w:rFonts w:ascii="Times New Roman" w:eastAsia="Times New Roman" w:hAnsi="Times New Roman" w:cs="Times New Roman"/>
          <w:b w:val="0"/>
          <w:bCs w:val="0"/>
          <w:color w:val="000000"/>
          <w:spacing w:val="0"/>
          <w:w w:val="100"/>
          <w:position w:val="0"/>
        </w:rPr>
        <w:t>1.32%</w:t>
      </w:r>
      <w:r>
        <w:rPr>
          <w:b w:val="0"/>
          <w:bCs w:val="0"/>
          <w:color w:val="000000"/>
          <w:spacing w:val="0"/>
          <w:w w:val="100"/>
          <w:position w:val="0"/>
        </w:rPr>
        <w:t>，按成本法入账。</w:t>
      </w:r>
      <w:bookmarkEnd w:id="1133"/>
      <w:bookmarkEnd w:id="1134"/>
      <w:bookmarkEnd w:id="1135"/>
    </w:p>
    <w:p>
      <w:pPr>
        <w:pStyle w:val="Style33"/>
        <w:keepNext w:val="0"/>
        <w:keepLines w:val="0"/>
        <w:widowControl w:val="0"/>
        <w:shd w:val="clear" w:color="auto" w:fill="auto"/>
        <w:bidi w:val="0"/>
        <w:spacing w:before="0" w:after="0" w:line="322"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 xml:space="preserve">：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日期末基金及理财产品中含购买联营企业江信基金公司发行的封闭式基金</w:t>
      </w:r>
      <w:r>
        <w:rPr>
          <w:rFonts w:ascii="Times New Roman" w:eastAsia="Times New Roman" w:hAnsi="Times New Roman" w:cs="Times New Roman"/>
          <w:color w:val="000000"/>
          <w:spacing w:val="0"/>
          <w:w w:val="100"/>
          <w:position w:val="0"/>
        </w:rPr>
        <w:t>-</w:t>
      </w:r>
      <w:r>
        <w:rPr>
          <w:color w:val="000000"/>
          <w:spacing w:val="0"/>
          <w:w w:val="100"/>
          <w:position w:val="0"/>
        </w:rPr>
        <w:t>江 信聚福基金、江信同福</w:t>
      </w:r>
      <w:r>
        <w:rPr>
          <w:rFonts w:ascii="Times New Roman" w:eastAsia="Times New Roman" w:hAnsi="Times New Roman" w:cs="Times New Roman"/>
          <w:color w:val="000000"/>
          <w:spacing w:val="0"/>
          <w:w w:val="100"/>
          <w:position w:val="0"/>
        </w:rPr>
        <w:t>A</w:t>
      </w:r>
      <w:r>
        <w:rPr>
          <w:color w:val="000000"/>
          <w:spacing w:val="0"/>
          <w:w w:val="100"/>
          <w:position w:val="0"/>
        </w:rPr>
        <w:t>基金。</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 xml:space="preserve">：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日定向资产管理计划余额中含子公司国盛证券委托联营企业江信基金公司代 为投资，江信基金公司以子公司国盛证券委托投资金额购买其发行的</w:t>
      </w:r>
      <w:r>
        <w:rPr>
          <w:rFonts w:ascii="Times New Roman" w:eastAsia="Times New Roman" w:hAnsi="Times New Roman" w:cs="Times New Roman"/>
          <w:color w:val="000000"/>
          <w:spacing w:val="0"/>
          <w:w w:val="100"/>
          <w:position w:val="0"/>
        </w:rPr>
        <w:t>FOF</w:t>
      </w:r>
      <w:r>
        <w:rPr>
          <w:color w:val="000000"/>
          <w:spacing w:val="0"/>
          <w:w w:val="100"/>
          <w:position w:val="0"/>
        </w:rPr>
        <w:t>项目、聚富</w:t>
      </w:r>
      <w:r>
        <w:rPr>
          <w:rFonts w:ascii="Times New Roman" w:eastAsia="Times New Roman" w:hAnsi="Times New Roman" w:cs="Times New Roman"/>
          <w:color w:val="000000"/>
          <w:spacing w:val="0"/>
          <w:w w:val="100"/>
          <w:position w:val="0"/>
        </w:rPr>
        <w:t>1</w:t>
      </w:r>
      <w:r>
        <w:rPr>
          <w:color w:val="000000"/>
          <w:spacing w:val="0"/>
          <w:w w:val="100"/>
          <w:position w:val="0"/>
        </w:rPr>
        <w:t>号及策略投资</w:t>
      </w:r>
      <w:r>
        <w:rPr>
          <w:rFonts w:ascii="Times New Roman" w:eastAsia="Times New Roman" w:hAnsi="Times New Roman" w:cs="Times New Roman"/>
          <w:color w:val="000000"/>
          <w:spacing w:val="0"/>
          <w:w w:val="100"/>
          <w:position w:val="0"/>
        </w:rPr>
        <w:t xml:space="preserve">2 </w:t>
      </w:r>
      <w:r>
        <w:rPr>
          <w:color w:val="000000"/>
          <w:spacing w:val="0"/>
          <w:w w:val="100"/>
          <w:position w:val="0"/>
        </w:rPr>
        <w:t>号项目；本期新增系北京首创期货有限责任公司发行的首创期货蜂窝</w:t>
      </w:r>
      <w:r>
        <w:rPr>
          <w:rFonts w:ascii="Times New Roman" w:eastAsia="Times New Roman" w:hAnsi="Times New Roman" w:cs="Times New Roman"/>
          <w:color w:val="000000"/>
          <w:spacing w:val="0"/>
          <w:w w:val="100"/>
          <w:position w:val="0"/>
        </w:rPr>
        <w:t>1</w:t>
      </w:r>
      <w:r>
        <w:rPr>
          <w:color w:val="000000"/>
          <w:spacing w:val="0"/>
          <w:w w:val="100"/>
          <w:position w:val="0"/>
        </w:rPr>
        <w:t>号资管计划</w:t>
      </w:r>
      <w:r>
        <w:rPr>
          <w:rFonts w:ascii="Times New Roman" w:eastAsia="Times New Roman" w:hAnsi="Times New Roman" w:cs="Times New Roman"/>
          <w:color w:val="000000"/>
          <w:spacing w:val="0"/>
          <w:w w:val="100"/>
          <w:position w:val="0"/>
        </w:rPr>
        <w:t>3000</w:t>
      </w:r>
      <w:r>
        <w:rPr>
          <w:color w:val="000000"/>
          <w:spacing w:val="0"/>
          <w:w w:val="100"/>
          <w:position w:val="0"/>
        </w:rPr>
        <w:t>万、太平洋证券 股份有限公司发行的盛盈</w:t>
      </w:r>
      <w:r>
        <w:rPr>
          <w:rFonts w:ascii="Times New Roman" w:eastAsia="Times New Roman" w:hAnsi="Times New Roman" w:cs="Times New Roman"/>
          <w:color w:val="000000"/>
          <w:spacing w:val="0"/>
          <w:w w:val="100"/>
          <w:position w:val="0"/>
        </w:rPr>
        <w:t>1</w:t>
      </w:r>
      <w:r>
        <w:rPr>
          <w:color w:val="000000"/>
          <w:spacing w:val="0"/>
          <w:w w:val="100"/>
          <w:position w:val="0"/>
        </w:rPr>
        <w:t>号资管计划</w:t>
      </w:r>
      <w:r>
        <w:rPr>
          <w:rFonts w:ascii="Times New Roman" w:eastAsia="Times New Roman" w:hAnsi="Times New Roman" w:cs="Times New Roman"/>
          <w:color w:val="000000"/>
          <w:spacing w:val="0"/>
          <w:w w:val="100"/>
          <w:position w:val="0"/>
        </w:rPr>
        <w:t>16.1</w:t>
      </w:r>
      <w:r>
        <w:rPr>
          <w:color w:val="000000"/>
          <w:spacing w:val="0"/>
          <w:w w:val="100"/>
          <w:position w:val="0"/>
        </w:rPr>
        <w:t>亿及联讯证券股份有限公司定向发行的惠达</w:t>
      </w:r>
      <w:r>
        <w:rPr>
          <w:rFonts w:ascii="Times New Roman" w:eastAsia="Times New Roman" w:hAnsi="Times New Roman" w:cs="Times New Roman"/>
          <w:color w:val="000000"/>
          <w:spacing w:val="0"/>
          <w:w w:val="100"/>
          <w:position w:val="0"/>
        </w:rPr>
        <w:t>30</w:t>
      </w:r>
      <w:r>
        <w:rPr>
          <w:color w:val="000000"/>
          <w:spacing w:val="0"/>
          <w:w w:val="100"/>
          <w:position w:val="0"/>
        </w:rPr>
        <w:t>号定向资管计 划</w:t>
      </w:r>
      <w:r>
        <w:rPr>
          <w:rFonts w:ascii="Times New Roman" w:eastAsia="Times New Roman" w:hAnsi="Times New Roman" w:cs="Times New Roman"/>
          <w:color w:val="000000"/>
          <w:spacing w:val="0"/>
          <w:w w:val="100"/>
          <w:position w:val="0"/>
        </w:rPr>
        <w:t>5.4</w:t>
      </w:r>
      <w:r>
        <w:rPr>
          <w:color w:val="000000"/>
          <w:spacing w:val="0"/>
          <w:w w:val="100"/>
          <w:position w:val="0"/>
        </w:rPr>
        <w:t>亿。</w:t>
      </w:r>
    </w:p>
    <w:p>
      <w:pPr>
        <w:pStyle w:val="Style33"/>
        <w:keepNext w:val="0"/>
        <w:keepLines w:val="0"/>
        <w:widowControl w:val="0"/>
        <w:shd w:val="clear" w:color="auto" w:fill="auto"/>
        <w:bidi w:val="0"/>
        <w:spacing w:before="0" w:after="320" w:line="322"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4</w:t>
      </w:r>
      <w:r>
        <w:rPr>
          <w:color w:val="000000"/>
          <w:spacing w:val="0"/>
          <w:w w:val="100"/>
          <w:position w:val="0"/>
        </w:rPr>
        <w:t xml:space="preserve">：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日期末余额中其他投资系子公司国盛证券</w:t>
      </w:r>
      <w:r>
        <w:rPr>
          <w:rFonts w:ascii="Times New Roman" w:eastAsia="Times New Roman" w:hAnsi="Times New Roman" w:cs="Times New Roman"/>
          <w:color w:val="000000"/>
          <w:spacing w:val="0"/>
          <w:w w:val="100"/>
          <w:position w:val="0"/>
        </w:rPr>
        <w:t>2015</w:t>
      </w:r>
      <w:r>
        <w:rPr>
          <w:color w:val="000000"/>
          <w:spacing w:val="0"/>
          <w:w w:val="100"/>
          <w:position w:val="0"/>
        </w:rPr>
        <w:t>年度自全国中小企业股份转让 系统购买的以做市商为目的的新三板挂牌股票，所有购买的新三板股票均已采用做市商交易方式，故按 公允价值计量。</w:t>
      </w:r>
    </w:p>
    <w:p>
      <w:pPr>
        <w:pStyle w:val="Style47"/>
        <w:keepNext/>
        <w:keepLines/>
        <w:widowControl w:val="0"/>
        <w:numPr>
          <w:ilvl w:val="0"/>
          <w:numId w:val="25"/>
        </w:numPr>
        <w:shd w:val="clear" w:color="auto" w:fill="auto"/>
        <w:bidi w:val="0"/>
        <w:spacing w:before="0" w:after="380" w:line="314" w:lineRule="exact"/>
        <w:ind w:left="0" w:right="0" w:firstLine="0"/>
        <w:jc w:val="both"/>
      </w:pPr>
      <w:bookmarkStart w:id="1136" w:name="bookmark1136"/>
      <w:bookmarkStart w:id="1137" w:name="bookmark1137"/>
      <w:bookmarkStart w:id="1138" w:name="bookmark1138"/>
      <w:bookmarkStart w:id="1139" w:name="bookmark1139"/>
      <w:bookmarkEnd w:id="1138"/>
      <w:r>
        <w:rPr>
          <w:color w:val="000000"/>
          <w:spacing w:val="0"/>
          <w:w w:val="100"/>
          <w:position w:val="0"/>
        </w:rPr>
        <w:t>期末按公允价值计量的可供出售金融资产</w:t>
      </w:r>
      <w:bookmarkEnd w:id="1136"/>
      <w:bookmarkEnd w:id="1137"/>
      <w:bookmarkEnd w:id="113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47"/>
        <w:gridCol w:w="2126"/>
        <w:gridCol w:w="1987"/>
        <w:gridCol w:w="1925"/>
      </w:tblGrid>
      <w:tr>
        <w:trPr>
          <w:trHeight w:val="32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可供出售金融资产分类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可供出售权益工具</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可供出售债务工具</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权益工具的成本</w:t>
            </w:r>
            <w:r>
              <w:rPr>
                <w:rFonts w:ascii="Times New Roman" w:eastAsia="Times New Roman" w:hAnsi="Times New Roman" w:cs="Times New Roman"/>
                <w:color w:val="000000"/>
                <w:spacing w:val="0"/>
                <w:w w:val="100"/>
                <w:position w:val="0"/>
              </w:rPr>
              <w:t>/</w:t>
            </w:r>
            <w:r>
              <w:rPr>
                <w:color w:val="000000"/>
                <w:spacing w:val="0"/>
                <w:w w:val="100"/>
                <w:position w:val="0"/>
              </w:rPr>
              <w:t>债务工具的摊余成本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3,752,082,684.57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3,752,082,684.57</w:t>
            </w: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3,754,240,891.56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3,754,240,891.56</w:t>
            </w:r>
          </w:p>
        </w:tc>
      </w:tr>
      <w:tr>
        <w:trPr>
          <w:trHeight w:val="63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累计计入其他综合收益的公允价值变 动金额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6,776,777.67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6,776,777.67</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己计提减值金额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4,618,570.68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4,618,570.68</w:t>
            </w:r>
          </w:p>
        </w:tc>
      </w:tr>
    </w:tbl>
    <w:p>
      <w:pPr>
        <w:pStyle w:val="Style26"/>
        <w:keepNext w:val="0"/>
        <w:keepLines w:val="0"/>
        <w:widowControl w:val="0"/>
        <w:shd w:val="clear" w:color="auto" w:fill="auto"/>
        <w:bidi w:val="0"/>
        <w:spacing w:before="0" w:after="0" w:line="240" w:lineRule="auto"/>
        <w:ind w:left="0" w:right="0" w:firstLine="0"/>
        <w:jc w:val="center"/>
      </w:pPr>
      <w:bookmarkStart w:id="1140" w:name="bookmark1140"/>
      <w:r>
        <w:rPr>
          <w:b/>
          <w:bCs/>
          <w:color w:val="000000"/>
          <w:spacing w:val="0"/>
          <w:w w:val="100"/>
          <w:position w:val="0"/>
        </w:rPr>
        <w:t>(</w:t>
      </w:r>
      <w:r>
        <w:rPr>
          <w:rFonts w:ascii="Times New Roman" w:eastAsia="Times New Roman" w:hAnsi="Times New Roman" w:cs="Times New Roman"/>
          <w:b/>
          <w:bCs/>
          <w:color w:val="000000"/>
          <w:spacing w:val="0"/>
          <w:w w:val="100"/>
          <w:position w:val="0"/>
        </w:rPr>
        <w:t>3</w:t>
      </w:r>
      <w:r>
        <w:rPr>
          <w:b/>
          <w:bCs/>
          <w:color w:val="000000"/>
          <w:spacing w:val="0"/>
          <w:w w:val="100"/>
          <w:position w:val="0"/>
        </w:rPr>
        <w:t>)期末按成本计量的可供出售金融资产</w:t>
      </w:r>
      <w:bookmarkEnd w:id="1140"/>
    </w:p>
    <w:p>
      <w:pPr>
        <w:widowControl w:val="0"/>
        <w:spacing w:after="31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848"/>
        <w:gridCol w:w="566"/>
        <w:gridCol w:w="1416"/>
        <w:gridCol w:w="571"/>
        <w:gridCol w:w="1416"/>
        <w:gridCol w:w="566"/>
        <w:gridCol w:w="566"/>
        <w:gridCol w:w="566"/>
        <w:gridCol w:w="566"/>
        <w:gridCol w:w="994"/>
        <w:gridCol w:w="499"/>
      </w:tblGrid>
      <w:tr>
        <w:trPr>
          <w:trHeight w:val="326"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被投资单位</w:t>
            </w:r>
          </w:p>
        </w:tc>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在被投资 单位持股 比例</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本期 现金 红利</w:t>
            </w:r>
          </w:p>
        </w:tc>
      </w:tr>
      <w:tr>
        <w:trPr>
          <w:trHeight w:val="63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 减少</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 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 减少</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北京快乐时代科技 发展有限公司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中证机构间报价系 统股份有限公司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475,000,000.00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475,000,000.00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7"/>
        <w:keepNext/>
        <w:keepLines/>
        <w:widowControl w:val="0"/>
        <w:numPr>
          <w:ilvl w:val="0"/>
          <w:numId w:val="21"/>
        </w:numPr>
        <w:shd w:val="clear" w:color="auto" w:fill="auto"/>
        <w:bidi w:val="0"/>
        <w:spacing w:before="0" w:after="380" w:line="240" w:lineRule="auto"/>
        <w:ind w:left="0" w:right="0" w:firstLine="0"/>
        <w:jc w:val="both"/>
      </w:pPr>
      <w:bookmarkStart w:id="1141" w:name="bookmark1141"/>
      <w:bookmarkStart w:id="1142" w:name="bookmark1142"/>
      <w:bookmarkStart w:id="1143" w:name="bookmark1143"/>
      <w:bookmarkStart w:id="1144" w:name="bookmark1144"/>
      <w:bookmarkEnd w:id="1143"/>
      <w:r>
        <w:rPr>
          <w:color w:val="000000"/>
          <w:spacing w:val="0"/>
          <w:w w:val="100"/>
          <w:position w:val="0"/>
        </w:rPr>
        <w:t>报告期内可供出售金融资产减值的变动情况</w:t>
      </w:r>
      <w:bookmarkEnd w:id="1141"/>
      <w:bookmarkEnd w:id="1142"/>
      <w:bookmarkEnd w:id="114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698"/>
        <w:gridCol w:w="2554"/>
        <w:gridCol w:w="2410"/>
        <w:gridCol w:w="1925"/>
      </w:tblGrid>
      <w:tr>
        <w:trPr>
          <w:trHeight w:val="336"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可供出售金融资产分类</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可供出售权益工具</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可供出售债务工具</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合计</w:t>
            </w:r>
          </w:p>
        </w:tc>
      </w:tr>
    </w:tbl>
    <w:p>
      <w:pPr>
        <w:spacing w:lineRule="exact" w:line="1"/>
        <w:rPr>
          <w:sz w:val="2"/>
          <w:szCs w:val="2"/>
        </w:rPr>
      </w:pPr>
      <w:r>
        <w:br w:type="page"/>
      </w:r>
    </w:p>
    <w:tbl>
      <w:tblPr>
        <w:tblOverlap w:val="never"/>
        <w:jc w:val="center"/>
        <w:tblLayout w:type="fixed"/>
      </w:tblPr>
      <w:tblGrid>
        <w:gridCol w:w="2698"/>
        <w:gridCol w:w="2554"/>
        <w:gridCol w:w="2410"/>
        <w:gridCol w:w="1925"/>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4,618,570.68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4,618,570.68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其中：从其他综合收益转入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4,618,570.68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4,618,570.68</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期末已计提减值余额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4,618,570.68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4,618,570.68</w:t>
            </w:r>
          </w:p>
        </w:tc>
      </w:tr>
    </w:tbl>
    <w:p>
      <w:pPr>
        <w:widowControl w:val="0"/>
        <w:spacing w:after="319" w:line="1" w:lineRule="exact"/>
      </w:pPr>
    </w:p>
    <w:p>
      <w:pPr>
        <w:pStyle w:val="Style47"/>
        <w:keepNext/>
        <w:keepLines/>
        <w:widowControl w:val="0"/>
        <w:shd w:val="clear" w:color="auto" w:fill="auto"/>
        <w:bidi w:val="0"/>
        <w:spacing w:before="0" w:after="380" w:line="240" w:lineRule="auto"/>
        <w:ind w:left="0" w:right="0" w:firstLine="0"/>
        <w:jc w:val="both"/>
      </w:pPr>
      <w:bookmarkStart w:id="1145" w:name="bookmark1145"/>
      <w:bookmarkStart w:id="1146" w:name="bookmark1146"/>
      <w:bookmarkStart w:id="1147" w:name="bookmark1147"/>
      <w:bookmarkStart w:id="1148" w:name="bookmark1148"/>
      <w:r>
        <w:rPr>
          <w:color w:val="000000"/>
          <w:spacing w:val="0"/>
          <w:w w:val="100"/>
          <w:position w:val="0"/>
        </w:rPr>
        <w:t>（</w:t>
      </w:r>
      <w:bookmarkEnd w:id="1147"/>
      <w:r>
        <w:rPr>
          <w:rFonts w:ascii="Times New Roman" w:eastAsia="Times New Roman" w:hAnsi="Times New Roman" w:cs="Times New Roman"/>
          <w:color w:val="000000"/>
          <w:spacing w:val="0"/>
          <w:w w:val="100"/>
          <w:position w:val="0"/>
        </w:rPr>
        <w:t>5</w:t>
      </w:r>
      <w:r>
        <w:rPr>
          <w:color w:val="000000"/>
          <w:spacing w:val="0"/>
          <w:w w:val="100"/>
          <w:position w:val="0"/>
        </w:rPr>
        <w:t>）可供出售权益工具期末公允价值严重下跌或非暂时性下跌但未计提减值准备的相关说明</w:t>
      </w:r>
      <w:bookmarkEnd w:id="1145"/>
      <w:bookmarkEnd w:id="1146"/>
      <w:bookmarkEnd w:id="1148"/>
    </w:p>
    <w:p>
      <w:pPr>
        <w:pStyle w:val="Style30"/>
        <w:keepNext/>
        <w:keepLines/>
        <w:widowControl w:val="0"/>
        <w:shd w:val="clear" w:color="auto" w:fill="auto"/>
        <w:bidi w:val="0"/>
        <w:spacing w:before="0" w:after="380" w:line="240" w:lineRule="auto"/>
        <w:ind w:left="0" w:right="0" w:firstLine="0"/>
        <w:jc w:val="both"/>
      </w:pPr>
      <w:bookmarkStart w:id="1149" w:name="bookmark1149"/>
      <w:bookmarkStart w:id="1150" w:name="bookmark1150"/>
      <w:bookmarkStart w:id="1151" w:name="bookmark1151"/>
      <w:bookmarkStart w:id="1152" w:name="bookmark1152"/>
      <w:r>
        <w:rPr>
          <w:rFonts w:ascii="Times New Roman" w:eastAsia="Times New Roman" w:hAnsi="Times New Roman" w:cs="Times New Roman"/>
          <w:color w:val="000000"/>
          <w:spacing w:val="0"/>
          <w:w w:val="100"/>
          <w:position w:val="0"/>
        </w:rPr>
        <w:t>1</w:t>
      </w:r>
      <w:bookmarkEnd w:id="1151"/>
      <w:r>
        <w:rPr>
          <w:rFonts w:ascii="Times New Roman" w:eastAsia="Times New Roman" w:hAnsi="Times New Roman" w:cs="Times New Roman"/>
          <w:color w:val="000000"/>
          <w:spacing w:val="0"/>
          <w:w w:val="100"/>
          <w:position w:val="0"/>
        </w:rPr>
        <w:t>6</w:t>
      </w:r>
      <w:r>
        <w:rPr>
          <w:color w:val="000000"/>
          <w:spacing w:val="0"/>
          <w:w w:val="100"/>
          <w:position w:val="0"/>
        </w:rPr>
        <w:t>、长期股权投资</w:t>
      </w:r>
      <w:bookmarkEnd w:id="1149"/>
      <w:bookmarkEnd w:id="1150"/>
      <w:bookmarkEnd w:id="115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998"/>
        <w:gridCol w:w="288"/>
        <w:gridCol w:w="1272"/>
        <w:gridCol w:w="422"/>
        <w:gridCol w:w="1272"/>
        <w:gridCol w:w="1282"/>
        <w:gridCol w:w="566"/>
        <w:gridCol w:w="701"/>
        <w:gridCol w:w="576"/>
        <w:gridCol w:w="283"/>
        <w:gridCol w:w="1277"/>
        <w:gridCol w:w="648"/>
      </w:tblGrid>
      <w:tr>
        <w:trPr>
          <w:trHeight w:val="326"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期 初 余 额</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w:t>
            </w:r>
          </w:p>
        </w:tc>
        <w:tc>
          <w:tcPr>
            <w:gridSpan w:val="5"/>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增减变动</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减值 准备 期末 余额</w:t>
            </w:r>
          </w:p>
        </w:tc>
      </w:tr>
      <w:tr>
        <w:trPr>
          <w:trHeight w:val="125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 少 投 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权益法下确 认的投资损</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w:t>
            </w:r>
            <w:r>
              <w:rPr>
                <w:i/>
                <w:iCs/>
                <w:color w:val="000000"/>
                <w:spacing w:val="0"/>
                <w:w w:val="100"/>
                <w:position w:val="0"/>
                <w:u w:val="single"/>
              </w:rPr>
              <w:t>八</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其他综合收 益调整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 权益 变动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宣告发 放现金 股利或 利润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计提</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减值</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22" w:hRule="exact"/>
        </w:trPr>
        <w:tc>
          <w:tcPr>
            <w:gridSpan w:val="1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322" w:hRule="exact"/>
        </w:trPr>
        <w:tc>
          <w:tcPr>
            <w:gridSpan w:val="1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9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江信基金 管理有限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64,860,012.95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5,495,073.81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-4,023,508.45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66,331,578.31</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64,860,012.95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5,495,073.81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-4,023,508.45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66,331,578.31</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64,860,012.95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5,495,073.81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-4,023,508.45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66,331,578.31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380" w:line="313" w:lineRule="exact"/>
        <w:ind w:left="0" w:right="0" w:firstLine="440"/>
        <w:jc w:val="both"/>
        <w:sectPr>
          <w:headerReference w:type="default" r:id="rId49"/>
          <w:footerReference w:type="default" r:id="rId50"/>
          <w:footnotePr>
            <w:pos w:val="pageBottom"/>
            <w:numFmt w:val="decimal"/>
            <w:numRestart w:val="continuous"/>
          </w:footnotePr>
          <w:pgSz w:w="11900" w:h="16840"/>
          <w:pgMar w:top="1402" w:right="1120" w:bottom="1479" w:left="1099" w:header="0" w:footer="3" w:gutter="0"/>
          <w:cols w:space="720"/>
          <w:noEndnote/>
          <w:rtlGutter w:val="0"/>
          <w:docGrid w:linePitch="360"/>
        </w:sectPr>
      </w:pPr>
      <w:r>
        <w:rPr>
          <w:color w:val="000000"/>
          <w:spacing w:val="0"/>
          <w:w w:val="100"/>
          <w:position w:val="0"/>
        </w:rPr>
        <w:t>注：经中国证券监督管理委员会证监许可【</w:t>
      </w:r>
      <w:r>
        <w:rPr>
          <w:rFonts w:ascii="Times New Roman" w:eastAsia="Times New Roman" w:hAnsi="Times New Roman" w:cs="Times New Roman"/>
          <w:color w:val="000000"/>
          <w:spacing w:val="0"/>
          <w:w w:val="100"/>
          <w:position w:val="0"/>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rPr>
        <w:t>1717</w:t>
      </w:r>
      <w:r>
        <w:rPr>
          <w:color w:val="000000"/>
          <w:spacing w:val="0"/>
          <w:w w:val="100"/>
          <w:position w:val="0"/>
        </w:rPr>
        <w:t>号文《关于核准设立江信基金管理有限公司的 批复》批准，</w:t>
      </w:r>
      <w:r>
        <w:rPr>
          <w:rFonts w:ascii="Times New Roman" w:eastAsia="Times New Roman" w:hAnsi="Times New Roman" w:cs="Times New Roman"/>
          <w:color w:val="000000"/>
          <w:spacing w:val="0"/>
          <w:w w:val="100"/>
          <w:position w:val="0"/>
        </w:rPr>
        <w:t>2013</w:t>
      </w:r>
      <w:r>
        <w:rPr>
          <w:color w:val="000000"/>
          <w:spacing w:val="0"/>
          <w:w w:val="100"/>
          <w:position w:val="0"/>
        </w:rPr>
        <w:t>年度子公司国盛证券与恒生阳光集团有限公司和中炬高新技术实业（集团）股份有限公 司共同出资</w:t>
      </w:r>
      <w:r>
        <w:rPr>
          <w:rFonts w:ascii="Times New Roman" w:eastAsia="Times New Roman" w:hAnsi="Times New Roman" w:cs="Times New Roman"/>
          <w:color w:val="000000"/>
          <w:spacing w:val="0"/>
          <w:w w:val="100"/>
          <w:position w:val="0"/>
        </w:rPr>
        <w:t>1</w:t>
      </w:r>
      <w:r>
        <w:rPr>
          <w:color w:val="000000"/>
          <w:spacing w:val="0"/>
          <w:w w:val="100"/>
          <w:position w:val="0"/>
        </w:rPr>
        <w:t>亿元组建江信基金管理有限公司，持股比例分别为</w:t>
      </w:r>
      <w:r>
        <w:rPr>
          <w:rFonts w:ascii="Times New Roman" w:eastAsia="Times New Roman" w:hAnsi="Times New Roman" w:cs="Times New Roman"/>
          <w:color w:val="000000"/>
          <w:spacing w:val="0"/>
          <w:w w:val="100"/>
          <w:position w:val="0"/>
        </w:rPr>
        <w:t>49%</w:t>
      </w:r>
      <w:r>
        <w:rPr>
          <w:color w:val="000000"/>
          <w:spacing w:val="0"/>
          <w:w w:val="100"/>
          <w:position w:val="0"/>
        </w:rPr>
        <w:t>、</w:t>
      </w:r>
      <w:r>
        <w:rPr>
          <w:rFonts w:ascii="Times New Roman" w:eastAsia="Times New Roman" w:hAnsi="Times New Roman" w:cs="Times New Roman"/>
          <w:color w:val="000000"/>
          <w:spacing w:val="0"/>
          <w:w w:val="100"/>
          <w:position w:val="0"/>
        </w:rPr>
        <w:t>31%</w:t>
      </w:r>
      <w:r>
        <w:rPr>
          <w:color w:val="000000"/>
          <w:spacing w:val="0"/>
          <w:w w:val="100"/>
          <w:position w:val="0"/>
        </w:rPr>
        <w:t>、</w:t>
      </w:r>
      <w:r>
        <w:rPr>
          <w:rFonts w:ascii="Times New Roman" w:eastAsia="Times New Roman" w:hAnsi="Times New Roman" w:cs="Times New Roman"/>
          <w:color w:val="000000"/>
          <w:spacing w:val="0"/>
          <w:w w:val="100"/>
          <w:position w:val="0"/>
        </w:rPr>
        <w:t>20%</w:t>
      </w:r>
      <w:r>
        <w:rPr>
          <w:color w:val="000000"/>
          <w:spacing w:val="0"/>
          <w:w w:val="100"/>
          <w:position w:val="0"/>
        </w:rPr>
        <w:t>。</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日经中 国证券监督管理委员会证监许可【</w:t>
      </w:r>
      <w:r>
        <w:rPr>
          <w:rFonts w:ascii="Times New Roman" w:eastAsia="Times New Roman" w:hAnsi="Times New Roman" w:cs="Times New Roman"/>
          <w:color w:val="000000"/>
          <w:spacing w:val="0"/>
          <w:w w:val="100"/>
          <w:position w:val="0"/>
        </w:rPr>
        <w:t>2013</w:t>
      </w:r>
      <w:r>
        <w:rPr>
          <w:color w:val="000000"/>
          <w:spacing w:val="0"/>
          <w:w w:val="100"/>
          <w:position w:val="0"/>
        </w:rPr>
        <w:t>】</w:t>
      </w:r>
      <w:r>
        <w:rPr>
          <w:rFonts w:ascii="Times New Roman" w:eastAsia="Times New Roman" w:hAnsi="Times New Roman" w:cs="Times New Roman"/>
          <w:color w:val="000000"/>
          <w:spacing w:val="0"/>
          <w:w w:val="100"/>
          <w:position w:val="0"/>
        </w:rPr>
        <w:t>1270</w:t>
      </w:r>
      <w:r>
        <w:rPr>
          <w:color w:val="000000"/>
          <w:spacing w:val="0"/>
          <w:w w:val="100"/>
          <w:position w:val="0"/>
        </w:rPr>
        <w:t>号文《关于核准江信基金管理有限公司变更股权的批复》批 准，中炬高新技术实业（集团）股份有限公司将其持有的江信基金管理有限公司</w:t>
      </w:r>
      <w:r>
        <w:rPr>
          <w:rFonts w:ascii="Times New Roman" w:eastAsia="Times New Roman" w:hAnsi="Times New Roman" w:cs="Times New Roman"/>
          <w:color w:val="000000"/>
          <w:spacing w:val="0"/>
          <w:w w:val="100"/>
          <w:position w:val="0"/>
        </w:rPr>
        <w:t>20%</w:t>
      </w:r>
      <w:r>
        <w:rPr>
          <w:color w:val="000000"/>
          <w:spacing w:val="0"/>
          <w:w w:val="100"/>
          <w:position w:val="0"/>
        </w:rPr>
        <w:t>股权、恒生阳光集团 有限公司将其持有的江信基金管理有限公司</w:t>
      </w:r>
      <w:r>
        <w:rPr>
          <w:rFonts w:ascii="Times New Roman" w:eastAsia="Times New Roman" w:hAnsi="Times New Roman" w:cs="Times New Roman"/>
          <w:color w:val="000000"/>
          <w:spacing w:val="0"/>
          <w:w w:val="100"/>
          <w:position w:val="0"/>
        </w:rPr>
        <w:t>5%</w:t>
      </w:r>
      <w:r>
        <w:rPr>
          <w:color w:val="000000"/>
          <w:spacing w:val="0"/>
          <w:w w:val="100"/>
          <w:position w:val="0"/>
        </w:rPr>
        <w:t>股权转让给金麒麟投资有限公司，股权转让后子公司国盛证 券持股比例仍为</w:t>
      </w:r>
      <w:r>
        <w:rPr>
          <w:rFonts w:ascii="Times New Roman" w:eastAsia="Times New Roman" w:hAnsi="Times New Roman" w:cs="Times New Roman"/>
          <w:color w:val="000000"/>
          <w:spacing w:val="0"/>
          <w:w w:val="100"/>
          <w:position w:val="0"/>
        </w:rPr>
        <w:t>49%</w:t>
      </w:r>
      <w:r>
        <w:rPr>
          <w:color w:val="000000"/>
          <w:spacing w:val="0"/>
          <w:w w:val="100"/>
          <w:position w:val="0"/>
        </w:rPr>
        <w:t>。</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日经中国证券监督管理委员会证监许可【</w:t>
      </w:r>
      <w:r>
        <w:rPr>
          <w:rFonts w:ascii="Times New Roman" w:eastAsia="Times New Roman" w:hAnsi="Times New Roman" w:cs="Times New Roman"/>
          <w:color w:val="000000"/>
          <w:spacing w:val="0"/>
          <w:w w:val="100"/>
          <w:position w:val="0"/>
        </w:rPr>
        <w:t>2015</w:t>
      </w:r>
      <w:r>
        <w:rPr>
          <w:color w:val="000000"/>
          <w:spacing w:val="0"/>
          <w:w w:val="100"/>
          <w:position w:val="0"/>
        </w:rPr>
        <w:t xml:space="preserve">】 </w:t>
      </w:r>
      <w:r>
        <w:rPr>
          <w:rFonts w:ascii="Times New Roman" w:eastAsia="Times New Roman" w:hAnsi="Times New Roman" w:cs="Times New Roman"/>
          <w:color w:val="000000"/>
          <w:spacing w:val="0"/>
          <w:w w:val="100"/>
          <w:position w:val="0"/>
        </w:rPr>
        <w:t>1667</w:t>
      </w:r>
      <w:r>
        <w:rPr>
          <w:color w:val="000000"/>
          <w:spacing w:val="0"/>
          <w:w w:val="100"/>
          <w:position w:val="0"/>
        </w:rPr>
        <w:t>号文《关于核准江 信基金管理有限公司变更股权的批复》批准，子公司国盛证券以每股</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.01</w:t>
      </w:r>
      <w:r>
        <w:rPr>
          <w:color w:val="000000"/>
          <w:spacing w:val="0"/>
          <w:w w:val="100"/>
          <w:position w:val="0"/>
        </w:rPr>
        <w:t>元价格认购</w:t>
      </w:r>
      <w:r>
        <w:rPr>
          <w:rFonts w:ascii="Times New Roman" w:eastAsia="Times New Roman" w:hAnsi="Times New Roman" w:cs="Times New Roman"/>
          <w:color w:val="000000"/>
          <w:spacing w:val="0"/>
          <w:w w:val="100"/>
          <w:position w:val="0"/>
        </w:rPr>
        <w:t>500</w:t>
      </w:r>
      <w:r>
        <w:rPr>
          <w:color w:val="000000"/>
          <w:spacing w:val="0"/>
          <w:w w:val="100"/>
          <w:position w:val="0"/>
        </w:rPr>
        <w:t>万股江信基金管理 有限公司本次增发的股份，本次增资后子公司国盛证券持股比例变更为</w:t>
      </w:r>
      <w:r>
        <w:rPr>
          <w:rFonts w:ascii="Times New Roman" w:eastAsia="Times New Roman" w:hAnsi="Times New Roman" w:cs="Times New Roman"/>
          <w:color w:val="000000"/>
          <w:spacing w:val="0"/>
          <w:w w:val="100"/>
          <w:position w:val="0"/>
        </w:rPr>
        <w:t>30%</w:t>
      </w:r>
      <w:r>
        <w:rPr>
          <w:color w:val="000000"/>
          <w:spacing w:val="0"/>
          <w:w w:val="100"/>
          <w:position w:val="0"/>
        </w:rPr>
        <w:t>。</w:t>
      </w:r>
    </w:p>
    <w:p>
      <w:pPr>
        <w:pStyle w:val="Style30"/>
        <w:keepNext/>
        <w:keepLines/>
        <w:widowControl w:val="0"/>
        <w:shd w:val="clear" w:color="auto" w:fill="auto"/>
        <w:bidi w:val="0"/>
        <w:spacing w:before="0" w:after="360" w:line="240" w:lineRule="auto"/>
        <w:ind w:left="0" w:right="0" w:firstLine="0"/>
        <w:jc w:val="left"/>
      </w:pPr>
      <w:bookmarkStart w:id="1153" w:name="bookmark1153"/>
      <w:bookmarkStart w:id="1154" w:name="bookmark1154"/>
      <w:bookmarkStart w:id="1155" w:name="bookmark1155"/>
      <w:bookmarkStart w:id="1156" w:name="bookmark1156"/>
      <w:r>
        <w:rPr>
          <w:rFonts w:ascii="Times New Roman" w:eastAsia="Times New Roman" w:hAnsi="Times New Roman" w:cs="Times New Roman"/>
          <w:color w:val="000000"/>
          <w:spacing w:val="0"/>
          <w:w w:val="100"/>
          <w:position w:val="0"/>
        </w:rPr>
        <w:t>1</w:t>
      </w:r>
      <w:bookmarkEnd w:id="1155"/>
      <w:r>
        <w:rPr>
          <w:rFonts w:ascii="Times New Roman" w:eastAsia="Times New Roman" w:hAnsi="Times New Roman" w:cs="Times New Roman"/>
          <w:color w:val="000000"/>
          <w:spacing w:val="0"/>
          <w:w w:val="100"/>
          <w:position w:val="0"/>
        </w:rPr>
        <w:t>7</w:t>
      </w:r>
      <w:r>
        <w:rPr>
          <w:color w:val="000000"/>
          <w:spacing w:val="0"/>
          <w:w w:val="100"/>
          <w:position w:val="0"/>
        </w:rPr>
        <w:t>、投资性房地产</w:t>
      </w:r>
      <w:bookmarkEnd w:id="1153"/>
      <w:bookmarkEnd w:id="1154"/>
      <w:bookmarkEnd w:id="1156"/>
    </w:p>
    <w:p>
      <w:pPr>
        <w:pStyle w:val="Style33"/>
        <w:keepNext w:val="0"/>
        <w:keepLines w:val="0"/>
        <w:widowControl w:val="0"/>
        <w:numPr>
          <w:ilvl w:val="0"/>
          <w:numId w:val="27"/>
        </w:numPr>
        <w:shd w:val="clear" w:color="auto" w:fill="auto"/>
        <w:tabs>
          <w:tab w:pos="493" w:val="left"/>
        </w:tabs>
        <w:bidi w:val="0"/>
        <w:spacing w:before="0" w:after="360" w:line="240" w:lineRule="auto"/>
        <w:ind w:left="0" w:right="0" w:firstLine="0"/>
        <w:jc w:val="left"/>
      </w:pPr>
      <w:r>
        <mc:AlternateContent>
          <mc:Choice Requires="wps">
            <w:drawing>
              <wp:anchor distT="0" distB="0" distL="114300" distR="114300" simplePos="0" relativeHeight="125829436" behindDoc="0" locked="0" layoutInCell="1" allowOverlap="1">
                <wp:simplePos x="0" y="0"/>
                <wp:positionH relativeFrom="page">
                  <wp:posOffset>5593080</wp:posOffset>
                </wp:positionH>
                <wp:positionV relativeFrom="paragraph">
                  <wp:posOffset>12700</wp:posOffset>
                </wp:positionV>
                <wp:extent cx="1042670" cy="579120"/>
                <wp:wrapSquare wrapText="left"/>
                <wp:docPr id="160" name="Shape 160"/>
                <a:graphic xmlns:a="http://schemas.openxmlformats.org/drawingml/2006/main">
                  <a:graphicData uri="http://schemas.microsoft.com/office/word/2010/wordprocessingShape">
                    <wps:wsp>
                      <wps:cNvSpPr txBox="1"/>
                      <wps:spPr>
                        <a:xfrm>
                          <a:ext cx="1042670" cy="579120"/>
                        </a:xfrm>
                        <a:prstGeom prst="rect"/>
                        <a:noFill/>
                      </wps:spPr>
                      <wps:txbx>
                        <w:txbxContent>
                          <w:p>
                            <w:pPr>
                              <w:pStyle w:val="Style3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txbxContent>
                      </wps:txbx>
                      <wps:bodyPr lIns="0" tIns="0" rIns="0" bIns="0">
                        <a:noAutoFit/>
                      </wps:bodyPr>
                    </wps:wsp>
                  </a:graphicData>
                </a:graphic>
              </wp:anchor>
            </w:drawing>
          </mc:Choice>
          <mc:Fallback>
            <w:pict>
              <v:shape id="_x0000_s1186" type="#_x0000_t202" style="position:absolute;margin-left:440.40000000000003pt;margin-top:1.pt;width:82.100000000000009pt;height:45.600000000000001pt;z-index:-125829317;mso-wrap-distance-left:9.pt;mso-wrap-distance-right:9.pt;mso-position-horizontal-relative:page" filled="f" stroked="f">
                <v:textbox inset="0,0,0,0">
                  <w:txbxContent>
                    <w:p>
                      <w:pPr>
                        <w:pStyle w:val="Style3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txbxContent>
                </v:textbox>
                <w10:wrap type="square" side="left" anchorx="page"/>
              </v:shape>
            </w:pict>
          </mc:Fallback>
        </mc:AlternateContent>
      </w:r>
      <w:bookmarkStart w:id="1157" w:name="bookmark1157"/>
      <w:bookmarkStart w:id="1158" w:name="bookmark1158"/>
      <w:bookmarkEnd w:id="1157"/>
      <w:r>
        <w:rPr>
          <w:b/>
          <w:bCs/>
          <w:color w:val="000000"/>
          <w:spacing w:val="0"/>
          <w:w w:val="100"/>
          <w:position w:val="0"/>
        </w:rPr>
        <w:t>采用成本计量模式的投资性房地产</w:t>
      </w:r>
      <w:bookmarkEnd w:id="1158"/>
    </w:p>
    <w:p>
      <w:pPr>
        <w:pStyle w:val="Style33"/>
        <w:keepNext w:val="0"/>
        <w:keepLines w:val="0"/>
        <w:widowControl w:val="0"/>
        <w:numPr>
          <w:ilvl w:val="0"/>
          <w:numId w:val="27"/>
        </w:numPr>
        <w:shd w:val="clear" w:color="auto" w:fill="auto"/>
        <w:tabs>
          <w:tab w:pos="493" w:val="left"/>
        </w:tabs>
        <w:bidi w:val="0"/>
        <w:spacing w:before="0" w:after="360" w:line="240" w:lineRule="auto"/>
        <w:ind w:left="0" w:right="0" w:firstLine="0"/>
        <w:jc w:val="left"/>
      </w:pPr>
      <w:bookmarkStart w:id="1159" w:name="bookmark1159"/>
      <w:bookmarkStart w:id="1160" w:name="bookmark1160"/>
      <w:bookmarkStart w:id="1161" w:name="bookmark1161"/>
      <w:bookmarkEnd w:id="1159"/>
      <w:r>
        <w:rPr>
          <w:b/>
          <w:bCs/>
          <w:color w:val="000000"/>
          <w:spacing w:val="0"/>
          <w:w w:val="100"/>
          <w:position w:val="0"/>
        </w:rPr>
        <w:t>采用公允价值计量模式的投资性房地产</w:t>
      </w:r>
      <w:bookmarkEnd w:id="1160"/>
      <w:bookmarkEnd w:id="1161"/>
    </w:p>
    <w:p>
      <w:pPr>
        <w:pStyle w:val="Style47"/>
        <w:keepNext/>
        <w:keepLines/>
        <w:widowControl w:val="0"/>
        <w:numPr>
          <w:ilvl w:val="0"/>
          <w:numId w:val="27"/>
        </w:numPr>
        <w:shd w:val="clear" w:color="auto" w:fill="auto"/>
        <w:tabs>
          <w:tab w:pos="493" w:val="left"/>
        </w:tabs>
        <w:bidi w:val="0"/>
        <w:spacing w:before="0" w:line="240" w:lineRule="auto"/>
        <w:ind w:left="0" w:right="0" w:firstLine="0"/>
        <w:jc w:val="left"/>
      </w:pPr>
      <w:bookmarkStart w:id="1162" w:name="bookmark1162"/>
      <w:bookmarkStart w:id="1163" w:name="bookmark1163"/>
      <w:bookmarkStart w:id="1164" w:name="bookmark1164"/>
      <w:bookmarkStart w:id="1165" w:name="bookmark1165"/>
      <w:bookmarkStart w:id="1166" w:name="bookmark1166"/>
      <w:bookmarkStart w:id="1167" w:name="bookmark1167"/>
      <w:bookmarkEnd w:id="1164"/>
      <w:r>
        <w:rPr>
          <w:color w:val="000000"/>
          <w:spacing w:val="0"/>
          <w:w w:val="100"/>
          <w:position w:val="0"/>
        </w:rPr>
        <w:t>期末无未办妥产权证书的投资性房地产。</w:t>
      </w:r>
      <w:bookmarkEnd w:id="1162"/>
      <w:bookmarkEnd w:id="1163"/>
      <w:bookmarkEnd w:id="1165"/>
      <w:bookmarkEnd w:id="1166"/>
      <w:bookmarkEnd w:id="1167"/>
    </w:p>
    <w:p>
      <w:pPr>
        <w:pStyle w:val="Style30"/>
        <w:keepNext/>
        <w:keepLines/>
        <w:widowControl w:val="0"/>
        <w:shd w:val="clear" w:color="auto" w:fill="auto"/>
        <w:bidi w:val="0"/>
        <w:spacing w:before="0" w:after="360" w:line="240" w:lineRule="auto"/>
        <w:ind w:left="0" w:right="0" w:firstLine="0"/>
        <w:jc w:val="left"/>
      </w:pPr>
      <w:bookmarkStart w:id="1168" w:name="bookmark1168"/>
      <w:bookmarkStart w:id="1169" w:name="bookmark1169"/>
      <w:bookmarkStart w:id="1170" w:name="bookmark1170"/>
      <w:bookmarkStart w:id="1171" w:name="bookmark1171"/>
      <w:bookmarkStart w:id="1172" w:name="bookmark1172"/>
      <w:r>
        <w:rPr>
          <w:rFonts w:ascii="Times New Roman" w:eastAsia="Times New Roman" w:hAnsi="Times New Roman" w:cs="Times New Roman"/>
          <w:color w:val="000000"/>
          <w:spacing w:val="0"/>
          <w:w w:val="100"/>
          <w:position w:val="0"/>
        </w:rPr>
        <w:t>1</w:t>
      </w:r>
      <w:bookmarkEnd w:id="1170"/>
      <w:r>
        <w:rPr>
          <w:rFonts w:ascii="Times New Roman" w:eastAsia="Times New Roman" w:hAnsi="Times New Roman" w:cs="Times New Roman"/>
          <w:color w:val="000000"/>
          <w:spacing w:val="0"/>
          <w:w w:val="100"/>
          <w:position w:val="0"/>
        </w:rPr>
        <w:t>8</w:t>
      </w:r>
      <w:r>
        <w:rPr>
          <w:color w:val="000000"/>
          <w:spacing w:val="0"/>
          <w:w w:val="100"/>
          <w:position w:val="0"/>
        </w:rPr>
        <w:t>、固定资产</w:t>
      </w:r>
      <w:bookmarkEnd w:id="1168"/>
      <w:bookmarkEnd w:id="1169"/>
      <w:bookmarkEnd w:id="1171"/>
      <w:bookmarkEnd w:id="1172"/>
    </w:p>
    <w:p>
      <w:pPr>
        <w:pStyle w:val="Style47"/>
        <w:keepNext/>
        <w:keepLines/>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470" w:right="1109" w:bottom="11430" w:left="1109" w:header="0" w:footer="3" w:gutter="0"/>
          <w:cols w:space="720"/>
          <w:noEndnote/>
          <w:rtlGutter w:val="0"/>
          <w:docGrid w:linePitch="360"/>
        </w:sectPr>
      </w:pPr>
      <w:bookmarkStart w:id="1173" w:name="bookmark1173"/>
      <w:bookmarkStart w:id="1174" w:name="bookmark1174"/>
      <w:bookmarkStart w:id="1175" w:name="bookmark1175"/>
      <w:bookmarkStart w:id="1176" w:name="bookmark117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173"/>
      <w:bookmarkEnd w:id="1174"/>
      <w:bookmarkEnd w:id="1175"/>
      <w:bookmarkEnd w:id="1176"/>
    </w:p>
    <w:p>
      <w:pPr>
        <w:widowControl w:val="0"/>
        <w:spacing w:before="19" w:after="1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152" w:right="0" w:bottom="1158" w:left="0" w:header="0" w:footer="3" w:gutter="0"/>
          <w:cols w:space="720"/>
          <w:noEndnote/>
          <w:rtlGutter w:val="0"/>
          <w:docGrid w:linePitch="360"/>
        </w:sectPr>
      </w:pPr>
    </w:p>
    <w:p>
      <w:pPr>
        <w:pStyle w:val="Style33"/>
        <w:keepNext w:val="0"/>
        <w:keepLines w:val="0"/>
        <w:framePr w:w="984" w:h="259" w:wrap="none" w:vAnchor="text" w:hAnchor="page" w:x="9712" w:y="21"/>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after="258" w:line="1" w:lineRule="exact"/>
      </w:pPr>
    </w:p>
    <w:p>
      <w:pPr>
        <w:widowControl w:val="0"/>
        <w:spacing w:line="1" w:lineRule="exact"/>
        <w:sectPr>
          <w:footnotePr>
            <w:pos w:val="pageBottom"/>
            <w:numFmt w:val="decimal"/>
            <w:numRestart w:val="continuous"/>
          </w:footnotePr>
          <w:type w:val="continuous"/>
          <w:pgSz w:w="11900" w:h="16840"/>
          <w:pgMar w:top="1152" w:right="1109" w:bottom="1158" w:left="1109" w:header="0" w:footer="3" w:gutter="0"/>
          <w:cols w:space="720"/>
          <w:noEndnote/>
          <w:rtlGutter w:val="0"/>
          <w:docGrid w:linePitch="360"/>
        </w:sectPr>
      </w:pPr>
    </w:p>
    <w:tbl>
      <w:tblPr>
        <w:tblOverlap w:val="never"/>
        <w:jc w:val="center"/>
        <w:tblLayout w:type="fixed"/>
      </w:tblPr>
      <w:tblGrid>
        <w:gridCol w:w="3979"/>
        <w:gridCol w:w="1699"/>
        <w:gridCol w:w="1560"/>
        <w:gridCol w:w="1416"/>
        <w:gridCol w:w="1277"/>
        <w:gridCol w:w="1277"/>
        <w:gridCol w:w="1272"/>
        <w:gridCol w:w="1570"/>
      </w:tblGrid>
      <w:tr>
        <w:trPr>
          <w:trHeight w:val="32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E1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房屋及建筑物</w:t>
            </w:r>
          </w:p>
        </w:tc>
        <w:tc>
          <w:tcPr>
            <w:tcBorders>
              <w:top w:val="single" w:sz="4"/>
              <w:left w:val="single" w:sz="4"/>
            </w:tcBorders>
            <w:shd w:val="clear" w:color="auto" w:fill="E1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机器设备</w:t>
            </w:r>
          </w:p>
        </w:tc>
        <w:tc>
          <w:tcPr>
            <w:tcBorders>
              <w:top w:val="single" w:sz="4"/>
              <w:left w:val="single" w:sz="4"/>
            </w:tcBorders>
            <w:shd w:val="clear" w:color="auto" w:fill="E1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运输设备</w:t>
            </w:r>
          </w:p>
        </w:tc>
        <w:tc>
          <w:tcPr>
            <w:tcBorders>
              <w:top w:val="single" w:sz="4"/>
              <w:left w:val="single" w:sz="4"/>
            </w:tcBorders>
            <w:shd w:val="clear" w:color="auto" w:fill="E1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检测设备</w:t>
            </w:r>
          </w:p>
        </w:tc>
        <w:tc>
          <w:tcPr>
            <w:tcBorders>
              <w:top w:val="single" w:sz="4"/>
              <w:left w:val="single" w:sz="4"/>
            </w:tcBorders>
            <w:shd w:val="clear" w:color="auto" w:fill="E1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办公设备</w:t>
            </w:r>
          </w:p>
        </w:tc>
        <w:tc>
          <w:tcPr>
            <w:tcBorders>
              <w:top w:val="single" w:sz="4"/>
              <w:left w:val="single" w:sz="4"/>
            </w:tcBorders>
            <w:shd w:val="clear" w:color="auto" w:fill="E1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工装模具</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185,779,751.16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222,581,922.35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7,165,529.87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11,583,920.31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8,401,492.21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7,369,032.44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442,881,648.34</w:t>
            </w:r>
          </w:p>
        </w:tc>
      </w:tr>
      <w:tr>
        <w:trPr>
          <w:trHeight w:val="326"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33,777,600.83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107,670,015.10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28,311,367.22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168,146.24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2,640,987.21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79,145.30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172,647,261.90</w:t>
            </w:r>
          </w:p>
        </w:tc>
      </w:tr>
      <w:tr>
        <w:trPr>
          <w:trHeight w:val="3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11,971,798.56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5,131,655.33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8,593,527.47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281,607.05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25,978,588.41</w:t>
            </w: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）在建工程转入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340,000.00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5,640,036.61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14,623.92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168,146.24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123,208.80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79,145.30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6,365,160.87</w:t>
            </w:r>
          </w:p>
        </w:tc>
      </w:tr>
      <w:tr>
        <w:trPr>
          <w:trHeight w:val="3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E1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21,465,802.27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96,898,323.16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19,703,215.83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2,236,171.36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140,303,512.62</w:t>
            </w: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4,816.25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6,300,342.41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1,387,418.93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345,777.62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283,184.04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110,072.82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8,431,612.07</w:t>
            </w: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）处置或报废</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4,816.25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6,300,342.41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1,387,418.93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345,777.62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283,184.04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110,072.82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8,431,612.07</w:t>
            </w: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219,552,535.74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323,951,595.04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34,089,478.16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11,406,288.93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10,759,295.38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7,338,104.92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607,097,298.17</w:t>
            </w:r>
          </w:p>
        </w:tc>
      </w:tr>
      <w:tr>
        <w:trPr>
          <w:trHeight w:val="3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39,252,358.95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85,724,707.99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2,780,481.90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5,966,718.39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3,207,370.83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4,383,743.45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141,315,381.51</w:t>
            </w: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19,453,303.60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99,459,286.58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13,174,277.24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1,302,219.37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2,854,216.05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916,185.09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137,159,487.93</w:t>
            </w: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8,966,097.41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25,146,524.90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2,621,329.29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1,302,219.37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1,193,280.11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916,185.09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40,145,636.17</w:t>
            </w:r>
          </w:p>
        </w:tc>
      </w:tr>
      <w:tr>
        <w:trPr>
          <w:trHeight w:val="326" w:hRule="exact"/>
        </w:trPr>
        <w:tc>
          <w:tcPr>
            <w:tcBorders>
              <w:top w:val="single" w:sz="4"/>
              <w:left w:val="single" w:sz="4"/>
            </w:tcBorders>
            <w:shd w:val="clear" w:color="auto" w:fill="E1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10,487,206.19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74,312,761.68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10,552,947.95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1,660,935.94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97,013,851.76</w:t>
            </w:r>
          </w:p>
        </w:tc>
      </w:tr>
      <w:tr>
        <w:trPr>
          <w:trHeight w:val="3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4,592,204.75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1,237,086.99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311,199.82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222,154.46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99,065.54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6,461,711.56</w:t>
            </w:r>
          </w:p>
        </w:tc>
      </w:tr>
      <w:tr>
        <w:trPr>
          <w:trHeight w:val="3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4,592,204.75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1,237,086.99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311,199.82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222,154.46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99,065.54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6,461,711.56</w:t>
            </w: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58,705,662.55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180,591,789.82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14,717,672.15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6,957,737.94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5,839,432.42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5,200,863.00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272,013,157.88</w:t>
            </w:r>
          </w:p>
        </w:tc>
      </w:tr>
      <w:tr>
        <w:trPr>
          <w:trHeight w:val="3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160,846,873.19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143,359,805.22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19,371,806.01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4,448,550.99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4,919,862.96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2,137,241.92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335,084,140.29</w:t>
            </w:r>
          </w:p>
        </w:tc>
      </w:tr>
      <w:tr>
        <w:trPr>
          <w:trHeight w:val="336"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146,527,392.21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136,857,214.36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4,385,047.97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5,617,201.92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5,194,121.38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2,985,288.99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301,566,266.83</w:t>
            </w:r>
          </w:p>
        </w:tc>
      </w:tr>
    </w:tbl>
    <w:p>
      <w:pPr>
        <w:sectPr>
          <w:headerReference w:type="default" r:id="rId51"/>
          <w:footerReference w:type="default" r:id="rId52"/>
          <w:footnotePr>
            <w:pos w:val="pageBottom"/>
            <w:numFmt w:val="decimal"/>
            <w:numRestart w:val="continuous"/>
          </w:footnotePr>
          <w:pgSz w:w="16840" w:h="11900" w:orient="landscape"/>
          <w:pgMar w:top="1479" w:right="1359" w:bottom="1387" w:left="1431" w:header="0" w:footer="3" w:gutter="0"/>
          <w:cols w:space="720"/>
          <w:noEndnote/>
          <w:rtlGutter w:val="0"/>
          <w:docGrid w:linePitch="360"/>
        </w:sectPr>
      </w:pPr>
    </w:p>
    <w:p>
      <w:pPr>
        <w:pStyle w:val="Style47"/>
        <w:keepNext/>
        <w:keepLines/>
        <w:widowControl w:val="0"/>
        <w:shd w:val="clear" w:color="auto" w:fill="auto"/>
        <w:tabs>
          <w:tab w:pos="493" w:val="left"/>
        </w:tabs>
        <w:bidi w:val="0"/>
        <w:spacing w:before="0" w:line="240" w:lineRule="auto"/>
        <w:ind w:left="0" w:right="0" w:firstLine="0"/>
        <w:jc w:val="left"/>
      </w:pPr>
      <w:bookmarkStart w:id="1177" w:name="bookmark1177"/>
      <w:bookmarkStart w:id="1178" w:name="bookmark1178"/>
      <w:bookmarkStart w:id="1179" w:name="bookmark1179"/>
      <w:bookmarkStart w:id="1180" w:name="bookmark1180"/>
      <w:r>
        <w:rPr>
          <w:rFonts w:ascii="Times New Roman" w:eastAsia="Times New Roman" w:hAnsi="Times New Roman" w:cs="Times New Roman"/>
          <w:color w:val="000000"/>
          <w:spacing w:val="0"/>
          <w:w w:val="100"/>
          <w:position w:val="0"/>
        </w:rPr>
        <w:t>（</w:t>
      </w:r>
      <w:bookmarkEnd w:id="1179"/>
      <w:r>
        <w:rPr>
          <w:rFonts w:ascii="Times New Roman" w:eastAsia="Times New Roman" w:hAnsi="Times New Roman" w:cs="Times New Roman"/>
          <w:color w:val="000000"/>
          <w:spacing w:val="0"/>
          <w:w w:val="100"/>
          <w:position w:val="0"/>
        </w:rPr>
        <w:t>2</w:t>
      </w:r>
      <w:r>
        <w:rPr>
          <w:color w:val="000000"/>
          <w:spacing w:val="0"/>
          <w:w w:val="100"/>
          <w:position w:val="0"/>
        </w:rPr>
        <w:t>）</w:t>
        <w:tab/>
        <w:t>报告期无暂时闲置的固定资产。</w:t>
      </w:r>
      <w:bookmarkEnd w:id="1177"/>
      <w:bookmarkEnd w:id="1178"/>
      <w:bookmarkEnd w:id="1180"/>
    </w:p>
    <w:p>
      <w:pPr>
        <w:pStyle w:val="Style47"/>
        <w:keepNext/>
        <w:keepLines/>
        <w:widowControl w:val="0"/>
        <w:shd w:val="clear" w:color="auto" w:fill="auto"/>
        <w:tabs>
          <w:tab w:pos="493" w:val="left"/>
        </w:tabs>
        <w:bidi w:val="0"/>
        <w:spacing w:before="0" w:line="240" w:lineRule="auto"/>
        <w:ind w:left="0" w:right="0" w:firstLine="0"/>
        <w:jc w:val="left"/>
      </w:pPr>
      <w:bookmarkStart w:id="1181" w:name="bookmark1181"/>
      <w:bookmarkStart w:id="1182" w:name="bookmark1182"/>
      <w:bookmarkStart w:id="1183" w:name="bookmark1183"/>
      <w:bookmarkStart w:id="1184" w:name="bookmark1184"/>
      <w:r>
        <w:rPr>
          <w:rFonts w:ascii="Times New Roman" w:eastAsia="Times New Roman" w:hAnsi="Times New Roman" w:cs="Times New Roman"/>
          <w:color w:val="000000"/>
          <w:spacing w:val="0"/>
          <w:w w:val="100"/>
          <w:position w:val="0"/>
        </w:rPr>
        <w:t>（</w:t>
      </w:r>
      <w:bookmarkEnd w:id="1183"/>
      <w:r>
        <w:rPr>
          <w:rFonts w:ascii="Times New Roman" w:eastAsia="Times New Roman" w:hAnsi="Times New Roman" w:cs="Times New Roman"/>
          <w:color w:val="000000"/>
          <w:spacing w:val="0"/>
          <w:w w:val="100"/>
          <w:position w:val="0"/>
        </w:rPr>
        <w:t>3</w:t>
      </w:r>
      <w:r>
        <w:rPr>
          <w:color w:val="000000"/>
          <w:spacing w:val="0"/>
          <w:w w:val="100"/>
          <w:position w:val="0"/>
        </w:rPr>
        <w:t>）</w:t>
        <w:tab/>
        <w:t>报告期无通过融资租赁租入的固定资产。</w:t>
      </w:r>
      <w:bookmarkEnd w:id="1181"/>
      <w:bookmarkEnd w:id="1182"/>
      <w:bookmarkEnd w:id="1184"/>
    </w:p>
    <w:p>
      <w:pPr>
        <w:pStyle w:val="Style47"/>
        <w:keepNext/>
        <w:keepLines/>
        <w:widowControl w:val="0"/>
        <w:shd w:val="clear" w:color="auto" w:fill="auto"/>
        <w:tabs>
          <w:tab w:pos="493" w:val="left"/>
        </w:tabs>
        <w:bidi w:val="0"/>
        <w:spacing w:before="0" w:line="240" w:lineRule="auto"/>
        <w:ind w:left="0" w:right="0" w:firstLine="0"/>
        <w:jc w:val="left"/>
      </w:pPr>
      <w:bookmarkStart w:id="1185" w:name="bookmark1185"/>
      <w:bookmarkStart w:id="1186" w:name="bookmark1186"/>
      <w:bookmarkStart w:id="1187" w:name="bookmark1187"/>
      <w:bookmarkStart w:id="1188" w:name="bookmark1188"/>
      <w:r>
        <w:rPr>
          <w:color w:val="000000"/>
          <w:spacing w:val="0"/>
          <w:w w:val="100"/>
          <w:position w:val="0"/>
        </w:rPr>
        <w:t>（</w:t>
      </w:r>
      <w:bookmarkEnd w:id="1187"/>
      <w:r>
        <w:rPr>
          <w:rFonts w:ascii="Times New Roman" w:eastAsia="Times New Roman" w:hAnsi="Times New Roman" w:cs="Times New Roman"/>
          <w:color w:val="000000"/>
          <w:spacing w:val="0"/>
          <w:w w:val="100"/>
          <w:position w:val="0"/>
        </w:rPr>
        <w:t>4</w:t>
      </w:r>
      <w:r>
        <w:rPr>
          <w:color w:val="000000"/>
          <w:spacing w:val="0"/>
          <w:w w:val="100"/>
          <w:position w:val="0"/>
        </w:rPr>
        <w:t>）</w:t>
        <w:tab/>
        <w:t>报告期无通过经营租赁租出的固定资产。</w:t>
      </w:r>
      <w:bookmarkEnd w:id="1185"/>
      <w:bookmarkEnd w:id="1186"/>
      <w:bookmarkEnd w:id="1188"/>
    </w:p>
    <w:p>
      <w:pPr>
        <w:pStyle w:val="Style47"/>
        <w:keepNext/>
        <w:keepLines/>
        <w:widowControl w:val="0"/>
        <w:shd w:val="clear" w:color="auto" w:fill="auto"/>
        <w:tabs>
          <w:tab w:pos="493" w:val="left"/>
        </w:tabs>
        <w:bidi w:val="0"/>
        <w:spacing w:before="0" w:line="240" w:lineRule="auto"/>
        <w:ind w:left="0" w:right="0" w:firstLine="0"/>
        <w:jc w:val="left"/>
      </w:pPr>
      <w:bookmarkStart w:id="1189" w:name="bookmark1189"/>
      <w:bookmarkStart w:id="1190" w:name="bookmark1190"/>
      <w:bookmarkStart w:id="1191" w:name="bookmark1191"/>
      <w:bookmarkStart w:id="1192" w:name="bookmark1192"/>
      <w:r>
        <w:rPr>
          <w:color w:val="000000"/>
          <w:spacing w:val="0"/>
          <w:w w:val="100"/>
          <w:position w:val="0"/>
        </w:rPr>
        <w:t>（</w:t>
      </w:r>
      <w:bookmarkEnd w:id="1191"/>
      <w:r>
        <w:rPr>
          <w:rFonts w:ascii="Times New Roman" w:eastAsia="Times New Roman" w:hAnsi="Times New Roman" w:cs="Times New Roman"/>
          <w:color w:val="000000"/>
          <w:spacing w:val="0"/>
          <w:w w:val="100"/>
          <w:position w:val="0"/>
        </w:rPr>
        <w:t>5</w:t>
      </w:r>
      <w:r>
        <w:rPr>
          <w:color w:val="000000"/>
          <w:spacing w:val="0"/>
          <w:w w:val="100"/>
          <w:position w:val="0"/>
        </w:rPr>
        <w:t>）</w:t>
        <w:tab/>
        <w:t>未办妥产权证书的固定资产情况</w:t>
      </w:r>
      <w:bookmarkEnd w:id="1189"/>
      <w:bookmarkEnd w:id="1190"/>
      <w:bookmarkEnd w:id="1192"/>
    </w:p>
    <w:p>
      <w:pPr>
        <w:pStyle w:val="Style26"/>
        <w:keepNext w:val="0"/>
        <w:keepLines w:val="0"/>
        <w:widowControl w:val="0"/>
        <w:shd w:val="clear" w:color="auto" w:fill="auto"/>
        <w:bidi w:val="0"/>
        <w:spacing w:before="0" w:after="0" w:line="240" w:lineRule="auto"/>
        <w:ind w:left="8587" w:right="0" w:firstLine="0"/>
        <w:jc w:val="left"/>
      </w:pPr>
      <w:r>
        <w:rPr>
          <w:color w:val="000000"/>
          <w:spacing w:val="0"/>
          <w:w w:val="100"/>
          <w:position w:val="0"/>
        </w:rPr>
        <w:t>单位：元</w:t>
      </w:r>
    </w:p>
    <w:tbl>
      <w:tblPr>
        <w:tblOverlap w:val="never"/>
        <w:jc w:val="center"/>
        <w:tblLayout w:type="fixed"/>
      </w:tblPr>
      <w:tblGrid>
        <w:gridCol w:w="3547"/>
        <w:gridCol w:w="2837"/>
        <w:gridCol w:w="3197"/>
      </w:tblGrid>
      <w:tr>
        <w:trPr>
          <w:trHeight w:val="32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扬州华声宿舍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1,982,624.09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产权证书正在办理中</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扬州华声饭堂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1,219,348.36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产权证书正在办理中</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华声实业总厂警卫室</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10,000.00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正在办理户主变更手续（注）</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华声实业总厂一期厂房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19,109,723.86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正在办理户主变更手续（注）</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华声实业总厂二期厂房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34,646,525.12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正在办理户主变更手续（注）</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华声实业总厂研发大楼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29,043,625.21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正在办理户主变更手续（注）</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华声实业分厂二车间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3,792,780.41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正在办理户主变更手续（注）</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华声实业分厂裸线车间束线区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2,736,202.02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正在办理户主变更手续（注）</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华声实业分厂电房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180,000.00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正在办理户主变更手续（注）</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华声实业分厂饭堂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2,685,612.75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正在办理户主变更手续（注）</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华声实业分厂警卫室</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9,324.45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正在办理户主变更手续（注）</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华声实业分厂锅炉房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993,504.49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正在办理户主变更手续（注）</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华声实业分厂成品仓仓库</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10,952.87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正在办理户主变更手续（注）</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华声实业分厂发电房旁星棚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28,900.00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正在办理户主变更手续（注）</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华声实业分厂锅炉房旁星棚及围护</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120,000.00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正在办理户主变更手续（注）</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华声实业分厂厂区围墙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427,007.94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正在办理户主变更手续（注）</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华声实业分厂厂区公用道路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812,008.83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正在办理户主变更手续（注）</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华声实业分厂加建三楼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3,196,771.38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正在办理户主变更手续（注）</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华声实业分厂一车间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13,858,077.39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正在办理户主变更手续（注）</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华声实业分厂环保水池</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165,000.00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正在办理户主变更手续（注）</w:t>
            </w:r>
          </w:p>
        </w:tc>
      </w:tr>
    </w:tbl>
    <w:p>
      <w:pPr>
        <w:pStyle w:val="Style26"/>
        <w:keepNext w:val="0"/>
        <w:keepLines w:val="0"/>
        <w:widowControl w:val="0"/>
        <w:shd w:val="clear" w:color="auto" w:fill="auto"/>
        <w:bidi w:val="0"/>
        <w:spacing w:before="0" w:after="0" w:line="240" w:lineRule="auto"/>
        <w:ind w:left="283" w:right="0" w:firstLine="0"/>
        <w:jc w:val="left"/>
      </w:pPr>
      <w:r>
        <w:rPr>
          <w:color w:val="000000"/>
          <w:spacing w:val="0"/>
          <w:w w:val="100"/>
          <w:position w:val="0"/>
        </w:rPr>
        <w:t>注：本期母公司将其拥有的全部房屋建筑物资产划转至华声实业。相关权属变更登记于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月完成。</w:t>
      </w:r>
    </w:p>
    <w:p>
      <w:pPr>
        <w:widowControl w:val="0"/>
        <w:spacing w:after="359" w:line="1" w:lineRule="exact"/>
      </w:pPr>
    </w:p>
    <w:p>
      <w:pPr>
        <w:pStyle w:val="Style30"/>
        <w:keepNext/>
        <w:keepLines/>
        <w:widowControl w:val="0"/>
        <w:shd w:val="clear" w:color="auto" w:fill="auto"/>
        <w:bidi w:val="0"/>
        <w:spacing w:before="0" w:after="360" w:line="240" w:lineRule="auto"/>
        <w:ind w:left="0" w:right="0" w:firstLine="0"/>
        <w:jc w:val="left"/>
      </w:pPr>
      <w:bookmarkStart w:id="1193" w:name="bookmark1193"/>
      <w:bookmarkStart w:id="1194" w:name="bookmark1194"/>
      <w:bookmarkStart w:id="1195" w:name="bookmark1195"/>
      <w:bookmarkStart w:id="1196" w:name="bookmark1196"/>
      <w:r>
        <w:rPr>
          <w:rFonts w:ascii="Times New Roman" w:eastAsia="Times New Roman" w:hAnsi="Times New Roman" w:cs="Times New Roman"/>
          <w:color w:val="000000"/>
          <w:spacing w:val="0"/>
          <w:w w:val="100"/>
          <w:position w:val="0"/>
        </w:rPr>
        <w:t>1</w:t>
      </w:r>
      <w:bookmarkEnd w:id="1195"/>
      <w:r>
        <w:rPr>
          <w:rFonts w:ascii="Times New Roman" w:eastAsia="Times New Roman" w:hAnsi="Times New Roman" w:cs="Times New Roman"/>
          <w:color w:val="000000"/>
          <w:spacing w:val="0"/>
          <w:w w:val="100"/>
          <w:position w:val="0"/>
        </w:rPr>
        <w:t>9</w:t>
      </w:r>
      <w:r>
        <w:rPr>
          <w:color w:val="000000"/>
          <w:spacing w:val="0"/>
          <w:w w:val="100"/>
          <w:position w:val="0"/>
        </w:rPr>
        <w:t>、在建工程</w:t>
      </w:r>
      <w:bookmarkEnd w:id="1193"/>
      <w:bookmarkEnd w:id="1194"/>
      <w:bookmarkEnd w:id="1196"/>
    </w:p>
    <w:p>
      <w:pPr>
        <w:pStyle w:val="Style47"/>
        <w:keepNext/>
        <w:keepLines/>
        <w:widowControl w:val="0"/>
        <w:shd w:val="clear" w:color="auto" w:fill="auto"/>
        <w:bidi w:val="0"/>
        <w:spacing w:before="0" w:line="240" w:lineRule="auto"/>
        <w:ind w:left="0" w:right="0" w:firstLine="0"/>
        <w:jc w:val="left"/>
      </w:pPr>
      <w:bookmarkStart w:id="1197" w:name="bookmark1197"/>
      <w:bookmarkStart w:id="1198" w:name="bookmark1198"/>
      <w:bookmarkStart w:id="1199" w:name="bookmark119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197"/>
      <w:bookmarkEnd w:id="1198"/>
      <w:bookmarkEnd w:id="119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270"/>
        <w:gridCol w:w="3830"/>
        <w:gridCol w:w="3485"/>
      </w:tblGrid>
      <w:tr>
        <w:trPr>
          <w:trHeight w:val="336"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pacing w:lineRule="exact" w:line="1"/>
        <w:rPr>
          <w:sz w:val="2"/>
          <w:szCs w:val="2"/>
        </w:rPr>
      </w:pPr>
      <w:r>
        <w:br w:type="page"/>
      </w:r>
    </w:p>
    <w:tbl>
      <w:tblPr>
        <w:tblOverlap w:val="never"/>
        <w:jc w:val="center"/>
        <w:tblLayout w:type="fixed"/>
      </w:tblPr>
      <w:tblGrid>
        <w:gridCol w:w="2270"/>
        <w:gridCol w:w="1277"/>
        <w:gridCol w:w="1277"/>
        <w:gridCol w:w="1277"/>
        <w:gridCol w:w="1277"/>
        <w:gridCol w:w="989"/>
        <w:gridCol w:w="1219"/>
      </w:tblGrid>
      <w:tr>
        <w:trPr>
          <w:trHeight w:val="32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广东华声未验收设备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3,327,823.65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3,327,823.65</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扬州华声土地平整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1,030,000.00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1,030,000.00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1,030,000.00</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扬州华声未验收设备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3,059,548.05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3,059,548.05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3,797,136.75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3,797,136.75</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广东电缆未验收设备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1,172,991.45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1,172,991.45</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华声实业分厂锅炉房改 造工程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华声实业未验收设备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2,617,565.50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2,617,565.50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6,817,113.55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1,030,000.00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5,787,113.55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9,327,951.85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9,327,951.85</w:t>
            </w:r>
          </w:p>
        </w:tc>
      </w:tr>
    </w:tbl>
    <w:p>
      <w:pPr>
        <w:pStyle w:val="Style26"/>
        <w:keepNext w:val="0"/>
        <w:keepLines w:val="0"/>
        <w:widowControl w:val="0"/>
        <w:shd w:val="clear" w:color="auto" w:fill="auto"/>
        <w:bidi w:val="0"/>
        <w:spacing w:before="0" w:after="0" w:line="240" w:lineRule="auto"/>
        <w:ind w:left="96" w:right="0" w:firstLine="0"/>
        <w:jc w:val="left"/>
      </w:pPr>
      <w:bookmarkStart w:id="1200" w:name="bookmark1200"/>
      <w:r>
        <w:rPr>
          <w:rFonts w:ascii="Times New Roman" w:eastAsia="Times New Roman" w:hAnsi="Times New Roman" w:cs="Times New Roman"/>
          <w:b/>
          <w:bCs/>
          <w:color w:val="000000"/>
          <w:spacing w:val="0"/>
          <w:w w:val="100"/>
          <w:position w:val="0"/>
        </w:rPr>
        <w:t>(2</w:t>
      </w:r>
      <w:r>
        <w:rPr>
          <w:b/>
          <w:bCs/>
          <w:color w:val="000000"/>
          <w:spacing w:val="0"/>
          <w:w w:val="100"/>
          <w:position w:val="0"/>
        </w:rPr>
        <w:t>)报告期不存在重要在建工程项目本期变动情况。</w:t>
      </w:r>
      <w:bookmarkEnd w:id="1200"/>
    </w:p>
    <w:p>
      <w:pPr>
        <w:widowControl w:val="0"/>
        <w:spacing w:after="339" w:line="1" w:lineRule="exact"/>
      </w:pPr>
    </w:p>
    <w:p>
      <w:pPr>
        <w:pStyle w:val="Style47"/>
        <w:keepNext/>
        <w:keepLines/>
        <w:widowControl w:val="0"/>
        <w:numPr>
          <w:ilvl w:val="0"/>
          <w:numId w:val="25"/>
        </w:numPr>
        <w:shd w:val="clear" w:color="auto" w:fill="auto"/>
        <w:bidi w:val="0"/>
        <w:spacing w:before="0" w:after="340" w:line="240" w:lineRule="auto"/>
        <w:ind w:left="0" w:right="0" w:firstLine="0"/>
        <w:jc w:val="left"/>
      </w:pPr>
      <w:bookmarkStart w:id="1201" w:name="bookmark1201"/>
      <w:bookmarkStart w:id="1202" w:name="bookmark1202"/>
      <w:bookmarkStart w:id="1203" w:name="bookmark1203"/>
      <w:bookmarkStart w:id="1204" w:name="bookmark1204"/>
      <w:bookmarkEnd w:id="1203"/>
      <w:r>
        <w:rPr>
          <w:color w:val="000000"/>
          <w:spacing w:val="0"/>
          <w:w w:val="100"/>
          <w:position w:val="0"/>
        </w:rPr>
        <w:t>本期计提在建工程减值准备情况</w:t>
      </w:r>
      <w:bookmarkEnd w:id="1201"/>
      <w:bookmarkEnd w:id="1202"/>
      <w:bookmarkEnd w:id="120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2909"/>
        <w:gridCol w:w="348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扬州华声土地平整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1,030,000.00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工程已停工，预计未来三年不会再建</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1,030,000.00</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sectPr>
          <w:headerReference w:type="default" r:id="rId53"/>
          <w:footerReference w:type="default" r:id="rId54"/>
          <w:footnotePr>
            <w:pos w:val="pageBottom"/>
            <w:numFmt w:val="decimal"/>
            <w:numRestart w:val="continuous"/>
          </w:footnotePr>
          <w:pgSz w:w="11900" w:h="16840"/>
          <w:pgMar w:top="1441" w:right="1052" w:bottom="1695" w:left="1071" w:header="0" w:footer="3" w:gutter="0"/>
          <w:cols w:space="720"/>
          <w:noEndnote/>
          <w:rtlGutter w:val="0"/>
          <w:docGrid w:linePitch="360"/>
        </w:sectPr>
      </w:pPr>
    </w:p>
    <w:p>
      <w:pPr>
        <w:pStyle w:val="Style30"/>
        <w:keepNext/>
        <w:keepLines/>
        <w:widowControl w:val="0"/>
        <w:shd w:val="clear" w:color="auto" w:fill="auto"/>
        <w:bidi w:val="0"/>
        <w:spacing w:before="0" w:after="360" w:line="240" w:lineRule="auto"/>
        <w:ind w:left="0" w:right="0" w:firstLine="0"/>
        <w:jc w:val="left"/>
      </w:pPr>
      <w:bookmarkStart w:id="1205" w:name="bookmark1205"/>
      <w:bookmarkStart w:id="1206" w:name="bookmark1206"/>
      <w:bookmarkStart w:id="1207" w:name="bookmark1207"/>
      <w:bookmarkStart w:id="1208" w:name="bookmark1208"/>
      <w:r>
        <w:rPr>
          <w:rFonts w:ascii="Times New Roman" w:eastAsia="Times New Roman" w:hAnsi="Times New Roman" w:cs="Times New Roman"/>
          <w:color w:val="000000"/>
          <w:spacing w:val="0"/>
          <w:w w:val="100"/>
          <w:position w:val="0"/>
        </w:rPr>
        <w:t>2</w:t>
      </w:r>
      <w:bookmarkEnd w:id="1207"/>
      <w:r>
        <w:rPr>
          <w:rFonts w:ascii="Times New Roman" w:eastAsia="Times New Roman" w:hAnsi="Times New Roman" w:cs="Times New Roman"/>
          <w:color w:val="000000"/>
          <w:spacing w:val="0"/>
          <w:w w:val="100"/>
          <w:position w:val="0"/>
        </w:rPr>
        <w:t>0</w:t>
      </w:r>
      <w:r>
        <w:rPr>
          <w:color w:val="000000"/>
          <w:spacing w:val="0"/>
          <w:w w:val="100"/>
          <w:position w:val="0"/>
        </w:rPr>
        <w:t>、无形资产</w:t>
      </w:r>
      <w:bookmarkEnd w:id="1205"/>
      <w:bookmarkEnd w:id="1206"/>
      <w:bookmarkEnd w:id="1208"/>
    </w:p>
    <w:p>
      <w:pPr>
        <w:pStyle w:val="Style47"/>
        <w:keepNext/>
        <w:keepLines/>
        <w:widowControl w:val="0"/>
        <w:shd w:val="clear" w:color="auto" w:fill="auto"/>
        <w:bidi w:val="0"/>
        <w:spacing w:before="0" w:line="240" w:lineRule="auto"/>
        <w:ind w:left="0" w:right="0" w:firstLine="0"/>
        <w:jc w:val="left"/>
      </w:pPr>
      <w:bookmarkStart w:id="1209" w:name="bookmark1209"/>
      <w:bookmarkStart w:id="1210" w:name="bookmark1210"/>
      <w:bookmarkStart w:id="1211" w:name="bookmark1211"/>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209"/>
      <w:bookmarkEnd w:id="1210"/>
      <w:bookmarkEnd w:id="1211"/>
    </w:p>
    <w:p>
      <w:pPr>
        <w:pStyle w:val="Style26"/>
        <w:keepNext w:val="0"/>
        <w:keepLines w:val="0"/>
        <w:widowControl w:val="0"/>
        <w:shd w:val="clear" w:color="auto" w:fill="auto"/>
        <w:bidi w:val="0"/>
        <w:spacing w:before="0" w:after="0" w:line="240" w:lineRule="auto"/>
        <w:ind w:left="12912" w:right="0" w:firstLine="0"/>
        <w:jc w:val="left"/>
      </w:pPr>
      <w:r>
        <w:rPr>
          <w:color w:val="000000"/>
          <w:spacing w:val="0"/>
          <w:w w:val="100"/>
          <w:position w:val="0"/>
        </w:rPr>
        <w:t>单位：元</w:t>
      </w:r>
    </w:p>
    <w:tbl>
      <w:tblPr>
        <w:tblOverlap w:val="never"/>
        <w:jc w:val="center"/>
        <w:tblLayout w:type="fixed"/>
      </w:tblPr>
      <w:tblGrid>
        <w:gridCol w:w="2419"/>
        <w:gridCol w:w="1277"/>
        <w:gridCol w:w="566"/>
        <w:gridCol w:w="706"/>
        <w:gridCol w:w="1138"/>
        <w:gridCol w:w="1416"/>
        <w:gridCol w:w="994"/>
        <w:gridCol w:w="1416"/>
        <w:gridCol w:w="1277"/>
        <w:gridCol w:w="1272"/>
        <w:gridCol w:w="1430"/>
      </w:tblGrid>
      <w:tr>
        <w:trPr>
          <w:trHeight w:val="95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专利 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非专利 技术</w:t>
            </w:r>
          </w:p>
        </w:tc>
        <w:tc>
          <w:tcPr>
            <w:tcBorders>
              <w:top w:val="single" w:sz="4"/>
              <w:left w:val="single" w:sz="4"/>
            </w:tcBorders>
            <w:shd w:val="clear" w:color="auto" w:fill="E1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商标注册费</w:t>
            </w:r>
          </w:p>
        </w:tc>
        <w:tc>
          <w:tcPr>
            <w:tcBorders>
              <w:top w:val="single" w:sz="4"/>
              <w:left w:val="single" w:sz="4"/>
            </w:tcBorders>
            <w:shd w:val="clear" w:color="auto" w:fill="E1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tcBorders>
            <w:shd w:val="clear" w:color="auto" w:fill="E1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网络知识 产权保护</w:t>
            </w:r>
          </w:p>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费</w:t>
            </w:r>
          </w:p>
        </w:tc>
        <w:tc>
          <w:tcPr>
            <w:tcBorders>
              <w:top w:val="single" w:sz="4"/>
              <w:left w:val="single" w:sz="4"/>
            </w:tcBorders>
            <w:shd w:val="clear" w:color="auto" w:fill="E1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特许经营权</w:t>
            </w:r>
          </w:p>
        </w:tc>
        <w:tc>
          <w:tcPr>
            <w:tcBorders>
              <w:top w:val="single" w:sz="4"/>
              <w:left w:val="single" w:sz="4"/>
            </w:tcBorders>
            <w:shd w:val="clear" w:color="auto" w:fill="E1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交易席位费</w:t>
            </w:r>
          </w:p>
        </w:tc>
        <w:tc>
          <w:tcPr>
            <w:tcBorders>
              <w:top w:val="single" w:sz="4"/>
              <w:left w:val="single" w:sz="4"/>
            </w:tcBorders>
            <w:shd w:val="clear" w:color="auto" w:fill="E1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43,315,098.60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515,092.00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429,609.16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44,309,799.76</w:t>
            </w: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43,059,235.57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62,800,000.00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17,600,000.00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124,859,235.57</w:t>
            </w:r>
          </w:p>
        </w:tc>
      </w:tr>
      <w:tr>
        <w:trPr>
          <w:trHeight w:val="3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43,315,098.60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515,092.00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43,488,844.73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62,800,000.00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17,600,000.00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169,169,035.33</w:t>
            </w:r>
          </w:p>
        </w:tc>
      </w:tr>
      <w:tr>
        <w:trPr>
          <w:trHeight w:val="3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7,831,495.91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377,333.65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267,957.13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25,000.19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8,501,786.88</w:t>
            </w: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866,302.08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55,503.77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25,723,257.18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4,999.97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62,800,000.00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107,050,063.00</w:t>
            </w:r>
          </w:p>
        </w:tc>
      </w:tr>
      <w:tr>
        <w:trPr>
          <w:trHeight w:val="3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8,697,797.99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432,837.42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25,991,214.31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30,000.16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62,800,000.00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115,551,849.88</w:t>
            </w:r>
          </w:p>
        </w:tc>
      </w:tr>
      <w:tr>
        <w:trPr>
          <w:trHeight w:val="3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19"/>
        <w:gridCol w:w="1277"/>
        <w:gridCol w:w="566"/>
        <w:gridCol w:w="706"/>
        <w:gridCol w:w="1138"/>
        <w:gridCol w:w="1416"/>
        <w:gridCol w:w="994"/>
        <w:gridCol w:w="1416"/>
        <w:gridCol w:w="1277"/>
        <w:gridCol w:w="1272"/>
        <w:gridCol w:w="1430"/>
      </w:tblGrid>
      <w:tr>
        <w:trPr>
          <w:trHeight w:val="35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34,617,300.61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82,254.58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17,497,630.42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19,999.84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53,617,185.45</w:t>
            </w:r>
          </w:p>
        </w:tc>
      </w:tr>
      <w:tr>
        <w:trPr>
          <w:trHeight w:val="331"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35,483,602.69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137,758.35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161,652.03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24,999.81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35,808,012.88</w:t>
            </w:r>
          </w:p>
        </w:tc>
      </w:tr>
    </w:tbl>
    <w:p>
      <w:pPr>
        <w:pStyle w:val="Style26"/>
        <w:keepNext w:val="0"/>
        <w:keepLines w:val="0"/>
        <w:widowControl w:val="0"/>
        <w:shd w:val="clear" w:color="auto" w:fill="auto"/>
        <w:bidi w:val="0"/>
        <w:spacing w:before="0" w:after="0" w:line="240" w:lineRule="auto"/>
        <w:ind w:left="101" w:right="0" w:firstLine="0"/>
        <w:jc w:val="left"/>
      </w:pPr>
      <w:bookmarkStart w:id="1212" w:name="bookmark1212"/>
      <w:r>
        <w:rPr>
          <w:rFonts w:ascii="Times New Roman" w:eastAsia="Times New Roman" w:hAnsi="Times New Roman" w:cs="Times New Roman"/>
          <w:b/>
          <w:bCs/>
          <w:color w:val="000000"/>
          <w:spacing w:val="0"/>
          <w:w w:val="100"/>
          <w:position w:val="0"/>
        </w:rPr>
        <w:t>(2</w:t>
      </w:r>
      <w:r>
        <w:rPr>
          <w:b/>
          <w:bCs/>
          <w:color w:val="000000"/>
          <w:spacing w:val="0"/>
          <w:w w:val="100"/>
          <w:position w:val="0"/>
        </w:rPr>
        <w:t>)期末未办妥产权证书的土地使用权情况</w:t>
      </w:r>
      <w:bookmarkEnd w:id="1212"/>
    </w:p>
    <w:p>
      <w:pPr>
        <w:widowControl w:val="0"/>
        <w:spacing w:after="339" w:line="1" w:lineRule="exact"/>
      </w:pPr>
    </w:p>
    <w:p>
      <w:pPr>
        <w:pStyle w:val="Style26"/>
        <w:keepNext w:val="0"/>
        <w:keepLines w:val="0"/>
        <w:widowControl w:val="0"/>
        <w:shd w:val="clear" w:color="auto" w:fill="auto"/>
        <w:bidi w:val="0"/>
        <w:spacing w:before="0" w:after="0" w:line="240" w:lineRule="auto"/>
        <w:ind w:left="12912" w:right="0" w:firstLine="0"/>
        <w:jc w:val="left"/>
      </w:pPr>
      <w:r>
        <w:rPr>
          <w:color w:val="000000"/>
          <w:spacing w:val="0"/>
          <w:w w:val="100"/>
          <w:position w:val="0"/>
        </w:rPr>
        <w:t>单位：元</w:t>
      </w:r>
    </w:p>
    <w:tbl>
      <w:tblPr>
        <w:tblOverlap w:val="never"/>
        <w:jc w:val="center"/>
        <w:tblLayout w:type="fixed"/>
      </w:tblPr>
      <w:tblGrid>
        <w:gridCol w:w="2275"/>
        <w:gridCol w:w="4963"/>
        <w:gridCol w:w="667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820" w:right="0" w:firstLine="0"/>
              <w:jc w:val="left"/>
            </w:pPr>
            <w:r>
              <w:rPr>
                <w:rFonts w:ascii="Times New Roman" w:eastAsia="Times New Roman" w:hAnsi="Times New Roman" w:cs="Times New Roman"/>
                <w:color w:val="000000"/>
                <w:spacing w:val="0"/>
                <w:w w:val="100"/>
                <w:position w:val="0"/>
              </w:rPr>
              <w:t>2,842,731.83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报告期内母公司将其拥有的土地使用权划转至华声实业。相关权属变更</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820" w:right="0" w:firstLine="0"/>
              <w:jc w:val="left"/>
            </w:pPr>
            <w:r>
              <w:rPr>
                <w:rFonts w:ascii="Times New Roman" w:eastAsia="Times New Roman" w:hAnsi="Times New Roman" w:cs="Times New Roman"/>
                <w:color w:val="000000"/>
                <w:spacing w:val="0"/>
                <w:w w:val="100"/>
                <w:position w:val="0"/>
              </w:rPr>
              <w:t>4,796,492.09</w:t>
            </w:r>
          </w:p>
        </w:tc>
        <w:tc>
          <w:tcPr>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登记于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月完成。</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820" w:right="0" w:firstLine="0"/>
              <w:jc w:val="left"/>
            </w:pPr>
            <w:r>
              <w:rPr>
                <w:rFonts w:ascii="Times New Roman" w:eastAsia="Times New Roman" w:hAnsi="Times New Roman" w:cs="Times New Roman"/>
                <w:color w:val="000000"/>
                <w:spacing w:val="0"/>
                <w:w w:val="100"/>
                <w:position w:val="0"/>
              </w:rPr>
              <w:t>7,639,223.92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55"/>
          <w:footerReference w:type="default" r:id="rId56"/>
          <w:footnotePr>
            <w:pos w:val="pageBottom"/>
            <w:numFmt w:val="decimal"/>
            <w:numRestart w:val="continuous"/>
          </w:footnotePr>
          <w:pgSz w:w="16840" w:h="11900" w:orient="landscape"/>
          <w:pgMar w:top="1124" w:right="1498" w:bottom="1446" w:left="1431" w:header="0" w:footer="3" w:gutter="0"/>
          <w:cols w:space="720"/>
          <w:noEndnote/>
          <w:rtlGutter w:val="0"/>
          <w:docGrid w:linePitch="360"/>
        </w:sectPr>
      </w:pPr>
    </w:p>
    <w:p>
      <w:pPr>
        <w:pStyle w:val="Style30"/>
        <w:keepNext/>
        <w:keepLines/>
        <w:widowControl w:val="0"/>
        <w:shd w:val="clear" w:color="auto" w:fill="auto"/>
        <w:bidi w:val="0"/>
        <w:spacing w:before="0" w:after="340" w:line="240" w:lineRule="auto"/>
        <w:ind w:left="0" w:right="0" w:firstLine="0"/>
        <w:jc w:val="left"/>
      </w:pPr>
      <w:bookmarkStart w:id="1213" w:name="bookmark1213"/>
      <w:bookmarkStart w:id="1214" w:name="bookmark1214"/>
      <w:bookmarkStart w:id="1215" w:name="bookmark1215"/>
      <w:r>
        <w:rPr>
          <w:rFonts w:ascii="Times New Roman" w:eastAsia="Times New Roman" w:hAnsi="Times New Roman" w:cs="Times New Roman"/>
          <w:color w:val="000000"/>
          <w:spacing w:val="0"/>
          <w:w w:val="100"/>
          <w:position w:val="0"/>
        </w:rPr>
        <w:t>21</w:t>
      </w:r>
      <w:r>
        <w:rPr>
          <w:color w:val="000000"/>
          <w:spacing w:val="0"/>
          <w:w w:val="100"/>
          <w:position w:val="0"/>
        </w:rPr>
        <w:t>、商誉</w:t>
      </w:r>
      <w:bookmarkEnd w:id="1213"/>
      <w:bookmarkEnd w:id="1214"/>
      <w:bookmarkEnd w:id="1215"/>
    </w:p>
    <w:p>
      <w:pPr>
        <w:pStyle w:val="Style47"/>
        <w:keepNext/>
        <w:keepLines/>
        <w:widowControl w:val="0"/>
        <w:shd w:val="clear" w:color="auto" w:fill="auto"/>
        <w:bidi w:val="0"/>
        <w:spacing w:before="0" w:after="340" w:line="240" w:lineRule="auto"/>
        <w:ind w:left="0" w:right="0" w:firstLine="0"/>
        <w:jc w:val="left"/>
      </w:pPr>
      <w:bookmarkStart w:id="1216" w:name="bookmark1216"/>
      <w:bookmarkStart w:id="1217" w:name="bookmark1217"/>
      <w:bookmarkStart w:id="1218" w:name="bookmark121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216"/>
      <w:bookmarkEnd w:id="1217"/>
      <w:bookmarkEnd w:id="1218"/>
    </w:p>
    <w:p>
      <w:pPr>
        <w:pStyle w:val="Style26"/>
        <w:keepNext w:val="0"/>
        <w:keepLines w:val="0"/>
        <w:widowControl w:val="0"/>
        <w:shd w:val="clear" w:color="auto" w:fill="auto"/>
        <w:bidi w:val="0"/>
        <w:spacing w:before="0" w:after="0" w:line="240" w:lineRule="auto"/>
        <w:ind w:left="8587" w:right="0" w:firstLine="0"/>
        <w:jc w:val="left"/>
      </w:pPr>
      <w:r>
        <w:rPr>
          <w:color w:val="000000"/>
          <w:spacing w:val="0"/>
          <w:w w:val="100"/>
          <w:position w:val="0"/>
        </w:rPr>
        <w:t>单位：元</w:t>
      </w:r>
    </w:p>
    <w:tbl>
      <w:tblPr>
        <w:tblOverlap w:val="never"/>
        <w:jc w:val="center"/>
        <w:tblLayout w:type="fixed"/>
      </w:tblPr>
      <w:tblGrid>
        <w:gridCol w:w="2270"/>
        <w:gridCol w:w="1277"/>
        <w:gridCol w:w="1925"/>
        <w:gridCol w:w="2472"/>
        <w:gridCol w:w="1637"/>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被投资单位名称或形成 商誉的事项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tcBorders>
              <w:top w:val="single" w:sz="4"/>
              <w:left w:val="single" w:sz="4"/>
            </w:tcBorders>
            <w:shd w:val="clear" w:color="auto" w:fill="E1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国盛证券有限责任公司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3,162,030,950.83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3,162,030,950.83</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3,162,030,950.83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3,162,030,950.83</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p>
    <w:tbl>
      <w:tblPr>
        <w:tblOverlap w:val="never"/>
        <w:jc w:val="center"/>
        <w:tblLayout w:type="fixed"/>
      </w:tblPr>
      <w:tblGrid>
        <w:gridCol w:w="5530"/>
        <w:gridCol w:w="1406"/>
        <w:gridCol w:w="2717"/>
      </w:tblGrid>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购买日国盛证券有限责任公司可辨认净资产公允价值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A</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3,781,105,192.38</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其中：归属于母公司的可辨认净资产公允价值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C=A-B</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3,767,969,049.17</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少数股东享有的可辨认净资产公允价值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B</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13,136,143.21</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购买股权比例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D</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确认的国盛证券有限责任公司可辨认净资产公允价值份额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E=C*D</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3,767,969,049.17</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实际购买成本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F</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6,930,000,000.00</w:t>
            </w:r>
          </w:p>
        </w:tc>
      </w:tr>
      <w:tr>
        <w:trPr>
          <w:trHeight w:val="35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G=F-E</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3,162,030,950.83</w:t>
            </w:r>
          </w:p>
        </w:tc>
      </w:tr>
    </w:tbl>
    <w:p>
      <w:pPr>
        <w:pStyle w:val="Style26"/>
        <w:keepNext w:val="0"/>
        <w:keepLines w:val="0"/>
        <w:widowControl w:val="0"/>
        <w:shd w:val="clear" w:color="auto" w:fill="auto"/>
        <w:bidi w:val="0"/>
        <w:spacing w:before="0" w:after="0" w:line="240" w:lineRule="auto"/>
        <w:ind w:left="0" w:right="0" w:firstLine="0"/>
        <w:jc w:val="left"/>
      </w:pPr>
      <w:bookmarkStart w:id="1219" w:name="bookmark1219"/>
      <w:r>
        <w:rPr>
          <w:rFonts w:ascii="Times New Roman" w:eastAsia="Times New Roman" w:hAnsi="Times New Roman" w:cs="Times New Roman"/>
          <w:b/>
          <w:bCs/>
          <w:color w:val="000000"/>
          <w:spacing w:val="0"/>
          <w:w w:val="100"/>
          <w:position w:val="0"/>
        </w:rPr>
        <w:t>22</w:t>
      </w:r>
      <w:r>
        <w:rPr>
          <w:b/>
          <w:bCs/>
          <w:color w:val="000000"/>
          <w:spacing w:val="0"/>
          <w:w w:val="100"/>
          <w:position w:val="0"/>
        </w:rPr>
        <w:t>、长期待摊费用</w:t>
      </w:r>
      <w:bookmarkEnd w:id="1219"/>
    </w:p>
    <w:p>
      <w:pPr>
        <w:widowControl w:val="0"/>
        <w:spacing w:after="339" w:line="1" w:lineRule="exact"/>
      </w:pPr>
    </w:p>
    <w:p>
      <w:pPr>
        <w:pStyle w:val="Style26"/>
        <w:keepNext w:val="0"/>
        <w:keepLines w:val="0"/>
        <w:widowControl w:val="0"/>
        <w:shd w:val="clear" w:color="auto" w:fill="auto"/>
        <w:bidi w:val="0"/>
        <w:spacing w:before="0" w:after="0" w:line="240" w:lineRule="auto"/>
        <w:ind w:left="8587" w:right="0" w:firstLine="0"/>
        <w:jc w:val="left"/>
      </w:pPr>
      <w:r>
        <w:rPr>
          <w:color w:val="000000"/>
          <w:spacing w:val="0"/>
          <w:w w:val="100"/>
          <w:position w:val="0"/>
        </w:rPr>
        <w:t>单位： 元</w:t>
      </w:r>
    </w:p>
    <w:tbl>
      <w:tblPr>
        <w:tblOverlap w:val="never"/>
        <w:jc w:val="center"/>
        <w:tblLayout w:type="fixed"/>
      </w:tblPr>
      <w:tblGrid>
        <w:gridCol w:w="3408"/>
        <w:gridCol w:w="1272"/>
        <w:gridCol w:w="1421"/>
        <w:gridCol w:w="1277"/>
        <w:gridCol w:w="850"/>
        <w:gridCol w:w="1354"/>
      </w:tblGrid>
      <w:tr>
        <w:trPr>
          <w:trHeight w:val="230"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本期增加金额</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本期摊销金</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其他减</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c>
          <w:tcPr>
            <w:tcBorders>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少金额</w:t>
            </w:r>
          </w:p>
        </w:tc>
        <w:tc>
          <w:tcPr>
            <w:vMerge/>
            <w:tcBorders>
              <w:left w:val="single" w:sz="4"/>
              <w:right w:val="single" w:sz="4"/>
            </w:tcBorders>
            <w:shd w:val="clear" w:color="auto" w:fill="D3D3D3"/>
            <w:vAlign w:val="center"/>
          </w:tcPr>
          <w:p>
            <w:pP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华声实业研发大楼配套工程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2,861,318.43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154,597.84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735,570.29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2,280,345.98</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华声实业总厂车间配套工程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1,491,938.07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310,272.90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384,867.25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1,417,343.72</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华声实业分厂车间改造工程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418,783.12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87,179.49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144,658.74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361,303.87</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华声实业总厂和研发大楼投入使用 搬迁工程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264,176.26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68,915.52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195,260.74</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深圳平安金融中心装修设计费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130,000.00</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华声实业数据服务费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83,547.17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41,773.56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41,773.61</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扬州华声办公配套工程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扬州华声车间工程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386,501.81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123,523.68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235,978.13</w:t>
            </w: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广东电缆车间工程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325,056.96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122,500.00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91,507.86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356,049.10</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深圳华声研发大楼办公家具及用品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581,447.31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232,576.00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348,871.31</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国盛证券装修费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15,072,318.97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3,138,068.18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11,934,250.79</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国盛证券电力增容费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185,130.35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45,778.64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139,351.71</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国盛证券其他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1,185,003.42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337,461.60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847,541.82</w:t>
            </w:r>
          </w:p>
        </w:tc>
      </w:tr>
      <w:tr>
        <w:trPr>
          <w:trHeight w:val="331"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5,831,321.82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17,801,450.28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5,344,701.32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18,288,070.78</w:t>
            </w:r>
          </w:p>
        </w:tc>
      </w:tr>
    </w:tbl>
    <w:p>
      <w:pPr>
        <w:widowControl w:val="0"/>
        <w:spacing w:after="339" w:line="1" w:lineRule="exact"/>
      </w:pPr>
    </w:p>
    <w:p>
      <w:pPr>
        <w:pStyle w:val="Style30"/>
        <w:keepNext/>
        <w:keepLines/>
        <w:widowControl w:val="0"/>
        <w:shd w:val="clear" w:color="auto" w:fill="auto"/>
        <w:bidi w:val="0"/>
        <w:spacing w:before="0" w:after="340" w:line="240" w:lineRule="auto"/>
        <w:ind w:left="0" w:right="0" w:firstLine="0"/>
        <w:jc w:val="left"/>
      </w:pPr>
      <w:bookmarkStart w:id="1220" w:name="bookmark1220"/>
      <w:bookmarkStart w:id="1221" w:name="bookmark1221"/>
      <w:bookmarkStart w:id="1222" w:name="bookmark1222"/>
      <w:r>
        <w:rPr>
          <w:rFonts w:ascii="Times New Roman" w:eastAsia="Times New Roman" w:hAnsi="Times New Roman" w:cs="Times New Roman"/>
          <w:color w:val="000000"/>
          <w:spacing w:val="0"/>
          <w:w w:val="100"/>
          <w:position w:val="0"/>
        </w:rPr>
        <w:t>23</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220"/>
      <w:bookmarkEnd w:id="1221"/>
      <w:bookmarkEnd w:id="1222"/>
    </w:p>
    <w:p>
      <w:pPr>
        <w:pStyle w:val="Style47"/>
        <w:keepNext/>
        <w:keepLines/>
        <w:widowControl w:val="0"/>
        <w:shd w:val="clear" w:color="auto" w:fill="auto"/>
        <w:bidi w:val="0"/>
        <w:spacing w:before="0" w:after="340" w:line="240" w:lineRule="auto"/>
        <w:ind w:left="0" w:right="0" w:firstLine="0"/>
        <w:jc w:val="left"/>
      </w:pPr>
      <w:bookmarkStart w:id="1223" w:name="bookmark1223"/>
      <w:bookmarkStart w:id="1224" w:name="bookmark1224"/>
      <w:bookmarkStart w:id="1225" w:name="bookmark122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223"/>
      <w:bookmarkEnd w:id="1224"/>
      <w:bookmarkEnd w:id="1225"/>
      <w:r>
        <w:br w:type="page"/>
      </w:r>
    </w:p>
    <w:p>
      <w:pPr>
        <w:pStyle w:val="Style26"/>
        <w:keepNext w:val="0"/>
        <w:keepLines w:val="0"/>
        <w:widowControl w:val="0"/>
        <w:shd w:val="clear" w:color="auto" w:fill="auto"/>
        <w:bidi w:val="0"/>
        <w:spacing w:before="0" w:after="0" w:line="240" w:lineRule="auto"/>
        <w:ind w:left="8587" w:right="0" w:firstLine="0"/>
        <w:jc w:val="left"/>
      </w:pPr>
      <w:r>
        <w:rPr>
          <w:color w:val="000000"/>
          <w:spacing w:val="0"/>
          <w:w w:val="100"/>
          <w:position w:val="0"/>
        </w:rPr>
        <w:t>单位：元</w:t>
      </w:r>
    </w:p>
    <w:tbl>
      <w:tblPr>
        <w:tblOverlap w:val="never"/>
        <w:jc w:val="center"/>
        <w:tblLayout w:type="fixed"/>
      </w:tblPr>
      <w:tblGrid>
        <w:gridCol w:w="2558"/>
        <w:gridCol w:w="1843"/>
        <w:gridCol w:w="1699"/>
        <w:gridCol w:w="1843"/>
        <w:gridCol w:w="1642"/>
      </w:tblGrid>
      <w:tr>
        <w:trPr>
          <w:trHeight w:val="326"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18,539,685.95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4,611,800.66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1,157,896.77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173,684.51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902,667.32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225,666.83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508,436.56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76,265.48</w:t>
            </w:r>
          </w:p>
        </w:tc>
      </w:tr>
      <w:tr>
        <w:trPr>
          <w:trHeight w:val="9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以公允价值计量且其变动 计入当期损益的金融资产 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计入其他综合收益的可供 出售金融资产公允价值变 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存货跌价准备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1,133,717.16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257,234.30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2,937,659.74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440,648.96</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在建工程减值准备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1,030,000.00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154,500.00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21,313,311.38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5,328,327.85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3,670,000.00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917,500.00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1,670,000.00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250,500.00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46,629,381.81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11,505,029.64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6,273,993.07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941,098.95</w:t>
            </w:r>
          </w:p>
        </w:tc>
      </w:tr>
    </w:tbl>
    <w:p>
      <w:pPr>
        <w:pStyle w:val="Style26"/>
        <w:keepNext w:val="0"/>
        <w:keepLines w:val="0"/>
        <w:widowControl w:val="0"/>
        <w:shd w:val="clear" w:color="auto" w:fill="auto"/>
        <w:bidi w:val="0"/>
        <w:spacing w:before="0" w:after="0" w:line="240" w:lineRule="auto"/>
        <w:ind w:left="96" w:right="0" w:firstLine="0"/>
        <w:jc w:val="left"/>
      </w:pPr>
      <w:bookmarkStart w:id="1226" w:name="bookmark1226"/>
      <w:r>
        <w:rPr>
          <w:rFonts w:ascii="Times New Roman" w:eastAsia="Times New Roman" w:hAnsi="Times New Roman" w:cs="Times New Roman"/>
          <w:b/>
          <w:bCs/>
          <w:color w:val="000000"/>
          <w:spacing w:val="0"/>
          <w:w w:val="100"/>
          <w:position w:val="0"/>
        </w:rPr>
        <w:t>(2</w:t>
      </w:r>
      <w:r>
        <w:rPr>
          <w:b/>
          <w:bCs/>
          <w:color w:val="000000"/>
          <w:spacing w:val="0"/>
          <w:w w:val="100"/>
          <w:position w:val="0"/>
        </w:rPr>
        <w:t>)未经抵销的递延所得税负债</w:t>
      </w:r>
      <w:bookmarkEnd w:id="1226"/>
    </w:p>
    <w:p>
      <w:pPr>
        <w:widowControl w:val="0"/>
        <w:spacing w:after="339" w:line="1" w:lineRule="exact"/>
      </w:pPr>
    </w:p>
    <w:p>
      <w:pPr>
        <w:pStyle w:val="Style26"/>
        <w:keepNext w:val="0"/>
        <w:keepLines w:val="0"/>
        <w:widowControl w:val="0"/>
        <w:shd w:val="clear" w:color="auto" w:fill="auto"/>
        <w:bidi w:val="0"/>
        <w:spacing w:before="0" w:after="0" w:line="240" w:lineRule="auto"/>
        <w:ind w:left="8587" w:right="0" w:firstLine="0"/>
        <w:jc w:val="left"/>
      </w:pPr>
      <w:r>
        <w:rPr>
          <w:color w:val="000000"/>
          <w:spacing w:val="0"/>
          <w:w w:val="100"/>
          <w:position w:val="0"/>
        </w:rPr>
        <w:t>单位：元</w:t>
      </w:r>
    </w:p>
    <w:tbl>
      <w:tblPr>
        <w:tblOverlap w:val="never"/>
        <w:jc w:val="center"/>
        <w:tblLayout w:type="fixed"/>
      </w:tblPr>
      <w:tblGrid>
        <w:gridCol w:w="2558"/>
        <w:gridCol w:w="1843"/>
        <w:gridCol w:w="1699"/>
        <w:gridCol w:w="1843"/>
        <w:gridCol w:w="1642"/>
      </w:tblGrid>
      <w:tr>
        <w:trPr>
          <w:trHeight w:val="326"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固定资产折旧年限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8,221,554.19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1,902,189.04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4,393,123.73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658,968.56</w:t>
            </w:r>
          </w:p>
        </w:tc>
      </w:tr>
      <w:tr>
        <w:trPr>
          <w:trHeight w:val="9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计入其他综合收益的可供 出售金融资产公允价值变 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6,836,778.07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1,709,194.52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以公允价值计量且其变动 计入当期损益的金融资产 公允价值变动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120,830,476.71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30,207,619.18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135,888,808.97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33,819,002.74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4,393,123.73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658,968.56</w:t>
            </w:r>
          </w:p>
        </w:tc>
      </w:tr>
    </w:tbl>
    <w:p>
      <w:pPr>
        <w:pStyle w:val="Style26"/>
        <w:keepNext w:val="0"/>
        <w:keepLines w:val="0"/>
        <w:widowControl w:val="0"/>
        <w:shd w:val="clear" w:color="auto" w:fill="auto"/>
        <w:bidi w:val="0"/>
        <w:spacing w:before="0" w:after="0" w:line="240" w:lineRule="auto"/>
        <w:ind w:left="0" w:right="0" w:firstLine="0"/>
        <w:jc w:val="center"/>
      </w:pPr>
      <w:bookmarkStart w:id="1227" w:name="bookmark1227"/>
      <w:r>
        <w:rPr>
          <w:rFonts w:ascii="Times New Roman" w:eastAsia="Times New Roman" w:hAnsi="Times New Roman" w:cs="Times New Roman"/>
          <w:b/>
          <w:bCs/>
          <w:color w:val="000000"/>
          <w:spacing w:val="0"/>
          <w:w w:val="100"/>
          <w:position w:val="0"/>
        </w:rPr>
        <w:t>(3</w:t>
      </w:r>
      <w:r>
        <w:rPr>
          <w:b/>
          <w:bCs/>
          <w:color w:val="000000"/>
          <w:spacing w:val="0"/>
          <w:w w:val="100"/>
          <w:position w:val="0"/>
        </w:rPr>
        <w:t>)以抵销后净额列示的递延所得税资产或负债</w:t>
      </w:r>
      <w:bookmarkEnd w:id="1227"/>
    </w:p>
    <w:p>
      <w:pPr>
        <w:widowControl w:val="0"/>
        <w:spacing w:after="339" w:line="1" w:lineRule="exact"/>
      </w:pPr>
    </w:p>
    <w:p>
      <w:pPr>
        <w:pStyle w:val="Style26"/>
        <w:keepNext w:val="0"/>
        <w:keepLines w:val="0"/>
        <w:widowControl w:val="0"/>
        <w:shd w:val="clear" w:color="auto" w:fill="auto"/>
        <w:bidi w:val="0"/>
        <w:spacing w:before="0" w:after="0" w:line="240" w:lineRule="auto"/>
        <w:ind w:left="8587" w:right="0" w:firstLine="0"/>
        <w:jc w:val="left"/>
      </w:pPr>
      <w:r>
        <w:rPr>
          <w:color w:val="000000"/>
          <w:spacing w:val="0"/>
          <w:w w:val="100"/>
          <w:position w:val="0"/>
        </w:rPr>
        <w:t>单位：元</w:t>
      </w:r>
    </w:p>
    <w:tbl>
      <w:tblPr>
        <w:tblOverlap w:val="never"/>
        <w:jc w:val="center"/>
        <w:tblLayout w:type="fixed"/>
      </w:tblPr>
      <w:tblGrid>
        <w:gridCol w:w="2558"/>
        <w:gridCol w:w="1843"/>
        <w:gridCol w:w="1699"/>
        <w:gridCol w:w="1843"/>
        <w:gridCol w:w="1642"/>
      </w:tblGrid>
      <w:tr>
        <w:trPr>
          <w:trHeight w:val="95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递延所得税资产和 负债期末互抵金额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抵销后递延所得 税资产或负债期 末余额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递延所得税资产和 负债期初互抵金额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抵销后递延所得 税资产或负债期 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11,505,029.64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941,098.95</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33,819,002.74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658,968.56</w:t>
            </w:r>
          </w:p>
        </w:tc>
      </w:tr>
    </w:tbl>
    <w:p>
      <w:pPr>
        <w:spacing w:lineRule="exact" w:line="1"/>
        <w:rPr>
          <w:sz w:val="2"/>
          <w:szCs w:val="2"/>
        </w:rPr>
      </w:pPr>
      <w:r>
        <w:br w:type="page"/>
      </w:r>
    </w:p>
    <w:p>
      <w:pPr>
        <w:pStyle w:val="Style47"/>
        <w:keepNext/>
        <w:keepLines/>
        <w:widowControl w:val="0"/>
        <w:numPr>
          <w:ilvl w:val="0"/>
          <w:numId w:val="29"/>
        </w:numPr>
        <w:shd w:val="clear" w:color="auto" w:fill="auto"/>
        <w:bidi w:val="0"/>
        <w:spacing w:before="0" w:line="240" w:lineRule="auto"/>
        <w:ind w:left="0" w:right="0" w:firstLine="140"/>
        <w:jc w:val="both"/>
      </w:pPr>
      <w:bookmarkStart w:id="1228" w:name="bookmark1228"/>
      <w:bookmarkStart w:id="1229" w:name="bookmark1229"/>
      <w:bookmarkStart w:id="1230" w:name="bookmark1230"/>
      <w:bookmarkStart w:id="1231" w:name="bookmark1231"/>
      <w:bookmarkEnd w:id="1230"/>
      <w:r>
        <w:rPr>
          <w:color w:val="000000"/>
          <w:spacing w:val="0"/>
          <w:w w:val="100"/>
          <w:position w:val="0"/>
        </w:rPr>
        <w:t>未确认递延所得税资产明细</w:t>
      </w:r>
      <w:bookmarkEnd w:id="1228"/>
      <w:bookmarkEnd w:id="1229"/>
      <w:bookmarkEnd w:id="1231"/>
    </w:p>
    <w:p>
      <w:pPr>
        <w:pStyle w:val="Style26"/>
        <w:keepNext w:val="0"/>
        <w:keepLines w:val="0"/>
        <w:widowControl w:val="0"/>
        <w:shd w:val="clear" w:color="auto" w:fill="auto"/>
        <w:bidi w:val="0"/>
        <w:spacing w:before="0" w:after="0" w:line="240" w:lineRule="auto"/>
        <w:ind w:left="8587"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32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3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以公允价值计量且其变动计入当 期损益的金融资产公允价值变动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-167,259.49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期货风险准备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1,281,701.08</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计入其他综合收益的可供出售金 融资产公允价值变动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20,000.40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1,134,441.99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96" w:right="0" w:firstLine="0"/>
        <w:jc w:val="left"/>
      </w:pPr>
      <w:bookmarkStart w:id="1232" w:name="bookmark1232"/>
      <w:r>
        <w:rPr>
          <w:rFonts w:ascii="Times New Roman" w:eastAsia="Times New Roman" w:hAnsi="Times New Roman" w:cs="Times New Roman"/>
          <w:b/>
          <w:bCs/>
          <w:color w:val="000000"/>
          <w:spacing w:val="0"/>
          <w:w w:val="100"/>
          <w:position w:val="0"/>
        </w:rPr>
        <w:t>(5</w:t>
      </w:r>
      <w:r>
        <w:rPr>
          <w:b/>
          <w:bCs/>
          <w:color w:val="000000"/>
          <w:spacing w:val="0"/>
          <w:w w:val="100"/>
          <w:position w:val="0"/>
        </w:rPr>
        <w:t>)期末无未确认递延所得税资产的可抵扣亏损将于以下年度到期情形。</w:t>
      </w:r>
      <w:bookmarkEnd w:id="1232"/>
    </w:p>
    <w:p>
      <w:pPr>
        <w:widowControl w:val="0"/>
        <w:spacing w:after="359" w:line="1" w:lineRule="exact"/>
      </w:pPr>
    </w:p>
    <w:p>
      <w:pPr>
        <w:pStyle w:val="Style30"/>
        <w:keepNext/>
        <w:keepLines/>
        <w:widowControl w:val="0"/>
        <w:shd w:val="clear" w:color="auto" w:fill="auto"/>
        <w:bidi w:val="0"/>
        <w:spacing w:before="0" w:after="360" w:line="240" w:lineRule="auto"/>
        <w:ind w:left="0" w:right="0" w:firstLine="0"/>
        <w:jc w:val="both"/>
      </w:pPr>
      <w:bookmarkStart w:id="1233" w:name="bookmark1233"/>
      <w:bookmarkStart w:id="1234" w:name="bookmark1234"/>
      <w:bookmarkStart w:id="1235" w:name="bookmark1235"/>
      <w:r>
        <w:rPr>
          <w:rFonts w:ascii="Times New Roman" w:eastAsia="Times New Roman" w:hAnsi="Times New Roman" w:cs="Times New Roman"/>
          <w:color w:val="000000"/>
          <w:spacing w:val="0"/>
          <w:w w:val="100"/>
          <w:position w:val="0"/>
        </w:rPr>
        <w:t>24</w:t>
      </w:r>
      <w:r>
        <w:rPr>
          <w:color w:val="000000"/>
          <w:spacing w:val="0"/>
          <w:w w:val="100"/>
          <w:position w:val="0"/>
        </w:rPr>
        <w:t>、其他非流动资产</w:t>
      </w:r>
      <w:bookmarkEnd w:id="1233"/>
      <w:bookmarkEnd w:id="1234"/>
      <w:bookmarkEnd w:id="1235"/>
    </w:p>
    <w:p>
      <w:pPr>
        <w:pStyle w:val="Style26"/>
        <w:keepNext w:val="0"/>
        <w:keepLines w:val="0"/>
        <w:widowControl w:val="0"/>
        <w:shd w:val="clear" w:color="auto" w:fill="auto"/>
        <w:bidi w:val="0"/>
        <w:spacing w:before="0" w:after="0" w:line="240" w:lineRule="auto"/>
        <w:ind w:left="8587"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3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预付设备及工程款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1,235,104.71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2,090,012.25</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1,235,104.71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2,090,012.25</w:t>
            </w:r>
          </w:p>
        </w:tc>
      </w:tr>
    </w:tbl>
    <w:p>
      <w:pPr>
        <w:pStyle w:val="Style26"/>
        <w:keepNext w:val="0"/>
        <w:keepLines w:val="0"/>
        <w:widowControl w:val="0"/>
        <w:shd w:val="clear" w:color="auto" w:fill="auto"/>
        <w:bidi w:val="0"/>
        <w:spacing w:before="0" w:after="0" w:line="240" w:lineRule="auto"/>
        <w:ind w:left="0" w:right="0" w:firstLine="0"/>
        <w:jc w:val="left"/>
      </w:pPr>
      <w:bookmarkStart w:id="1236" w:name="bookmark1236"/>
      <w:r>
        <w:rPr>
          <w:rFonts w:ascii="Times New Roman" w:eastAsia="Times New Roman" w:hAnsi="Times New Roman" w:cs="Times New Roman"/>
          <w:b/>
          <w:bCs/>
          <w:color w:val="000000"/>
          <w:spacing w:val="0"/>
          <w:w w:val="100"/>
          <w:position w:val="0"/>
        </w:rPr>
        <w:t>25</w:t>
      </w:r>
      <w:r>
        <w:rPr>
          <w:b/>
          <w:bCs/>
          <w:color w:val="000000"/>
          <w:spacing w:val="0"/>
          <w:w w:val="100"/>
          <w:position w:val="0"/>
        </w:rPr>
        <w:t>、短期借款</w:t>
      </w:r>
      <w:bookmarkEnd w:id="1236"/>
    </w:p>
    <w:p>
      <w:pPr>
        <w:widowControl w:val="0"/>
        <w:spacing w:after="359" w:line="1" w:lineRule="exact"/>
      </w:pPr>
    </w:p>
    <w:p>
      <w:pPr>
        <w:pStyle w:val="Style47"/>
        <w:keepNext/>
        <w:keepLines/>
        <w:widowControl w:val="0"/>
        <w:shd w:val="clear" w:color="auto" w:fill="auto"/>
        <w:bidi w:val="0"/>
        <w:spacing w:before="0" w:line="240" w:lineRule="auto"/>
        <w:ind w:left="0" w:right="0" w:firstLine="140"/>
        <w:jc w:val="both"/>
      </w:pPr>
      <w:bookmarkStart w:id="1237" w:name="bookmark1237"/>
      <w:bookmarkStart w:id="1238" w:name="bookmark1238"/>
      <w:bookmarkStart w:id="1239" w:name="bookmark1239"/>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237"/>
      <w:bookmarkEnd w:id="1238"/>
      <w:bookmarkEnd w:id="1239"/>
    </w:p>
    <w:p>
      <w:pPr>
        <w:pStyle w:val="Style26"/>
        <w:keepNext w:val="0"/>
        <w:keepLines w:val="0"/>
        <w:widowControl w:val="0"/>
        <w:shd w:val="clear" w:color="auto" w:fill="auto"/>
        <w:bidi w:val="0"/>
        <w:spacing w:before="0" w:after="0" w:line="240" w:lineRule="auto"/>
        <w:ind w:left="8587"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32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3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51,775,584.20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30,000,000.00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51,775,584.20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30,000,000.00</w:t>
            </w:r>
          </w:p>
        </w:tc>
      </w:tr>
    </w:tbl>
    <w:p>
      <w:pPr>
        <w:pStyle w:val="Style26"/>
        <w:keepNext w:val="0"/>
        <w:keepLines w:val="0"/>
        <w:widowControl w:val="0"/>
        <w:shd w:val="clear" w:color="auto" w:fill="auto"/>
        <w:bidi w:val="0"/>
        <w:spacing w:before="0" w:after="0" w:line="240" w:lineRule="auto"/>
        <w:ind w:left="408" w:right="0" w:firstLine="0"/>
        <w:jc w:val="left"/>
      </w:pPr>
      <w:r>
        <w:rPr>
          <w:color w:val="000000"/>
          <w:spacing w:val="0"/>
          <w:w w:val="100"/>
          <w:position w:val="0"/>
        </w:rPr>
        <w:t>截止至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日公司尚未归还的短期借款形成原因:</w:t>
      </w:r>
    </w:p>
    <w:p>
      <w:pPr>
        <w:pStyle w:val="Style33"/>
        <w:keepNext w:val="0"/>
        <w:keepLines w:val="0"/>
        <w:widowControl w:val="0"/>
        <w:shd w:val="clear" w:color="auto" w:fill="auto"/>
        <w:bidi w:val="0"/>
        <w:spacing w:before="0" w:after="260" w:line="310" w:lineRule="exact"/>
        <w:ind w:left="0" w:right="0" w:firstLine="440"/>
        <w:jc w:val="both"/>
      </w:pPr>
      <w:r>
        <w:rPr>
          <w:color w:val="000000"/>
          <w:spacing w:val="0"/>
          <w:w w:val="100"/>
          <w:position w:val="0"/>
        </w:rPr>
        <w:t xml:space="preserve">子公司扬州华声电子实业有限公司与交通银行股份有限公司江苏省分行签订编号为 </w:t>
      </w:r>
      <w:r>
        <w:rPr>
          <w:rFonts w:ascii="Times New Roman" w:eastAsia="Times New Roman" w:hAnsi="Times New Roman" w:cs="Times New Roman"/>
          <w:color w:val="000000"/>
          <w:spacing w:val="0"/>
          <w:w w:val="100"/>
          <w:position w:val="0"/>
        </w:rPr>
        <w:t>Z1611LN15667009</w:t>
      </w:r>
      <w:r>
        <w:rPr>
          <w:color w:val="000000"/>
          <w:spacing w:val="0"/>
          <w:w w:val="100"/>
          <w:position w:val="0"/>
        </w:rPr>
        <w:t>的借款合同，以信用方式取得人民币</w:t>
      </w:r>
      <w:r>
        <w:rPr>
          <w:rFonts w:ascii="Times New Roman" w:eastAsia="Times New Roman" w:hAnsi="Times New Roman" w:cs="Times New Roman"/>
          <w:color w:val="000000"/>
          <w:spacing w:val="0"/>
          <w:w w:val="100"/>
          <w:position w:val="0"/>
        </w:rPr>
        <w:t>2,000.00</w:t>
      </w:r>
      <w:r>
        <w:rPr>
          <w:color w:val="000000"/>
          <w:spacing w:val="0"/>
          <w:w w:val="100"/>
          <w:position w:val="0"/>
        </w:rPr>
        <w:t>万元借款，利率为固定利率</w:t>
      </w:r>
      <w:r>
        <w:rPr>
          <w:rFonts w:ascii="Times New Roman" w:eastAsia="Times New Roman" w:hAnsi="Times New Roman" w:cs="Times New Roman"/>
          <w:color w:val="000000"/>
          <w:spacing w:val="0"/>
          <w:w w:val="100"/>
          <w:position w:val="0"/>
        </w:rPr>
        <w:t>4.3500%</w:t>
      </w:r>
      <w:r>
        <w:rPr>
          <w:color w:val="000000"/>
          <w:spacing w:val="0"/>
          <w:w w:val="100"/>
          <w:position w:val="0"/>
        </w:rPr>
        <w:t>，期限 为</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 xml:space="preserve">日；子公司扬州华声电子实业有限公司与工商银行邗江支行签订编号为 </w:t>
      </w:r>
      <w:r>
        <w:rPr>
          <w:rFonts w:ascii="Times New Roman" w:eastAsia="Times New Roman" w:hAnsi="Times New Roman" w:cs="Times New Roman"/>
          <w:color w:val="000000"/>
          <w:spacing w:val="0"/>
          <w:w w:val="100"/>
          <w:position w:val="0"/>
        </w:rPr>
        <w:t>0110800006-2016</w:t>
      </w:r>
      <w:r>
        <w:rPr>
          <w:color w:val="000000"/>
          <w:spacing w:val="0"/>
          <w:w w:val="100"/>
          <w:position w:val="0"/>
        </w:rPr>
        <w:t>年</w:t>
      </w:r>
      <w:r>
        <w:rPr>
          <w:rFonts w:ascii="Times New Roman" w:eastAsia="Times New Roman" w:hAnsi="Times New Roman" w:cs="Times New Roman"/>
          <w:color w:val="000000"/>
          <w:spacing w:val="0"/>
          <w:w w:val="100"/>
          <w:position w:val="0"/>
        </w:rPr>
        <w:t>(</w:t>
      </w:r>
      <w:r>
        <w:rPr>
          <w:color w:val="000000"/>
          <w:spacing w:val="0"/>
          <w:w w:val="100"/>
          <w:position w:val="0"/>
        </w:rPr>
        <w:t>邗江</w:t>
      </w:r>
      <w:r>
        <w:rPr>
          <w:rFonts w:ascii="Times New Roman" w:eastAsia="Times New Roman" w:hAnsi="Times New Roman" w:cs="Times New Roman"/>
          <w:color w:val="000000"/>
          <w:spacing w:val="0"/>
          <w:w w:val="100"/>
          <w:position w:val="0"/>
        </w:rPr>
        <w:t>)</w:t>
      </w:r>
      <w:r>
        <w:rPr>
          <w:color w:val="000000"/>
          <w:spacing w:val="0"/>
          <w:w w:val="100"/>
          <w:position w:val="0"/>
        </w:rPr>
        <w:t>字</w:t>
      </w:r>
      <w:r>
        <w:rPr>
          <w:rFonts w:ascii="Times New Roman" w:eastAsia="Times New Roman" w:hAnsi="Times New Roman" w:cs="Times New Roman"/>
          <w:color w:val="000000"/>
          <w:spacing w:val="0"/>
          <w:w w:val="100"/>
          <w:position w:val="0"/>
        </w:rPr>
        <w:t>00129</w:t>
      </w:r>
      <w:r>
        <w:rPr>
          <w:color w:val="000000"/>
          <w:spacing w:val="0"/>
          <w:w w:val="100"/>
          <w:position w:val="0"/>
        </w:rPr>
        <w:t>号的借款合同，以信用方式取得人民币</w:t>
      </w:r>
      <w:r>
        <w:rPr>
          <w:rFonts w:ascii="Times New Roman" w:eastAsia="Times New Roman" w:hAnsi="Times New Roman" w:cs="Times New Roman"/>
          <w:color w:val="000000"/>
          <w:spacing w:val="0"/>
          <w:w w:val="100"/>
          <w:position w:val="0"/>
        </w:rPr>
        <w:t>3,000.00</w:t>
      </w:r>
      <w:r>
        <w:rPr>
          <w:color w:val="000000"/>
          <w:spacing w:val="0"/>
          <w:w w:val="100"/>
          <w:position w:val="0"/>
        </w:rPr>
        <w:t>万元借款，利率为固定利 率</w:t>
      </w:r>
      <w:r>
        <w:rPr>
          <w:rFonts w:ascii="Times New Roman" w:eastAsia="Times New Roman" w:hAnsi="Times New Roman" w:cs="Times New Roman"/>
          <w:color w:val="000000"/>
          <w:spacing w:val="0"/>
          <w:w w:val="100"/>
          <w:position w:val="0"/>
        </w:rPr>
        <w:t>4.3500%</w:t>
      </w:r>
      <w:r>
        <w:rPr>
          <w:color w:val="000000"/>
          <w:spacing w:val="0"/>
          <w:w w:val="100"/>
          <w:position w:val="0"/>
        </w:rPr>
        <w:t>，期限为</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 xml:space="preserve">日。子公司扬州华声电子实业有限公司信用卡借款余额 为 </w:t>
      </w:r>
      <w:r>
        <w:rPr>
          <w:rFonts w:ascii="Times New Roman" w:eastAsia="Times New Roman" w:hAnsi="Times New Roman" w:cs="Times New Roman"/>
          <w:color w:val="000000"/>
          <w:spacing w:val="0"/>
          <w:w w:val="100"/>
          <w:position w:val="0"/>
        </w:rPr>
        <w:t>1,775,584.20</w:t>
      </w:r>
      <w:r>
        <w:rPr>
          <w:color w:val="000000"/>
          <w:spacing w:val="0"/>
          <w:w w:val="100"/>
          <w:position w:val="0"/>
        </w:rPr>
        <w:t>元。</w:t>
      </w:r>
    </w:p>
    <w:p>
      <w:pPr>
        <w:pStyle w:val="Style47"/>
        <w:keepNext/>
        <w:keepLines/>
        <w:widowControl w:val="0"/>
        <w:numPr>
          <w:ilvl w:val="0"/>
          <w:numId w:val="31"/>
        </w:numPr>
        <w:shd w:val="clear" w:color="auto" w:fill="auto"/>
        <w:bidi w:val="0"/>
        <w:spacing w:before="0" w:line="310" w:lineRule="exact"/>
        <w:ind w:left="0" w:right="0" w:firstLine="0"/>
        <w:jc w:val="both"/>
      </w:pPr>
      <w:bookmarkStart w:id="1240" w:name="bookmark1240"/>
      <w:bookmarkStart w:id="1241" w:name="bookmark1241"/>
      <w:bookmarkStart w:id="1242" w:name="bookmark1242"/>
      <w:bookmarkStart w:id="1243" w:name="bookmark1243"/>
      <w:bookmarkEnd w:id="1242"/>
      <w:r>
        <w:rPr>
          <w:color w:val="000000"/>
          <w:spacing w:val="0"/>
          <w:w w:val="100"/>
          <w:position w:val="0"/>
        </w:rPr>
        <w:t>本期无已逾期未偿还的短期借款。</w:t>
      </w:r>
      <w:bookmarkEnd w:id="1240"/>
      <w:bookmarkEnd w:id="1241"/>
      <w:bookmarkEnd w:id="1243"/>
    </w:p>
    <w:p>
      <w:pPr>
        <w:pStyle w:val="Style30"/>
        <w:keepNext/>
        <w:keepLines/>
        <w:widowControl w:val="0"/>
        <w:shd w:val="clear" w:color="auto" w:fill="auto"/>
        <w:bidi w:val="0"/>
        <w:spacing w:before="0" w:after="260" w:line="324" w:lineRule="auto"/>
        <w:ind w:left="0" w:right="0" w:firstLine="0"/>
        <w:jc w:val="both"/>
      </w:pPr>
      <w:bookmarkStart w:id="1244" w:name="bookmark1244"/>
      <w:bookmarkStart w:id="1245" w:name="bookmark1245"/>
      <w:bookmarkStart w:id="1246" w:name="bookmark1246"/>
      <w:r>
        <w:rPr>
          <w:rFonts w:ascii="Times New Roman" w:eastAsia="Times New Roman" w:hAnsi="Times New Roman" w:cs="Times New Roman"/>
          <w:color w:val="000000"/>
          <w:spacing w:val="0"/>
          <w:w w:val="100"/>
          <w:position w:val="0"/>
        </w:rPr>
        <w:t>26</w:t>
      </w:r>
      <w:r>
        <w:rPr>
          <w:color w:val="000000"/>
          <w:spacing w:val="0"/>
          <w:w w:val="100"/>
          <w:position w:val="0"/>
        </w:rPr>
        <w:t>、拆入资金</w:t>
      </w:r>
      <w:bookmarkEnd w:id="1244"/>
      <w:bookmarkEnd w:id="1245"/>
      <w:bookmarkEnd w:id="1246"/>
    </w:p>
    <w:tbl>
      <w:tblPr>
        <w:tblOverlap w:val="never"/>
        <w:jc w:val="center"/>
        <w:tblLayout w:type="fixed"/>
      </w:tblPr>
      <w:tblGrid>
        <w:gridCol w:w="3259"/>
        <w:gridCol w:w="2654"/>
        <w:gridCol w:w="3600"/>
      </w:tblGrid>
      <w:tr>
        <w:trPr>
          <w:trHeight w:val="3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2016.12.31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2015.12.31</w:t>
            </w:r>
          </w:p>
        </w:tc>
      </w:tr>
    </w:tbl>
    <w:p>
      <w:pPr>
        <w:spacing w:lineRule="exact" w:line="1"/>
        <w:rPr>
          <w:sz w:val="2"/>
          <w:szCs w:val="2"/>
        </w:rPr>
      </w:pPr>
      <w:r>
        <w:br w:type="page"/>
      </w:r>
    </w:p>
    <w:tbl>
      <w:tblPr>
        <w:tblOverlap w:val="never"/>
        <w:jc w:val="center"/>
        <w:tblLayout w:type="fixed"/>
      </w:tblPr>
      <w:tblGrid>
        <w:gridCol w:w="3259"/>
        <w:gridCol w:w="2654"/>
        <w:gridCol w:w="3600"/>
      </w:tblGrid>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转融通融入资金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1,850,000,000.00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1,850,000,000.00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转融通融入资金的剩余期限和利率区间</w:t>
      </w:r>
    </w:p>
    <w:tbl>
      <w:tblPr>
        <w:tblOverlap w:val="never"/>
        <w:jc w:val="center"/>
        <w:tblLayout w:type="fixed"/>
      </w:tblPr>
      <w:tblGrid>
        <w:gridCol w:w="2486"/>
        <w:gridCol w:w="1853"/>
        <w:gridCol w:w="1478"/>
        <w:gridCol w:w="1982"/>
        <w:gridCol w:w="1714"/>
      </w:tblGrid>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利率区间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利率区间</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个月以内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500,000,000.00</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3.0%-3.2%</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个月至</w:t>
            </w:r>
            <w:r>
              <w:rPr>
                <w:rFonts w:ascii="Times New Roman" w:eastAsia="Times New Roman" w:hAnsi="Times New Roman" w:cs="Times New Roman"/>
                <w:color w:val="000000"/>
                <w:spacing w:val="0"/>
                <w:w w:val="100"/>
                <w:position w:val="0"/>
              </w:rPr>
              <w:t>3</w:t>
            </w:r>
            <w:r>
              <w:rPr>
                <w:color w:val="000000"/>
                <w:spacing w:val="0"/>
                <w:w w:val="100"/>
                <w:position w:val="0"/>
              </w:rPr>
              <w:t>个月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1,350,000,000.00</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个月至</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3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1,850,000,000.00</w:t>
            </w: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widowControl w:val="0"/>
              <w:rPr>
                <w:sz w:val="10"/>
                <w:szCs w:val="10"/>
              </w:rPr>
            </w:pPr>
          </w:p>
        </w:tc>
        <w:tc>
          <w:tcPr>
            <w:vMerge/>
            <w:tcBorders>
              <w:left w:val="single" w:sz="4"/>
              <w:bottom w:val="single" w:sz="4"/>
              <w:right w:val="single" w:sz="4"/>
            </w:tcBorders>
            <w:shd w:val="clear" w:color="auto" w:fill="FFFFFF"/>
            <w:vAlign w:val="top"/>
          </w:tcPr>
          <w:p>
            <w:pPr/>
          </w:p>
        </w:tc>
      </w:tr>
    </w:tbl>
    <w:p>
      <w:pPr>
        <w:pStyle w:val="Style26"/>
        <w:keepNext w:val="0"/>
        <w:keepLines w:val="0"/>
        <w:widowControl w:val="0"/>
        <w:shd w:val="clear" w:color="auto" w:fill="auto"/>
        <w:tabs>
          <w:tab w:pos="7910" w:val="left"/>
        </w:tabs>
        <w:bidi w:val="0"/>
        <w:spacing w:before="0" w:after="0" w:line="240" w:lineRule="auto"/>
        <w:ind w:left="0" w:right="0" w:firstLine="0"/>
        <w:jc w:val="center"/>
      </w:pPr>
      <w:bookmarkStart w:id="1247" w:name="bookmark1247"/>
      <w:r>
        <w:rPr>
          <w:rFonts w:ascii="Times New Roman" w:eastAsia="Times New Roman" w:hAnsi="Times New Roman" w:cs="Times New Roman"/>
          <w:b/>
          <w:bCs/>
          <w:color w:val="000000"/>
          <w:spacing w:val="0"/>
          <w:w w:val="100"/>
          <w:position w:val="0"/>
        </w:rPr>
        <w:t>27</w:t>
      </w:r>
      <w:r>
        <w:rPr>
          <w:b/>
          <w:bCs/>
          <w:color w:val="000000"/>
          <w:spacing w:val="0"/>
          <w:w w:val="100"/>
          <w:position w:val="0"/>
        </w:rPr>
        <w:t>、衍生金融负债</w:t>
        <w:tab/>
      </w: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1247"/>
    </w:p>
    <w:p>
      <w:pPr>
        <w:widowControl w:val="0"/>
        <w:spacing w:after="359" w:line="1" w:lineRule="exact"/>
      </w:pPr>
    </w:p>
    <w:p>
      <w:pPr>
        <w:pStyle w:val="Style30"/>
        <w:keepNext/>
        <w:keepLines/>
        <w:widowControl w:val="0"/>
        <w:shd w:val="clear" w:color="auto" w:fill="auto"/>
        <w:bidi w:val="0"/>
        <w:spacing w:before="0" w:after="360" w:line="240" w:lineRule="auto"/>
        <w:ind w:left="0" w:right="0" w:firstLine="0"/>
        <w:jc w:val="left"/>
      </w:pPr>
      <w:bookmarkStart w:id="1248" w:name="bookmark1248"/>
      <w:bookmarkStart w:id="1249" w:name="bookmark1249"/>
      <w:bookmarkStart w:id="1250" w:name="bookmark1250"/>
      <w:r>
        <w:rPr>
          <w:rFonts w:ascii="Times New Roman" w:eastAsia="Times New Roman" w:hAnsi="Times New Roman" w:cs="Times New Roman"/>
          <w:color w:val="000000"/>
          <w:spacing w:val="0"/>
          <w:w w:val="100"/>
          <w:position w:val="0"/>
        </w:rPr>
        <w:t>28</w:t>
      </w:r>
      <w:r>
        <w:rPr>
          <w:color w:val="000000"/>
          <w:spacing w:val="0"/>
          <w:w w:val="100"/>
          <w:position w:val="0"/>
        </w:rPr>
        <w:t>、应付票据</w:t>
      </w:r>
      <w:bookmarkEnd w:id="1248"/>
      <w:bookmarkEnd w:id="1249"/>
      <w:bookmarkEnd w:id="125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32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38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111,584,979.41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116,873,274.27</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111,584,979.41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116,873,274.27</w:t>
            </w:r>
          </w:p>
        </w:tc>
      </w:tr>
    </w:tbl>
    <w:p>
      <w:pPr>
        <w:pStyle w:val="Style26"/>
        <w:keepNext w:val="0"/>
        <w:keepLines w:val="0"/>
        <w:widowControl w:val="0"/>
        <w:shd w:val="clear" w:color="auto" w:fill="auto"/>
        <w:bidi w:val="0"/>
        <w:spacing w:before="0" w:after="0" w:line="240" w:lineRule="auto"/>
        <w:ind w:left="408" w:right="0" w:firstLine="0"/>
        <w:jc w:val="left"/>
      </w:pPr>
      <w:r>
        <w:rPr>
          <w:color w:val="000000"/>
          <w:spacing w:val="0"/>
          <w:w w:val="100"/>
          <w:position w:val="0"/>
        </w:rPr>
        <w:t>本期末无已到期未支付的应付票据。</w:t>
      </w:r>
    </w:p>
    <w:p>
      <w:pPr>
        <w:widowControl w:val="0"/>
        <w:spacing w:after="359" w:line="1" w:lineRule="exact"/>
      </w:pPr>
    </w:p>
    <w:p>
      <w:pPr>
        <w:pStyle w:val="Style30"/>
        <w:keepNext/>
        <w:keepLines/>
        <w:widowControl w:val="0"/>
        <w:shd w:val="clear" w:color="auto" w:fill="auto"/>
        <w:bidi w:val="0"/>
        <w:spacing w:before="0" w:after="360" w:line="240" w:lineRule="auto"/>
        <w:ind w:left="0" w:right="0" w:firstLine="0"/>
        <w:jc w:val="left"/>
      </w:pPr>
      <w:bookmarkStart w:id="1251" w:name="bookmark1251"/>
      <w:bookmarkStart w:id="1252" w:name="bookmark1252"/>
      <w:bookmarkStart w:id="1253" w:name="bookmark1253"/>
      <w:r>
        <w:rPr>
          <w:rFonts w:ascii="Times New Roman" w:eastAsia="Times New Roman" w:hAnsi="Times New Roman" w:cs="Times New Roman"/>
          <w:color w:val="000000"/>
          <w:spacing w:val="0"/>
          <w:w w:val="100"/>
          <w:position w:val="0"/>
        </w:rPr>
        <w:t>29</w:t>
      </w:r>
      <w:r>
        <w:rPr>
          <w:color w:val="000000"/>
          <w:spacing w:val="0"/>
          <w:w w:val="100"/>
          <w:position w:val="0"/>
        </w:rPr>
        <w:t>、应付账款</w:t>
      </w:r>
      <w:bookmarkEnd w:id="1251"/>
      <w:bookmarkEnd w:id="1252"/>
      <w:bookmarkEnd w:id="1253"/>
    </w:p>
    <w:p>
      <w:pPr>
        <w:pStyle w:val="Style47"/>
        <w:keepNext/>
        <w:keepLines/>
        <w:widowControl w:val="0"/>
        <w:shd w:val="clear" w:color="auto" w:fill="auto"/>
        <w:bidi w:val="0"/>
        <w:spacing w:before="0" w:line="240" w:lineRule="auto"/>
        <w:ind w:left="0" w:right="0" w:firstLine="0"/>
        <w:jc w:val="left"/>
      </w:pPr>
      <w:bookmarkStart w:id="1254" w:name="bookmark1254"/>
      <w:bookmarkStart w:id="1255" w:name="bookmark1255"/>
      <w:bookmarkStart w:id="1256" w:name="bookmark125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254"/>
      <w:bookmarkEnd w:id="1255"/>
      <w:bookmarkEnd w:id="125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32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3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293,697,955.94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74,601,979.32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12,015,464.16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4,833,508.24</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305,713,420.10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79,435,487.56</w:t>
            </w:r>
          </w:p>
        </w:tc>
      </w:tr>
    </w:tbl>
    <w:p>
      <w:pPr>
        <w:widowControl w:val="0"/>
        <w:spacing w:after="359" w:line="1" w:lineRule="exact"/>
      </w:pPr>
    </w:p>
    <w:p>
      <w:pPr>
        <w:pStyle w:val="Style47"/>
        <w:keepNext/>
        <w:keepLines/>
        <w:widowControl w:val="0"/>
        <w:shd w:val="clear" w:color="auto" w:fill="auto"/>
        <w:bidi w:val="0"/>
        <w:spacing w:before="0" w:line="240" w:lineRule="auto"/>
        <w:ind w:left="0" w:right="0" w:firstLine="140"/>
        <w:jc w:val="left"/>
      </w:pPr>
      <w:bookmarkStart w:id="1257" w:name="bookmark1257"/>
      <w:bookmarkStart w:id="1258" w:name="bookmark1258"/>
      <w:bookmarkStart w:id="1259" w:name="bookmark1259"/>
      <w:bookmarkStart w:id="1260" w:name="bookmark1260"/>
      <w:r>
        <w:rPr>
          <w:rFonts w:ascii="Times New Roman" w:eastAsia="Times New Roman" w:hAnsi="Times New Roman" w:cs="Times New Roman"/>
          <w:color w:val="000000"/>
          <w:spacing w:val="0"/>
          <w:w w:val="100"/>
          <w:position w:val="0"/>
        </w:rPr>
        <w:t>（</w:t>
      </w:r>
      <w:bookmarkEnd w:id="1259"/>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257"/>
      <w:bookmarkEnd w:id="1258"/>
      <w:bookmarkEnd w:id="1260"/>
    </w:p>
    <w:p>
      <w:pPr>
        <w:pStyle w:val="Style33"/>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线缆业务报告期末应付款主要以应付各类原料采购款构成，无账龄超过一年的重要应付账款。</w:t>
      </w:r>
    </w:p>
    <w:p>
      <w:pPr>
        <w:pStyle w:val="Style33"/>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证券业务账龄超过一年的重要应付账款如下：</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32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3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1,940,215.63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尚未支付</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身份置换安置费专户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1,874,670.33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每年兑现部分，尚未完全兑现</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中国金谷国际信托有限责任公司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1,500,000.00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预收申购款</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5,314,885.96</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p>
      <w:pPr>
        <w:pStyle w:val="Style26"/>
        <w:keepNext w:val="0"/>
        <w:keepLines w:val="0"/>
        <w:widowControl w:val="0"/>
        <w:shd w:val="clear" w:color="auto" w:fill="auto"/>
        <w:bidi w:val="0"/>
        <w:spacing w:before="0" w:after="0" w:line="240" w:lineRule="auto"/>
        <w:ind w:left="96" w:right="0" w:firstLine="0"/>
        <w:jc w:val="left"/>
      </w:pPr>
      <w:r>
        <w:rPr>
          <w:b/>
          <w:bCs/>
          <w:color w:val="000000"/>
          <w:spacing w:val="0"/>
          <w:w w:val="100"/>
          <w:position w:val="0"/>
        </w:rPr>
        <w:t>(3)应付款项列示(证券业务)</w:t>
      </w:r>
    </w:p>
    <w:tbl>
      <w:tblPr>
        <w:tblOverlap w:val="never"/>
        <w:jc w:val="center"/>
        <w:tblLayout w:type="fixed"/>
      </w:tblPr>
      <w:tblGrid>
        <w:gridCol w:w="3264"/>
        <w:gridCol w:w="3120"/>
        <w:gridCol w:w="3269"/>
      </w:tblGrid>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证券经纪业务款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97,479,796.60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证券清算款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32,734,485.48</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中证投资者保护基金公司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12,582,804.50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9,127,033.10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经纪人风险金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2,771,997.09</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应付工程款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2,572,092.77</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身份置换安置费专户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1,874,670.33</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中国金谷国际信托有限责任公司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6,619,428.81</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167,262,308.68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bookmarkStart w:id="1261" w:name="bookmark1261"/>
      <w:r>
        <w:rPr>
          <w:rFonts w:ascii="Times New Roman" w:eastAsia="Times New Roman" w:hAnsi="Times New Roman" w:cs="Times New Roman"/>
          <w:b/>
          <w:bCs/>
          <w:color w:val="000000"/>
          <w:spacing w:val="0"/>
          <w:w w:val="100"/>
          <w:position w:val="0"/>
        </w:rPr>
        <w:t>30</w:t>
      </w:r>
      <w:r>
        <w:rPr>
          <w:b/>
          <w:bCs/>
          <w:color w:val="000000"/>
          <w:spacing w:val="0"/>
          <w:w w:val="100"/>
          <w:position w:val="0"/>
        </w:rPr>
        <w:t>、预收款项</w:t>
      </w:r>
      <w:bookmarkEnd w:id="1261"/>
    </w:p>
    <w:p>
      <w:pPr>
        <w:widowControl w:val="0"/>
        <w:spacing w:after="339" w:line="1" w:lineRule="exact"/>
      </w:pPr>
    </w:p>
    <w:p>
      <w:pPr>
        <w:pStyle w:val="Style47"/>
        <w:keepNext/>
        <w:keepLines/>
        <w:widowControl w:val="0"/>
        <w:shd w:val="clear" w:color="auto" w:fill="auto"/>
        <w:bidi w:val="0"/>
        <w:spacing w:before="0" w:after="340" w:line="240" w:lineRule="auto"/>
        <w:ind w:left="0" w:right="0" w:firstLine="0"/>
        <w:jc w:val="left"/>
      </w:pPr>
      <w:bookmarkStart w:id="1262" w:name="bookmark1262"/>
      <w:bookmarkStart w:id="1263" w:name="bookmark1263"/>
      <w:bookmarkStart w:id="1264" w:name="bookmark1264"/>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262"/>
      <w:bookmarkEnd w:id="1263"/>
      <w:bookmarkEnd w:id="1264"/>
    </w:p>
    <w:p>
      <w:pPr>
        <w:pStyle w:val="Style26"/>
        <w:keepNext w:val="0"/>
        <w:keepLines w:val="0"/>
        <w:widowControl w:val="0"/>
        <w:shd w:val="clear" w:color="auto" w:fill="auto"/>
        <w:bidi w:val="0"/>
        <w:spacing w:before="0" w:after="0" w:line="240" w:lineRule="auto"/>
        <w:ind w:left="8587"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44,764,564.17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2,349,802.35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2,720,373.50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47,484,937.67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2,352,802.35</w:t>
            </w:r>
          </w:p>
        </w:tc>
      </w:tr>
    </w:tbl>
    <w:p>
      <w:pPr>
        <w:pStyle w:val="Style26"/>
        <w:keepNext w:val="0"/>
        <w:keepLines w:val="0"/>
        <w:widowControl w:val="0"/>
        <w:shd w:val="clear" w:color="auto" w:fill="auto"/>
        <w:bidi w:val="0"/>
        <w:spacing w:before="0" w:after="0" w:line="240" w:lineRule="auto"/>
        <w:ind w:left="0" w:right="0" w:firstLine="0"/>
        <w:jc w:val="center"/>
      </w:pPr>
      <w:bookmarkStart w:id="1265" w:name="bookmark1265"/>
      <w:r>
        <w:rPr>
          <w:rFonts w:ascii="Times New Roman" w:eastAsia="Times New Roman" w:hAnsi="Times New Roman" w:cs="Times New Roman"/>
          <w:b/>
          <w:bCs/>
          <w:color w:val="000000"/>
          <w:spacing w:val="0"/>
          <w:w w:val="100"/>
          <w:position w:val="0"/>
        </w:rPr>
        <w:t>(2</w:t>
      </w:r>
      <w:r>
        <w:rPr>
          <w:b/>
          <w:bCs/>
          <w:color w:val="000000"/>
          <w:spacing w:val="0"/>
          <w:w w:val="100"/>
          <w:position w:val="0"/>
        </w:rPr>
        <w:t>)本期无账龄超过</w:t>
      </w:r>
      <w:r>
        <w:rPr>
          <w:rFonts w:ascii="Times New Roman" w:eastAsia="Times New Roman" w:hAnsi="Times New Roman" w:cs="Times New Roman"/>
          <w:b/>
          <w:bCs/>
          <w:color w:val="000000"/>
          <w:spacing w:val="0"/>
          <w:w w:val="100"/>
          <w:position w:val="0"/>
        </w:rPr>
        <w:t>1</w:t>
      </w:r>
      <w:r>
        <w:rPr>
          <w:b/>
          <w:bCs/>
          <w:color w:val="000000"/>
          <w:spacing w:val="0"/>
          <w:w w:val="100"/>
          <w:position w:val="0"/>
        </w:rPr>
        <w:t>年的重要预收款项。</w:t>
      </w:r>
      <w:bookmarkEnd w:id="1265"/>
    </w:p>
    <w:p>
      <w:pPr>
        <w:widowControl w:val="0"/>
        <w:spacing w:after="339" w:line="1" w:lineRule="exact"/>
      </w:pPr>
    </w:p>
    <w:p>
      <w:pPr>
        <w:pStyle w:val="Style47"/>
        <w:keepNext/>
        <w:keepLines/>
        <w:widowControl w:val="0"/>
        <w:numPr>
          <w:ilvl w:val="0"/>
          <w:numId w:val="31"/>
        </w:numPr>
        <w:shd w:val="clear" w:color="auto" w:fill="auto"/>
        <w:bidi w:val="0"/>
        <w:spacing w:before="0" w:after="340" w:line="240" w:lineRule="auto"/>
        <w:ind w:left="0" w:right="0" w:firstLine="0"/>
        <w:jc w:val="left"/>
      </w:pPr>
      <w:bookmarkStart w:id="1266" w:name="bookmark1266"/>
      <w:bookmarkStart w:id="1267" w:name="bookmark1267"/>
      <w:bookmarkStart w:id="1268" w:name="bookmark1268"/>
      <w:bookmarkStart w:id="1269" w:name="bookmark1269"/>
      <w:bookmarkEnd w:id="1268"/>
      <w:r>
        <w:rPr>
          <w:color w:val="000000"/>
          <w:spacing w:val="0"/>
          <w:w w:val="100"/>
          <w:position w:val="0"/>
        </w:rPr>
        <w:t>期末无建造合同形成的已结算未完工项目情况。</w:t>
      </w:r>
      <w:bookmarkEnd w:id="1266"/>
      <w:bookmarkEnd w:id="1267"/>
      <w:bookmarkEnd w:id="1269"/>
    </w:p>
    <w:p>
      <w:pPr>
        <w:pStyle w:val="Style30"/>
        <w:keepNext/>
        <w:keepLines/>
        <w:widowControl w:val="0"/>
        <w:shd w:val="clear" w:color="auto" w:fill="auto"/>
        <w:bidi w:val="0"/>
        <w:spacing w:before="0" w:after="340" w:line="240" w:lineRule="auto"/>
        <w:ind w:left="0" w:right="0" w:firstLine="0"/>
        <w:jc w:val="left"/>
      </w:pPr>
      <w:bookmarkStart w:id="1270" w:name="bookmark1270"/>
      <w:bookmarkStart w:id="1271" w:name="bookmark1271"/>
      <w:bookmarkStart w:id="1272" w:name="bookmark1272"/>
      <w:r>
        <w:rPr>
          <w:rFonts w:ascii="Times New Roman" w:eastAsia="Times New Roman" w:hAnsi="Times New Roman" w:cs="Times New Roman"/>
          <w:color w:val="000000"/>
          <w:spacing w:val="0"/>
          <w:w w:val="100"/>
          <w:position w:val="0"/>
        </w:rPr>
        <w:t>31</w:t>
      </w:r>
      <w:r>
        <w:rPr>
          <w:color w:val="000000"/>
          <w:spacing w:val="0"/>
          <w:w w:val="100"/>
          <w:position w:val="0"/>
        </w:rPr>
        <w:t>、卖出回购金融资产款</w:t>
      </w:r>
      <w:bookmarkEnd w:id="1270"/>
      <w:bookmarkEnd w:id="1271"/>
      <w:bookmarkEnd w:id="1272"/>
    </w:p>
    <w:p>
      <w:pPr>
        <w:pStyle w:val="Style26"/>
        <w:keepNext w:val="0"/>
        <w:keepLines w:val="0"/>
        <w:widowControl w:val="0"/>
        <w:shd w:val="clear" w:color="auto" w:fill="auto"/>
        <w:bidi w:val="0"/>
        <w:spacing w:before="0" w:after="0" w:line="240" w:lineRule="auto"/>
        <w:ind w:left="96" w:right="0" w:firstLine="0"/>
        <w:jc w:val="left"/>
      </w:pPr>
      <w:r>
        <w:rPr>
          <w:b/>
          <w:bCs/>
          <w:color w:val="000000"/>
          <w:spacing w:val="0"/>
          <w:w w:val="100"/>
          <w:position w:val="0"/>
        </w:rPr>
        <w:t>(1)按金融资产种类列式</w:t>
      </w:r>
    </w:p>
    <w:tbl>
      <w:tblPr>
        <w:tblOverlap w:val="never"/>
        <w:jc w:val="center"/>
        <w:tblLayout w:type="fixed"/>
      </w:tblPr>
      <w:tblGrid>
        <w:gridCol w:w="3125"/>
        <w:gridCol w:w="3259"/>
        <w:gridCol w:w="3269"/>
      </w:tblGrid>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2016.12.31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2015.12.31</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企业债券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582,000,000.00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融资融券债权收益权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200,000,000.00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782,000,000.00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60"/>
        <w:keepNext w:val="0"/>
        <w:keepLines w:val="0"/>
        <w:widowControl w:val="0"/>
        <w:shd w:val="clear" w:color="auto" w:fill="auto"/>
        <w:bidi w:val="0"/>
        <w:spacing w:before="0" w:after="60" w:line="240" w:lineRule="auto"/>
        <w:ind w:left="0" w:right="0" w:firstLine="0"/>
        <w:jc w:val="left"/>
      </w:pPr>
      <w:r>
        <w:rPr>
          <w:b/>
          <w:bCs/>
          <w:color w:val="000000"/>
          <w:spacing w:val="0"/>
          <w:w w:val="100"/>
          <w:position w:val="0"/>
          <w:u w:val="none"/>
        </w:rPr>
        <w:t>(2)按业务类别列式</w:t>
      </w:r>
    </w:p>
    <w:tbl>
      <w:tblPr>
        <w:tblOverlap w:val="never"/>
        <w:jc w:val="center"/>
        <w:tblLayout w:type="fixed"/>
      </w:tblPr>
      <w:tblGrid>
        <w:gridCol w:w="3125"/>
        <w:gridCol w:w="3259"/>
        <w:gridCol w:w="3269"/>
      </w:tblGrid>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2016.12.31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2015.12.31</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债券质押式回购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582,000,000.00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融资融券债权收益权回购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782,000,000.00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72"/>
        <w:gridCol w:w="1930"/>
        <w:gridCol w:w="1555"/>
        <w:gridCol w:w="1704"/>
        <w:gridCol w:w="1992"/>
      </w:tblGrid>
      <w:tr>
        <w:trPr>
          <w:trHeight w:val="293"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3</w:t>
            </w:r>
            <w:r>
              <w:rPr>
                <w:b/>
                <w:bCs/>
                <w:color w:val="000000"/>
                <w:spacing w:val="0"/>
                <w:w w:val="100"/>
                <w:position w:val="0"/>
              </w:rPr>
              <w:t>）质押式回购融入资金</w:t>
            </w:r>
          </w:p>
        </w:tc>
        <w:tc>
          <w:tcPr>
            <w:gridSpan w:val="4"/>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的剩余期限和利率区间</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剩余期限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利率区间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利率区间</w:t>
            </w:r>
          </w:p>
        </w:tc>
      </w:tr>
      <w:tr>
        <w:trPr>
          <w:trHeight w:val="35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一个月内</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582,000,000.00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1.392%-3.03%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33"/>
        <w:keepNext w:val="0"/>
        <w:keepLines w:val="0"/>
        <w:widowControl w:val="0"/>
        <w:shd w:val="clear" w:color="auto" w:fill="auto"/>
        <w:bidi w:val="0"/>
        <w:spacing w:before="0" w:after="0" w:line="312" w:lineRule="exact"/>
        <w:ind w:left="0" w:right="0" w:firstLine="0"/>
        <w:jc w:val="left"/>
      </w:pPr>
      <w:bookmarkStart w:id="1273" w:name="bookmark1273"/>
      <w:r>
        <w:rPr>
          <w:b/>
          <w:bCs/>
          <w:color w:val="000000"/>
          <w:spacing w:val="0"/>
          <w:w w:val="100"/>
          <w:position w:val="0"/>
        </w:rPr>
        <w:t>（</w:t>
      </w:r>
      <w:bookmarkEnd w:id="1273"/>
      <w:r>
        <w:rPr>
          <w:rFonts w:ascii="Times New Roman" w:eastAsia="Times New Roman" w:hAnsi="Times New Roman" w:cs="Times New Roman"/>
          <w:b/>
          <w:bCs/>
          <w:color w:val="000000"/>
          <w:spacing w:val="0"/>
          <w:w w:val="100"/>
          <w:position w:val="0"/>
        </w:rPr>
        <w:t>4</w:t>
      </w:r>
      <w:r>
        <w:rPr>
          <w:b/>
          <w:bCs/>
          <w:color w:val="000000"/>
          <w:spacing w:val="0"/>
          <w:w w:val="100"/>
          <w:position w:val="0"/>
        </w:rPr>
        <w:t>）卖出回购金融资产款的担保物信息</w:t>
      </w:r>
    </w:p>
    <w:p>
      <w:pPr>
        <w:pStyle w:val="Style41"/>
        <w:keepNext w:val="0"/>
        <w:keepLines w:val="0"/>
        <w:widowControl w:val="0"/>
        <w:shd w:val="clear" w:color="auto" w:fill="auto"/>
        <w:bidi w:val="0"/>
        <w:spacing w:before="0" w:after="280" w:line="312" w:lineRule="exact"/>
        <w:ind w:left="0" w:right="0" w:firstLine="440"/>
        <w:jc w:val="left"/>
      </w:pPr>
      <w:r>
        <w:rPr>
          <w:rFonts w:ascii="SimSun" w:eastAsia="SimSun" w:hAnsi="SimSun" w:cs="SimSun"/>
          <w:color w:val="000000"/>
          <w:spacing w:val="0"/>
          <w:w w:val="100"/>
          <w:position w:val="0"/>
        </w:rPr>
        <w:t>本公司将金融资产中公允价值为</w:t>
      </w:r>
      <w:r>
        <w:rPr>
          <w:color w:val="000000"/>
          <w:spacing w:val="0"/>
          <w:w w:val="100"/>
          <w:position w:val="0"/>
        </w:rPr>
        <w:t>1,053,798,890.00</w:t>
      </w:r>
      <w:r>
        <w:rPr>
          <w:rFonts w:ascii="SimSun" w:eastAsia="SimSun" w:hAnsi="SimSun" w:cs="SimSun"/>
          <w:color w:val="000000"/>
          <w:spacing w:val="0"/>
          <w:w w:val="100"/>
          <w:position w:val="0"/>
        </w:rPr>
        <w:t>元的自有债券抵押融入资金</w:t>
      </w:r>
      <w:r>
        <w:rPr>
          <w:color w:val="000000"/>
          <w:spacing w:val="0"/>
          <w:w w:val="100"/>
          <w:position w:val="0"/>
        </w:rPr>
        <w:t>582,000,000.00</w:t>
      </w:r>
      <w:r>
        <w:rPr>
          <w:rFonts w:ascii="SimSun" w:eastAsia="SimSun" w:hAnsi="SimSun" w:cs="SimSun"/>
          <w:color w:val="000000"/>
          <w:spacing w:val="0"/>
          <w:w w:val="100"/>
          <w:position w:val="0"/>
        </w:rPr>
        <w:t>元，以融 资融券债权</w:t>
      </w:r>
      <w:r>
        <w:rPr>
          <w:color w:val="000000"/>
          <w:spacing w:val="0"/>
          <w:w w:val="100"/>
          <w:position w:val="0"/>
        </w:rPr>
        <w:t>235,726,514.15</w:t>
      </w:r>
      <w:r>
        <w:rPr>
          <w:rFonts w:ascii="SimSun" w:eastAsia="SimSun" w:hAnsi="SimSun" w:cs="SimSun"/>
          <w:color w:val="000000"/>
          <w:spacing w:val="0"/>
          <w:w w:val="100"/>
          <w:position w:val="0"/>
        </w:rPr>
        <w:t>元的经营收益权抵押融入资金</w:t>
      </w:r>
      <w:r>
        <w:rPr>
          <w:color w:val="000000"/>
          <w:spacing w:val="0"/>
          <w:w w:val="100"/>
          <w:position w:val="0"/>
        </w:rPr>
        <w:t>200,000,000.00</w:t>
      </w:r>
      <w:r>
        <w:rPr>
          <w:rFonts w:ascii="SimSun" w:eastAsia="SimSun" w:hAnsi="SimSun" w:cs="SimSun"/>
          <w:color w:val="000000"/>
          <w:spacing w:val="0"/>
          <w:w w:val="100"/>
          <w:position w:val="0"/>
        </w:rPr>
        <w:t>元。</w:t>
      </w:r>
    </w:p>
    <w:p>
      <w:pPr>
        <w:pStyle w:val="Style30"/>
        <w:keepNext/>
        <w:keepLines/>
        <w:widowControl w:val="0"/>
        <w:shd w:val="clear" w:color="auto" w:fill="auto"/>
        <w:bidi w:val="0"/>
        <w:spacing w:before="0" w:after="280" w:line="312" w:lineRule="exact"/>
        <w:ind w:left="0" w:right="0" w:firstLine="0"/>
        <w:jc w:val="left"/>
      </w:pPr>
      <w:bookmarkStart w:id="1274" w:name="bookmark1274"/>
      <w:bookmarkStart w:id="1275" w:name="bookmark1275"/>
      <w:bookmarkStart w:id="1276" w:name="bookmark1276"/>
      <w:r>
        <w:rPr>
          <w:rFonts w:ascii="Times New Roman" w:eastAsia="Times New Roman" w:hAnsi="Times New Roman" w:cs="Times New Roman"/>
          <w:color w:val="000000"/>
          <w:spacing w:val="0"/>
          <w:w w:val="100"/>
          <w:position w:val="0"/>
        </w:rPr>
        <w:t>32</w:t>
      </w:r>
      <w:r>
        <w:rPr>
          <w:color w:val="000000"/>
          <w:spacing w:val="0"/>
          <w:w w:val="100"/>
          <w:position w:val="0"/>
        </w:rPr>
        <w:t>、应付职工薪酬</w:t>
      </w:r>
      <w:bookmarkEnd w:id="1274"/>
      <w:bookmarkEnd w:id="1275"/>
      <w:bookmarkEnd w:id="1276"/>
    </w:p>
    <w:p>
      <w:pPr>
        <w:pStyle w:val="Style47"/>
        <w:keepNext/>
        <w:keepLines/>
        <w:widowControl w:val="0"/>
        <w:shd w:val="clear" w:color="auto" w:fill="auto"/>
        <w:bidi w:val="0"/>
        <w:spacing w:before="0" w:after="340" w:line="312" w:lineRule="exact"/>
        <w:ind w:left="0" w:right="0" w:firstLine="0"/>
        <w:jc w:val="left"/>
      </w:pPr>
      <w:bookmarkStart w:id="1277" w:name="bookmark1277"/>
      <w:bookmarkStart w:id="1278" w:name="bookmark1278"/>
      <w:bookmarkStart w:id="1279" w:name="bookmark127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277"/>
      <w:bookmarkEnd w:id="1278"/>
      <w:bookmarkEnd w:id="1279"/>
    </w:p>
    <w:p>
      <w:pPr>
        <w:pStyle w:val="Style26"/>
        <w:keepNext w:val="0"/>
        <w:keepLines w:val="0"/>
        <w:widowControl w:val="0"/>
        <w:shd w:val="clear" w:color="auto" w:fill="auto"/>
        <w:bidi w:val="0"/>
        <w:spacing w:before="0" w:after="0" w:line="240" w:lineRule="auto"/>
        <w:ind w:left="8587" w:right="0" w:firstLine="0"/>
        <w:jc w:val="lef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11,252,035.82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291,292,425.97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245,362,792.13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57,181,669.66</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rPr>
              <w:t>-</w:t>
            </w:r>
            <w:r>
              <w:rPr>
                <w:color w:val="000000"/>
                <w:spacing w:val="0"/>
                <w:w w:val="100"/>
                <w:position w:val="0"/>
              </w:rPr>
              <w:t>设定 提存计划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21,044,368.83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21,037,072.60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7,296.23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733,810.04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819,810.04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11,338,035.82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313,070,604.84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267,219,674.77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57,188,965.89</w:t>
            </w:r>
          </w:p>
        </w:tc>
      </w:tr>
    </w:tbl>
    <w:p>
      <w:pPr>
        <w:pStyle w:val="Style26"/>
        <w:keepNext w:val="0"/>
        <w:keepLines w:val="0"/>
        <w:widowControl w:val="0"/>
        <w:shd w:val="clear" w:color="auto" w:fill="auto"/>
        <w:bidi w:val="0"/>
        <w:spacing w:before="0" w:after="0" w:line="240" w:lineRule="auto"/>
        <w:ind w:left="96" w:right="0" w:firstLine="0"/>
        <w:jc w:val="left"/>
      </w:pPr>
      <w:bookmarkStart w:id="1280" w:name="bookmark1280"/>
      <w:r>
        <w:rPr>
          <w:rFonts w:ascii="Times New Roman" w:eastAsia="Times New Roman" w:hAnsi="Times New Roman" w:cs="Times New Roman"/>
          <w:b/>
          <w:bCs/>
          <w:color w:val="000000"/>
          <w:spacing w:val="0"/>
          <w:w w:val="100"/>
          <w:position w:val="0"/>
        </w:rPr>
        <w:t>（2</w:t>
      </w:r>
      <w:r>
        <w:rPr>
          <w:b/>
          <w:bCs/>
          <w:color w:val="000000"/>
          <w:spacing w:val="0"/>
          <w:w w:val="100"/>
          <w:position w:val="0"/>
        </w:rPr>
        <w:t>）短期薪酬列示</w:t>
      </w:r>
      <w:bookmarkEnd w:id="1280"/>
    </w:p>
    <w:p>
      <w:pPr>
        <w:widowControl w:val="0"/>
        <w:spacing w:after="339" w:line="1" w:lineRule="exact"/>
      </w:pPr>
    </w:p>
    <w:p>
      <w:pPr>
        <w:pStyle w:val="Style26"/>
        <w:keepNext w:val="0"/>
        <w:keepLines w:val="0"/>
        <w:widowControl w:val="0"/>
        <w:shd w:val="clear" w:color="auto" w:fill="auto"/>
        <w:bidi w:val="0"/>
        <w:spacing w:before="0" w:after="0" w:line="240" w:lineRule="auto"/>
        <w:ind w:left="8587" w:right="0" w:firstLine="0"/>
        <w:jc w:val="left"/>
      </w:pPr>
      <w:r>
        <w:rPr>
          <w:color w:val="000000"/>
          <w:spacing w:val="0"/>
          <w:w w:val="100"/>
          <w:position w:val="0"/>
        </w:rPr>
        <w:t>单位： 元</w:t>
      </w:r>
    </w:p>
    <w:tbl>
      <w:tblPr>
        <w:tblOverlap w:val="never"/>
        <w:jc w:val="center"/>
        <w:tblLayout w:type="fixed"/>
      </w:tblPr>
      <w:tblGrid>
        <w:gridCol w:w="2698"/>
        <w:gridCol w:w="1560"/>
        <w:gridCol w:w="1488"/>
        <w:gridCol w:w="1915"/>
        <w:gridCol w:w="192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、工资、奖金、津贴和补贴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10,634,674.48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250,062,506.62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209,418,600.63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51,278,580.47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、职工福利费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567,659.34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9,226,347.20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9,262,145.23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531,861.31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、社会保险费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7,906,108.19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7,906,108.19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其中：医疗保险费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6,823,294.24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6,823,294.24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080" w:right="0" w:firstLine="0"/>
              <w:jc w:val="left"/>
            </w:pPr>
            <w:r>
              <w:rPr>
                <w:color w:val="000000"/>
                <w:spacing w:val="0"/>
                <w:w w:val="100"/>
                <w:position w:val="0"/>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507,505.67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507,505.67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080" w:right="0" w:firstLine="0"/>
              <w:jc w:val="left"/>
            </w:pPr>
            <w:r>
              <w:rPr>
                <w:color w:val="000000"/>
                <w:spacing w:val="0"/>
                <w:w w:val="100"/>
                <w:position w:val="0"/>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575,308.28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575,308.28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49,702.00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12,517,525.51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12,507,130.87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60,096.64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、工会经费和职工教育经费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11,544,001.45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6,232,870.21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5,311,131.24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、短期带薪缺勤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、短期利润分享计划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35,937.00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35,937.00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11,252,035.82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291,292,425.97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245,362,792.13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57,181,669.66</w:t>
            </w:r>
          </w:p>
        </w:tc>
      </w:tr>
    </w:tbl>
    <w:p>
      <w:pPr>
        <w:spacing w:lineRule="exact" w:line="1"/>
        <w:rPr>
          <w:sz w:val="2"/>
          <w:szCs w:val="2"/>
        </w:rPr>
      </w:pPr>
      <w:r>
        <w:br w:type="page"/>
      </w:r>
    </w:p>
    <w:p>
      <w:pPr>
        <w:pStyle w:val="Style47"/>
        <w:keepNext/>
        <w:keepLines/>
        <w:widowControl w:val="0"/>
        <w:numPr>
          <w:ilvl w:val="0"/>
          <w:numId w:val="33"/>
        </w:numPr>
        <w:shd w:val="clear" w:color="auto" w:fill="auto"/>
        <w:bidi w:val="0"/>
        <w:spacing w:before="0" w:line="240" w:lineRule="auto"/>
        <w:ind w:left="0" w:right="0" w:firstLine="140"/>
        <w:jc w:val="left"/>
      </w:pPr>
      <w:bookmarkStart w:id="1281" w:name="bookmark1281"/>
      <w:bookmarkStart w:id="1282" w:name="bookmark1282"/>
      <w:bookmarkStart w:id="1283" w:name="bookmark1283"/>
      <w:bookmarkStart w:id="1284" w:name="bookmark1284"/>
      <w:bookmarkEnd w:id="1283"/>
      <w:r>
        <w:rPr>
          <w:color w:val="000000"/>
          <w:spacing w:val="0"/>
          <w:w w:val="100"/>
          <w:position w:val="0"/>
        </w:rPr>
        <w:t>设定提存计划列示</w:t>
      </w:r>
      <w:bookmarkEnd w:id="1281"/>
      <w:bookmarkEnd w:id="1282"/>
      <w:bookmarkEnd w:id="128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、基本养老保险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20,232,806.26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20,232,806.26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740,917.27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740,917.27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、企业年金缴费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70,645.30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63,349.07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7,296.23</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21,044,368.83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21,037,072.60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7,296.23</w:t>
            </w:r>
          </w:p>
        </w:tc>
      </w:tr>
    </w:tbl>
    <w:p>
      <w:pPr>
        <w:pStyle w:val="Style26"/>
        <w:keepNext w:val="0"/>
        <w:keepLines w:val="0"/>
        <w:widowControl w:val="0"/>
        <w:shd w:val="clear" w:color="auto" w:fill="auto"/>
        <w:bidi w:val="0"/>
        <w:spacing w:before="0" w:after="0" w:line="240" w:lineRule="auto"/>
        <w:ind w:left="0" w:right="0" w:firstLine="0"/>
        <w:jc w:val="left"/>
      </w:pPr>
      <w:bookmarkStart w:id="1285" w:name="bookmark1285"/>
      <w:r>
        <w:rPr>
          <w:rFonts w:ascii="Times New Roman" w:eastAsia="Times New Roman" w:hAnsi="Times New Roman" w:cs="Times New Roman"/>
          <w:b/>
          <w:bCs/>
          <w:color w:val="000000"/>
          <w:spacing w:val="0"/>
          <w:w w:val="100"/>
          <w:position w:val="0"/>
        </w:rPr>
        <w:t>33</w:t>
      </w:r>
      <w:r>
        <w:rPr>
          <w:b/>
          <w:bCs/>
          <w:color w:val="000000"/>
          <w:spacing w:val="0"/>
          <w:w w:val="100"/>
          <w:position w:val="0"/>
        </w:rPr>
        <w:t>、应交税费</w:t>
      </w:r>
      <w:bookmarkEnd w:id="1285"/>
    </w:p>
    <w:p>
      <w:pPr>
        <w:widowControl w:val="0"/>
        <w:spacing w:after="35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19,671,789.07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12,093,740.95</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83,448,813.59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1,181,329.81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1,207,754.47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59,965.49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2,714,065.13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866,535.99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1,178,123.70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1,115,716.21</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1,430,827.93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618,954.29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406,630.21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406,630.31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堤围防护费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121,348.90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河道管理费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57,999.32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资源税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2,649.11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855.68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110,119,508.21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16,464,221.95</w:t>
            </w:r>
          </w:p>
        </w:tc>
      </w:tr>
    </w:tbl>
    <w:p>
      <w:pPr>
        <w:widowControl w:val="0"/>
        <w:spacing w:after="399" w:line="1" w:lineRule="exact"/>
      </w:pPr>
    </w:p>
    <w:p>
      <w:pPr>
        <w:pStyle w:val="Style33"/>
        <w:keepNext w:val="0"/>
        <w:keepLines w:val="0"/>
        <w:widowControl w:val="0"/>
        <w:shd w:val="clear" w:color="auto" w:fill="auto"/>
        <w:bidi w:val="0"/>
        <w:spacing w:before="0" w:after="100" w:line="240" w:lineRule="auto"/>
        <w:ind w:left="0" w:right="0" w:firstLine="0"/>
        <w:jc w:val="left"/>
      </w:pPr>
      <w:bookmarkStart w:id="1286" w:name="bookmark1286"/>
      <w:r>
        <w:rPr>
          <w:rFonts w:ascii="Times New Roman" w:eastAsia="Times New Roman" w:hAnsi="Times New Roman" w:cs="Times New Roman"/>
          <w:b/>
          <w:bCs/>
          <w:color w:val="000000"/>
          <w:spacing w:val="0"/>
          <w:w w:val="100"/>
          <w:position w:val="0"/>
        </w:rPr>
        <w:t>3</w:t>
      </w:r>
      <w:bookmarkEnd w:id="1286"/>
      <w:r>
        <w:rPr>
          <w:rFonts w:ascii="Times New Roman" w:eastAsia="Times New Roman" w:hAnsi="Times New Roman" w:cs="Times New Roman"/>
          <w:b/>
          <w:bCs/>
          <w:color w:val="000000"/>
          <w:spacing w:val="0"/>
          <w:w w:val="100"/>
          <w:position w:val="0"/>
        </w:rPr>
        <w:t>4</w:t>
      </w:r>
      <w:r>
        <w:rPr>
          <w:b/>
          <w:bCs/>
          <w:color w:val="000000"/>
          <w:spacing w:val="0"/>
          <w:w w:val="100"/>
          <w:position w:val="0"/>
        </w:rPr>
        <w:t>、应付利息</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60,416.67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40,437.00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17,984,722.21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卖出回购金融资产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250,555.54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应付债券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47,137,748.68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65,433,443.10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40,437.00</w:t>
            </w:r>
          </w:p>
        </w:tc>
      </w:tr>
    </w:tbl>
    <w:p>
      <w:pPr>
        <w:spacing w:lineRule="exact" w:line="1"/>
        <w:rPr>
          <w:sz w:val="2"/>
          <w:szCs w:val="2"/>
        </w:rPr>
      </w:pPr>
      <w:r>
        <w:br w:type="page"/>
      </w:r>
    </w:p>
    <w:p>
      <w:pPr>
        <w:pStyle w:val="Style30"/>
        <w:keepNext/>
        <w:keepLines/>
        <w:widowControl w:val="0"/>
        <w:shd w:val="clear" w:color="auto" w:fill="auto"/>
        <w:bidi w:val="0"/>
        <w:spacing w:before="0" w:after="380" w:line="240" w:lineRule="auto"/>
        <w:ind w:left="0" w:right="0" w:firstLine="0"/>
        <w:jc w:val="left"/>
      </w:pPr>
      <w:bookmarkStart w:id="1287" w:name="bookmark1287"/>
      <w:bookmarkStart w:id="1288" w:name="bookmark1288"/>
      <w:bookmarkStart w:id="1289" w:name="bookmark1289"/>
      <w:bookmarkStart w:id="1290" w:name="bookmark1290"/>
      <w:r>
        <w:rPr>
          <w:rFonts w:ascii="Times New Roman" w:eastAsia="Times New Roman" w:hAnsi="Times New Roman" w:cs="Times New Roman"/>
          <w:color w:val="000000"/>
          <w:spacing w:val="0"/>
          <w:w w:val="100"/>
          <w:position w:val="0"/>
        </w:rPr>
        <w:t>3</w:t>
      </w:r>
      <w:bookmarkEnd w:id="1289"/>
      <w:r>
        <w:rPr>
          <w:rFonts w:ascii="Times New Roman" w:eastAsia="Times New Roman" w:hAnsi="Times New Roman" w:cs="Times New Roman"/>
          <w:color w:val="000000"/>
          <w:spacing w:val="0"/>
          <w:w w:val="100"/>
          <w:position w:val="0"/>
        </w:rPr>
        <w:t>5</w:t>
      </w:r>
      <w:r>
        <w:rPr>
          <w:color w:val="000000"/>
          <w:spacing w:val="0"/>
          <w:w w:val="100"/>
          <w:position w:val="0"/>
        </w:rPr>
        <w:t>、其他应付款</w:t>
      </w:r>
      <w:bookmarkEnd w:id="1287"/>
      <w:bookmarkEnd w:id="1288"/>
      <w:bookmarkEnd w:id="1290"/>
    </w:p>
    <w:p>
      <w:pPr>
        <w:pStyle w:val="Style47"/>
        <w:keepNext/>
        <w:keepLines/>
        <w:widowControl w:val="0"/>
        <w:shd w:val="clear" w:color="auto" w:fill="auto"/>
        <w:bidi w:val="0"/>
        <w:spacing w:before="0" w:after="340" w:line="240" w:lineRule="auto"/>
        <w:ind w:left="0" w:right="0" w:firstLine="0"/>
        <w:jc w:val="left"/>
      </w:pPr>
      <w:bookmarkStart w:id="1291" w:name="bookmark1291"/>
      <w:bookmarkStart w:id="1292" w:name="bookmark1292"/>
      <w:bookmarkStart w:id="1293" w:name="bookmark129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）按账龄列示其他应付款</w:t>
      </w:r>
      <w:bookmarkEnd w:id="1291"/>
      <w:bookmarkEnd w:id="1292"/>
      <w:bookmarkEnd w:id="1293"/>
    </w:p>
    <w:p>
      <w:pPr>
        <w:pStyle w:val="Style26"/>
        <w:keepNext w:val="0"/>
        <w:keepLines w:val="0"/>
        <w:widowControl w:val="0"/>
        <w:shd w:val="clear" w:color="auto" w:fill="auto"/>
        <w:bidi w:val="0"/>
        <w:spacing w:before="0" w:after="0" w:line="240" w:lineRule="auto"/>
        <w:ind w:left="8587"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71,484,348.06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6,799,996.88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765,790.98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778,410.00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72,250,139.04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7,578,406.88</w:t>
            </w:r>
          </w:p>
        </w:tc>
      </w:tr>
    </w:tbl>
    <w:p>
      <w:pPr>
        <w:widowControl w:val="0"/>
        <w:spacing w:after="339" w:line="1" w:lineRule="exact"/>
      </w:pPr>
    </w:p>
    <w:p>
      <w:pPr>
        <w:pStyle w:val="Style26"/>
        <w:keepNext w:val="0"/>
        <w:keepLines w:val="0"/>
        <w:widowControl w:val="0"/>
        <w:shd w:val="clear" w:color="auto" w:fill="auto"/>
        <w:bidi w:val="0"/>
        <w:spacing w:before="0" w:after="0" w:line="240" w:lineRule="auto"/>
        <w:ind w:left="96" w:right="0" w:firstLine="0"/>
        <w:jc w:val="left"/>
      </w:pPr>
      <w:bookmarkStart w:id="1294" w:name="bookmark1294"/>
      <w:r>
        <w:rPr>
          <w:b/>
          <w:bCs/>
          <w:color w:val="000000"/>
          <w:spacing w:val="0"/>
          <w:w w:val="100"/>
          <w:position w:val="0"/>
        </w:rPr>
        <w:t>（</w:t>
      </w:r>
      <w:r>
        <w:rPr>
          <w:rFonts w:ascii="Times New Roman" w:eastAsia="Times New Roman" w:hAnsi="Times New Roman" w:cs="Times New Roman"/>
          <w:b/>
          <w:bCs/>
          <w:color w:val="000000"/>
          <w:spacing w:val="0"/>
          <w:w w:val="100"/>
          <w:position w:val="0"/>
        </w:rPr>
        <w:t>2</w:t>
      </w:r>
      <w:r>
        <w:rPr>
          <w:b/>
          <w:bCs/>
          <w:color w:val="000000"/>
          <w:spacing w:val="0"/>
          <w:w w:val="100"/>
          <w:position w:val="0"/>
        </w:rPr>
        <w:t>）按款项性质列示其他应付款</w:t>
      </w:r>
      <w:bookmarkEnd w:id="1294"/>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63,701,192.59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5,550,327.97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费用款报销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5,799,465.79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449,253.07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r>
              <w:rPr>
                <w:rFonts w:ascii="Times New Roman" w:eastAsia="Times New Roman" w:hAnsi="Times New Roman" w:cs="Times New Roman"/>
                <w:color w:val="000000"/>
                <w:spacing w:val="0"/>
                <w:w w:val="100"/>
                <w:position w:val="0"/>
              </w:rPr>
              <w:t>/</w:t>
            </w:r>
            <w:r>
              <w:rPr>
                <w:color w:val="000000"/>
                <w:spacing w:val="0"/>
                <w:w w:val="100"/>
                <w:position w:val="0"/>
              </w:rPr>
              <w:t>押金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870,862.55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1,075,128.00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房租及水电费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848,228.29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代缴社保及公积金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757,722.27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233,862.88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车间基金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208,996.67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239,245.43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助学扶贫基金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39,819.53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30,589.53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23,851.35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72,250,139.04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7,578,406.88</w:t>
            </w:r>
          </w:p>
        </w:tc>
      </w:tr>
    </w:tbl>
    <w:p>
      <w:pPr>
        <w:widowControl w:val="0"/>
        <w:spacing w:after="339" w:line="1" w:lineRule="exact"/>
      </w:pPr>
    </w:p>
    <w:p>
      <w:pPr>
        <w:pStyle w:val="Style47"/>
        <w:keepNext/>
        <w:keepLines/>
        <w:widowControl w:val="0"/>
        <w:shd w:val="clear" w:color="auto" w:fill="auto"/>
        <w:bidi w:val="0"/>
        <w:spacing w:before="0" w:after="340" w:line="240" w:lineRule="auto"/>
        <w:ind w:left="0" w:right="0" w:firstLine="0"/>
        <w:jc w:val="left"/>
      </w:pPr>
      <w:bookmarkStart w:id="1295" w:name="bookmark1295"/>
      <w:bookmarkStart w:id="1296" w:name="bookmark1296"/>
      <w:bookmarkStart w:id="1297" w:name="bookmark1297"/>
      <w:bookmarkStart w:id="1298" w:name="bookmark1298"/>
      <w:r>
        <w:rPr>
          <w:color w:val="000000"/>
          <w:spacing w:val="0"/>
          <w:w w:val="100"/>
          <w:position w:val="0"/>
        </w:rPr>
        <w:t>（</w:t>
      </w:r>
      <w:bookmarkEnd w:id="1297"/>
      <w:r>
        <w:rPr>
          <w:rFonts w:ascii="Times New Roman" w:eastAsia="Times New Roman" w:hAnsi="Times New Roman" w:cs="Times New Roman"/>
          <w:color w:val="000000"/>
          <w:spacing w:val="0"/>
          <w:w w:val="100"/>
          <w:position w:val="0"/>
        </w:rPr>
        <w:t>3</w:t>
      </w:r>
      <w:r>
        <w:rPr>
          <w:color w:val="000000"/>
          <w:spacing w:val="0"/>
          <w:w w:val="100"/>
          <w:position w:val="0"/>
        </w:rPr>
        <w:t>）期末无账龄超过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295"/>
      <w:bookmarkEnd w:id="1296"/>
      <w:bookmarkEnd w:id="1298"/>
    </w:p>
    <w:p>
      <w:pPr>
        <w:pStyle w:val="Style30"/>
        <w:keepNext/>
        <w:keepLines/>
        <w:widowControl w:val="0"/>
        <w:shd w:val="clear" w:color="auto" w:fill="auto"/>
        <w:bidi w:val="0"/>
        <w:spacing w:before="0" w:after="340" w:line="240" w:lineRule="auto"/>
        <w:ind w:left="0" w:right="0" w:firstLine="0"/>
        <w:jc w:val="left"/>
      </w:pPr>
      <w:bookmarkStart w:id="1299" w:name="bookmark1299"/>
      <w:bookmarkStart w:id="1300" w:name="bookmark1300"/>
      <w:bookmarkStart w:id="1301" w:name="bookmark1301"/>
      <w:bookmarkStart w:id="1302" w:name="bookmark1302"/>
      <w:r>
        <w:rPr>
          <w:rFonts w:ascii="Times New Roman" w:eastAsia="Times New Roman" w:hAnsi="Times New Roman" w:cs="Times New Roman"/>
          <w:color w:val="000000"/>
          <w:spacing w:val="0"/>
          <w:w w:val="100"/>
          <w:position w:val="0"/>
        </w:rPr>
        <w:t>3</w:t>
      </w:r>
      <w:bookmarkEnd w:id="1301"/>
      <w:r>
        <w:rPr>
          <w:rFonts w:ascii="Times New Roman" w:eastAsia="Times New Roman" w:hAnsi="Times New Roman" w:cs="Times New Roman"/>
          <w:color w:val="000000"/>
          <w:spacing w:val="0"/>
          <w:w w:val="100"/>
          <w:position w:val="0"/>
        </w:rPr>
        <w:t>6</w:t>
      </w:r>
      <w:r>
        <w:rPr>
          <w:color w:val="000000"/>
          <w:spacing w:val="0"/>
          <w:w w:val="100"/>
          <w:position w:val="0"/>
        </w:rPr>
        <w:t>、代理买卖证券款</w:t>
      </w:r>
      <w:bookmarkEnd w:id="1299"/>
      <w:bookmarkEnd w:id="1300"/>
      <w:bookmarkEnd w:id="1302"/>
    </w:p>
    <w:tbl>
      <w:tblPr>
        <w:tblOverlap w:val="never"/>
        <w:jc w:val="center"/>
        <w:tblLayout w:type="fixed"/>
      </w:tblPr>
      <w:tblGrid>
        <w:gridCol w:w="3264"/>
        <w:gridCol w:w="3120"/>
        <w:gridCol w:w="3269"/>
      </w:tblGrid>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2016.12.31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2015.12.31</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普通经纪业务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5,511,963,014.43</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245,251,119.35</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5,757,214,133.78</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336,474,392.66</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939,549.41</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337,413,942.07</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6,094,628,075.85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0"/>
        <w:keepNext/>
        <w:keepLines/>
        <w:widowControl w:val="0"/>
        <w:shd w:val="clear" w:color="auto" w:fill="auto"/>
        <w:bidi w:val="0"/>
        <w:spacing w:before="0" w:after="360" w:line="240" w:lineRule="auto"/>
        <w:ind w:left="0" w:right="0" w:firstLine="0"/>
        <w:jc w:val="left"/>
      </w:pPr>
      <w:bookmarkStart w:id="1303" w:name="bookmark1303"/>
      <w:bookmarkStart w:id="1304" w:name="bookmark1304"/>
      <w:bookmarkStart w:id="1305" w:name="bookmark1305"/>
      <w:bookmarkStart w:id="1306" w:name="bookmark1306"/>
      <w:r>
        <w:rPr>
          <w:rFonts w:ascii="Times New Roman" w:eastAsia="Times New Roman" w:hAnsi="Times New Roman" w:cs="Times New Roman"/>
          <w:color w:val="000000"/>
          <w:spacing w:val="0"/>
          <w:w w:val="100"/>
          <w:position w:val="0"/>
        </w:rPr>
        <w:t>3</w:t>
      </w:r>
      <w:bookmarkEnd w:id="1305"/>
      <w:r>
        <w:rPr>
          <w:rFonts w:ascii="Times New Roman" w:eastAsia="Times New Roman" w:hAnsi="Times New Roman" w:cs="Times New Roman"/>
          <w:color w:val="000000"/>
          <w:spacing w:val="0"/>
          <w:w w:val="100"/>
          <w:position w:val="0"/>
        </w:rPr>
        <w:t>7</w:t>
      </w:r>
      <w:r>
        <w:rPr>
          <w:color w:val="000000"/>
          <w:spacing w:val="0"/>
          <w:w w:val="100"/>
          <w:position w:val="0"/>
        </w:rPr>
        <w:t>、其他流动负债</w:t>
      </w:r>
      <w:bookmarkEnd w:id="1303"/>
      <w:bookmarkEnd w:id="1304"/>
      <w:bookmarkEnd w:id="130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32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437,930.44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居间人佣金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160,391.01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期货风险准备金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1,656,762.68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2,255,084.13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注：期货风险准备金系控股子公司江信国盛期货有限责任公司计提的风险准备。</w:t>
      </w:r>
    </w:p>
    <w:p>
      <w:pPr>
        <w:widowControl w:val="0"/>
        <w:spacing w:after="359" w:line="1" w:lineRule="exact"/>
      </w:pPr>
    </w:p>
    <w:p>
      <w:pPr>
        <w:pStyle w:val="Style30"/>
        <w:keepNext/>
        <w:keepLines/>
        <w:widowControl w:val="0"/>
        <w:shd w:val="clear" w:color="auto" w:fill="auto"/>
        <w:bidi w:val="0"/>
        <w:spacing w:before="0" w:after="360" w:line="240" w:lineRule="auto"/>
        <w:ind w:left="0" w:right="0" w:firstLine="0"/>
        <w:jc w:val="left"/>
      </w:pPr>
      <w:bookmarkStart w:id="1307" w:name="bookmark1307"/>
      <w:bookmarkStart w:id="1308" w:name="bookmark1308"/>
      <w:bookmarkStart w:id="1309" w:name="bookmark1309"/>
      <w:bookmarkStart w:id="1310" w:name="bookmark1310"/>
      <w:r>
        <w:rPr>
          <w:rFonts w:ascii="Times New Roman" w:eastAsia="Times New Roman" w:hAnsi="Times New Roman" w:cs="Times New Roman"/>
          <w:color w:val="000000"/>
          <w:spacing w:val="0"/>
          <w:w w:val="100"/>
          <w:position w:val="0"/>
        </w:rPr>
        <w:t>3</w:t>
      </w:r>
      <w:bookmarkEnd w:id="1309"/>
      <w:r>
        <w:rPr>
          <w:rFonts w:ascii="Times New Roman" w:eastAsia="Times New Roman" w:hAnsi="Times New Roman" w:cs="Times New Roman"/>
          <w:color w:val="000000"/>
          <w:spacing w:val="0"/>
          <w:w w:val="100"/>
          <w:position w:val="0"/>
        </w:rPr>
        <w:t>8</w:t>
      </w:r>
      <w:r>
        <w:rPr>
          <w:color w:val="000000"/>
          <w:spacing w:val="0"/>
          <w:w w:val="100"/>
          <w:position w:val="0"/>
        </w:rPr>
        <w:t>、应付债券</w:t>
      </w:r>
      <w:bookmarkEnd w:id="1307"/>
      <w:bookmarkEnd w:id="1308"/>
      <w:bookmarkEnd w:id="1310"/>
    </w:p>
    <w:p>
      <w:pPr>
        <w:pStyle w:val="Style47"/>
        <w:keepNext/>
        <w:keepLines/>
        <w:widowControl w:val="0"/>
        <w:shd w:val="clear" w:color="auto" w:fill="auto"/>
        <w:bidi w:val="0"/>
        <w:spacing w:before="0" w:line="240" w:lineRule="auto"/>
        <w:ind w:left="0" w:right="0" w:firstLine="140"/>
        <w:jc w:val="left"/>
      </w:pPr>
      <w:bookmarkStart w:id="1311" w:name="bookmark1311"/>
      <w:bookmarkStart w:id="1312" w:name="bookmark1312"/>
      <w:bookmarkStart w:id="1313" w:name="bookmark1313"/>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311"/>
      <w:bookmarkEnd w:id="1312"/>
      <w:bookmarkEnd w:id="131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w:t>
            </w:r>
            <w:r>
              <w:rPr>
                <w:color w:val="000000"/>
                <w:spacing w:val="0"/>
                <w:w w:val="100"/>
                <w:position w:val="0"/>
              </w:rPr>
              <w:t>国盛</w:t>
            </w:r>
            <w:r>
              <w:rPr>
                <w:rFonts w:ascii="Times New Roman" w:eastAsia="Times New Roman" w:hAnsi="Times New Roman" w:cs="Times New Roman"/>
                <w:color w:val="000000"/>
                <w:spacing w:val="0"/>
                <w:w w:val="100"/>
                <w:position w:val="0"/>
              </w:rPr>
              <w:t>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994,741,242.78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国盛收益</w:t>
            </w:r>
            <w:r>
              <w:rPr>
                <w:rFonts w:ascii="Times New Roman" w:eastAsia="Times New Roman" w:hAnsi="Times New Roman" w:cs="Times New Roman"/>
                <w:color w:val="000000"/>
                <w:spacing w:val="0"/>
                <w:w w:val="100"/>
                <w:position w:val="0"/>
              </w:rPr>
              <w:t>151</w:t>
            </w:r>
            <w:r>
              <w:rPr>
                <w:color w:val="000000"/>
                <w:spacing w:val="0"/>
                <w:w w:val="100"/>
                <w:position w:val="0"/>
              </w:rPr>
              <w:t>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200,000,000.00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国盛收益</w:t>
            </w:r>
            <w:r>
              <w:rPr>
                <w:rFonts w:ascii="Times New Roman" w:eastAsia="Times New Roman" w:hAnsi="Times New Roman" w:cs="Times New Roman"/>
                <w:color w:val="000000"/>
                <w:spacing w:val="0"/>
                <w:w w:val="100"/>
                <w:position w:val="0"/>
              </w:rPr>
              <w:t>152</w:t>
            </w:r>
            <w:r>
              <w:rPr>
                <w:color w:val="000000"/>
                <w:spacing w:val="0"/>
                <w:w w:val="100"/>
                <w:position w:val="0"/>
              </w:rPr>
              <w:t>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200,000,000.00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w:t>
            </w:r>
            <w:r>
              <w:rPr>
                <w:color w:val="000000"/>
                <w:spacing w:val="0"/>
                <w:w w:val="100"/>
                <w:position w:val="0"/>
              </w:rPr>
              <w:t>国盛控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2,000,000,000.00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w:t>
            </w:r>
            <w:r>
              <w:rPr>
                <w:color w:val="000000"/>
                <w:spacing w:val="0"/>
                <w:w w:val="100"/>
                <w:position w:val="0"/>
              </w:rPr>
              <w:t>国盛金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1,000,000,000.00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4,394,741,242.78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center"/>
      </w:pPr>
      <w:bookmarkStart w:id="1314" w:name="bookmark1314"/>
      <w:r>
        <w:rPr>
          <w:rFonts w:ascii="Times New Roman" w:eastAsia="Times New Roman" w:hAnsi="Times New Roman" w:cs="Times New Roman"/>
          <w:b/>
          <w:bCs/>
          <w:color w:val="000000"/>
          <w:spacing w:val="0"/>
          <w:w w:val="100"/>
          <w:position w:val="0"/>
        </w:rPr>
        <w:t>(2</w:t>
      </w:r>
      <w:r>
        <w:rPr>
          <w:b/>
          <w:bCs/>
          <w:color w:val="000000"/>
          <w:spacing w:val="0"/>
          <w:w w:val="100"/>
          <w:position w:val="0"/>
        </w:rPr>
        <w:t>)应付债券的增减变动(不包括划分为金融负债的优先股、永续债等其他金融工具)</w:t>
      </w:r>
      <w:bookmarkEnd w:id="1314"/>
    </w:p>
    <w:p>
      <w:pPr>
        <w:widowControl w:val="0"/>
        <w:spacing w:after="35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87"/>
        <w:gridCol w:w="2693"/>
        <w:gridCol w:w="1421"/>
        <w:gridCol w:w="1555"/>
        <w:gridCol w:w="185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国盛收益</w:t>
            </w:r>
            <w:r>
              <w:rPr>
                <w:rFonts w:ascii="Times New Roman" w:eastAsia="Times New Roman" w:hAnsi="Times New Roman" w:cs="Times New Roman"/>
                <w:color w:val="000000"/>
                <w:spacing w:val="0"/>
                <w:w w:val="100"/>
                <w:position w:val="0"/>
              </w:rPr>
              <w:t>151</w:t>
            </w:r>
            <w:r>
              <w:rPr>
                <w:color w:val="000000"/>
                <w:spacing w:val="0"/>
                <w:w w:val="100"/>
                <w:position w:val="0"/>
              </w:rPr>
              <w:t>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200,000,000.00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200,000,000.00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200,000,000.00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国盛收益</w:t>
            </w:r>
            <w:r>
              <w:rPr>
                <w:rFonts w:ascii="Times New Roman" w:eastAsia="Times New Roman" w:hAnsi="Times New Roman" w:cs="Times New Roman"/>
                <w:color w:val="000000"/>
                <w:spacing w:val="0"/>
                <w:w w:val="100"/>
                <w:position w:val="0"/>
              </w:rPr>
              <w:t>152</w:t>
            </w:r>
            <w:r>
              <w:rPr>
                <w:color w:val="000000"/>
                <w:spacing w:val="0"/>
                <w:w w:val="100"/>
                <w:position w:val="0"/>
              </w:rPr>
              <w:t>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200,000,000.00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200,000,000.00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200,000,000.00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w:t>
            </w:r>
            <w:r>
              <w:rPr>
                <w:color w:val="000000"/>
                <w:spacing w:val="0"/>
                <w:w w:val="100"/>
                <w:position w:val="0"/>
              </w:rPr>
              <w:t>国盛控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2,000,000,000.00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2016-12-1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2,000,000,000.00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w:t>
            </w:r>
            <w:r>
              <w:rPr>
                <w:color w:val="000000"/>
                <w:spacing w:val="0"/>
                <w:w w:val="100"/>
                <w:position w:val="0"/>
              </w:rPr>
              <w:t>国盛金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1,000,000,000.00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2016-12-1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1,000,000,000.00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w:t>
            </w:r>
            <w:r>
              <w:rPr>
                <w:color w:val="000000"/>
                <w:spacing w:val="0"/>
                <w:w w:val="100"/>
                <w:position w:val="0"/>
              </w:rPr>
              <w:t>国盛</w:t>
            </w:r>
            <w:r>
              <w:rPr>
                <w:rFonts w:ascii="Times New Roman" w:eastAsia="Times New Roman" w:hAnsi="Times New Roman" w:cs="Times New Roman"/>
                <w:color w:val="000000"/>
                <w:spacing w:val="0"/>
                <w:w w:val="100"/>
                <w:position w:val="0"/>
              </w:rPr>
              <w:t>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1,000,000,000.00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2016-5-24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994,000,000.00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994,741,242.78</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4,394,741,242.78</w:t>
            </w:r>
          </w:p>
        </w:tc>
      </w:tr>
    </w:tbl>
    <w:p>
      <w:pPr>
        <w:pStyle w:val="Style26"/>
        <w:keepNext w:val="0"/>
        <w:keepLines w:val="0"/>
        <w:widowControl w:val="0"/>
        <w:shd w:val="clear" w:color="auto" w:fill="auto"/>
        <w:bidi w:val="0"/>
        <w:spacing w:before="0" w:after="0" w:line="240" w:lineRule="auto"/>
        <w:ind w:left="96" w:right="0" w:firstLine="0"/>
        <w:jc w:val="left"/>
      </w:pPr>
      <w:bookmarkStart w:id="1315" w:name="bookmark1315"/>
      <w:r>
        <w:rPr>
          <w:b/>
          <w:bCs/>
          <w:color w:val="000000"/>
          <w:spacing w:val="0"/>
          <w:w w:val="100"/>
          <w:position w:val="0"/>
        </w:rPr>
        <w:t>(</w:t>
      </w:r>
      <w:r>
        <w:rPr>
          <w:rFonts w:ascii="Times New Roman" w:eastAsia="Times New Roman" w:hAnsi="Times New Roman" w:cs="Times New Roman"/>
          <w:b/>
          <w:bCs/>
          <w:color w:val="000000"/>
          <w:spacing w:val="0"/>
          <w:w w:val="100"/>
          <w:position w:val="0"/>
        </w:rPr>
        <w:t>3</w:t>
      </w:r>
      <w:r>
        <w:rPr>
          <w:b/>
          <w:bCs/>
          <w:color w:val="000000"/>
          <w:spacing w:val="0"/>
          <w:w w:val="100"/>
          <w:position w:val="0"/>
        </w:rPr>
        <w:t>)本期无可转换公司债券。</w:t>
      </w:r>
      <w:bookmarkEnd w:id="1315"/>
      <w:r>
        <w:br w:type="page"/>
      </w:r>
    </w:p>
    <w:p>
      <w:pPr>
        <w:pStyle w:val="Style47"/>
        <w:keepNext/>
        <w:keepLines/>
        <w:widowControl w:val="0"/>
        <w:shd w:val="clear" w:color="auto" w:fill="auto"/>
        <w:bidi w:val="0"/>
        <w:spacing w:before="0" w:after="340" w:line="240" w:lineRule="auto"/>
        <w:ind w:left="0" w:right="0" w:firstLine="0"/>
        <w:jc w:val="left"/>
      </w:pPr>
      <w:bookmarkStart w:id="1316" w:name="bookmark1316"/>
      <w:bookmarkStart w:id="1317" w:name="bookmark1317"/>
      <w:bookmarkStart w:id="1318" w:name="bookmark1318"/>
      <w:bookmarkStart w:id="1319" w:name="bookmark1319"/>
      <w:r>
        <w:rPr>
          <w:color w:val="000000"/>
          <w:spacing w:val="0"/>
          <w:w w:val="100"/>
          <w:position w:val="0"/>
        </w:rPr>
        <w:t>（</w:t>
      </w:r>
      <w:bookmarkEnd w:id="1318"/>
      <w:r>
        <w:rPr>
          <w:rFonts w:ascii="Times New Roman" w:eastAsia="Times New Roman" w:hAnsi="Times New Roman" w:cs="Times New Roman"/>
          <w:color w:val="000000"/>
          <w:spacing w:val="0"/>
          <w:w w:val="100"/>
          <w:position w:val="0"/>
        </w:rPr>
        <w:t>4</w:t>
      </w:r>
      <w:r>
        <w:rPr>
          <w:color w:val="000000"/>
          <w:spacing w:val="0"/>
          <w:w w:val="100"/>
          <w:position w:val="0"/>
        </w:rPr>
        <w:t>）本期无划分为金融负债的其他金融工具。</w:t>
      </w:r>
      <w:bookmarkEnd w:id="1316"/>
      <w:bookmarkEnd w:id="1317"/>
      <w:bookmarkEnd w:id="1319"/>
    </w:p>
    <w:p>
      <w:pPr>
        <w:pStyle w:val="Style30"/>
        <w:keepNext/>
        <w:keepLines/>
        <w:widowControl w:val="0"/>
        <w:shd w:val="clear" w:color="auto" w:fill="auto"/>
        <w:bidi w:val="0"/>
        <w:spacing w:before="0" w:after="340" w:line="240" w:lineRule="auto"/>
        <w:ind w:left="0" w:right="0" w:firstLine="0"/>
        <w:jc w:val="left"/>
      </w:pPr>
      <w:bookmarkStart w:id="1320" w:name="bookmark1320"/>
      <w:bookmarkStart w:id="1321" w:name="bookmark1321"/>
      <w:bookmarkStart w:id="1322" w:name="bookmark1322"/>
      <w:bookmarkStart w:id="1323" w:name="bookmark1323"/>
      <w:r>
        <w:rPr>
          <w:rFonts w:ascii="Times New Roman" w:eastAsia="Times New Roman" w:hAnsi="Times New Roman" w:cs="Times New Roman"/>
          <w:color w:val="000000"/>
          <w:spacing w:val="0"/>
          <w:w w:val="100"/>
          <w:position w:val="0"/>
        </w:rPr>
        <w:t>3</w:t>
      </w:r>
      <w:bookmarkEnd w:id="1322"/>
      <w:r>
        <w:rPr>
          <w:rFonts w:ascii="Times New Roman" w:eastAsia="Times New Roman" w:hAnsi="Times New Roman" w:cs="Times New Roman"/>
          <w:color w:val="000000"/>
          <w:spacing w:val="0"/>
          <w:w w:val="100"/>
          <w:position w:val="0"/>
        </w:rPr>
        <w:t>9</w:t>
      </w:r>
      <w:r>
        <w:rPr>
          <w:color w:val="000000"/>
          <w:spacing w:val="0"/>
          <w:w w:val="100"/>
          <w:position w:val="0"/>
        </w:rPr>
        <w:t>、递延收益</w:t>
      </w:r>
      <w:bookmarkEnd w:id="1320"/>
      <w:bookmarkEnd w:id="1321"/>
      <w:bookmarkEnd w:id="132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09"/>
        <w:gridCol w:w="1843"/>
        <w:gridCol w:w="1560"/>
        <w:gridCol w:w="1560"/>
        <w:gridCol w:w="1805"/>
        <w:gridCol w:w="1104"/>
      </w:tblGrid>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本期增加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1,670,000.00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3,670,000.00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1,670,000.00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3,670,000.00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6"/>
        <w:keepNext w:val="0"/>
        <w:keepLines w:val="0"/>
        <w:widowControl w:val="0"/>
        <w:shd w:val="clear" w:color="auto" w:fill="auto"/>
        <w:bidi w:val="0"/>
        <w:spacing w:before="0" w:after="0" w:line="240" w:lineRule="auto"/>
        <w:ind w:left="96" w:right="0" w:firstLine="0"/>
        <w:jc w:val="left"/>
      </w:pPr>
      <w:r>
        <w:rPr>
          <w:color w:val="000000"/>
          <w:spacing w:val="0"/>
          <w:w w:val="100"/>
          <w:position w:val="0"/>
        </w:rPr>
        <w:t>涉及政府补助的项目:</w:t>
      </w:r>
    </w:p>
    <w:p>
      <w:pPr>
        <w:widowControl w:val="0"/>
        <w:spacing w:after="7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58"/>
        <w:gridCol w:w="1272"/>
        <w:gridCol w:w="1277"/>
        <w:gridCol w:w="1416"/>
        <w:gridCol w:w="571"/>
        <w:gridCol w:w="1272"/>
        <w:gridCol w:w="1219"/>
      </w:tblGrid>
      <w:tr>
        <w:trPr>
          <w:trHeight w:val="437"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本期新增补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本期计入营业</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rPr>
              <w:t>/</w:t>
            </w:r>
          </w:p>
        </w:tc>
      </w:tr>
      <w:tr>
        <w:trPr>
          <w:trHeight w:val="28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助金额</w:t>
            </w:r>
          </w:p>
        </w:tc>
        <w:tc>
          <w:tcPr>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外收入金额</w:t>
            </w:r>
          </w:p>
        </w:tc>
        <w:tc>
          <w:tcPr>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变动</w:t>
            </w:r>
          </w:p>
        </w:tc>
        <w:tc>
          <w:tcPr>
            <w:vMerge/>
            <w:tcBorders>
              <w:left w:val="single" w:sz="4"/>
            </w:tcBorders>
            <w:shd w:val="clear" w:color="auto" w:fill="D3D3D3"/>
            <w:vAlign w:val="center"/>
          </w:tcPr>
          <w:p>
            <w:pPr/>
          </w:p>
        </w:tc>
        <w:tc>
          <w:tcPr>
            <w:tcBorders>
              <w:left w:val="single" w:sz="4"/>
              <w:righ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环保型耐热高性能</w:t>
            </w:r>
            <w:r>
              <w:rPr>
                <w:rFonts w:ascii="Times New Roman" w:eastAsia="Times New Roman" w:hAnsi="Times New Roman" w:cs="Times New Roman"/>
                <w:color w:val="000000"/>
                <w:spacing w:val="0"/>
                <w:w w:val="100"/>
                <w:position w:val="0"/>
              </w:rPr>
              <w:t>EVA</w:t>
            </w:r>
            <w:r>
              <w:rPr>
                <w:color w:val="000000"/>
                <w:spacing w:val="0"/>
                <w:w w:val="100"/>
                <w:position w:val="0"/>
              </w:rPr>
              <w:t>电 源线关键技术和产业化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240,000.00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家用电器环保配线关键工 艺辐照交联技术改造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促进知识产权发展专项资 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促进工业设计发展项目扶 持经费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科技计划项目收入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省重点实验室和省工程中 心立项市级资助经费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1,670,000.00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3,670,000.00</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6"/>
        <w:keepNext w:val="0"/>
        <w:keepLines w:val="0"/>
        <w:widowControl w:val="0"/>
        <w:shd w:val="clear" w:color="auto" w:fill="auto"/>
        <w:bidi w:val="0"/>
        <w:spacing w:before="0" w:after="0" w:line="240" w:lineRule="auto"/>
        <w:ind w:left="0" w:right="0" w:firstLine="0"/>
        <w:jc w:val="left"/>
      </w:pPr>
      <w:bookmarkStart w:id="1324" w:name="bookmark1324"/>
      <w:r>
        <w:rPr>
          <w:rFonts w:ascii="Times New Roman" w:eastAsia="Times New Roman" w:hAnsi="Times New Roman" w:cs="Times New Roman"/>
          <w:b/>
          <w:bCs/>
          <w:color w:val="000000"/>
          <w:spacing w:val="0"/>
          <w:w w:val="100"/>
          <w:position w:val="0"/>
        </w:rPr>
        <w:t>40</w:t>
      </w:r>
      <w:r>
        <w:rPr>
          <w:b/>
          <w:bCs/>
          <w:color w:val="000000"/>
          <w:spacing w:val="0"/>
          <w:w w:val="100"/>
          <w:position w:val="0"/>
        </w:rPr>
        <w:t>、其他非流动负债</w:t>
      </w:r>
      <w:bookmarkEnd w:id="1324"/>
    </w:p>
    <w:p>
      <w:pPr>
        <w:widowControl w:val="0"/>
        <w:spacing w:after="33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32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应付北京凤凰祥瑞互联投资基金 （有限合伙）股权转让款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375,000,000.00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375,000,000.00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bookmarkStart w:id="1325" w:name="bookmark1325"/>
      <w:r>
        <w:rPr>
          <w:rFonts w:ascii="Times New Roman" w:eastAsia="Times New Roman" w:hAnsi="Times New Roman" w:cs="Times New Roman"/>
          <w:b/>
          <w:bCs/>
          <w:color w:val="000000"/>
          <w:spacing w:val="0"/>
          <w:w w:val="100"/>
          <w:position w:val="0"/>
        </w:rPr>
        <w:t>41</w:t>
      </w:r>
      <w:r>
        <w:rPr>
          <w:b/>
          <w:bCs/>
          <w:color w:val="000000"/>
          <w:spacing w:val="0"/>
          <w:w w:val="100"/>
          <w:position w:val="0"/>
        </w:rPr>
        <w:t>、股本</w:t>
      </w:r>
      <w:bookmarkEnd w:id="1325"/>
    </w:p>
    <w:p>
      <w:pPr>
        <w:widowControl w:val="0"/>
        <w:spacing w:after="33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65"/>
        <w:gridCol w:w="1416"/>
        <w:gridCol w:w="1421"/>
        <w:gridCol w:w="566"/>
        <w:gridCol w:w="1133"/>
        <w:gridCol w:w="566"/>
        <w:gridCol w:w="1416"/>
        <w:gridCol w:w="1498"/>
      </w:tblGrid>
      <w:tr>
        <w:trPr>
          <w:trHeight w:val="326"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3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公积金转股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331"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200,000,000.00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736,127,750.00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736,127,750.00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936,127,750.00</w:t>
            </w:r>
          </w:p>
        </w:tc>
      </w:tr>
    </w:tbl>
    <w:p>
      <w:pPr>
        <w:pStyle w:val="Style30"/>
        <w:keepNext/>
        <w:keepLines/>
        <w:widowControl w:val="0"/>
        <w:shd w:val="clear" w:color="auto" w:fill="auto"/>
        <w:bidi w:val="0"/>
        <w:spacing w:before="0" w:after="360" w:line="240" w:lineRule="auto"/>
        <w:ind w:left="0" w:right="0" w:firstLine="0"/>
        <w:jc w:val="both"/>
      </w:pPr>
      <w:bookmarkStart w:id="1326" w:name="bookmark1326"/>
      <w:bookmarkStart w:id="1327" w:name="bookmark1327"/>
      <w:bookmarkStart w:id="1328" w:name="bookmark1328"/>
      <w:r>
        <w:rPr>
          <w:rFonts w:ascii="Times New Roman" w:eastAsia="Times New Roman" w:hAnsi="Times New Roman" w:cs="Times New Roman"/>
          <w:color w:val="000000"/>
          <w:spacing w:val="0"/>
          <w:w w:val="100"/>
          <w:position w:val="0"/>
        </w:rPr>
        <w:t>42</w:t>
      </w:r>
      <w:r>
        <w:rPr>
          <w:color w:val="000000"/>
          <w:spacing w:val="0"/>
          <w:w w:val="100"/>
          <w:position w:val="0"/>
        </w:rPr>
        <w:t>、资本公积</w:t>
      </w:r>
      <w:bookmarkEnd w:id="1326"/>
      <w:bookmarkEnd w:id="1327"/>
      <w:bookmarkEnd w:id="1328"/>
    </w:p>
    <w:p>
      <w:pPr>
        <w:pStyle w:val="Style26"/>
        <w:keepNext w:val="0"/>
        <w:keepLines w:val="0"/>
        <w:widowControl w:val="0"/>
        <w:shd w:val="clear" w:color="auto" w:fill="auto"/>
        <w:bidi w:val="0"/>
        <w:spacing w:before="0" w:after="0" w:line="240" w:lineRule="auto"/>
        <w:ind w:left="8587" w:right="0" w:firstLine="0"/>
        <w:jc w:val="left"/>
      </w:pPr>
      <w:r>
        <w:rPr>
          <w:color w:val="000000"/>
          <w:spacing w:val="0"/>
          <w:w w:val="100"/>
          <w:position w:val="0"/>
        </w:rPr>
        <w:t>单位：元</w:t>
      </w:r>
    </w:p>
    <w:tbl>
      <w:tblPr>
        <w:tblOverlap w:val="never"/>
        <w:jc w:val="center"/>
        <w:tblLayout w:type="fixed"/>
      </w:tblPr>
      <w:tblGrid>
        <w:gridCol w:w="2270"/>
        <w:gridCol w:w="1829"/>
        <w:gridCol w:w="1824"/>
        <w:gridCol w:w="1824"/>
        <w:gridCol w:w="1838"/>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429,089,779.67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9,593,516,304.94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10,022,606,084.61</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429,089,779.67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9,593,516,304.94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10,022,606,084.61</w:t>
            </w:r>
          </w:p>
        </w:tc>
      </w:tr>
    </w:tbl>
    <w:p>
      <w:pPr>
        <w:pStyle w:val="Style26"/>
        <w:keepNext w:val="0"/>
        <w:keepLines w:val="0"/>
        <w:widowControl w:val="0"/>
        <w:shd w:val="clear" w:color="auto" w:fill="auto"/>
        <w:bidi w:val="0"/>
        <w:spacing w:before="0" w:after="0" w:line="240" w:lineRule="auto"/>
        <w:ind w:left="418" w:right="0" w:firstLine="0"/>
        <w:jc w:val="left"/>
      </w:pPr>
      <w:r>
        <w:rPr>
          <w:color w:val="000000"/>
          <w:spacing w:val="0"/>
          <w:w w:val="100"/>
          <w:position w:val="0"/>
        </w:rPr>
        <w:t>资本公积说明:</w:t>
      </w:r>
    </w:p>
    <w:p>
      <w:pPr>
        <w:pStyle w:val="Style33"/>
        <w:keepNext w:val="0"/>
        <w:keepLines w:val="0"/>
        <w:widowControl w:val="0"/>
        <w:shd w:val="clear" w:color="auto" w:fill="auto"/>
        <w:tabs>
          <w:tab w:pos="730" w:val="left"/>
        </w:tabs>
        <w:bidi w:val="0"/>
        <w:spacing w:before="0" w:after="0" w:line="312" w:lineRule="exact"/>
        <w:ind w:left="0" w:right="0" w:firstLine="440"/>
        <w:jc w:val="both"/>
      </w:pPr>
      <w:bookmarkStart w:id="1329" w:name="bookmark1329"/>
      <w:r>
        <w:rPr>
          <w:rFonts w:ascii="Times New Roman" w:eastAsia="Times New Roman" w:hAnsi="Times New Roman" w:cs="Times New Roman"/>
          <w:color w:val="000000"/>
          <w:spacing w:val="0"/>
          <w:w w:val="100"/>
          <w:position w:val="0"/>
        </w:rPr>
        <w:t>1</w:t>
      </w:r>
      <w:bookmarkEnd w:id="1329"/>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月，经中国证券监督管理委员会《关于核准广东华声电器股份有限公司向中江国际信托股 份有限公司等发行股份购买资产并募集配套资金的批复》（证监许可【</w:t>
      </w:r>
      <w:r>
        <w:rPr>
          <w:rFonts w:ascii="Times New Roman" w:eastAsia="Times New Roman" w:hAnsi="Times New Roman" w:cs="Times New Roman"/>
          <w:color w:val="000000"/>
          <w:spacing w:val="0"/>
          <w:w w:val="100"/>
          <w:position w:val="0"/>
        </w:rPr>
        <w:t>2016</w:t>
      </w:r>
      <w:r>
        <w:rPr>
          <w:color w:val="000000"/>
          <w:spacing w:val="0"/>
          <w:w w:val="100"/>
          <w:position w:val="0"/>
        </w:rPr>
        <w:t>】</w:t>
      </w:r>
      <w:r>
        <w:rPr>
          <w:rFonts w:ascii="Times New Roman" w:eastAsia="Times New Roman" w:hAnsi="Times New Roman" w:cs="Times New Roman"/>
          <w:color w:val="000000"/>
          <w:spacing w:val="0"/>
          <w:w w:val="100"/>
          <w:position w:val="0"/>
        </w:rPr>
        <w:t>657</w:t>
      </w:r>
      <w:r>
        <w:rPr>
          <w:color w:val="000000"/>
          <w:spacing w:val="0"/>
          <w:w w:val="100"/>
          <w:position w:val="0"/>
        </w:rPr>
        <w:t>号）核准，公司向中江 国际信托股份有限公司等单位发行股份购买资产并募集配套资金。本次发行新股</w:t>
      </w:r>
      <w:r>
        <w:rPr>
          <w:rFonts w:ascii="Times New Roman" w:eastAsia="Times New Roman" w:hAnsi="Times New Roman" w:cs="Times New Roman"/>
          <w:color w:val="000000"/>
          <w:spacing w:val="0"/>
          <w:w w:val="100"/>
          <w:position w:val="0"/>
        </w:rPr>
        <w:t>736,127,750</w:t>
      </w:r>
      <w:r>
        <w:rPr>
          <w:color w:val="000000"/>
          <w:spacing w:val="0"/>
          <w:w w:val="100"/>
          <w:position w:val="0"/>
        </w:rPr>
        <w:t>股，增加注册 资本</w:t>
      </w:r>
      <w:r>
        <w:rPr>
          <w:rFonts w:ascii="Times New Roman" w:eastAsia="Times New Roman" w:hAnsi="Times New Roman" w:cs="Times New Roman"/>
          <w:color w:val="000000"/>
          <w:spacing w:val="0"/>
          <w:w w:val="100"/>
          <w:position w:val="0"/>
        </w:rPr>
        <w:t>736,127,750</w:t>
      </w:r>
      <w:r>
        <w:rPr>
          <w:color w:val="000000"/>
          <w:spacing w:val="0"/>
          <w:w w:val="100"/>
          <w:position w:val="0"/>
        </w:rPr>
        <w:t>元，增加资本公积（股本溢价）人民币</w:t>
      </w:r>
      <w:r>
        <w:rPr>
          <w:rFonts w:ascii="Times New Roman" w:eastAsia="Times New Roman" w:hAnsi="Times New Roman" w:cs="Times New Roman"/>
          <w:color w:val="000000"/>
          <w:spacing w:val="0"/>
          <w:w w:val="100"/>
          <w:position w:val="0"/>
        </w:rPr>
        <w:t>9,593,878,544.53</w:t>
      </w:r>
      <w:r>
        <w:rPr>
          <w:color w:val="000000"/>
          <w:spacing w:val="0"/>
          <w:w w:val="100"/>
          <w:position w:val="0"/>
        </w:rPr>
        <w:t>元。本次变更业经立信会计师事务 所（特殊普通合伙）出具的信会师报字【</w:t>
      </w:r>
      <w:r>
        <w:rPr>
          <w:rFonts w:ascii="Times New Roman" w:eastAsia="Times New Roman" w:hAnsi="Times New Roman" w:cs="Times New Roman"/>
          <w:color w:val="000000"/>
          <w:spacing w:val="0"/>
          <w:w w:val="100"/>
          <w:position w:val="0"/>
        </w:rPr>
        <w:t>2016</w:t>
      </w:r>
      <w:r>
        <w:rPr>
          <w:color w:val="000000"/>
          <w:spacing w:val="0"/>
          <w:w w:val="100"/>
          <w:position w:val="0"/>
        </w:rPr>
        <w:t>】第</w:t>
      </w:r>
      <w:r>
        <w:rPr>
          <w:rFonts w:ascii="Times New Roman" w:eastAsia="Times New Roman" w:hAnsi="Times New Roman" w:cs="Times New Roman"/>
          <w:color w:val="000000"/>
          <w:spacing w:val="0"/>
          <w:w w:val="100"/>
          <w:position w:val="0"/>
        </w:rPr>
        <w:t>114648</w:t>
      </w:r>
      <w:r>
        <w:rPr>
          <w:color w:val="000000"/>
          <w:spacing w:val="0"/>
          <w:w w:val="100"/>
          <w:position w:val="0"/>
        </w:rPr>
        <w:t>号验资报告验证。</w:t>
      </w:r>
    </w:p>
    <w:p>
      <w:pPr>
        <w:pStyle w:val="Style33"/>
        <w:keepNext w:val="0"/>
        <w:keepLines w:val="0"/>
        <w:widowControl w:val="0"/>
        <w:shd w:val="clear" w:color="auto" w:fill="auto"/>
        <w:tabs>
          <w:tab w:pos="721" w:val="left"/>
        </w:tabs>
        <w:bidi w:val="0"/>
        <w:spacing w:before="0" w:after="180" w:line="312" w:lineRule="exact"/>
        <w:ind w:left="0" w:right="0" w:firstLine="440"/>
        <w:jc w:val="both"/>
        <w:sectPr>
          <w:headerReference w:type="default" r:id="rId57"/>
          <w:footerReference w:type="default" r:id="rId58"/>
          <w:footnotePr>
            <w:pos w:val="pageBottom"/>
            <w:numFmt w:val="decimal"/>
            <w:numRestart w:val="continuous"/>
          </w:footnotePr>
          <w:pgSz w:w="11900" w:h="16840"/>
          <w:pgMar w:top="1436" w:right="1128" w:bottom="1455" w:left="1076" w:header="0" w:footer="3" w:gutter="0"/>
          <w:cols w:space="720"/>
          <w:noEndnote/>
          <w:rtlGutter w:val="0"/>
          <w:docGrid w:linePitch="360"/>
        </w:sectPr>
      </w:pPr>
      <w:bookmarkStart w:id="1330" w:name="bookmark1330"/>
      <w:r>
        <w:rPr>
          <w:rFonts w:ascii="Times New Roman" w:eastAsia="Times New Roman" w:hAnsi="Times New Roman" w:cs="Times New Roman"/>
          <w:color w:val="000000"/>
          <w:spacing w:val="0"/>
          <w:w w:val="100"/>
          <w:position w:val="0"/>
        </w:rPr>
        <w:t>2</w:t>
      </w:r>
      <w:bookmarkEnd w:id="1330"/>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月，国盛证券有限责任公司向其子公司国盛证券资产管理有限公司购买少数股东权益冲减 资本公积</w:t>
      </w:r>
      <w:r>
        <w:rPr>
          <w:rFonts w:ascii="Times New Roman" w:eastAsia="Times New Roman" w:hAnsi="Times New Roman" w:cs="Times New Roman"/>
          <w:color w:val="000000"/>
          <w:spacing w:val="0"/>
          <w:w w:val="100"/>
          <w:position w:val="0"/>
        </w:rPr>
        <w:t>362,239.5</w:t>
      </w:r>
      <w:r>
        <w:rPr>
          <w:rFonts w:ascii="Times New Roman" w:eastAsia="Times New Roman" w:hAnsi="Times New Roman" w:cs="Times New Roman"/>
          <w:color w:val="000000"/>
          <w:spacing w:val="0"/>
          <w:w w:val="100"/>
          <w:position w:val="0"/>
        </w:rPr>
        <w:t>9</w:t>
      </w:r>
      <w:r>
        <w:rPr>
          <w:color w:val="000000"/>
          <w:spacing w:val="0"/>
          <w:w w:val="100"/>
          <w:position w:val="0"/>
        </w:rPr>
        <w:t>元。</w:t>
      </w:r>
    </w:p>
    <w:p>
      <w:pPr>
        <w:pStyle w:val="Style30"/>
        <w:keepNext/>
        <w:keepLines/>
        <w:widowControl w:val="0"/>
        <w:shd w:val="clear" w:color="auto" w:fill="auto"/>
        <w:bidi w:val="0"/>
        <w:spacing w:before="0" w:after="340" w:line="240" w:lineRule="auto"/>
        <w:ind w:left="0" w:right="0" w:firstLine="0"/>
        <w:jc w:val="left"/>
      </w:pPr>
      <w:bookmarkStart w:id="1331" w:name="bookmark1331"/>
      <w:bookmarkStart w:id="1332" w:name="bookmark1332"/>
      <w:bookmarkStart w:id="1333" w:name="bookmark1333"/>
      <w:r>
        <w:rPr>
          <w:rFonts w:ascii="Times New Roman" w:eastAsia="Times New Roman" w:hAnsi="Times New Roman" w:cs="Times New Roman"/>
          <w:color w:val="000000"/>
          <w:spacing w:val="0"/>
          <w:w w:val="100"/>
          <w:position w:val="0"/>
        </w:rPr>
        <w:t>43</w:t>
      </w:r>
      <w:r>
        <w:rPr>
          <w:color w:val="000000"/>
          <w:spacing w:val="0"/>
          <w:w w:val="100"/>
          <w:position w:val="0"/>
        </w:rPr>
        <w:t>、其他综合收益</w:t>
      </w:r>
      <w:bookmarkEnd w:id="1331"/>
      <w:bookmarkEnd w:id="1332"/>
      <w:bookmarkEnd w:id="1333"/>
    </w:p>
    <w:p>
      <w:pPr>
        <w:pStyle w:val="Style26"/>
        <w:keepNext w:val="0"/>
        <w:keepLines w:val="0"/>
        <w:widowControl w:val="0"/>
        <w:shd w:val="clear" w:color="auto" w:fill="auto"/>
        <w:bidi w:val="0"/>
        <w:spacing w:before="0" w:after="0" w:line="240" w:lineRule="auto"/>
        <w:ind w:left="12912" w:right="0" w:firstLine="0"/>
        <w:jc w:val="left"/>
      </w:pPr>
      <w:r>
        <w:rPr>
          <w:color w:val="000000"/>
          <w:spacing w:val="0"/>
          <w:w w:val="100"/>
          <w:position w:val="0"/>
        </w:rPr>
        <w:t>单位：元</w:t>
      </w:r>
    </w:p>
    <w:tbl>
      <w:tblPr>
        <w:tblOverlap w:val="never"/>
        <w:jc w:val="center"/>
        <w:tblLayout w:type="fixed"/>
      </w:tblPr>
      <w:tblGrid>
        <w:gridCol w:w="4685"/>
        <w:gridCol w:w="994"/>
        <w:gridCol w:w="1416"/>
        <w:gridCol w:w="1565"/>
        <w:gridCol w:w="1416"/>
        <w:gridCol w:w="1416"/>
        <w:gridCol w:w="989"/>
        <w:gridCol w:w="1430"/>
      </w:tblGrid>
      <w:tr>
        <w:trPr>
          <w:trHeight w:val="326"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&amp;期发生额</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94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本期所得税前 发生额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减：前期计入其 他综合收益当期 转入损益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减：所得税费 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税后归属于母 公司</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center"/>
            </w:pPr>
            <w:r>
              <w:rPr>
                <w:color w:val="000000"/>
                <w:spacing w:val="0"/>
                <w:w w:val="100"/>
                <w:position w:val="0"/>
              </w:rPr>
              <w:t>税后归属 于少数股 东</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二、以后将重分类进损益的其他综合收益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-47,080,481.20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-10,785,262.95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-36,295,218.25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-36,295,218.25</w:t>
            </w:r>
          </w:p>
        </w:tc>
      </w:tr>
      <w:tr>
        <w:trPr>
          <w:trHeight w:val="63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其中：权益法下在被投资单位以后将重分类进损益 的其他综合收益中享有的份额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-4,023,508.45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-4,023,508.45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-4,023,508.45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可供出售金融资产公允价值变动损益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-43,141,051.80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-10,785,262.95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-32,355,788.85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-32,355,788.85</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84,079.05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84,079.05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84,079.05</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-47,080,481.20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-10,785,262.95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-36,295,218.25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-36,295,218.25</w:t>
            </w:r>
          </w:p>
        </w:tc>
      </w:tr>
    </w:tbl>
    <w:p>
      <w:pPr>
        <w:pStyle w:val="Style26"/>
        <w:keepNext w:val="0"/>
        <w:keepLines w:val="0"/>
        <w:widowControl w:val="0"/>
        <w:shd w:val="clear" w:color="auto" w:fill="auto"/>
        <w:bidi w:val="0"/>
        <w:spacing w:before="0" w:after="0" w:line="240" w:lineRule="auto"/>
        <w:ind w:left="0" w:right="0" w:firstLine="0"/>
        <w:jc w:val="left"/>
      </w:pPr>
      <w:bookmarkStart w:id="1334" w:name="bookmark1334"/>
      <w:r>
        <w:rPr>
          <w:rFonts w:ascii="Times New Roman" w:eastAsia="Times New Roman" w:hAnsi="Times New Roman" w:cs="Times New Roman"/>
          <w:b/>
          <w:bCs/>
          <w:color w:val="000000"/>
          <w:spacing w:val="0"/>
          <w:w w:val="100"/>
          <w:position w:val="0"/>
        </w:rPr>
        <w:t>44</w:t>
      </w:r>
      <w:r>
        <w:rPr>
          <w:b/>
          <w:bCs/>
          <w:color w:val="000000"/>
          <w:spacing w:val="0"/>
          <w:w w:val="100"/>
          <w:position w:val="0"/>
        </w:rPr>
        <w:t>、盈余公积</w:t>
      </w:r>
      <w:bookmarkEnd w:id="1334"/>
    </w:p>
    <w:p>
      <w:pPr>
        <w:widowControl w:val="0"/>
        <w:spacing w:after="339" w:line="1" w:lineRule="exact"/>
      </w:pPr>
    </w:p>
    <w:p>
      <w:pPr>
        <w:pStyle w:val="Style26"/>
        <w:keepNext w:val="0"/>
        <w:keepLines w:val="0"/>
        <w:widowControl w:val="0"/>
        <w:shd w:val="clear" w:color="auto" w:fill="auto"/>
        <w:bidi w:val="0"/>
        <w:spacing w:before="0" w:after="0" w:line="240" w:lineRule="auto"/>
        <w:ind w:left="12912" w:right="0" w:firstLine="0"/>
        <w:jc w:val="left"/>
      </w:pPr>
      <w:r>
        <w:rPr>
          <w:color w:val="000000"/>
          <w:spacing w:val="0"/>
          <w:w w:val="100"/>
          <w:position w:val="0"/>
        </w:rPr>
        <w:t>单位：元</w:t>
      </w:r>
    </w:p>
    <w:tbl>
      <w:tblPr>
        <w:tblOverlap w:val="never"/>
        <w:jc w:val="center"/>
        <w:tblLayout w:type="fixed"/>
      </w:tblPr>
      <w:tblGrid>
        <w:gridCol w:w="4685"/>
        <w:gridCol w:w="2304"/>
        <w:gridCol w:w="2304"/>
        <w:gridCol w:w="2304"/>
        <w:gridCol w:w="2314"/>
      </w:tblGrid>
      <w:tr>
        <w:trPr>
          <w:trHeight w:val="32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32,819,438.83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7,516,913.66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40,336,352.49</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32,819,438.83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7,516,913.66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40,336,352.49</w:t>
            </w:r>
          </w:p>
        </w:tc>
      </w:tr>
    </w:tbl>
    <w:p>
      <w:pPr>
        <w:pStyle w:val="Style26"/>
        <w:keepNext w:val="0"/>
        <w:keepLines w:val="0"/>
        <w:widowControl w:val="0"/>
        <w:shd w:val="clear" w:color="auto" w:fill="auto"/>
        <w:bidi w:val="0"/>
        <w:spacing w:before="0" w:after="0" w:line="240" w:lineRule="auto"/>
        <w:ind w:left="408" w:right="0" w:firstLine="0"/>
        <w:jc w:val="left"/>
        <w:sectPr>
          <w:headerReference w:type="default" r:id="rId59"/>
          <w:footerReference w:type="default" r:id="rId60"/>
          <w:footnotePr>
            <w:pos w:val="pageBottom"/>
            <w:numFmt w:val="decimal"/>
            <w:numRestart w:val="continuous"/>
          </w:footnotePr>
          <w:pgSz w:w="16840" w:h="11900" w:orient="landscape"/>
          <w:pgMar w:top="1186" w:right="1499" w:bottom="1186" w:left="1417" w:header="0" w:footer="3" w:gutter="0"/>
          <w:cols w:space="720"/>
          <w:noEndnote/>
          <w:rtlGutter w:val="0"/>
          <w:docGrid w:linePitch="360"/>
        </w:sectPr>
      </w:pPr>
      <w:r>
        <w:rPr>
          <w:color w:val="000000"/>
          <w:spacing w:val="0"/>
          <w:w w:val="100"/>
          <w:position w:val="0"/>
        </w:rPr>
        <w:t>盈余公积说明：盈余公积的增加系根据公司章程，按当年度净利润的</w:t>
      </w:r>
      <w:r>
        <w:rPr>
          <w:rFonts w:ascii="Times New Roman" w:eastAsia="Times New Roman" w:hAnsi="Times New Roman" w:cs="Times New Roman"/>
          <w:color w:val="000000"/>
          <w:spacing w:val="0"/>
          <w:w w:val="100"/>
          <w:position w:val="0"/>
        </w:rPr>
        <w:t>10%</w:t>
      </w:r>
      <w:r>
        <w:rPr>
          <w:color w:val="000000"/>
          <w:spacing w:val="0"/>
          <w:w w:val="100"/>
          <w:position w:val="0"/>
        </w:rPr>
        <w:t>计提法定盈余公积。</w:t>
      </w:r>
    </w:p>
    <w:p>
      <w:pPr>
        <w:pStyle w:val="Style30"/>
        <w:keepNext/>
        <w:keepLines/>
        <w:widowControl w:val="0"/>
        <w:shd w:val="clear" w:color="auto" w:fill="auto"/>
        <w:bidi w:val="0"/>
        <w:spacing w:before="0" w:after="340" w:line="240" w:lineRule="auto"/>
        <w:ind w:left="0" w:right="0" w:firstLine="0"/>
        <w:jc w:val="left"/>
      </w:pPr>
      <w:bookmarkStart w:id="1335" w:name="bookmark1335"/>
      <w:bookmarkStart w:id="1336" w:name="bookmark1336"/>
      <w:bookmarkStart w:id="1337" w:name="bookmark1337"/>
      <w:r>
        <w:rPr>
          <w:rFonts w:ascii="Times New Roman" w:eastAsia="Times New Roman" w:hAnsi="Times New Roman" w:cs="Times New Roman"/>
          <w:color w:val="000000"/>
          <w:spacing w:val="0"/>
          <w:w w:val="100"/>
          <w:position w:val="0"/>
        </w:rPr>
        <w:t>45</w:t>
      </w:r>
      <w:r>
        <w:rPr>
          <w:color w:val="000000"/>
          <w:spacing w:val="0"/>
          <w:w w:val="100"/>
          <w:position w:val="0"/>
        </w:rPr>
        <w:t>、未分配利润</w:t>
      </w:r>
      <w:bookmarkEnd w:id="1335"/>
      <w:bookmarkEnd w:id="1336"/>
      <w:bookmarkEnd w:id="1337"/>
    </w:p>
    <w:p>
      <w:pPr>
        <w:pStyle w:val="Style26"/>
        <w:keepNext w:val="0"/>
        <w:keepLines w:val="0"/>
        <w:widowControl w:val="0"/>
        <w:shd w:val="clear" w:color="auto" w:fill="auto"/>
        <w:bidi w:val="0"/>
        <w:spacing w:before="0" w:after="0" w:line="240" w:lineRule="auto"/>
        <w:ind w:left="8587" w:right="0" w:firstLine="0"/>
        <w:jc w:val="left"/>
      </w:pPr>
      <w:r>
        <w:rPr>
          <w:color w:val="000000"/>
          <w:spacing w:val="0"/>
          <w:w w:val="100"/>
          <w:position w:val="0"/>
        </w:rPr>
        <w:t>单位：元</w:t>
      </w:r>
    </w:p>
    <w:tbl>
      <w:tblPr>
        <w:tblOverlap w:val="never"/>
        <w:jc w:val="center"/>
        <w:tblLayout w:type="fixed"/>
      </w:tblPr>
      <w:tblGrid>
        <w:gridCol w:w="3730"/>
        <w:gridCol w:w="2923"/>
        <w:gridCol w:w="2928"/>
      </w:tblGrid>
      <w:tr>
        <w:trPr>
          <w:trHeight w:val="32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110,678,933.94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165,124,504.68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110,678,933.94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498,145,590.82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26,163,454.80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7,516,913.66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609,025.54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应付普通股股利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80,000,000.00</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601,307,611.10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110,678,933.94</w:t>
            </w:r>
          </w:p>
        </w:tc>
      </w:tr>
    </w:tbl>
    <w:p>
      <w:pPr>
        <w:pStyle w:val="Style26"/>
        <w:keepNext w:val="0"/>
        <w:keepLines w:val="0"/>
        <w:widowControl w:val="0"/>
        <w:shd w:val="clear" w:color="auto" w:fill="auto"/>
        <w:bidi w:val="0"/>
        <w:spacing w:before="0" w:after="0" w:line="240" w:lineRule="auto"/>
        <w:ind w:left="0" w:right="0" w:firstLine="0"/>
        <w:jc w:val="left"/>
      </w:pPr>
      <w:bookmarkStart w:id="1338" w:name="bookmark1338"/>
      <w:r>
        <w:rPr>
          <w:rFonts w:ascii="Times New Roman" w:eastAsia="Times New Roman" w:hAnsi="Times New Roman" w:cs="Times New Roman"/>
          <w:b/>
          <w:bCs/>
          <w:color w:val="000000"/>
          <w:spacing w:val="0"/>
          <w:w w:val="100"/>
          <w:position w:val="0"/>
        </w:rPr>
        <w:t>46</w:t>
      </w:r>
      <w:r>
        <w:rPr>
          <w:b/>
          <w:bCs/>
          <w:color w:val="000000"/>
          <w:spacing w:val="0"/>
          <w:w w:val="100"/>
          <w:position w:val="0"/>
        </w:rPr>
        <w:t>、营业收入和营业成本</w:t>
      </w:r>
      <w:bookmarkEnd w:id="1338"/>
    </w:p>
    <w:p>
      <w:pPr>
        <w:widowControl w:val="0"/>
        <w:spacing w:after="339" w:line="1" w:lineRule="exact"/>
      </w:pPr>
    </w:p>
    <w:p>
      <w:pPr>
        <w:pStyle w:val="Style26"/>
        <w:keepNext w:val="0"/>
        <w:keepLines w:val="0"/>
        <w:widowControl w:val="0"/>
        <w:shd w:val="clear" w:color="auto" w:fill="auto"/>
        <w:bidi w:val="0"/>
        <w:spacing w:before="0" w:after="0" w:line="240" w:lineRule="auto"/>
        <w:ind w:left="8587" w:right="0" w:firstLine="0"/>
        <w:jc w:val="lef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326"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819,735,948.78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684,334,908.37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1,049,279,321.85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906,862,328.71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3,518,742.92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156,621.80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213,871.48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34,006.38</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823,254,691.70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684,491,530.17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1,049,493,193.33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906,896,335.09</w:t>
            </w:r>
          </w:p>
        </w:tc>
      </w:tr>
    </w:tbl>
    <w:p>
      <w:pPr>
        <w:widowControl w:val="0"/>
        <w:spacing w:after="339" w:line="1" w:lineRule="exact"/>
      </w:pPr>
    </w:p>
    <w:p>
      <w:pPr>
        <w:pStyle w:val="Style26"/>
        <w:keepNext w:val="0"/>
        <w:keepLines w:val="0"/>
        <w:widowControl w:val="0"/>
        <w:shd w:val="clear" w:color="auto" w:fill="auto"/>
        <w:bidi w:val="0"/>
        <w:spacing w:before="0" w:after="0" w:line="240" w:lineRule="auto"/>
        <w:ind w:left="0" w:right="0" w:firstLine="0"/>
        <w:jc w:val="left"/>
      </w:pPr>
      <w:bookmarkStart w:id="1339" w:name="bookmark1339"/>
      <w:r>
        <w:rPr>
          <w:rFonts w:ascii="Times New Roman" w:eastAsia="Times New Roman" w:hAnsi="Times New Roman" w:cs="Times New Roman"/>
          <w:b/>
          <w:bCs/>
          <w:color w:val="000000"/>
          <w:spacing w:val="0"/>
          <w:w w:val="100"/>
          <w:position w:val="0"/>
        </w:rPr>
        <w:t>47</w:t>
      </w:r>
      <w:r>
        <w:rPr>
          <w:b/>
          <w:bCs/>
          <w:color w:val="000000"/>
          <w:spacing w:val="0"/>
          <w:w w:val="100"/>
          <w:position w:val="0"/>
        </w:rPr>
        <w:t>、利息净收入</w:t>
      </w:r>
      <w:bookmarkEnd w:id="1339"/>
    </w:p>
    <w:tbl>
      <w:tblPr>
        <w:tblOverlap w:val="never"/>
        <w:jc w:val="center"/>
        <w:tblLayout w:type="fixed"/>
      </w:tblPr>
      <w:tblGrid>
        <w:gridCol w:w="3830"/>
        <w:gridCol w:w="2976"/>
        <w:gridCol w:w="2846"/>
      </w:tblGrid>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335,514,816.76</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存放金融同业利息收入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164,846,858.46</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其中：自有资金存款利息收入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41,679,946.84</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pPr>
            <w:r>
              <w:rPr>
                <w:color w:val="000000"/>
                <w:spacing w:val="0"/>
                <w:w w:val="100"/>
                <w:position w:val="0"/>
              </w:rPr>
              <w:t>客户资金存款利息收入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123,166,911.62</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融资融券利息收入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113,570,902.90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买入返售金融资产利息收入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57,097,055.40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其中：约定购回利息收入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1,671,399.99</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股权质押回购利息收入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55,425,655.41</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107,628,562.44</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客户资金存款利息支出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19,039,370.38</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卖出回购金融资产利息支出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20,964,870.33</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拆入资金利息支出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26,917,922.93</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其中：转融通利息支出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26,917,922.93</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应付债券利息支出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40,442,764.79</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263,634.01</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利息净收入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227,886,254.32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b/>
          <w:bCs/>
          <w:color w:val="000000"/>
          <w:spacing w:val="0"/>
          <w:w w:val="100"/>
          <w:position w:val="0"/>
        </w:rPr>
        <w:t>48</w:t>
      </w:r>
      <w:r>
        <w:rPr>
          <w:b/>
          <w:bCs/>
          <w:color w:val="000000"/>
          <w:spacing w:val="0"/>
          <w:w w:val="100"/>
          <w:position w:val="0"/>
        </w:rPr>
        <w:t>、手续费及佣金净收入</w:t>
      </w:r>
    </w:p>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)明细情况</w:t>
      </w:r>
    </w:p>
    <w:tbl>
      <w:tblPr>
        <w:tblOverlap w:val="never"/>
        <w:jc w:val="center"/>
        <w:tblLayout w:type="fixed"/>
      </w:tblPr>
      <w:tblGrid>
        <w:gridCol w:w="3974"/>
        <w:gridCol w:w="2832"/>
        <w:gridCol w:w="2846"/>
      </w:tblGrid>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8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w:t>
            </w:r>
            <w:r>
              <w:rPr>
                <w:color w:val="000000"/>
                <w:spacing w:val="0"/>
                <w:w w:val="100"/>
                <w:position w:val="0"/>
              </w:rPr>
              <w:t>年度</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手续费及佣金收入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b/>
                <w:bCs/>
                <w:color w:val="000000"/>
                <w:spacing w:val="0"/>
                <w:w w:val="100"/>
                <w:position w:val="0"/>
              </w:rPr>
              <w:t>483,090,821.52</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证券经纪业务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372,378,490.52</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其中：代理买卖证券业务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334,944,531.22</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信用交易业务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30,894,897.23</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交易单元席位租赁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5,576,349.89</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代销金融产品业务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962,712.18</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期货经纪业务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5,312,741.17</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投资银行业务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72,774,562.58</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其中：证券承销业务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11,498,867.9</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证券保荐业务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财务顾问业务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61,275,694.68</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资产管理业务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32,625,027.25</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投资咨询业务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手续费及佣金支出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b/>
                <w:bCs/>
                <w:color w:val="000000"/>
                <w:spacing w:val="0"/>
                <w:w w:val="100"/>
                <w:position w:val="0"/>
              </w:rPr>
              <w:t>101,870,980.70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证券经纪业务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99,711,696.87</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其中：代理买卖证券业务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57,539,370.52</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资金三方存管业务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10,798,512.83</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信用交易业务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5,973,484.19</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证券经纪人报酬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25,400,329.33</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投资银行业务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其中：证券承销业务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财务顾问业务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资产管理业务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2,159,283.83</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手续费及佣金净收入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b/>
                <w:bCs/>
                <w:color w:val="000000"/>
                <w:spacing w:val="0"/>
                <w:w w:val="100"/>
                <w:position w:val="0"/>
              </w:rPr>
              <w:t>381,219,840.82</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其中：财务顾问业务净收入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61,275,694.68</w:t>
            </w:r>
          </w:p>
        </w:tc>
        <w:tc>
          <w:tcPr>
            <w:tcBorders>
              <w:top w:val="single" w:sz="4"/>
              <w:left w:val="single" w:sz="4"/>
              <w:right w:val="single" w:sz="4"/>
            </w:tcBorders>
            <w:shd w:val="clear" w:color="auto" w:fill="FFFFFF"/>
            <w:vAlign w:val="top"/>
          </w:tcPr>
          <w:p>
            <w:pPr>
              <w:widowControl w:val="0"/>
              <w:rPr>
                <w:sz w:val="10"/>
                <w:szCs w:val="10"/>
              </w:rPr>
            </w:pPr>
          </w:p>
        </w:tc>
      </w:tr>
      <w:tr>
        <w:trPr>
          <w:trHeight w:val="65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一</w:t>
            </w:r>
            <w:r>
              <w:rPr>
                <w:color w:val="000000"/>
                <w:spacing w:val="0"/>
                <w:w w:val="100"/>
                <w:position w:val="0"/>
              </w:rPr>
              <w:t>并购重组财务顾问业务净收入</w:t>
            </w:r>
            <w:r>
              <w:rPr>
                <w:color w:val="000000"/>
                <w:spacing w:val="0"/>
                <w:w w:val="100"/>
                <w:position w:val="0"/>
              </w:rPr>
              <w:t>一</w:t>
            </w:r>
            <w:r>
              <w:rPr>
                <w:color w:val="000000"/>
                <w:spacing w:val="0"/>
                <w:w w:val="100"/>
                <w:position w:val="0"/>
              </w:rPr>
              <w:t>境内上 市公司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4,245,282.90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其他财务顾问业务净收入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57,030,411.78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6"/>
        <w:keepNext w:val="0"/>
        <w:keepLines w:val="0"/>
        <w:widowControl w:val="0"/>
        <w:shd w:val="clear" w:color="auto" w:fill="auto"/>
        <w:bidi w:val="0"/>
        <w:spacing w:before="0" w:after="0" w:line="240" w:lineRule="auto"/>
        <w:ind w:left="96" w:right="0" w:firstLine="0"/>
        <w:jc w:val="left"/>
      </w:pPr>
      <w:r>
        <w:rPr>
          <w:b/>
          <w:bCs/>
          <w:color w:val="000000"/>
          <w:spacing w:val="0"/>
          <w:w w:val="100"/>
          <w:position w:val="0"/>
        </w:rPr>
        <w:t>(2)代销金融产品</w:t>
      </w:r>
    </w:p>
    <w:tbl>
      <w:tblPr>
        <w:tblOverlap w:val="never"/>
        <w:jc w:val="center"/>
        <w:tblLayout w:type="fixed"/>
      </w:tblPr>
      <w:tblGrid>
        <w:gridCol w:w="2131"/>
        <w:gridCol w:w="1699"/>
        <w:gridCol w:w="1704"/>
        <w:gridCol w:w="1843"/>
        <w:gridCol w:w="2275"/>
      </w:tblGrid>
      <w:tr>
        <w:trPr>
          <w:trHeight w:val="350"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代销金融产品业务</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年度</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w:t>
            </w:r>
            <w:r>
              <w:rPr>
                <w:color w:val="000000"/>
                <w:spacing w:val="0"/>
                <w:w w:val="100"/>
                <w:position w:val="0"/>
              </w:rPr>
              <w:t>年度</w:t>
            </w:r>
          </w:p>
        </w:tc>
      </w:tr>
      <w:tr>
        <w:trPr>
          <w:trHeight w:val="34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销售总金额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销售总收入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销售总金额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销售总收入</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基金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718,759,654.72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620,685.58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110,821.71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666,618,000.00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231,204.89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131"/>
        <w:gridCol w:w="1699"/>
        <w:gridCol w:w="1704"/>
        <w:gridCol w:w="1843"/>
        <w:gridCol w:w="2275"/>
      </w:tblGrid>
      <w:tr>
        <w:trPr>
          <w:trHeight w:val="3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1,385,377,654.72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962,712.18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bookmarkStart w:id="1340" w:name="bookmark1340"/>
      <w:r>
        <w:rPr>
          <w:rFonts w:ascii="Times New Roman" w:eastAsia="Times New Roman" w:hAnsi="Times New Roman" w:cs="Times New Roman"/>
          <w:b/>
          <w:bCs/>
          <w:color w:val="000000"/>
          <w:spacing w:val="0"/>
          <w:w w:val="100"/>
          <w:position w:val="0"/>
        </w:rPr>
        <w:t>49</w:t>
      </w:r>
      <w:r>
        <w:rPr>
          <w:b/>
          <w:bCs/>
          <w:color w:val="000000"/>
          <w:spacing w:val="0"/>
          <w:w w:val="100"/>
          <w:position w:val="0"/>
        </w:rPr>
        <w:t>、税金及附加</w:t>
      </w:r>
      <w:bookmarkEnd w:id="1340"/>
    </w:p>
    <w:p>
      <w:pPr>
        <w:widowControl w:val="0"/>
        <w:spacing w:after="33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3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06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5,288,825.84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3,463,803.65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3,757,061.54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2,474,145.50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3,860,584.17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119,144.08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61,388.00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1,009,827.66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40,154.53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114,450.90</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14,136,985.82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6,052,400.05</w:t>
            </w:r>
          </w:p>
        </w:tc>
      </w:tr>
    </w:tbl>
    <w:p>
      <w:pPr>
        <w:pStyle w:val="Style26"/>
        <w:keepNext w:val="0"/>
        <w:keepLines w:val="0"/>
        <w:widowControl w:val="0"/>
        <w:shd w:val="clear" w:color="auto" w:fill="auto"/>
        <w:bidi w:val="0"/>
        <w:spacing w:before="0" w:after="0" w:line="240" w:lineRule="auto"/>
        <w:ind w:left="0" w:right="0" w:firstLine="0"/>
        <w:jc w:val="left"/>
      </w:pPr>
      <w:bookmarkStart w:id="1341" w:name="bookmark1341"/>
      <w:r>
        <w:rPr>
          <w:rFonts w:ascii="Times New Roman" w:eastAsia="Times New Roman" w:hAnsi="Times New Roman" w:cs="Times New Roman"/>
          <w:b/>
          <w:bCs/>
          <w:color w:val="000000"/>
          <w:spacing w:val="0"/>
          <w:w w:val="100"/>
          <w:position w:val="0"/>
        </w:rPr>
        <w:t>50</w:t>
      </w:r>
      <w:r>
        <w:rPr>
          <w:b/>
          <w:bCs/>
          <w:color w:val="000000"/>
          <w:spacing w:val="0"/>
          <w:w w:val="100"/>
          <w:position w:val="0"/>
        </w:rPr>
        <w:t>、销售费用</w:t>
      </w:r>
      <w:bookmarkEnd w:id="1341"/>
    </w:p>
    <w:p>
      <w:pPr>
        <w:widowControl w:val="0"/>
        <w:spacing w:after="33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3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06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运输及装卸费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15,199,184.25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15,673,041.67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员工工资及福利费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5,785,467.12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5,340,865.46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2,203,554.36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172,064.00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912,117.98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1,015,627.84</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429,259.75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355,799.19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409,633.02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610,073.61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折旧、摊销及维修费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1,622,701.54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1,264,062.65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913,696.23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929,741.98</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27,475,614.25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25,361,276.40</w:t>
            </w:r>
          </w:p>
        </w:tc>
      </w:tr>
    </w:tbl>
    <w:p>
      <w:pPr>
        <w:pStyle w:val="Style26"/>
        <w:keepNext w:val="0"/>
        <w:keepLines w:val="0"/>
        <w:widowControl w:val="0"/>
        <w:shd w:val="clear" w:color="auto" w:fill="auto"/>
        <w:bidi w:val="0"/>
        <w:spacing w:before="0" w:after="0" w:line="240" w:lineRule="auto"/>
        <w:ind w:left="0" w:right="0" w:firstLine="0"/>
        <w:jc w:val="left"/>
      </w:pPr>
      <w:bookmarkStart w:id="1342" w:name="bookmark1342"/>
      <w:r>
        <w:rPr>
          <w:rFonts w:ascii="Times New Roman" w:eastAsia="Times New Roman" w:hAnsi="Times New Roman" w:cs="Times New Roman"/>
          <w:b/>
          <w:bCs/>
          <w:color w:val="000000"/>
          <w:spacing w:val="0"/>
          <w:w w:val="100"/>
          <w:position w:val="0"/>
        </w:rPr>
        <w:t>51</w:t>
      </w:r>
      <w:r>
        <w:rPr>
          <w:b/>
          <w:bCs/>
          <w:color w:val="000000"/>
          <w:spacing w:val="0"/>
          <w:w w:val="100"/>
          <w:position w:val="0"/>
        </w:rPr>
        <w:t>、管理费用</w:t>
      </w:r>
      <w:bookmarkEnd w:id="1342"/>
    </w:p>
    <w:p>
      <w:pPr>
        <w:widowControl w:val="0"/>
        <w:spacing w:after="33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3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06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员工工资及福利费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195,637,335.25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28,232,667.04</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场地设备租赁费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41,683,863.99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26,080,371.60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5,116,689.92</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折旧、摊销及维修费</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25,282,421.62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8,109,857.67</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12,806,567.00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1,091,455.97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证券投资者保护基金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16,514,273.70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交易所费用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10,156,251.06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各项税费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1,158,805.08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4,800,010.94</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认证及检测费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2,576,688.91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2,923,050.49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审计、咨询及广告宣传费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13,168,148.39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8,192,573.95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6,721,124.51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1,003,532.15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9,612,596.65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1,322,302.30</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361,398,447.76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60,792,140.43</w:t>
            </w:r>
          </w:p>
        </w:tc>
      </w:tr>
    </w:tbl>
    <w:p>
      <w:pPr>
        <w:pStyle w:val="Style26"/>
        <w:keepNext w:val="0"/>
        <w:keepLines w:val="0"/>
        <w:widowControl w:val="0"/>
        <w:shd w:val="clear" w:color="auto" w:fill="auto"/>
        <w:bidi w:val="0"/>
        <w:spacing w:before="0" w:after="0" w:line="240" w:lineRule="auto"/>
        <w:ind w:left="0" w:right="0" w:firstLine="0"/>
        <w:jc w:val="left"/>
      </w:pPr>
      <w:bookmarkStart w:id="1343" w:name="bookmark1343"/>
      <w:r>
        <w:rPr>
          <w:rFonts w:ascii="Times New Roman" w:eastAsia="Times New Roman" w:hAnsi="Times New Roman" w:cs="Times New Roman"/>
          <w:b/>
          <w:bCs/>
          <w:color w:val="000000"/>
          <w:spacing w:val="0"/>
          <w:w w:val="100"/>
          <w:position w:val="0"/>
        </w:rPr>
        <w:t>52</w:t>
      </w:r>
      <w:r>
        <w:rPr>
          <w:b/>
          <w:bCs/>
          <w:color w:val="000000"/>
          <w:spacing w:val="0"/>
          <w:w w:val="100"/>
          <w:position w:val="0"/>
        </w:rPr>
        <w:t>、财务费用</w:t>
      </w:r>
      <w:bookmarkEnd w:id="1343"/>
    </w:p>
    <w:p>
      <w:pPr>
        <w:widowControl w:val="0"/>
        <w:spacing w:after="33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3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20,479,893.54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23,046,447.21</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其中：票据贴息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7,275,013.58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16,532,294.12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贷款利息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1,138,916.88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6,514,153.09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债券利息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12,065,963.08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34,595,468.09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1,213,170.37</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-1,405,037.15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-736,898.51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194,463.09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189,242.82</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-15,326,148.61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21,285,621.15</w:t>
            </w:r>
          </w:p>
        </w:tc>
      </w:tr>
    </w:tbl>
    <w:p>
      <w:pPr>
        <w:pStyle w:val="Style26"/>
        <w:keepNext w:val="0"/>
        <w:keepLines w:val="0"/>
        <w:widowControl w:val="0"/>
        <w:shd w:val="clear" w:color="auto" w:fill="auto"/>
        <w:bidi w:val="0"/>
        <w:spacing w:before="0" w:after="0" w:line="240" w:lineRule="auto"/>
        <w:ind w:left="0" w:right="0" w:firstLine="0"/>
        <w:jc w:val="left"/>
      </w:pPr>
      <w:bookmarkStart w:id="1344" w:name="bookmark1344"/>
      <w:r>
        <w:rPr>
          <w:rFonts w:ascii="Times New Roman" w:eastAsia="Times New Roman" w:hAnsi="Times New Roman" w:cs="Times New Roman"/>
          <w:b/>
          <w:bCs/>
          <w:color w:val="000000"/>
          <w:spacing w:val="0"/>
          <w:w w:val="100"/>
          <w:position w:val="0"/>
        </w:rPr>
        <w:t>53</w:t>
      </w:r>
      <w:r>
        <w:rPr>
          <w:b/>
          <w:bCs/>
          <w:color w:val="000000"/>
          <w:spacing w:val="0"/>
          <w:w w:val="100"/>
          <w:position w:val="0"/>
        </w:rPr>
        <w:t>、资产减值损失</w:t>
      </w:r>
      <w:bookmarkEnd w:id="1344"/>
    </w:p>
    <w:p>
      <w:pPr>
        <w:widowControl w:val="0"/>
        <w:spacing w:after="33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3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2,094,269.27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-66,996.35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1,514,185.51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2,856,071.11</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三、可供出售金融资产减值损失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4,618,570.68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九、在建工程减值损失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1,030,000.00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十四、其他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-6,816,963.10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2,440,062.36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2,789,074.76</w:t>
            </w:r>
          </w:p>
        </w:tc>
      </w:tr>
    </w:tbl>
    <w:p>
      <w:pPr>
        <w:pStyle w:val="Style26"/>
        <w:keepNext w:val="0"/>
        <w:keepLines w:val="0"/>
        <w:widowControl w:val="0"/>
        <w:shd w:val="clear" w:color="auto" w:fill="auto"/>
        <w:bidi w:val="0"/>
        <w:spacing w:before="0" w:after="0" w:line="240" w:lineRule="auto"/>
        <w:ind w:left="0" w:right="0" w:firstLine="0"/>
        <w:jc w:val="left"/>
      </w:pPr>
      <w:bookmarkStart w:id="1345" w:name="bookmark1345"/>
      <w:r>
        <w:rPr>
          <w:rFonts w:ascii="Times New Roman" w:eastAsia="Times New Roman" w:hAnsi="Times New Roman" w:cs="Times New Roman"/>
          <w:b/>
          <w:bCs/>
          <w:color w:val="000000"/>
          <w:spacing w:val="0"/>
          <w:w w:val="100"/>
          <w:position w:val="0"/>
        </w:rPr>
        <w:t>54</w:t>
      </w:r>
      <w:r>
        <w:rPr>
          <w:b/>
          <w:bCs/>
          <w:color w:val="000000"/>
          <w:spacing w:val="0"/>
          <w:w w:val="100"/>
          <w:position w:val="0"/>
        </w:rPr>
        <w:t>、公允价值变动收益</w:t>
      </w:r>
      <w:bookmarkEnd w:id="1345"/>
    </w:p>
    <w:p>
      <w:pPr>
        <w:widowControl w:val="0"/>
        <w:spacing w:after="339" w:line="1" w:lineRule="exact"/>
      </w:pPr>
    </w:p>
    <w:p>
      <w:pPr>
        <w:pStyle w:val="Style33"/>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以公允价值计量的且其变动计入 当期损益的金融资产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140,390,574.39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140,390,574.39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bookmarkStart w:id="1346" w:name="bookmark1346"/>
      <w:r>
        <w:rPr>
          <w:rFonts w:ascii="Times New Roman" w:eastAsia="Times New Roman" w:hAnsi="Times New Roman" w:cs="Times New Roman"/>
          <w:b/>
          <w:bCs/>
          <w:color w:val="000000"/>
          <w:spacing w:val="0"/>
          <w:w w:val="100"/>
          <w:position w:val="0"/>
        </w:rPr>
        <w:t>55</w:t>
      </w:r>
      <w:r>
        <w:rPr>
          <w:b/>
          <w:bCs/>
          <w:color w:val="000000"/>
          <w:spacing w:val="0"/>
          <w:w w:val="100"/>
          <w:position w:val="0"/>
        </w:rPr>
        <w:t>、投资收益</w:t>
      </w:r>
      <w:bookmarkEnd w:id="1346"/>
    </w:p>
    <w:p>
      <w:pPr>
        <w:widowControl w:val="0"/>
        <w:spacing w:after="33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258"/>
        <w:gridCol w:w="2654"/>
        <w:gridCol w:w="2669"/>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2,726,738.75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以公允价值计量且其变动计入当期损益的金 融资产在持有期间的投资收益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56,279,454.95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处置以公允价值计量且其变动计入当期损益 的金融资产取得的投资收益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-29,655,471.17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可供出售金融资产在持有期间的投资收益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94,966,131.32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处置可供出售金融资产取得的投资收益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46,864,339.03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171,181,192.88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bookmarkStart w:id="1347" w:name="bookmark1347"/>
      <w:r>
        <w:rPr>
          <w:rFonts w:ascii="Times New Roman" w:eastAsia="Times New Roman" w:hAnsi="Times New Roman" w:cs="Times New Roman"/>
          <w:b/>
          <w:bCs/>
          <w:color w:val="000000"/>
          <w:spacing w:val="0"/>
          <w:w w:val="100"/>
          <w:position w:val="0"/>
        </w:rPr>
        <w:t>56</w:t>
      </w:r>
      <w:r>
        <w:rPr>
          <w:b/>
          <w:bCs/>
          <w:color w:val="000000"/>
          <w:spacing w:val="0"/>
          <w:w w:val="100"/>
          <w:position w:val="0"/>
        </w:rPr>
        <w:t>、营业外收入</w:t>
      </w:r>
      <w:bookmarkEnd w:id="1347"/>
    </w:p>
    <w:p>
      <w:pPr>
        <w:widowControl w:val="0"/>
        <w:spacing w:after="33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计入当期非经常性损益的 金额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82,053.68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34,077.90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82,053.68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82,053.68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34,077.90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82,053.68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12,874,428.02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6,580,794.50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12,874,428.02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171,258.54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287,504.42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171,258.54</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13,127,740.24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6,902,376.82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13,127,740.24</w:t>
            </w:r>
          </w:p>
        </w:tc>
      </w:tr>
    </w:tbl>
    <w:p>
      <w:pPr>
        <w:widowControl w:val="0"/>
        <w:spacing w:after="339" w:line="1" w:lineRule="exact"/>
      </w:pPr>
    </w:p>
    <w:p>
      <w:pPr>
        <w:pStyle w:val="Style26"/>
        <w:keepNext w:val="0"/>
        <w:keepLines w:val="0"/>
        <w:widowControl w:val="0"/>
        <w:shd w:val="clear" w:color="auto" w:fill="auto"/>
        <w:bidi w:val="0"/>
        <w:spacing w:before="0" w:after="0" w:line="240" w:lineRule="auto"/>
        <w:ind w:left="504" w:right="0" w:firstLine="0"/>
        <w:jc w:val="left"/>
      </w:pPr>
      <w:r>
        <w:rPr>
          <w:b/>
          <w:bCs/>
          <w:color w:val="000000"/>
          <w:spacing w:val="0"/>
          <w:w w:val="100"/>
          <w:position w:val="0"/>
        </w:rPr>
        <w:t>政府补助明细</w:t>
      </w:r>
    </w:p>
    <w:tbl>
      <w:tblPr>
        <w:tblOverlap w:val="never"/>
        <w:jc w:val="center"/>
        <w:tblLayout w:type="fixed"/>
      </w:tblPr>
      <w:tblGrid>
        <w:gridCol w:w="5770"/>
        <w:gridCol w:w="1426"/>
        <w:gridCol w:w="1315"/>
        <w:gridCol w:w="1358"/>
      </w:tblGrid>
      <w:tr>
        <w:trPr>
          <w:trHeight w:val="63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w:t>
            </w:r>
            <w:r>
              <w:rPr>
                <w:color w:val="000000"/>
                <w:spacing w:val="0"/>
                <w:w w:val="100"/>
                <w:position w:val="0"/>
              </w:rPr>
              <w:t>年度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与资产相关 </w:t>
            </w:r>
            <w:r>
              <w:rPr>
                <w:rFonts w:ascii="Times New Roman" w:eastAsia="Times New Roman" w:hAnsi="Times New Roman" w:cs="Times New Roman"/>
                <w:color w:val="000000"/>
                <w:spacing w:val="0"/>
                <w:w w:val="100"/>
                <w:position w:val="0"/>
              </w:rPr>
              <w:t>/</w:t>
            </w:r>
            <w:r>
              <w:rPr>
                <w:color w:val="000000"/>
                <w:spacing w:val="0"/>
                <w:w w:val="100"/>
                <w:position w:val="0"/>
              </w:rPr>
              <w:t>与收益相关</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left"/>
            </w:pPr>
            <w:r>
              <w:rPr>
                <w:color w:val="000000"/>
                <w:spacing w:val="0"/>
                <w:w w:val="100"/>
                <w:position w:val="0"/>
              </w:rPr>
              <w:t>佛山市顺德区三旧改造工作领导组拨付</w:t>
            </w:r>
            <w:r>
              <w:rPr>
                <w:rFonts w:ascii="Times New Roman" w:eastAsia="Times New Roman" w:hAnsi="Times New Roman" w:cs="Times New Roman"/>
                <w:color w:val="000000"/>
                <w:spacing w:val="0"/>
                <w:w w:val="100"/>
                <w:position w:val="0"/>
              </w:rPr>
              <w:t>2016</w:t>
            </w:r>
            <w:r>
              <w:rPr>
                <w:color w:val="000000"/>
                <w:spacing w:val="0"/>
                <w:w w:val="100"/>
                <w:position w:val="0"/>
              </w:rPr>
              <w:t>年三旧改造项目 财政奖励资金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5,441,847.00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深圳前海深港现代服务业合作区管理局落户引导奖励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顺德区财政国库</w:t>
            </w:r>
            <w:r>
              <w:rPr>
                <w:rFonts w:ascii="Times New Roman" w:eastAsia="Times New Roman" w:hAnsi="Times New Roman" w:cs="Times New Roman"/>
                <w:color w:val="000000"/>
                <w:spacing w:val="0"/>
                <w:w w:val="100"/>
                <w:position w:val="0"/>
              </w:rPr>
              <w:t>2015</w:t>
            </w:r>
            <w:r>
              <w:rPr>
                <w:color w:val="000000"/>
                <w:spacing w:val="0"/>
                <w:w w:val="100"/>
                <w:position w:val="0"/>
              </w:rPr>
              <w:t>年中央外经贸发展专项资金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rPr>
              <w:t>佛山市顺德区财政国库支付中心</w:t>
            </w:r>
            <w:r>
              <w:rPr>
                <w:rFonts w:ascii="Times New Roman" w:eastAsia="Times New Roman" w:hAnsi="Times New Roman" w:cs="Times New Roman"/>
                <w:color w:val="000000"/>
                <w:spacing w:val="0"/>
                <w:w w:val="100"/>
                <w:position w:val="0"/>
              </w:rPr>
              <w:t>2016</w:t>
            </w:r>
            <w:r>
              <w:rPr>
                <w:color w:val="000000"/>
                <w:spacing w:val="0"/>
                <w:w w:val="100"/>
                <w:position w:val="0"/>
              </w:rPr>
              <w:t>年技术改造相关专项结 余资金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528,120.00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宁夏回族自治区财政厅金融机构设立分支机构补贴资金</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5770"/>
        <w:gridCol w:w="1426"/>
        <w:gridCol w:w="1315"/>
        <w:gridCol w:w="1358"/>
      </w:tblGrid>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税收返还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425,838.96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佛山市顺德区经科局</w:t>
            </w:r>
            <w:r>
              <w:rPr>
                <w:rFonts w:ascii="Times New Roman" w:eastAsia="Times New Roman" w:hAnsi="Times New Roman" w:cs="Times New Roman"/>
                <w:color w:val="000000"/>
                <w:spacing w:val="0"/>
                <w:w w:val="100"/>
                <w:position w:val="0"/>
              </w:rPr>
              <w:t>2016</w:t>
            </w:r>
            <w:r>
              <w:rPr>
                <w:color w:val="000000"/>
                <w:spacing w:val="0"/>
                <w:w w:val="100"/>
                <w:position w:val="0"/>
              </w:rPr>
              <w:t>年度外经贸发展专项资金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银川经济技术开发区管理委员会财政局场外奖励款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寻乌县奖励资金及引导资金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顺德区市场监督管理局下拨</w:t>
            </w:r>
            <w:r>
              <w:rPr>
                <w:rFonts w:ascii="Times New Roman" w:eastAsia="Times New Roman" w:hAnsi="Times New Roman" w:cs="Times New Roman"/>
                <w:color w:val="000000"/>
                <w:spacing w:val="0"/>
                <w:w w:val="100"/>
                <w:position w:val="0"/>
              </w:rPr>
              <w:t>2015</w:t>
            </w:r>
            <w:r>
              <w:rPr>
                <w:color w:val="000000"/>
                <w:spacing w:val="0"/>
                <w:w w:val="100"/>
                <w:position w:val="0"/>
              </w:rPr>
              <w:t>年度顺德区实际技术标准战 略专项经费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扬州邗江区经信委技术改造补贴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174,300.00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宁夏回族自治区政府金融服务创新二等奖奖励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新疆乌鲁木齐市高新区政府新三板奖励款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上海黄浦区财政局重点企业扶持资金奖励款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扬州邗江区环保局减排专项奖励资金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高新技术企业及高新技术产品财政扶持资金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江西省财政厅金融业发展专项资金贡献奖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color w:val="1F497D"/>
                <w:spacing w:val="0"/>
                <w:w w:val="100"/>
                <w:position w:val="0"/>
              </w:rPr>
              <w:t>扬州邗江区人事局</w:t>
            </w:r>
            <w:r>
              <w:rPr>
                <w:color w:val="000000"/>
                <w:spacing w:val="0"/>
                <w:w w:val="100"/>
                <w:position w:val="0"/>
              </w:rPr>
              <w:t>企业稳岗补贴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77,280.19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佛山市顺德区经济和科技促进局拨付</w:t>
            </w:r>
            <w:r>
              <w:rPr>
                <w:rFonts w:ascii="Times New Roman" w:eastAsia="Times New Roman" w:hAnsi="Times New Roman" w:cs="Times New Roman"/>
                <w:color w:val="000000"/>
                <w:spacing w:val="0"/>
                <w:w w:val="100"/>
                <w:position w:val="0"/>
              </w:rPr>
              <w:t>2014</w:t>
            </w:r>
            <w:r>
              <w:rPr>
                <w:color w:val="000000"/>
                <w:spacing w:val="0"/>
                <w:w w:val="100"/>
                <w:position w:val="0"/>
              </w:rPr>
              <w:t>年专利资助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扬州市高新产品开发区纳税贡献三等奖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顺德区财税局补贴</w:t>
            </w:r>
            <w:r>
              <w:rPr>
                <w:rFonts w:ascii="Times New Roman" w:eastAsia="Times New Roman" w:hAnsi="Times New Roman" w:cs="Times New Roman"/>
                <w:color w:val="000000"/>
                <w:spacing w:val="0"/>
                <w:w w:val="100"/>
                <w:position w:val="0"/>
              </w:rPr>
              <w:t>,2015</w:t>
            </w:r>
            <w:r>
              <w:rPr>
                <w:color w:val="000000"/>
                <w:spacing w:val="0"/>
                <w:w w:val="100"/>
                <w:position w:val="0"/>
              </w:rPr>
              <w:t>年度安置残疾人就业奖励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41,438.87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九江市人民政府金融服务办公室</w:t>
            </w:r>
            <w:r>
              <w:rPr>
                <w:rFonts w:ascii="Times New Roman" w:eastAsia="Times New Roman" w:hAnsi="Times New Roman" w:cs="Times New Roman"/>
                <w:color w:val="000000"/>
                <w:spacing w:val="0"/>
                <w:w w:val="100"/>
                <w:position w:val="0"/>
              </w:rPr>
              <w:t>2015</w:t>
            </w:r>
            <w:r>
              <w:rPr>
                <w:color w:val="000000"/>
                <w:spacing w:val="0"/>
                <w:w w:val="100"/>
                <w:position w:val="0"/>
              </w:rPr>
              <w:t>年度全市金融机构支付 地方经济建设奖励金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年对外发展经贸专项资金（企业提升国际化经营能力事 项）补贴款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30,563.00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佛山市顺德区经济和科技促进局拨付</w:t>
            </w:r>
            <w:r>
              <w:rPr>
                <w:rFonts w:ascii="Times New Roman" w:eastAsia="Times New Roman" w:hAnsi="Times New Roman" w:cs="Times New Roman"/>
                <w:color w:val="000000"/>
                <w:spacing w:val="0"/>
                <w:w w:val="100"/>
                <w:position w:val="0"/>
              </w:rPr>
              <w:t>2015</w:t>
            </w:r>
            <w:r>
              <w:rPr>
                <w:color w:val="000000"/>
                <w:spacing w:val="0"/>
                <w:w w:val="100"/>
                <w:position w:val="0"/>
              </w:rPr>
              <w:t>年专利资助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12,040.00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容桂街道经济和科技促进局</w:t>
            </w:r>
            <w:r>
              <w:rPr>
                <w:rFonts w:ascii="Times New Roman" w:eastAsia="Times New Roman" w:hAnsi="Times New Roman" w:cs="Times New Roman"/>
                <w:color w:val="000000"/>
                <w:spacing w:val="0"/>
                <w:w w:val="100"/>
                <w:position w:val="0"/>
              </w:rPr>
              <w:t>2015</w:t>
            </w:r>
            <w:r>
              <w:rPr>
                <w:color w:val="000000"/>
                <w:spacing w:val="0"/>
                <w:w w:val="100"/>
                <w:position w:val="0"/>
              </w:rPr>
              <w:t>年突出贡献奖专项资金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永修财政局</w:t>
            </w:r>
            <w:r>
              <w:rPr>
                <w:rFonts w:ascii="Times New Roman" w:eastAsia="Times New Roman" w:hAnsi="Times New Roman" w:cs="Times New Roman"/>
                <w:color w:val="000000"/>
                <w:spacing w:val="0"/>
                <w:w w:val="100"/>
                <w:position w:val="0"/>
              </w:rPr>
              <w:t>2016</w:t>
            </w:r>
            <w:r>
              <w:rPr>
                <w:color w:val="000000"/>
                <w:spacing w:val="0"/>
                <w:w w:val="100"/>
                <w:position w:val="0"/>
              </w:rPr>
              <w:t>年度政府奖励金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年度专利资助费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科技局奖励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扬州市邗江区科技局高品奖励资金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佛山市顺德区财政国库拨付</w:t>
            </w:r>
            <w:r>
              <w:rPr>
                <w:rFonts w:ascii="Times New Roman" w:eastAsia="Times New Roman" w:hAnsi="Times New Roman" w:cs="Times New Roman"/>
                <w:color w:val="000000"/>
                <w:spacing w:val="0"/>
                <w:w w:val="100"/>
                <w:position w:val="0"/>
              </w:rPr>
              <w:t>2014</w:t>
            </w:r>
            <w:r>
              <w:rPr>
                <w:color w:val="000000"/>
                <w:spacing w:val="0"/>
                <w:w w:val="100"/>
                <w:position w:val="0"/>
              </w:rPr>
              <w:t>年外经贸发展专项资金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2,740,000.00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佛山市顺德区经济和科技促进局、财税局拨付</w:t>
            </w:r>
            <w:r>
              <w:rPr>
                <w:rFonts w:ascii="Times New Roman" w:eastAsia="Times New Roman" w:hAnsi="Times New Roman" w:cs="Times New Roman"/>
                <w:color w:val="000000"/>
                <w:spacing w:val="0"/>
                <w:w w:val="100"/>
                <w:position w:val="0"/>
              </w:rPr>
              <w:t>2014</w:t>
            </w:r>
            <w:r>
              <w:rPr>
                <w:color w:val="000000"/>
                <w:spacing w:val="0"/>
                <w:w w:val="100"/>
                <w:position w:val="0"/>
              </w:rPr>
              <w:t>年省级企 业技术中心专项计划补助资金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佛山市顺德区财税局拨付</w:t>
            </w:r>
            <w:r>
              <w:rPr>
                <w:rFonts w:ascii="Times New Roman" w:eastAsia="Times New Roman" w:hAnsi="Times New Roman" w:cs="Times New Roman"/>
                <w:color w:val="000000"/>
                <w:spacing w:val="0"/>
                <w:w w:val="100"/>
                <w:position w:val="0"/>
              </w:rPr>
              <w:t>2014</w:t>
            </w:r>
            <w:r>
              <w:rPr>
                <w:color w:val="000000"/>
                <w:spacing w:val="0"/>
                <w:w w:val="100"/>
                <w:position w:val="0"/>
              </w:rPr>
              <w:t>年推动加工贸易转型升级专项 资金（第二期）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扬州市邗江区财政局拨付</w:t>
            </w:r>
            <w:r>
              <w:rPr>
                <w:rFonts w:ascii="Times New Roman" w:eastAsia="Times New Roman" w:hAnsi="Times New Roman" w:cs="Times New Roman"/>
                <w:color w:val="000000"/>
                <w:spacing w:val="0"/>
                <w:w w:val="100"/>
                <w:position w:val="0"/>
              </w:rPr>
              <w:t>2014</w:t>
            </w:r>
            <w:r>
              <w:rPr>
                <w:color w:val="000000"/>
                <w:spacing w:val="0"/>
                <w:w w:val="100"/>
                <w:position w:val="0"/>
              </w:rPr>
              <w:t>年省级企业技术中心奖励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9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color w:val="000000"/>
                <w:spacing w:val="0"/>
                <w:w w:val="100"/>
                <w:position w:val="0"/>
              </w:rPr>
              <w:t>佛山市顺德区经济和科技促进局拨付</w:t>
            </w:r>
            <w:r>
              <w:rPr>
                <w:rFonts w:ascii="Times New Roman" w:eastAsia="Times New Roman" w:hAnsi="Times New Roman" w:cs="Times New Roman"/>
                <w:color w:val="000000"/>
                <w:spacing w:val="0"/>
                <w:w w:val="100"/>
                <w:position w:val="0"/>
              </w:rPr>
              <w:t>2013</w:t>
            </w:r>
            <w:r>
              <w:rPr>
                <w:color w:val="000000"/>
                <w:spacing w:val="0"/>
                <w:w w:val="100"/>
                <w:position w:val="0"/>
              </w:rPr>
              <w:t>年度佛山市科学技 术奖励项目</w:t>
            </w:r>
            <w:r>
              <w:rPr>
                <w:rFonts w:ascii="Times New Roman" w:eastAsia="Times New Roman" w:hAnsi="Times New Roman" w:cs="Times New Roman"/>
                <w:color w:val="000000"/>
                <w:spacing w:val="0"/>
                <w:w w:val="100"/>
                <w:position w:val="0"/>
              </w:rPr>
              <w:t>"CPE/POE/LDPE"</w:t>
            </w:r>
            <w:r>
              <w:rPr>
                <w:color w:val="000000"/>
                <w:spacing w:val="0"/>
                <w:w w:val="100"/>
                <w:position w:val="0"/>
              </w:rPr>
              <w:t>组分型绝缘橡胶及制作方法专 利类项目奖金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佛山市顺德区拨付商标品牌战略扶持资金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9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中共扬州市邗江区委高新技术产业开发区工作委员会、中共 扬州市邗江区委汉河街道工作委员会拨付</w:t>
            </w:r>
            <w:r>
              <w:rPr>
                <w:rFonts w:ascii="Times New Roman" w:eastAsia="Times New Roman" w:hAnsi="Times New Roman" w:cs="Times New Roman"/>
                <w:color w:val="000000"/>
                <w:spacing w:val="0"/>
                <w:w w:val="100"/>
                <w:position w:val="0"/>
              </w:rPr>
              <w:t>2014</w:t>
            </w:r>
            <w:r>
              <w:rPr>
                <w:color w:val="000000"/>
                <w:spacing w:val="0"/>
                <w:w w:val="100"/>
                <w:position w:val="0"/>
              </w:rPr>
              <w:t>年度纳税贡献 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佛山市顺德区经济和科技促进局拨付专利资助奖金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佛山市顺德区科学技术协会拨付</w:t>
            </w:r>
            <w:r>
              <w:rPr>
                <w:rFonts w:ascii="Times New Roman" w:eastAsia="Times New Roman" w:hAnsi="Times New Roman" w:cs="Times New Roman"/>
                <w:color w:val="000000"/>
                <w:spacing w:val="0"/>
                <w:w w:val="100"/>
                <w:position w:val="0"/>
              </w:rPr>
              <w:t>2014</w:t>
            </w:r>
            <w:r>
              <w:rPr>
                <w:color w:val="000000"/>
                <w:spacing w:val="0"/>
                <w:w w:val="100"/>
                <w:position w:val="0"/>
              </w:rPr>
              <w:t>年企业科协启动经费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中共扬州市邗江区委蒋王街道工作委员会、扬州市邗江区人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5770"/>
        <w:gridCol w:w="1426"/>
        <w:gridCol w:w="1315"/>
        <w:gridCol w:w="1358"/>
      </w:tblGrid>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民政府蒋王街道办事处拨付</w:t>
            </w:r>
            <w:r>
              <w:rPr>
                <w:rFonts w:ascii="Times New Roman" w:eastAsia="Times New Roman" w:hAnsi="Times New Roman" w:cs="Times New Roman"/>
                <w:color w:val="000000"/>
                <w:spacing w:val="0"/>
                <w:w w:val="100"/>
                <w:position w:val="0"/>
              </w:rPr>
              <w:t>2014</w:t>
            </w:r>
            <w:r>
              <w:rPr>
                <w:color w:val="000000"/>
                <w:spacing w:val="0"/>
                <w:w w:val="100"/>
                <w:position w:val="0"/>
              </w:rPr>
              <w:t>年规模经济发展奖奖金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扬州市邗江区财政局拨付</w:t>
            </w:r>
            <w:r>
              <w:rPr>
                <w:rFonts w:ascii="Times New Roman" w:eastAsia="Times New Roman" w:hAnsi="Times New Roman" w:cs="Times New Roman"/>
                <w:color w:val="000000"/>
                <w:spacing w:val="0"/>
                <w:w w:val="100"/>
                <w:position w:val="0"/>
              </w:rPr>
              <w:t>2014</w:t>
            </w:r>
            <w:r>
              <w:rPr>
                <w:color w:val="000000"/>
                <w:spacing w:val="0"/>
                <w:w w:val="100"/>
                <w:position w:val="0"/>
              </w:rPr>
              <w:t>年市级信用管理示范企业奖励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扬州市邗江区科技局拨付</w:t>
            </w:r>
            <w:r>
              <w:rPr>
                <w:rFonts w:ascii="Times New Roman" w:eastAsia="Times New Roman" w:hAnsi="Times New Roman" w:cs="Times New Roman"/>
                <w:color w:val="000000"/>
                <w:spacing w:val="0"/>
                <w:w w:val="100"/>
                <w:position w:val="0"/>
              </w:rPr>
              <w:t>2014</w:t>
            </w:r>
            <w:r>
              <w:rPr>
                <w:color w:val="000000"/>
                <w:spacing w:val="0"/>
                <w:w w:val="100"/>
                <w:position w:val="0"/>
              </w:rPr>
              <w:t>年省高新技术产品奖励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扬州市科技局拨付</w:t>
            </w:r>
            <w:r>
              <w:rPr>
                <w:rFonts w:ascii="Times New Roman" w:eastAsia="Times New Roman" w:hAnsi="Times New Roman" w:cs="Times New Roman"/>
                <w:color w:val="000000"/>
                <w:spacing w:val="0"/>
                <w:w w:val="100"/>
                <w:position w:val="0"/>
              </w:rPr>
              <w:t>2014</w:t>
            </w:r>
            <w:r>
              <w:rPr>
                <w:color w:val="000000"/>
                <w:spacing w:val="0"/>
                <w:w w:val="100"/>
                <w:position w:val="0"/>
              </w:rPr>
              <w:t>年度“专利财政资助（奖励）”资金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年度邗江区锅炉茶水炉整治专项补助资金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扬州市财政局拨付</w:t>
            </w:r>
            <w:r>
              <w:rPr>
                <w:rFonts w:ascii="Times New Roman" w:eastAsia="Times New Roman" w:hAnsi="Times New Roman" w:cs="Times New Roman"/>
                <w:color w:val="000000"/>
                <w:spacing w:val="0"/>
                <w:w w:val="100"/>
                <w:position w:val="0"/>
              </w:rPr>
              <w:t>2014</w:t>
            </w:r>
            <w:r>
              <w:rPr>
                <w:color w:val="000000"/>
                <w:spacing w:val="0"/>
                <w:w w:val="100"/>
                <w:position w:val="0"/>
              </w:rPr>
              <w:t>年度“燃煤锅炉整治项目”资金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扬州市财政局按国家要求拨付</w:t>
            </w:r>
            <w:r>
              <w:rPr>
                <w:rFonts w:ascii="Times New Roman" w:eastAsia="Times New Roman" w:hAnsi="Times New Roman" w:cs="Times New Roman"/>
                <w:color w:val="000000"/>
                <w:spacing w:val="0"/>
                <w:w w:val="100"/>
                <w:position w:val="0"/>
              </w:rPr>
              <w:t>2014</w:t>
            </w:r>
            <w:r>
              <w:rPr>
                <w:color w:val="000000"/>
                <w:spacing w:val="0"/>
                <w:w w:val="100"/>
                <w:position w:val="0"/>
              </w:rPr>
              <w:t>年度“大气污染防治”专 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顺德区商标品牌战略扶持资金奖励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年顺德区促进知识产权发展专利资金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38,150.00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年推动加工贸易转型升级专项资金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465,400.00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佛山市</w:t>
            </w:r>
            <w:r>
              <w:rPr>
                <w:rFonts w:ascii="Times New Roman" w:eastAsia="Times New Roman" w:hAnsi="Times New Roman" w:cs="Times New Roman"/>
                <w:color w:val="000000"/>
                <w:spacing w:val="0"/>
                <w:w w:val="100"/>
                <w:position w:val="0"/>
              </w:rPr>
              <w:t>PCT</w:t>
            </w:r>
            <w:r>
              <w:rPr>
                <w:color w:val="000000"/>
                <w:spacing w:val="0"/>
                <w:w w:val="100"/>
                <w:position w:val="0"/>
              </w:rPr>
              <w:t>专利申请资助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年度顺德区安排残疾人就业成绩显著用人单位奖励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75,744.50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佛山市顺德区容桂街道经济和科技促进局</w:t>
            </w:r>
            <w:r>
              <w:rPr>
                <w:rFonts w:ascii="Times New Roman" w:eastAsia="Times New Roman" w:hAnsi="Times New Roman" w:cs="Times New Roman"/>
                <w:color w:val="000000"/>
                <w:spacing w:val="0"/>
                <w:w w:val="100"/>
                <w:position w:val="0"/>
              </w:rPr>
              <w:t>2014</w:t>
            </w:r>
            <w:r>
              <w:rPr>
                <w:color w:val="000000"/>
                <w:spacing w:val="0"/>
                <w:w w:val="100"/>
                <w:position w:val="0"/>
              </w:rPr>
              <w:t>年度突出贡献 奖专项资金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12,874,428.02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6,580,794.50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91" w:right="0" w:firstLine="0"/>
        <w:jc w:val="left"/>
      </w:pPr>
      <w:bookmarkStart w:id="1348" w:name="bookmark1348"/>
      <w:r>
        <w:rPr>
          <w:rFonts w:ascii="Times New Roman" w:eastAsia="Times New Roman" w:hAnsi="Times New Roman" w:cs="Times New Roman"/>
          <w:b/>
          <w:bCs/>
          <w:color w:val="000000"/>
          <w:spacing w:val="0"/>
          <w:w w:val="100"/>
          <w:position w:val="0"/>
        </w:rPr>
        <w:t>57</w:t>
      </w:r>
      <w:r>
        <w:rPr>
          <w:b/>
          <w:bCs/>
          <w:color w:val="000000"/>
          <w:spacing w:val="0"/>
          <w:w w:val="100"/>
          <w:position w:val="0"/>
        </w:rPr>
        <w:t>、营业外支出</w:t>
      </w:r>
      <w:bookmarkEnd w:id="1348"/>
    </w:p>
    <w:p>
      <w:pPr>
        <w:widowControl w:val="0"/>
        <w:spacing w:after="33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计入当期非经常性损益的 金额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1,077,523.60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1,120,005.14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1,077,523.60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1,077,523.60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1,120,005.14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1,077,523.60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3,902,940.92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93,568.50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3,902,940.92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罚款滞纳金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1,315,562.49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409,541.12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1,315,562.49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183,590.96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6,479,617.97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1,623,114.76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6,296,027.01</w:t>
            </w:r>
          </w:p>
        </w:tc>
      </w:tr>
    </w:tbl>
    <w:p>
      <w:pPr>
        <w:pStyle w:val="Style26"/>
        <w:keepNext w:val="0"/>
        <w:keepLines w:val="0"/>
        <w:widowControl w:val="0"/>
        <w:shd w:val="clear" w:color="auto" w:fill="auto"/>
        <w:bidi w:val="0"/>
        <w:spacing w:before="0" w:after="0" w:line="240" w:lineRule="auto"/>
        <w:ind w:left="0" w:right="0" w:firstLine="0"/>
        <w:jc w:val="left"/>
      </w:pPr>
      <w:bookmarkStart w:id="1349" w:name="bookmark1349"/>
      <w:r>
        <w:rPr>
          <w:rFonts w:ascii="Times New Roman" w:eastAsia="Times New Roman" w:hAnsi="Times New Roman" w:cs="Times New Roman"/>
          <w:b/>
          <w:bCs/>
          <w:color w:val="000000"/>
          <w:spacing w:val="0"/>
          <w:w w:val="100"/>
          <w:position w:val="0"/>
        </w:rPr>
        <w:t>58</w:t>
      </w:r>
      <w:r>
        <w:rPr>
          <w:b/>
          <w:bCs/>
          <w:color w:val="000000"/>
          <w:spacing w:val="0"/>
          <w:w w:val="100"/>
          <w:position w:val="0"/>
        </w:rPr>
        <w:t>、所得税费用</w:t>
      </w:r>
      <w:bookmarkEnd w:id="1349"/>
    </w:p>
    <w:p>
      <w:pPr>
        <w:widowControl w:val="0"/>
        <w:spacing w:after="339" w:line="1" w:lineRule="exact"/>
      </w:pPr>
    </w:p>
    <w:p>
      <w:pPr>
        <w:pStyle w:val="Style47"/>
        <w:keepNext/>
        <w:keepLines/>
        <w:widowControl w:val="0"/>
        <w:shd w:val="clear" w:color="auto" w:fill="auto"/>
        <w:bidi w:val="0"/>
        <w:spacing w:before="0" w:after="340" w:line="240" w:lineRule="auto"/>
        <w:ind w:left="0" w:right="0" w:firstLine="220"/>
        <w:jc w:val="left"/>
      </w:pPr>
      <w:bookmarkStart w:id="1350" w:name="bookmark1350"/>
      <w:bookmarkStart w:id="1351" w:name="bookmark1351"/>
      <w:bookmarkStart w:id="1352" w:name="bookmark135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350"/>
      <w:bookmarkEnd w:id="1351"/>
      <w:bookmarkEnd w:id="1352"/>
    </w:p>
    <w:p>
      <w:pPr>
        <w:pStyle w:val="Style26"/>
        <w:keepNext w:val="0"/>
        <w:keepLines w:val="0"/>
        <w:widowControl w:val="0"/>
        <w:shd w:val="clear" w:color="auto" w:fill="auto"/>
        <w:bidi w:val="0"/>
        <w:spacing w:before="0" w:after="0" w:line="240" w:lineRule="auto"/>
        <w:ind w:left="8587"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152,088,308.58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5,837,494.84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26,225,236.82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-287,087.43</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178,313,545.40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5,550,407.41</w:t>
            </w:r>
          </w:p>
        </w:tc>
      </w:tr>
    </w:tbl>
    <w:p>
      <w:pPr>
        <w:spacing w:lineRule="exact" w:line="1"/>
        <w:rPr>
          <w:sz w:val="2"/>
          <w:szCs w:val="2"/>
        </w:rPr>
      </w:pPr>
      <w:r>
        <w:br w:type="page"/>
      </w:r>
    </w:p>
    <w:p>
      <w:pPr>
        <w:pStyle w:val="Style30"/>
        <w:keepNext/>
        <w:keepLines/>
        <w:widowControl w:val="0"/>
        <w:shd w:val="clear" w:color="auto" w:fill="auto"/>
        <w:bidi w:val="0"/>
        <w:spacing w:before="0" w:after="340" w:line="240" w:lineRule="auto"/>
        <w:ind w:left="0" w:right="0" w:firstLine="0"/>
        <w:jc w:val="left"/>
      </w:pPr>
      <w:bookmarkStart w:id="1353" w:name="bookmark1353"/>
      <w:bookmarkStart w:id="1354" w:name="bookmark1354"/>
      <w:bookmarkStart w:id="1355" w:name="bookmark1355"/>
      <w:bookmarkStart w:id="1356" w:name="bookmark1356"/>
      <w:r>
        <w:rPr>
          <w:rFonts w:ascii="Times New Roman" w:eastAsia="Times New Roman" w:hAnsi="Times New Roman" w:cs="Times New Roman"/>
          <w:color w:val="000000"/>
          <w:spacing w:val="0"/>
          <w:w w:val="100"/>
          <w:position w:val="0"/>
        </w:rPr>
        <w:t>5</w:t>
      </w:r>
      <w:bookmarkEnd w:id="1355"/>
      <w:r>
        <w:rPr>
          <w:rFonts w:ascii="Times New Roman" w:eastAsia="Times New Roman" w:hAnsi="Times New Roman" w:cs="Times New Roman"/>
          <w:color w:val="000000"/>
          <w:spacing w:val="0"/>
          <w:w w:val="100"/>
          <w:position w:val="0"/>
        </w:rPr>
        <w:t>9</w:t>
      </w:r>
      <w:r>
        <w:rPr>
          <w:color w:val="000000"/>
          <w:spacing w:val="0"/>
          <w:w w:val="100"/>
          <w:position w:val="0"/>
        </w:rPr>
        <w:t>、现金流量表项目</w:t>
      </w:r>
      <w:bookmarkEnd w:id="1353"/>
      <w:bookmarkEnd w:id="1354"/>
      <w:bookmarkEnd w:id="1356"/>
    </w:p>
    <w:p>
      <w:pPr>
        <w:pStyle w:val="Style47"/>
        <w:keepNext/>
        <w:keepLines/>
        <w:widowControl w:val="0"/>
        <w:shd w:val="clear" w:color="auto" w:fill="auto"/>
        <w:bidi w:val="0"/>
        <w:spacing w:before="0" w:after="340" w:line="240" w:lineRule="auto"/>
        <w:ind w:left="0" w:right="0" w:firstLine="0"/>
        <w:jc w:val="left"/>
      </w:pPr>
      <w:bookmarkStart w:id="1357" w:name="bookmark1357"/>
      <w:bookmarkStart w:id="1358" w:name="bookmark1358"/>
      <w:bookmarkStart w:id="1359" w:name="bookmark135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357"/>
      <w:bookmarkEnd w:id="1358"/>
      <w:bookmarkEnd w:id="135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06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34,595,468.09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1,213,170.37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14,874,428.02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8,250,794.50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r>
              <w:rPr>
                <w:rFonts w:ascii="Times New Roman" w:eastAsia="Times New Roman" w:hAnsi="Times New Roman" w:cs="Times New Roman"/>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1,214,734.37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其他收入、清算款、其他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20,942,650.23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企业间往来等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1,471,127.20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287,504.42</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71,627,280.71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11,222,596.49</w:t>
            </w:r>
          </w:p>
        </w:tc>
      </w:tr>
    </w:tbl>
    <w:p>
      <w:pPr>
        <w:pStyle w:val="Style26"/>
        <w:keepNext w:val="0"/>
        <w:keepLines w:val="0"/>
        <w:widowControl w:val="0"/>
        <w:shd w:val="clear" w:color="auto" w:fill="auto"/>
        <w:bidi w:val="0"/>
        <w:spacing w:before="0" w:after="0" w:line="240" w:lineRule="auto"/>
        <w:ind w:left="0" w:right="0" w:firstLine="0"/>
        <w:jc w:val="center"/>
      </w:pPr>
      <w:bookmarkStart w:id="1360" w:name="bookmark1360"/>
      <w:r>
        <w:rPr>
          <w:b/>
          <w:bCs/>
          <w:color w:val="000000"/>
          <w:spacing w:val="0"/>
          <w:w w:val="100"/>
          <w:position w:val="0"/>
        </w:rPr>
        <w:t>（</w:t>
      </w:r>
      <w:r>
        <w:rPr>
          <w:rFonts w:ascii="Times New Roman" w:eastAsia="Times New Roman" w:hAnsi="Times New Roman" w:cs="Times New Roman"/>
          <w:b/>
          <w:bCs/>
          <w:color w:val="000000"/>
          <w:spacing w:val="0"/>
          <w:w w:val="100"/>
          <w:position w:val="0"/>
        </w:rPr>
        <w:t>2</w:t>
      </w:r>
      <w:r>
        <w:rPr>
          <w:b/>
          <w:bCs/>
          <w:color w:val="000000"/>
          <w:spacing w:val="0"/>
          <w:w w:val="100"/>
          <w:position w:val="0"/>
        </w:rPr>
        <w:t>）支付的其他与经营活动有关的现金</w:t>
      </w:r>
      <w:bookmarkEnd w:id="1360"/>
    </w:p>
    <w:p>
      <w:pPr>
        <w:widowControl w:val="0"/>
        <w:spacing w:after="33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06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22,802,754.86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19,884,193.27</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125,393,573.49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21,367,874.53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支付银行手续费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194,463.09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189,242.82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存出保证金、清算款、其他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223,945,414.50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r>
              <w:rPr>
                <w:rFonts w:ascii="Times New Roman" w:eastAsia="Times New Roman" w:hAnsi="Times New Roman" w:cs="Times New Roman"/>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5,419,493.90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503,109.62</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企业间往来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57,064,032.26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434,819,732.10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41,944,420.24</w:t>
            </w:r>
          </w:p>
        </w:tc>
      </w:tr>
    </w:tbl>
    <w:p>
      <w:pPr>
        <w:pStyle w:val="Style26"/>
        <w:keepNext w:val="0"/>
        <w:keepLines w:val="0"/>
        <w:widowControl w:val="0"/>
        <w:shd w:val="clear" w:color="auto" w:fill="auto"/>
        <w:bidi w:val="0"/>
        <w:spacing w:before="0" w:after="0" w:line="240" w:lineRule="auto"/>
        <w:ind w:left="0" w:right="0" w:firstLine="0"/>
        <w:jc w:val="center"/>
      </w:pPr>
      <w:bookmarkStart w:id="1361" w:name="bookmark1361"/>
      <w:r>
        <w:rPr>
          <w:b/>
          <w:bCs/>
          <w:color w:val="000000"/>
          <w:spacing w:val="0"/>
          <w:w w:val="100"/>
          <w:position w:val="0"/>
        </w:rPr>
        <w:t>（</w:t>
      </w:r>
      <w:r>
        <w:rPr>
          <w:rFonts w:ascii="Times New Roman" w:eastAsia="Times New Roman" w:hAnsi="Times New Roman" w:cs="Times New Roman"/>
          <w:b/>
          <w:bCs/>
          <w:color w:val="000000"/>
          <w:spacing w:val="0"/>
          <w:w w:val="100"/>
          <w:position w:val="0"/>
        </w:rPr>
        <w:t>3</w:t>
      </w:r>
      <w:r>
        <w:rPr>
          <w:b/>
          <w:bCs/>
          <w:color w:val="000000"/>
          <w:spacing w:val="0"/>
          <w:w w:val="100"/>
          <w:position w:val="0"/>
        </w:rPr>
        <w:t>）收到的其他与投资活动有关的现金</w:t>
      </w:r>
      <w:bookmarkEnd w:id="1361"/>
    </w:p>
    <w:p>
      <w:pPr>
        <w:widowControl w:val="0"/>
        <w:spacing w:after="33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974"/>
        <w:gridCol w:w="2410"/>
        <w:gridCol w:w="3197"/>
      </w:tblGrid>
      <w:tr>
        <w:trPr>
          <w:trHeight w:val="32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06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非同一控制下收购子公司所持有的现金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9,132,721,810.22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9,132,721,810.22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0"/>
        <w:keepNext/>
        <w:keepLines/>
        <w:widowControl w:val="0"/>
        <w:shd w:val="clear" w:color="auto" w:fill="auto"/>
        <w:bidi w:val="0"/>
        <w:spacing w:before="0" w:after="340" w:line="240" w:lineRule="auto"/>
        <w:ind w:left="0" w:right="0" w:firstLine="0"/>
        <w:jc w:val="left"/>
      </w:pPr>
      <w:bookmarkStart w:id="1362" w:name="bookmark1362"/>
      <w:bookmarkStart w:id="1363" w:name="bookmark1363"/>
      <w:bookmarkStart w:id="1364" w:name="bookmark1364"/>
      <w:bookmarkStart w:id="1365" w:name="bookmark1365"/>
      <w:r>
        <w:rPr>
          <w:rFonts w:ascii="Times New Roman" w:eastAsia="Times New Roman" w:hAnsi="Times New Roman" w:cs="Times New Roman"/>
          <w:color w:val="000000"/>
          <w:spacing w:val="0"/>
          <w:w w:val="100"/>
          <w:position w:val="0"/>
        </w:rPr>
        <w:t>6</w:t>
      </w:r>
      <w:bookmarkEnd w:id="1364"/>
      <w:r>
        <w:rPr>
          <w:rFonts w:ascii="Times New Roman" w:eastAsia="Times New Roman" w:hAnsi="Times New Roman" w:cs="Times New Roman"/>
          <w:color w:val="000000"/>
          <w:spacing w:val="0"/>
          <w:w w:val="100"/>
          <w:position w:val="0"/>
        </w:rPr>
        <w:t>0</w:t>
      </w:r>
      <w:r>
        <w:rPr>
          <w:color w:val="000000"/>
          <w:spacing w:val="0"/>
          <w:w w:val="100"/>
          <w:position w:val="0"/>
        </w:rPr>
        <w:t>、现金流量表补充资料</w:t>
      </w:r>
      <w:bookmarkEnd w:id="1362"/>
      <w:bookmarkEnd w:id="1363"/>
      <w:bookmarkEnd w:id="1365"/>
    </w:p>
    <w:p>
      <w:pPr>
        <w:pStyle w:val="Style47"/>
        <w:keepNext/>
        <w:keepLines/>
        <w:widowControl w:val="0"/>
        <w:shd w:val="clear" w:color="auto" w:fill="auto"/>
        <w:bidi w:val="0"/>
        <w:spacing w:before="0" w:after="340" w:line="240" w:lineRule="auto"/>
        <w:ind w:left="0" w:right="0" w:firstLine="0"/>
        <w:jc w:val="left"/>
      </w:pPr>
      <w:bookmarkStart w:id="1366" w:name="bookmark1366"/>
      <w:bookmarkStart w:id="1367" w:name="bookmark1367"/>
      <w:bookmarkStart w:id="1368" w:name="bookmark136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366"/>
      <w:bookmarkEnd w:id="1367"/>
      <w:bookmarkEnd w:id="136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968"/>
        <w:gridCol w:w="2299"/>
        <w:gridCol w:w="2314"/>
      </w:tblGrid>
      <w:tr>
        <w:trPr>
          <w:trHeight w:val="336"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bl>
    <w:p>
      <w:pPr>
        <w:spacing w:lineRule="exact" w:line="1"/>
        <w:rPr>
          <w:sz w:val="2"/>
          <w:szCs w:val="2"/>
        </w:rPr>
      </w:pPr>
      <w:r>
        <w:br w:type="page"/>
      </w:r>
    </w:p>
    <w:tbl>
      <w:tblPr>
        <w:tblOverlap w:val="never"/>
        <w:jc w:val="center"/>
        <w:tblLayout w:type="fixed"/>
      </w:tblPr>
      <w:tblGrid>
        <w:gridCol w:w="4968"/>
        <w:gridCol w:w="2299"/>
        <w:gridCol w:w="2314"/>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86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498,838,537.82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26,045,200.10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2,440,062.36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2,789,074.76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40,145,636.17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30,767,822.59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2,818,903.60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1,013,734.84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5,344,701.32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1,141,092.46</w:t>
            </w:r>
          </w:p>
        </w:tc>
      </w:tr>
      <w:tr>
        <w:trPr>
          <w:trHeight w:val="63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处置固定资产、无形资产和其他长期资产的损失（收 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978,070.39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1,085,927.24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17,399.53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-140,390,574.39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63,702,216.42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22,309,548.70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-2,766,122.10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744,449.19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-276,858.98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30,486,414.52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-10,228.45</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-108,267,625.47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101,612,774.84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-4,867,955,168.77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169,993,861.42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-1,759,883,404.94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-89,743,498.05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-6,233,746,504.35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266,728,451.47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86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8,692,033,053.97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40,749,878.15</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40,749,878.15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39,326,922.02</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8,651,283,175.82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1,422,956.13</w:t>
            </w:r>
          </w:p>
        </w:tc>
      </w:tr>
    </w:tbl>
    <w:p>
      <w:pPr>
        <w:pStyle w:val="Style26"/>
        <w:keepNext w:val="0"/>
        <w:keepLines w:val="0"/>
        <w:widowControl w:val="0"/>
        <w:shd w:val="clear" w:color="auto" w:fill="auto"/>
        <w:bidi w:val="0"/>
        <w:spacing w:before="0" w:after="0" w:line="240" w:lineRule="auto"/>
        <w:ind w:left="96" w:right="0" w:firstLine="0"/>
        <w:jc w:val="left"/>
      </w:pPr>
      <w:bookmarkStart w:id="1369" w:name="bookmark1369"/>
      <w:r>
        <w:rPr>
          <w:rFonts w:ascii="Times New Roman" w:eastAsia="Times New Roman" w:hAnsi="Times New Roman" w:cs="Times New Roman"/>
          <w:b/>
          <w:bCs/>
          <w:color w:val="000000"/>
          <w:spacing w:val="0"/>
          <w:w w:val="100"/>
          <w:position w:val="0"/>
        </w:rPr>
        <w:t>（2</w:t>
      </w:r>
      <w:r>
        <w:rPr>
          <w:b/>
          <w:bCs/>
          <w:color w:val="000000"/>
          <w:spacing w:val="0"/>
          <w:w w:val="100"/>
          <w:position w:val="0"/>
        </w:rPr>
        <w:t>）现金和现金等价物的构成</w:t>
      </w:r>
      <w:bookmarkEnd w:id="1369"/>
    </w:p>
    <w:p>
      <w:pPr>
        <w:widowControl w:val="0"/>
        <w:spacing w:after="33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8,692,033,053.97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40,749,878.15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88,475.67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7,268.83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7,734,874,836.38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40,742,609.32</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8,692,033,053.97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40,749,878.15</w:t>
            </w:r>
          </w:p>
        </w:tc>
      </w:tr>
    </w:tbl>
    <w:p>
      <w:pPr>
        <w:pStyle w:val="Style26"/>
        <w:keepNext w:val="0"/>
        <w:keepLines w:val="0"/>
        <w:widowControl w:val="0"/>
        <w:shd w:val="clear" w:color="auto" w:fill="auto"/>
        <w:bidi w:val="0"/>
        <w:spacing w:before="0" w:after="0" w:line="240" w:lineRule="auto"/>
        <w:ind w:left="408" w:right="0" w:firstLine="0"/>
        <w:jc w:val="left"/>
      </w:pPr>
      <w:r>
        <w:rPr>
          <w:color w:val="000000"/>
          <w:spacing w:val="0"/>
          <w:w w:val="100"/>
          <w:position w:val="0"/>
        </w:rPr>
        <w:t>注：现金和现金等价物不含母公司或集团内子公司使用受限制的现金和现金等价物。</w:t>
      </w:r>
      <w:r>
        <w:br w:type="page"/>
      </w:r>
    </w:p>
    <w:p>
      <w:pPr>
        <w:pStyle w:val="Style30"/>
        <w:keepNext/>
        <w:keepLines/>
        <w:widowControl w:val="0"/>
        <w:shd w:val="clear" w:color="auto" w:fill="auto"/>
        <w:bidi w:val="0"/>
        <w:spacing w:before="0" w:after="340" w:line="240" w:lineRule="auto"/>
        <w:ind w:left="0" w:right="0" w:firstLine="0"/>
        <w:jc w:val="both"/>
      </w:pPr>
      <w:bookmarkStart w:id="1370" w:name="bookmark1370"/>
      <w:bookmarkStart w:id="1371" w:name="bookmark1371"/>
      <w:bookmarkStart w:id="1372" w:name="bookmark1372"/>
      <w:bookmarkStart w:id="1373" w:name="bookmark1373"/>
      <w:r>
        <w:rPr>
          <w:rFonts w:ascii="Times New Roman" w:eastAsia="Times New Roman" w:hAnsi="Times New Roman" w:cs="Times New Roman"/>
          <w:color w:val="000000"/>
          <w:spacing w:val="0"/>
          <w:w w:val="100"/>
          <w:position w:val="0"/>
        </w:rPr>
        <w:t>6</w:t>
      </w:r>
      <w:bookmarkEnd w:id="1372"/>
      <w:r>
        <w:rPr>
          <w:rFonts w:ascii="Times New Roman" w:eastAsia="Times New Roman" w:hAnsi="Times New Roman" w:cs="Times New Roman"/>
          <w:color w:val="000000"/>
          <w:spacing w:val="0"/>
          <w:w w:val="100"/>
          <w:position w:val="0"/>
        </w:rPr>
        <w:t>1</w:t>
      </w:r>
      <w:r>
        <w:rPr>
          <w:color w:val="000000"/>
          <w:spacing w:val="0"/>
          <w:w w:val="100"/>
          <w:position w:val="0"/>
        </w:rPr>
        <w:t>、所有权或使用权受到限制的资产</w:t>
      </w:r>
      <w:bookmarkEnd w:id="1370"/>
      <w:bookmarkEnd w:id="1371"/>
      <w:bookmarkEnd w:id="1373"/>
    </w:p>
    <w:p>
      <w:pPr>
        <w:pStyle w:val="Style26"/>
        <w:keepNext w:val="0"/>
        <w:keepLines w:val="0"/>
        <w:widowControl w:val="0"/>
        <w:shd w:val="clear" w:color="auto" w:fill="auto"/>
        <w:bidi w:val="0"/>
        <w:spacing w:before="0" w:after="0" w:line="240" w:lineRule="auto"/>
        <w:ind w:left="8587" w:right="0" w:firstLine="0"/>
        <w:jc w:val="left"/>
      </w:pPr>
      <w:r>
        <w:rPr>
          <w:color w:val="000000"/>
          <w:spacing w:val="0"/>
          <w:w w:val="100"/>
          <w:position w:val="0"/>
        </w:rPr>
        <w:t>单位：元</w:t>
      </w:r>
    </w:p>
    <w:tbl>
      <w:tblPr>
        <w:tblOverlap w:val="never"/>
        <w:jc w:val="center"/>
        <w:tblLayout w:type="fixed"/>
      </w:tblPr>
      <w:tblGrid>
        <w:gridCol w:w="3331"/>
        <w:gridCol w:w="3058"/>
        <w:gridCol w:w="3192"/>
      </w:tblGrid>
      <w:tr>
        <w:trPr>
          <w:trHeight w:val="32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24,069,871.24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以公允价值计量且其变动计入当期 损益的金融资产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585,895,440.00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484,383,830.00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r>
              <w:rPr>
                <w:rFonts w:ascii="Times New Roman" w:eastAsia="Times New Roman" w:hAnsi="Times New Roman" w:cs="Times New Roman"/>
                <w:color w:val="000000"/>
                <w:spacing w:val="0"/>
                <w:w w:val="100"/>
                <w:position w:val="0"/>
              </w:rPr>
              <w:t>/</w:t>
            </w:r>
            <w:r>
              <w:rPr>
                <w:color w:val="000000"/>
                <w:spacing w:val="0"/>
                <w:w w:val="100"/>
                <w:position w:val="0"/>
              </w:rPr>
              <w:t>担保品</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融出资金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235,726,514.15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1,330,075,655.39</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w:t>
            </w:r>
          </w:p>
        </w:tc>
      </w:tr>
    </w:tbl>
    <w:p>
      <w:pPr>
        <w:widowControl w:val="0"/>
        <w:spacing w:after="339" w:line="1" w:lineRule="exact"/>
      </w:pPr>
    </w:p>
    <w:p>
      <w:pPr>
        <w:pStyle w:val="Style30"/>
        <w:keepNext/>
        <w:keepLines/>
        <w:widowControl w:val="0"/>
        <w:shd w:val="clear" w:color="auto" w:fill="auto"/>
        <w:bidi w:val="0"/>
        <w:spacing w:before="0" w:after="340" w:line="240" w:lineRule="auto"/>
        <w:ind w:left="0" w:right="0" w:firstLine="0"/>
        <w:jc w:val="both"/>
      </w:pPr>
      <w:bookmarkStart w:id="1374" w:name="bookmark1374"/>
      <w:bookmarkStart w:id="1375" w:name="bookmark1375"/>
      <w:bookmarkStart w:id="1376" w:name="bookmark1376"/>
      <w:bookmarkStart w:id="1377" w:name="bookmark1377"/>
      <w:r>
        <w:rPr>
          <w:rFonts w:ascii="Times New Roman" w:eastAsia="Times New Roman" w:hAnsi="Times New Roman" w:cs="Times New Roman"/>
          <w:color w:val="000000"/>
          <w:spacing w:val="0"/>
          <w:w w:val="100"/>
          <w:position w:val="0"/>
        </w:rPr>
        <w:t>6</w:t>
      </w:r>
      <w:bookmarkEnd w:id="1376"/>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bookmarkEnd w:id="1374"/>
      <w:bookmarkEnd w:id="1375"/>
      <w:bookmarkEnd w:id="1377"/>
    </w:p>
    <w:p>
      <w:pPr>
        <w:pStyle w:val="Style47"/>
        <w:keepNext/>
        <w:keepLines/>
        <w:widowControl w:val="0"/>
        <w:shd w:val="clear" w:color="auto" w:fill="auto"/>
        <w:bidi w:val="0"/>
        <w:spacing w:before="0" w:after="340" w:line="240" w:lineRule="auto"/>
        <w:ind w:left="0" w:right="0" w:firstLine="0"/>
        <w:jc w:val="both"/>
      </w:pPr>
      <w:bookmarkStart w:id="1378" w:name="bookmark1378"/>
      <w:bookmarkStart w:id="1379" w:name="bookmark1379"/>
      <w:bookmarkStart w:id="1380" w:name="bookmark138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378"/>
      <w:bookmarkEnd w:id="1379"/>
      <w:bookmarkEnd w:id="1380"/>
    </w:p>
    <w:p>
      <w:pPr>
        <w:pStyle w:val="Style26"/>
        <w:keepNext w:val="0"/>
        <w:keepLines w:val="0"/>
        <w:widowControl w:val="0"/>
        <w:shd w:val="clear" w:color="auto" w:fill="auto"/>
        <w:bidi w:val="0"/>
        <w:spacing w:before="0" w:after="0" w:line="240" w:lineRule="auto"/>
        <w:ind w:left="8587" w:right="0" w:firstLine="0"/>
        <w:jc w:val="left"/>
      </w:pPr>
      <w:r>
        <w:rPr>
          <w:color w:val="000000"/>
          <w:spacing w:val="0"/>
          <w:w w:val="100"/>
          <w:position w:val="0"/>
        </w:rPr>
        <w:t>单位： 元</w:t>
      </w:r>
    </w:p>
    <w:tbl>
      <w:tblPr>
        <w:tblOverlap w:val="never"/>
        <w:jc w:val="center"/>
        <w:tblLayout w:type="fixed"/>
      </w:tblPr>
      <w:tblGrid>
        <w:gridCol w:w="3264"/>
        <w:gridCol w:w="2102"/>
        <w:gridCol w:w="2102"/>
        <w:gridCol w:w="2112"/>
      </w:tblGrid>
      <w:tr>
        <w:trPr>
          <w:trHeight w:val="32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期末外币余额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7,168,612.55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6.9370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49,728,665.27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港币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11,468,654.45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0.8945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10,258,717.25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2,320,517.45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7.1551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16,603,647.52</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港币</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303,917.47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0.8945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271,857.22</w:t>
            </w:r>
          </w:p>
        </w:tc>
      </w:tr>
    </w:tbl>
    <w:p>
      <w:pPr>
        <w:widowControl w:val="0"/>
        <w:spacing w:after="259" w:line="1" w:lineRule="exact"/>
      </w:pPr>
    </w:p>
    <w:p>
      <w:pPr>
        <w:pStyle w:val="Style47"/>
        <w:keepNext/>
        <w:keepLines/>
        <w:widowControl w:val="0"/>
        <w:shd w:val="clear" w:color="auto" w:fill="auto"/>
        <w:tabs>
          <w:tab w:pos="7886" w:val="left"/>
        </w:tabs>
        <w:bidi w:val="0"/>
        <w:spacing w:before="0" w:after="340" w:line="317" w:lineRule="exact"/>
        <w:ind w:left="0" w:right="0" w:firstLine="0"/>
        <w:jc w:val="both"/>
      </w:pPr>
      <w:bookmarkStart w:id="1381" w:name="bookmark1381"/>
      <w:bookmarkStart w:id="1382" w:name="bookmark1382"/>
      <w:bookmarkStart w:id="1383" w:name="bookmark1383"/>
      <w:bookmarkStart w:id="1384" w:name="bookmark1384"/>
      <w:r>
        <w:rPr>
          <w:color w:val="000000"/>
          <w:spacing w:val="0"/>
          <w:w w:val="100"/>
          <w:position w:val="0"/>
        </w:rPr>
        <w:t>（</w:t>
      </w:r>
      <w:bookmarkEnd w:id="1383"/>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tab/>
      </w:r>
      <w:r>
        <w:rPr>
          <w:b w:val="0"/>
          <w:bCs w:val="0"/>
          <w:color w:val="000000"/>
          <w:spacing w:val="0"/>
          <w:w w:val="100"/>
          <w:position w:val="0"/>
        </w:rPr>
        <w:t>口</w:t>
      </w:r>
      <w:r>
        <w:rPr>
          <w:b w:val="0"/>
          <w:bCs w:val="0"/>
          <w:color w:val="000000"/>
          <w:spacing w:val="0"/>
          <w:w w:val="100"/>
          <w:position w:val="0"/>
        </w:rPr>
        <w:t>适用</w:t>
      </w:r>
      <w:r>
        <w:rPr>
          <w:rFonts w:ascii="Times New Roman" w:eastAsia="Times New Roman" w:hAnsi="Times New Roman" w:cs="Times New Roman"/>
          <w:b w:val="0"/>
          <w:bCs w:val="0"/>
          <w:color w:val="000000"/>
          <w:spacing w:val="0"/>
          <w:w w:val="100"/>
          <w:position w:val="0"/>
        </w:rPr>
        <w:t>q</w:t>
      </w:r>
      <w:r>
        <w:rPr>
          <w:b w:val="0"/>
          <w:bCs w:val="0"/>
          <w:color w:val="000000"/>
          <w:spacing w:val="0"/>
          <w:w w:val="100"/>
          <w:position w:val="0"/>
        </w:rPr>
        <w:t>不适用</w:t>
      </w:r>
      <w:bookmarkEnd w:id="1381"/>
      <w:bookmarkEnd w:id="1382"/>
      <w:bookmarkEnd w:id="1384"/>
    </w:p>
    <w:p>
      <w:pPr>
        <w:pStyle w:val="Style23"/>
        <w:keepNext/>
        <w:keepLines/>
        <w:widowControl w:val="0"/>
        <w:shd w:val="clear" w:color="auto" w:fill="auto"/>
        <w:bidi w:val="0"/>
        <w:spacing w:before="0" w:after="260" w:line="240" w:lineRule="auto"/>
        <w:ind w:left="0" w:right="0" w:firstLine="0"/>
        <w:jc w:val="both"/>
        <w:rPr>
          <w:sz w:val="22"/>
          <w:szCs w:val="22"/>
        </w:rPr>
      </w:pPr>
      <w:bookmarkStart w:id="1385" w:name="bookmark1385"/>
      <w:bookmarkStart w:id="1386" w:name="bookmark1386"/>
      <w:bookmarkStart w:id="1387" w:name="bookmark1387"/>
      <w:bookmarkStart w:id="1388" w:name="bookmark1388"/>
      <w:bookmarkStart w:id="1389" w:name="bookmark1389"/>
      <w:r>
        <w:rPr>
          <w:b/>
          <w:bCs/>
          <w:color w:val="000000"/>
          <w:spacing w:val="0"/>
          <w:w w:val="100"/>
          <w:position w:val="0"/>
          <w:sz w:val="22"/>
          <w:szCs w:val="22"/>
        </w:rPr>
        <w:t>八</w:t>
      </w:r>
      <w:bookmarkEnd w:id="1387"/>
      <w:r>
        <w:rPr>
          <w:b/>
          <w:bCs/>
          <w:color w:val="000000"/>
          <w:spacing w:val="0"/>
          <w:w w:val="100"/>
          <w:position w:val="0"/>
          <w:sz w:val="22"/>
          <w:szCs w:val="22"/>
        </w:rPr>
        <w:t>、合并范围的变更</w:t>
      </w:r>
      <w:bookmarkEnd w:id="1385"/>
      <w:bookmarkEnd w:id="1386"/>
      <w:bookmarkEnd w:id="1388"/>
      <w:bookmarkEnd w:id="1389"/>
    </w:p>
    <w:p>
      <w:pPr>
        <w:pStyle w:val="Style30"/>
        <w:keepNext/>
        <w:keepLines/>
        <w:widowControl w:val="0"/>
        <w:shd w:val="clear" w:color="auto" w:fill="auto"/>
        <w:bidi w:val="0"/>
        <w:spacing w:before="0" w:after="340" w:line="317" w:lineRule="exact"/>
        <w:ind w:left="0" w:right="0" w:firstLine="0"/>
        <w:jc w:val="both"/>
      </w:pPr>
      <w:bookmarkStart w:id="1390" w:name="bookmark1390"/>
      <w:bookmarkStart w:id="1391" w:name="bookmark1391"/>
      <w:bookmarkStart w:id="1392" w:name="bookmark1392"/>
      <w:bookmarkStart w:id="1393" w:name="bookmark1393"/>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390"/>
      <w:bookmarkEnd w:id="1391"/>
      <w:bookmarkEnd w:id="1392"/>
      <w:bookmarkEnd w:id="1393"/>
    </w:p>
    <w:p>
      <w:pPr>
        <w:pStyle w:val="Style47"/>
        <w:keepNext/>
        <w:keepLines/>
        <w:widowControl w:val="0"/>
        <w:shd w:val="clear" w:color="auto" w:fill="auto"/>
        <w:bidi w:val="0"/>
        <w:spacing w:before="0" w:after="340" w:line="317" w:lineRule="exact"/>
        <w:ind w:left="0" w:right="0" w:firstLine="0"/>
        <w:jc w:val="both"/>
      </w:pPr>
      <w:bookmarkStart w:id="1394" w:name="bookmark1394"/>
      <w:bookmarkStart w:id="1395" w:name="bookmark1395"/>
      <w:bookmarkStart w:id="1396" w:name="bookmark1396"/>
      <w:bookmarkStart w:id="1397" w:name="bookmark139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394"/>
      <w:bookmarkEnd w:id="1395"/>
      <w:bookmarkEnd w:id="1396"/>
      <w:bookmarkEnd w:id="139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008"/>
        <w:gridCol w:w="979"/>
        <w:gridCol w:w="1560"/>
        <w:gridCol w:w="710"/>
        <w:gridCol w:w="710"/>
        <w:gridCol w:w="850"/>
        <w:gridCol w:w="850"/>
        <w:gridCol w:w="1416"/>
        <w:gridCol w:w="1498"/>
      </w:tblGrid>
      <w:tr>
        <w:trPr>
          <w:trHeight w:val="95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被购买方 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股权取得 时点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股权取得成本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80" w:line="312" w:lineRule="exact"/>
              <w:ind w:left="0" w:right="0" w:firstLine="0"/>
              <w:jc w:val="left"/>
            </w:pPr>
            <w:r>
              <w:rPr>
                <w:color w:val="000000"/>
                <w:spacing w:val="0"/>
                <w:w w:val="100"/>
                <w:position w:val="0"/>
              </w:rPr>
              <w:t>股权取 得比例</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股权取</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得方式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 的确定 依据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购买日至期末 被购买方的收 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购买日至期末 被购买方的净 利润</w:t>
            </w:r>
          </w:p>
        </w:tc>
      </w:tr>
      <w:tr>
        <w:trPr>
          <w:trHeight w:val="9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国盛证券 有限责任 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05</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6,930,000,000.00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发行股 份、支 付现金</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06</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股权款 支付、股 权交割</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907,007,914.24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539,658,705.97</w:t>
            </w:r>
          </w:p>
        </w:tc>
      </w:tr>
    </w:tbl>
    <w:p>
      <w:pPr>
        <w:pStyle w:val="Style26"/>
        <w:keepNext w:val="0"/>
        <w:keepLines w:val="0"/>
        <w:widowControl w:val="0"/>
        <w:shd w:val="clear" w:color="auto" w:fill="auto"/>
        <w:bidi w:val="0"/>
        <w:spacing w:before="0" w:after="0" w:line="309" w:lineRule="exact"/>
        <w:ind w:left="0" w:right="0" w:firstLine="0"/>
        <w:jc w:val="distribute"/>
      </w:pPr>
      <w:r>
        <w:rPr>
          <w:color w:val="000000"/>
          <w:spacing w:val="0"/>
          <w:w w:val="100"/>
          <w:position w:val="0"/>
        </w:rPr>
        <w:t>经中国证券监督管理委员会《关于核准广东华声电器股份有限公司向中江国际信托股份有限公司等发 行股份购买资产并募集配套资金的批复》（证监许可</w:t>
      </w:r>
      <w:r>
        <w:rPr>
          <w:rFonts w:ascii="Times New Roman" w:eastAsia="Times New Roman" w:hAnsi="Times New Roman" w:cs="Times New Roman"/>
          <w:color w:val="000000"/>
          <w:spacing w:val="0"/>
          <w:w w:val="100"/>
          <w:position w:val="0"/>
        </w:rPr>
        <w:t>[2016]657</w:t>
      </w:r>
      <w:r>
        <w:rPr>
          <w:color w:val="000000"/>
          <w:spacing w:val="0"/>
          <w:w w:val="100"/>
          <w:position w:val="0"/>
        </w:rPr>
        <w:t>号）核准，公司向中江国际信托股份有限公 司等单位发行股份购买资产并募集配套资金。本次交易涉及两部分：（</w:t>
      </w:r>
      <w:r>
        <w:rPr>
          <w:rFonts w:ascii="Times New Roman" w:eastAsia="Times New Roman" w:hAnsi="Times New Roman" w:cs="Times New Roman"/>
          <w:color w:val="000000"/>
          <w:spacing w:val="0"/>
          <w:w w:val="100"/>
          <w:position w:val="0"/>
        </w:rPr>
        <w:t>1</w:t>
      </w:r>
      <w:r>
        <w:rPr>
          <w:color w:val="000000"/>
          <w:spacing w:val="0"/>
          <w:w w:val="100"/>
          <w:position w:val="0"/>
        </w:rPr>
        <w:t>）根据截至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日止公司 分别与中江国际信托股份有限公司等国盛证券有限责任公司（以下简称</w:t>
      </w:r>
      <w:r>
        <w:rPr>
          <w:rFonts w:ascii="Times New Roman" w:eastAsia="Times New Roman" w:hAnsi="Times New Roman" w:cs="Times New Roman"/>
          <w:color w:val="000000"/>
          <w:spacing w:val="0"/>
          <w:w w:val="100"/>
          <w:position w:val="0"/>
        </w:rPr>
        <w:t>“</w:t>
      </w:r>
      <w:r>
        <w:rPr>
          <w:color w:val="000000"/>
          <w:spacing w:val="0"/>
          <w:w w:val="100"/>
          <w:position w:val="0"/>
        </w:rPr>
        <w:t>国盛证券</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全体股东共计</w:t>
      </w:r>
      <w:r>
        <w:rPr>
          <w:rFonts w:ascii="Times New Roman" w:eastAsia="Times New Roman" w:hAnsi="Times New Roman" w:cs="Times New Roman"/>
          <w:color w:val="000000"/>
          <w:spacing w:val="0"/>
          <w:w w:val="100"/>
          <w:position w:val="0"/>
        </w:rPr>
        <w:t>9</w:t>
      </w:r>
      <w:r>
        <w:rPr>
          <w:color w:val="000000"/>
          <w:spacing w:val="0"/>
          <w:w w:val="100"/>
          <w:position w:val="0"/>
        </w:rPr>
        <w:t>名出资</w:t>
      </w:r>
      <w:r>
        <w:br w:type="page"/>
      </w:r>
    </w:p>
    <w:p>
      <w:pPr>
        <w:pStyle w:val="Style33"/>
        <w:keepNext w:val="0"/>
        <w:keepLines w:val="0"/>
        <w:widowControl w:val="0"/>
        <w:shd w:val="clear" w:color="auto" w:fill="auto"/>
        <w:bidi w:val="0"/>
        <w:spacing w:before="0" w:after="300" w:line="310" w:lineRule="exact"/>
        <w:ind w:left="0" w:right="0" w:firstLine="0"/>
        <w:jc w:val="left"/>
      </w:pPr>
      <w:r>
        <w:rPr>
          <w:color w:val="000000"/>
          <w:spacing w:val="0"/>
          <w:w w:val="100"/>
          <w:position w:val="0"/>
        </w:rPr>
        <w:t>人签署《发行股份及支付现金购买资产协议》，以发行股份及支付现金的方式购买国盛证券</w:t>
      </w:r>
      <w:r>
        <w:rPr>
          <w:rFonts w:ascii="Times New Roman" w:eastAsia="Times New Roman" w:hAnsi="Times New Roman" w:cs="Times New Roman"/>
          <w:color w:val="000000"/>
          <w:spacing w:val="0"/>
          <w:w w:val="100"/>
          <w:position w:val="0"/>
        </w:rPr>
        <w:t>100%</w:t>
      </w:r>
      <w:r>
        <w:rPr>
          <w:color w:val="000000"/>
          <w:spacing w:val="0"/>
          <w:w w:val="100"/>
          <w:position w:val="0"/>
        </w:rPr>
        <w:t>股权，标 的资产作价人民币</w:t>
      </w:r>
      <w:r>
        <w:rPr>
          <w:rFonts w:ascii="Times New Roman" w:eastAsia="Times New Roman" w:hAnsi="Times New Roman" w:cs="Times New Roman"/>
          <w:color w:val="000000"/>
          <w:spacing w:val="0"/>
          <w:w w:val="100"/>
          <w:position w:val="0"/>
        </w:rPr>
        <w:t>6,930,000,000.00</w:t>
      </w:r>
      <w:r>
        <w:rPr>
          <w:color w:val="000000"/>
          <w:spacing w:val="0"/>
          <w:w w:val="100"/>
          <w:position w:val="0"/>
        </w:rPr>
        <w:t>元。其中，发行股份</w:t>
      </w:r>
      <w:r>
        <w:rPr>
          <w:rFonts w:ascii="Times New Roman" w:eastAsia="Times New Roman" w:hAnsi="Times New Roman" w:cs="Times New Roman"/>
          <w:color w:val="000000"/>
          <w:spacing w:val="0"/>
          <w:w w:val="100"/>
          <w:position w:val="0"/>
        </w:rPr>
        <w:t>258,196,717</w:t>
      </w:r>
      <w:r>
        <w:rPr>
          <w:color w:val="000000"/>
          <w:spacing w:val="0"/>
          <w:w w:val="100"/>
          <w:position w:val="0"/>
        </w:rPr>
        <w:t>股，增加注册资本人民币</w:t>
      </w:r>
      <w:r>
        <w:rPr>
          <w:rFonts w:ascii="Times New Roman" w:eastAsia="Times New Roman" w:hAnsi="Times New Roman" w:cs="Times New Roman"/>
          <w:color w:val="000000"/>
          <w:spacing w:val="0"/>
          <w:w w:val="100"/>
          <w:position w:val="0"/>
        </w:rPr>
        <w:t xml:space="preserve">258,196,717.00 </w:t>
      </w:r>
      <w:r>
        <w:rPr>
          <w:color w:val="000000"/>
          <w:spacing w:val="0"/>
          <w:w w:val="100"/>
          <w:position w:val="0"/>
        </w:rPr>
        <w:t>元（溢价</w:t>
      </w:r>
      <w:r>
        <w:rPr>
          <w:rFonts w:ascii="Times New Roman" w:eastAsia="Times New Roman" w:hAnsi="Times New Roman" w:cs="Times New Roman"/>
          <w:color w:val="000000"/>
          <w:spacing w:val="0"/>
          <w:w w:val="100"/>
          <w:position w:val="0"/>
        </w:rPr>
        <w:t>3,206,803,225.14</w:t>
      </w:r>
      <w:r>
        <w:rPr>
          <w:color w:val="000000"/>
          <w:spacing w:val="0"/>
          <w:w w:val="100"/>
          <w:position w:val="0"/>
        </w:rPr>
        <w:t>元记入资本公积），支付现金</w:t>
      </w:r>
      <w:r>
        <w:rPr>
          <w:rFonts w:ascii="Times New Roman" w:eastAsia="Times New Roman" w:hAnsi="Times New Roman" w:cs="Times New Roman"/>
          <w:color w:val="000000"/>
          <w:spacing w:val="0"/>
          <w:w w:val="100"/>
          <w:position w:val="0"/>
        </w:rPr>
        <w:t>3,465,000,057.86</w:t>
      </w:r>
      <w:r>
        <w:rPr>
          <w:color w:val="000000"/>
          <w:spacing w:val="0"/>
          <w:w w:val="100"/>
          <w:position w:val="0"/>
        </w:rPr>
        <w:t>元。（</w:t>
      </w:r>
      <w:r>
        <w:rPr>
          <w:rFonts w:ascii="Times New Roman" w:eastAsia="Times New Roman" w:hAnsi="Times New Roman" w:cs="Times New Roman"/>
          <w:color w:val="000000"/>
          <w:spacing w:val="0"/>
          <w:w w:val="100"/>
          <w:position w:val="0"/>
        </w:rPr>
        <w:t>2</w:t>
      </w:r>
      <w:r>
        <w:rPr>
          <w:color w:val="000000"/>
          <w:spacing w:val="0"/>
          <w:w w:val="100"/>
          <w:position w:val="0"/>
        </w:rPr>
        <w:t>）公司分别与深圳前海财 智发展投资中心（有限合伙）等</w:t>
      </w:r>
      <w:r>
        <w:rPr>
          <w:rFonts w:ascii="Times New Roman" w:eastAsia="Times New Roman" w:hAnsi="Times New Roman" w:cs="Times New Roman"/>
          <w:color w:val="000000"/>
          <w:spacing w:val="0"/>
          <w:w w:val="100"/>
          <w:position w:val="0"/>
        </w:rPr>
        <w:t>5</w:t>
      </w:r>
      <w:r>
        <w:rPr>
          <w:color w:val="000000"/>
          <w:spacing w:val="0"/>
          <w:w w:val="100"/>
          <w:position w:val="0"/>
        </w:rPr>
        <w:t>名出资人签订《股份认购协议》向其发行股份</w:t>
      </w:r>
      <w:r>
        <w:rPr>
          <w:rFonts w:ascii="Times New Roman" w:eastAsia="Times New Roman" w:hAnsi="Times New Roman" w:cs="Times New Roman"/>
          <w:color w:val="000000"/>
          <w:spacing w:val="0"/>
          <w:w w:val="100"/>
          <w:position w:val="0"/>
        </w:rPr>
        <w:t>477,931,033</w:t>
      </w:r>
      <w:r>
        <w:rPr>
          <w:color w:val="000000"/>
          <w:spacing w:val="0"/>
          <w:w w:val="100"/>
          <w:position w:val="0"/>
        </w:rPr>
        <w:t>股募集配套资 金，增加注册资本人民币</w:t>
      </w:r>
      <w:r>
        <w:rPr>
          <w:rFonts w:ascii="Times New Roman" w:eastAsia="Times New Roman" w:hAnsi="Times New Roman" w:cs="Times New Roman"/>
          <w:color w:val="000000"/>
          <w:spacing w:val="0"/>
          <w:w w:val="100"/>
          <w:position w:val="0"/>
        </w:rPr>
        <w:t>477,931,033.00</w:t>
      </w:r>
      <w:r>
        <w:rPr>
          <w:color w:val="000000"/>
          <w:spacing w:val="0"/>
          <w:w w:val="100"/>
          <w:position w:val="0"/>
        </w:rPr>
        <w:t>元（扣除配套募集资金承销费等发行费用</w:t>
      </w:r>
      <w:r>
        <w:rPr>
          <w:rFonts w:ascii="Times New Roman" w:eastAsia="Times New Roman" w:hAnsi="Times New Roman" w:cs="Times New Roman"/>
          <w:color w:val="000000"/>
          <w:spacing w:val="0"/>
          <w:w w:val="100"/>
          <w:position w:val="0"/>
        </w:rPr>
        <w:t>59,830,064.81</w:t>
      </w:r>
      <w:r>
        <w:rPr>
          <w:color w:val="000000"/>
          <w:spacing w:val="0"/>
          <w:w w:val="100"/>
          <w:position w:val="0"/>
        </w:rPr>
        <w:t xml:space="preserve">元后溢价 </w:t>
      </w:r>
      <w:r>
        <w:rPr>
          <w:rFonts w:ascii="Times New Roman" w:eastAsia="Times New Roman" w:hAnsi="Times New Roman" w:cs="Times New Roman"/>
          <w:color w:val="000000"/>
          <w:spacing w:val="0"/>
          <w:w w:val="100"/>
          <w:position w:val="0"/>
        </w:rPr>
        <w:t>6,392,238,880.6</w:t>
      </w:r>
      <w:r>
        <w:rPr>
          <w:rFonts w:ascii="Times New Roman" w:eastAsia="Times New Roman" w:hAnsi="Times New Roman" w:cs="Times New Roman"/>
          <w:color w:val="000000"/>
          <w:spacing w:val="0"/>
          <w:w w:val="100"/>
          <w:position w:val="0"/>
        </w:rPr>
        <w:t>9</w:t>
      </w:r>
      <w:r>
        <w:rPr>
          <w:color w:val="000000"/>
          <w:spacing w:val="0"/>
          <w:w w:val="100"/>
          <w:position w:val="0"/>
        </w:rPr>
        <w:t>元记入资本公积）。本次变更业经立信会计师事务所（特殊普通合伙）出具的信会师报字 【</w:t>
      </w:r>
      <w:r>
        <w:rPr>
          <w:rFonts w:ascii="Times New Roman" w:eastAsia="Times New Roman" w:hAnsi="Times New Roman" w:cs="Times New Roman"/>
          <w:color w:val="000000"/>
          <w:spacing w:val="0"/>
          <w:w w:val="100"/>
          <w:position w:val="0"/>
        </w:rPr>
        <w:t>2016</w:t>
      </w:r>
      <w:r>
        <w:rPr>
          <w:color w:val="000000"/>
          <w:spacing w:val="0"/>
          <w:w w:val="100"/>
          <w:position w:val="0"/>
        </w:rPr>
        <w:t>】第</w:t>
      </w:r>
      <w:r>
        <w:rPr>
          <w:rFonts w:ascii="Times New Roman" w:eastAsia="Times New Roman" w:hAnsi="Times New Roman" w:cs="Times New Roman"/>
          <w:color w:val="000000"/>
          <w:spacing w:val="0"/>
          <w:w w:val="100"/>
          <w:position w:val="0"/>
        </w:rPr>
        <w:t>114648</w:t>
      </w:r>
      <w:r>
        <w:rPr>
          <w:color w:val="000000"/>
          <w:spacing w:val="0"/>
          <w:w w:val="100"/>
          <w:position w:val="0"/>
        </w:rPr>
        <w:t>号验资报告验证。</w:t>
      </w:r>
    </w:p>
    <w:p>
      <w:pPr>
        <w:pStyle w:val="Style47"/>
        <w:keepNext/>
        <w:keepLines/>
        <w:widowControl w:val="0"/>
        <w:shd w:val="clear" w:color="auto" w:fill="auto"/>
        <w:bidi w:val="0"/>
        <w:spacing w:before="0" w:line="310" w:lineRule="exact"/>
        <w:ind w:left="0" w:right="0" w:firstLine="0"/>
        <w:jc w:val="left"/>
      </w:pPr>
      <w:bookmarkStart w:id="1398" w:name="bookmark1398"/>
      <w:bookmarkStart w:id="1399" w:name="bookmark1399"/>
      <w:bookmarkStart w:id="1400" w:name="bookmark140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398"/>
      <w:bookmarkEnd w:id="1399"/>
      <w:bookmarkEnd w:id="1400"/>
    </w:p>
    <w:p>
      <w:pPr>
        <w:pStyle w:val="Style26"/>
        <w:keepNext w:val="0"/>
        <w:keepLines w:val="0"/>
        <w:widowControl w:val="0"/>
        <w:shd w:val="clear" w:color="auto" w:fill="auto"/>
        <w:bidi w:val="0"/>
        <w:spacing w:before="0" w:after="0" w:line="240" w:lineRule="auto"/>
        <w:ind w:left="8587"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right w:val="single" w:sz="4"/>
            </w:tcBorders>
            <w:shd w:val="clear" w:color="auto" w:fill="E1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国盛证券</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现金</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280" w:right="0" w:firstLine="0"/>
              <w:jc w:val="both"/>
            </w:pPr>
            <w:r>
              <w:rPr>
                <w:rFonts w:ascii="Times New Roman" w:eastAsia="Times New Roman" w:hAnsi="Times New Roman" w:cs="Times New Roman"/>
                <w:color w:val="000000"/>
                <w:spacing w:val="0"/>
                <w:w w:val="100"/>
                <w:position w:val="0"/>
              </w:rPr>
              <w:t>3,465,000,057.86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发行的权益性证券的公允价值</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280" w:right="0" w:firstLine="0"/>
              <w:jc w:val="both"/>
            </w:pPr>
            <w:r>
              <w:rPr>
                <w:rFonts w:ascii="Times New Roman" w:eastAsia="Times New Roman" w:hAnsi="Times New Roman" w:cs="Times New Roman"/>
                <w:color w:val="000000"/>
                <w:spacing w:val="0"/>
                <w:w w:val="100"/>
                <w:position w:val="0"/>
              </w:rPr>
              <w:t>3,464,999,942.14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280" w:right="0" w:firstLine="0"/>
              <w:jc w:val="both"/>
            </w:pPr>
            <w:r>
              <w:rPr>
                <w:rFonts w:ascii="Times New Roman" w:eastAsia="Times New Roman" w:hAnsi="Times New Roman" w:cs="Times New Roman"/>
                <w:color w:val="000000"/>
                <w:spacing w:val="0"/>
                <w:w w:val="100"/>
                <w:position w:val="0"/>
              </w:rPr>
              <w:t>6,930,000,000.00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280" w:right="0" w:firstLine="0"/>
              <w:jc w:val="both"/>
            </w:pPr>
            <w:r>
              <w:rPr>
                <w:rFonts w:ascii="Times New Roman" w:eastAsia="Times New Roman" w:hAnsi="Times New Roman" w:cs="Times New Roman"/>
                <w:color w:val="000000"/>
                <w:spacing w:val="0"/>
                <w:w w:val="100"/>
                <w:position w:val="0"/>
              </w:rPr>
              <w:t>3,767,969,049.17</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商誉</w:t>
            </w:r>
            <w:r>
              <w:rPr>
                <w:rFonts w:ascii="Times New Roman" w:eastAsia="Times New Roman" w:hAnsi="Times New Roman" w:cs="Times New Roman"/>
                <w:color w:val="000000"/>
                <w:spacing w:val="0"/>
                <w:w w:val="100"/>
                <w:position w:val="0"/>
              </w:rPr>
              <w:t>/</w:t>
            </w:r>
            <w:r>
              <w:rPr>
                <w:color w:val="000000"/>
                <w:spacing w:val="0"/>
                <w:w w:val="100"/>
                <w:position w:val="0"/>
              </w:rPr>
              <w:t>合并成本小于取得的可辨认净资产公允价值份 额的金额</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280" w:right="0" w:firstLine="0"/>
              <w:jc w:val="both"/>
            </w:pPr>
            <w:r>
              <w:rPr>
                <w:rFonts w:ascii="Times New Roman" w:eastAsia="Times New Roman" w:hAnsi="Times New Roman" w:cs="Times New Roman"/>
                <w:color w:val="000000"/>
                <w:spacing w:val="0"/>
                <w:w w:val="100"/>
                <w:position w:val="0"/>
              </w:rPr>
              <w:t>3,162,030,950.83</w:t>
            </w:r>
          </w:p>
        </w:tc>
      </w:tr>
    </w:tbl>
    <w:p>
      <w:pPr>
        <w:pStyle w:val="Style26"/>
        <w:keepNext w:val="0"/>
        <w:keepLines w:val="0"/>
        <w:widowControl w:val="0"/>
        <w:shd w:val="clear" w:color="auto" w:fill="auto"/>
        <w:bidi w:val="0"/>
        <w:spacing w:before="0" w:after="0" w:line="240" w:lineRule="auto"/>
        <w:ind w:left="96" w:right="0" w:firstLine="0"/>
        <w:jc w:val="left"/>
      </w:pPr>
      <w:bookmarkStart w:id="1401" w:name="bookmark1401"/>
      <w:r>
        <w:rPr>
          <w:rFonts w:ascii="Times New Roman" w:eastAsia="Times New Roman" w:hAnsi="Times New Roman" w:cs="Times New Roman"/>
          <w:b/>
          <w:bCs/>
          <w:color w:val="000000"/>
          <w:spacing w:val="0"/>
          <w:w w:val="100"/>
          <w:position w:val="0"/>
        </w:rPr>
        <w:t>（3</w:t>
      </w:r>
      <w:r>
        <w:rPr>
          <w:b/>
          <w:bCs/>
          <w:color w:val="000000"/>
          <w:spacing w:val="0"/>
          <w:w w:val="100"/>
          <w:position w:val="0"/>
        </w:rPr>
        <w:t>）被购买方于购买日可辨认资产、负债</w:t>
      </w:r>
      <w:bookmarkEnd w:id="1401"/>
    </w:p>
    <w:p>
      <w:pPr>
        <w:widowControl w:val="0"/>
        <w:spacing w:after="359" w:line="1" w:lineRule="exact"/>
      </w:pPr>
    </w:p>
    <w:p>
      <w:pPr>
        <w:pStyle w:val="Style26"/>
        <w:keepNext w:val="0"/>
        <w:keepLines w:val="0"/>
        <w:widowControl w:val="0"/>
        <w:shd w:val="clear" w:color="auto" w:fill="auto"/>
        <w:bidi w:val="0"/>
        <w:spacing w:before="0" w:after="0" w:line="240" w:lineRule="auto"/>
        <w:ind w:left="8587" w:right="0" w:firstLine="0"/>
        <w:jc w:val="lef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right w:val="single" w:sz="4"/>
            </w:tcBorders>
            <w:shd w:val="clear" w:color="auto" w:fill="E1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国盛证券</w:t>
            </w:r>
          </w:p>
        </w:tc>
      </w:tr>
      <w:tr>
        <w:trPr>
          <w:trHeight w:val="3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8,212,199,114.81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8,212,199,114.81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57,401,143.21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57,401,143.21</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43,626,736.28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43,626,736.28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18,172,400.30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18,172,400.30</w:t>
            </w:r>
          </w:p>
        </w:tc>
      </w:tr>
      <w:tr>
        <w:trPr>
          <w:trHeight w:val="403" w:hRule="exact"/>
        </w:trPr>
        <w:tc>
          <w:tcPr>
            <w:tcBorders>
              <w:top w:val="single" w:sz="4"/>
              <w:left w:val="single" w:sz="4"/>
            </w:tcBorders>
            <w:shd w:val="clear" w:color="auto" w:fill="E1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结算备付金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920,522,695.41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920,522,695.41</w:t>
            </w:r>
          </w:p>
        </w:tc>
      </w:tr>
      <w:tr>
        <w:trPr>
          <w:trHeight w:val="403" w:hRule="exact"/>
        </w:trPr>
        <w:tc>
          <w:tcPr>
            <w:tcBorders>
              <w:top w:val="single" w:sz="4"/>
              <w:left w:val="single" w:sz="4"/>
            </w:tcBorders>
            <w:shd w:val="clear" w:color="auto" w:fill="E1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融出资金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1,966,177,948.72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1,966,177,948.72</w:t>
            </w:r>
          </w:p>
        </w:tc>
      </w:tr>
      <w:tr>
        <w:trPr>
          <w:trHeight w:val="634" w:hRule="exact"/>
        </w:trPr>
        <w:tc>
          <w:tcPr>
            <w:tcBorders>
              <w:top w:val="single" w:sz="4"/>
              <w:left w:val="single" w:sz="4"/>
            </w:tcBorders>
            <w:shd w:val="clear" w:color="auto" w:fill="E1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550,221,284.42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550,221,284.42</w:t>
            </w:r>
          </w:p>
        </w:tc>
      </w:tr>
      <w:tr>
        <w:trPr>
          <w:trHeight w:val="403" w:hRule="exact"/>
        </w:trPr>
        <w:tc>
          <w:tcPr>
            <w:tcBorders>
              <w:top w:val="single" w:sz="4"/>
              <w:left w:val="single" w:sz="4"/>
            </w:tcBorders>
            <w:shd w:val="clear" w:color="auto" w:fill="E1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存出保证金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392,537,420.69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392,537,420.69</w:t>
            </w:r>
          </w:p>
        </w:tc>
      </w:tr>
      <w:tr>
        <w:trPr>
          <w:trHeight w:val="398" w:hRule="exact"/>
        </w:trPr>
        <w:tc>
          <w:tcPr>
            <w:tcBorders>
              <w:top w:val="single" w:sz="4"/>
              <w:left w:val="single" w:sz="4"/>
            </w:tcBorders>
            <w:shd w:val="clear" w:color="auto" w:fill="E1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买入返售金融资产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120,415,920.00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120,415,920.00</w:t>
            </w:r>
          </w:p>
        </w:tc>
      </w:tr>
      <w:tr>
        <w:trPr>
          <w:trHeight w:val="403" w:hRule="exact"/>
        </w:trPr>
        <w:tc>
          <w:tcPr>
            <w:tcBorders>
              <w:top w:val="single" w:sz="4"/>
              <w:left w:val="single" w:sz="4"/>
            </w:tcBorders>
            <w:shd w:val="clear" w:color="auto" w:fill="E1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1,612,624,081.44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1,612,624,081.44</w:t>
            </w:r>
          </w:p>
        </w:tc>
      </w:tr>
      <w:tr>
        <w:trPr>
          <w:trHeight w:val="403" w:hRule="exact"/>
        </w:trPr>
        <w:tc>
          <w:tcPr>
            <w:tcBorders>
              <w:top w:val="single" w:sz="4"/>
              <w:left w:val="single" w:sz="4"/>
            </w:tcBorders>
            <w:shd w:val="clear" w:color="auto" w:fill="E1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67,628,348.01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67,628,348.01</w:t>
            </w:r>
          </w:p>
        </w:tc>
      </w:tr>
      <w:tr>
        <w:trPr>
          <w:trHeight w:val="403" w:hRule="exact"/>
        </w:trPr>
        <w:tc>
          <w:tcPr>
            <w:tcBorders>
              <w:top w:val="single" w:sz="4"/>
              <w:left w:val="single" w:sz="4"/>
            </w:tcBorders>
            <w:shd w:val="clear" w:color="auto" w:fill="E1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4,697.00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4,697.00</w:t>
            </w:r>
          </w:p>
        </w:tc>
      </w:tr>
      <w:tr>
        <w:trPr>
          <w:trHeight w:val="408" w:hRule="exact"/>
        </w:trPr>
        <w:tc>
          <w:tcPr>
            <w:tcBorders>
              <w:top w:val="single" w:sz="4"/>
              <w:left w:val="single" w:sz="4"/>
              <w:bottom w:val="single" w:sz="4"/>
            </w:tcBorders>
            <w:shd w:val="clear" w:color="auto" w:fill="E1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21,387,415.03</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E1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其他长期资产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29,418,448.42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29,418,448.42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167,327,051.90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167,327,051.90</w:t>
            </w:r>
          </w:p>
        </w:tc>
      </w:tr>
      <w:tr>
        <w:trPr>
          <w:trHeight w:val="403" w:hRule="exact"/>
        </w:trPr>
        <w:tc>
          <w:tcPr>
            <w:tcBorders>
              <w:top w:val="single" w:sz="4"/>
              <w:left w:val="single" w:sz="4"/>
            </w:tcBorders>
            <w:shd w:val="clear" w:color="auto" w:fill="E1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310,000,000.00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310,000,000.00</w:t>
            </w:r>
          </w:p>
        </w:tc>
      </w:tr>
      <w:tr>
        <w:trPr>
          <w:trHeight w:val="403" w:hRule="exact"/>
        </w:trPr>
        <w:tc>
          <w:tcPr>
            <w:tcBorders>
              <w:top w:val="single" w:sz="4"/>
              <w:left w:val="single" w:sz="4"/>
            </w:tcBorders>
            <w:shd w:val="clear" w:color="auto" w:fill="E1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卖出回购金融资产款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672,962,434.10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672,962,434.10</w:t>
            </w:r>
          </w:p>
        </w:tc>
      </w:tr>
      <w:tr>
        <w:trPr>
          <w:trHeight w:val="398" w:hRule="exact"/>
        </w:trPr>
        <w:tc>
          <w:tcPr>
            <w:tcBorders>
              <w:top w:val="single" w:sz="4"/>
              <w:left w:val="single" w:sz="4"/>
            </w:tcBorders>
            <w:shd w:val="clear" w:color="auto" w:fill="E1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代理买卖证券款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7,501,119,779.27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7,501,119,779.27</w:t>
            </w:r>
          </w:p>
        </w:tc>
      </w:tr>
      <w:tr>
        <w:trPr>
          <w:trHeight w:val="403" w:hRule="exact"/>
        </w:trPr>
        <w:tc>
          <w:tcPr>
            <w:tcBorders>
              <w:top w:val="single" w:sz="4"/>
              <w:left w:val="single" w:sz="4"/>
            </w:tcBorders>
            <w:shd w:val="clear" w:color="auto" w:fill="E1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22,396,692.18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22,396,692.18</w:t>
            </w:r>
          </w:p>
        </w:tc>
      </w:tr>
      <w:tr>
        <w:trPr>
          <w:trHeight w:val="403" w:hRule="exact"/>
        </w:trPr>
        <w:tc>
          <w:tcPr>
            <w:tcBorders>
              <w:top w:val="single" w:sz="4"/>
              <w:left w:val="single" w:sz="4"/>
            </w:tcBorders>
            <w:shd w:val="clear" w:color="auto" w:fill="E1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1,536,039,088.88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1,536,039,088.88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3,781,130,349.59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3,802,517,764.62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13,136,143.21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13,136,143.21</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3,767,969,049.17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3,789,356,464.20</w:t>
            </w:r>
          </w:p>
        </w:tc>
      </w:tr>
    </w:tbl>
    <w:p>
      <w:pPr>
        <w:widowControl w:val="0"/>
        <w:spacing w:after="259" w:line="1" w:lineRule="exact"/>
      </w:pPr>
    </w:p>
    <w:p>
      <w:pPr>
        <w:pStyle w:val="Style47"/>
        <w:keepNext/>
        <w:keepLines/>
        <w:widowControl w:val="0"/>
        <w:shd w:val="clear" w:color="auto" w:fill="auto"/>
        <w:bidi w:val="0"/>
        <w:spacing w:before="0" w:after="260" w:line="331" w:lineRule="exact"/>
        <w:ind w:left="0" w:right="0" w:firstLine="0"/>
        <w:jc w:val="left"/>
      </w:pPr>
      <w:bookmarkStart w:id="1402" w:name="bookmark1402"/>
      <w:bookmarkStart w:id="1403" w:name="bookmark1403"/>
      <w:bookmarkStart w:id="1404" w:name="bookmark1404"/>
      <w:bookmarkStart w:id="1405" w:name="bookmark1405"/>
      <w:r>
        <w:rPr>
          <w:color w:val="000000"/>
          <w:spacing w:val="0"/>
          <w:w w:val="100"/>
          <w:position w:val="0"/>
        </w:rPr>
        <w:t>（</w:t>
      </w:r>
      <w:bookmarkEnd w:id="1404"/>
      <w:r>
        <w:rPr>
          <w:rFonts w:ascii="Times New Roman" w:eastAsia="Times New Roman" w:hAnsi="Times New Roman" w:cs="Times New Roman"/>
          <w:color w:val="000000"/>
          <w:spacing w:val="0"/>
          <w:w w:val="100"/>
          <w:position w:val="0"/>
        </w:rPr>
        <w:t>4</w:t>
      </w:r>
      <w:r>
        <w:rPr>
          <w:color w:val="000000"/>
          <w:spacing w:val="0"/>
          <w:w w:val="100"/>
          <w:position w:val="0"/>
        </w:rPr>
        <w:t>）购买日之前持有的股权按照公允价值重新计量产生的利得或损失</w:t>
      </w:r>
      <w:bookmarkEnd w:id="1402"/>
      <w:bookmarkEnd w:id="1403"/>
      <w:bookmarkEnd w:id="1405"/>
    </w:p>
    <w:p>
      <w:pPr>
        <w:pStyle w:val="Style33"/>
        <w:keepNext w:val="0"/>
        <w:keepLines w:val="0"/>
        <w:widowControl w:val="0"/>
        <w:shd w:val="clear" w:color="auto" w:fill="auto"/>
        <w:tabs>
          <w:tab w:pos="8310" w:val="left"/>
        </w:tabs>
        <w:bidi w:val="0"/>
        <w:spacing w:before="0" w:after="260" w:line="331" w:lineRule="exact"/>
        <w:ind w:left="0" w:right="0" w:firstLine="440"/>
        <w:jc w:val="left"/>
      </w:pPr>
      <w:r>
        <w:rPr>
          <w:color w:val="000000"/>
          <w:spacing w:val="0"/>
          <w:w w:val="100"/>
          <w:position w:val="0"/>
        </w:rPr>
        <w:t>是否存在通过多次交易分步实现企业合并且在报告期内取得控制权的交易</w:t>
        <w:tab/>
      </w: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q</w:t>
      </w:r>
      <w:r>
        <w:rPr>
          <w:color w:val="000000"/>
          <w:spacing w:val="0"/>
          <w:w w:val="100"/>
          <w:position w:val="0"/>
        </w:rPr>
        <w:t>否</w:t>
      </w:r>
    </w:p>
    <w:p>
      <w:pPr>
        <w:pStyle w:val="Style30"/>
        <w:keepNext/>
        <w:keepLines/>
        <w:widowControl w:val="0"/>
        <w:shd w:val="clear" w:color="auto" w:fill="auto"/>
        <w:tabs>
          <w:tab w:pos="378" w:val="left"/>
        </w:tabs>
        <w:bidi w:val="0"/>
        <w:spacing w:before="0" w:after="260" w:line="331" w:lineRule="exact"/>
        <w:ind w:left="0" w:right="0" w:firstLine="0"/>
        <w:jc w:val="left"/>
      </w:pPr>
      <w:bookmarkStart w:id="1406" w:name="bookmark1406"/>
      <w:bookmarkStart w:id="1407" w:name="bookmark1407"/>
      <w:bookmarkStart w:id="1408" w:name="bookmark1408"/>
      <w:bookmarkStart w:id="1409" w:name="bookmark1409"/>
      <w:r>
        <w:rPr>
          <w:rFonts w:ascii="Times New Roman" w:eastAsia="Times New Roman" w:hAnsi="Times New Roman" w:cs="Times New Roman"/>
          <w:color w:val="000000"/>
          <w:spacing w:val="0"/>
          <w:w w:val="100"/>
          <w:position w:val="0"/>
        </w:rPr>
        <w:t>2</w:t>
      </w:r>
      <w:bookmarkEnd w:id="1408"/>
      <w:r>
        <w:rPr>
          <w:color w:val="000000"/>
          <w:spacing w:val="0"/>
          <w:w w:val="100"/>
          <w:position w:val="0"/>
        </w:rPr>
        <w:t>、</w:t>
        <w:tab/>
        <w:t>本期未发生同一控制下的企业合并。</w:t>
      </w:r>
      <w:bookmarkEnd w:id="1406"/>
      <w:bookmarkEnd w:id="1407"/>
      <w:bookmarkEnd w:id="1409"/>
    </w:p>
    <w:p>
      <w:pPr>
        <w:pStyle w:val="Style30"/>
        <w:keepNext/>
        <w:keepLines/>
        <w:widowControl w:val="0"/>
        <w:shd w:val="clear" w:color="auto" w:fill="auto"/>
        <w:tabs>
          <w:tab w:pos="378" w:val="left"/>
        </w:tabs>
        <w:bidi w:val="0"/>
        <w:spacing w:before="0" w:after="260" w:line="331" w:lineRule="exact"/>
        <w:ind w:left="0" w:right="0" w:firstLine="0"/>
        <w:jc w:val="left"/>
      </w:pPr>
      <w:bookmarkStart w:id="1410" w:name="bookmark1410"/>
      <w:bookmarkStart w:id="1411" w:name="bookmark1411"/>
      <w:bookmarkStart w:id="1412" w:name="bookmark1412"/>
      <w:bookmarkStart w:id="1413" w:name="bookmark1413"/>
      <w:r>
        <w:rPr>
          <w:rFonts w:ascii="Times New Roman" w:eastAsia="Times New Roman" w:hAnsi="Times New Roman" w:cs="Times New Roman"/>
          <w:color w:val="000000"/>
          <w:spacing w:val="0"/>
          <w:w w:val="100"/>
          <w:position w:val="0"/>
        </w:rPr>
        <w:t>3</w:t>
      </w:r>
      <w:bookmarkEnd w:id="1412"/>
      <w:r>
        <w:rPr>
          <w:color w:val="000000"/>
          <w:spacing w:val="0"/>
          <w:w w:val="100"/>
          <w:position w:val="0"/>
        </w:rPr>
        <w:t>、</w:t>
        <w:tab/>
        <w:t>本报告期未发生反向购买。</w:t>
      </w:r>
      <w:bookmarkEnd w:id="1410"/>
      <w:bookmarkEnd w:id="1411"/>
      <w:bookmarkEnd w:id="1413"/>
    </w:p>
    <w:p>
      <w:pPr>
        <w:pStyle w:val="Style30"/>
        <w:keepNext/>
        <w:keepLines/>
        <w:widowControl w:val="0"/>
        <w:shd w:val="clear" w:color="auto" w:fill="auto"/>
        <w:tabs>
          <w:tab w:pos="378" w:val="left"/>
        </w:tabs>
        <w:bidi w:val="0"/>
        <w:spacing w:before="0" w:after="260" w:line="331" w:lineRule="exact"/>
        <w:ind w:left="0" w:right="0" w:firstLine="0"/>
        <w:jc w:val="left"/>
      </w:pPr>
      <w:bookmarkStart w:id="1414" w:name="bookmark1414"/>
      <w:bookmarkStart w:id="1415" w:name="bookmark1415"/>
      <w:bookmarkStart w:id="1416" w:name="bookmark1416"/>
      <w:bookmarkStart w:id="1417" w:name="bookmark1417"/>
      <w:r>
        <w:rPr>
          <w:rFonts w:ascii="Times New Roman" w:eastAsia="Times New Roman" w:hAnsi="Times New Roman" w:cs="Times New Roman"/>
          <w:color w:val="000000"/>
          <w:spacing w:val="0"/>
          <w:w w:val="100"/>
          <w:position w:val="0"/>
        </w:rPr>
        <w:t>4</w:t>
      </w:r>
      <w:bookmarkEnd w:id="1416"/>
      <w:r>
        <w:rPr>
          <w:color w:val="000000"/>
          <w:spacing w:val="0"/>
          <w:w w:val="100"/>
          <w:position w:val="0"/>
        </w:rPr>
        <w:t>、</w:t>
        <w:tab/>
        <w:t>处置子公司</w:t>
      </w:r>
      <w:bookmarkEnd w:id="1414"/>
      <w:bookmarkEnd w:id="1415"/>
      <w:bookmarkEnd w:id="1417"/>
    </w:p>
    <w:p>
      <w:pPr>
        <w:pStyle w:val="Style33"/>
        <w:keepNext w:val="0"/>
        <w:keepLines w:val="0"/>
        <w:widowControl w:val="0"/>
        <w:shd w:val="clear" w:color="auto" w:fill="auto"/>
        <w:tabs>
          <w:tab w:pos="8310" w:val="left"/>
        </w:tabs>
        <w:bidi w:val="0"/>
        <w:spacing w:before="0" w:after="0" w:line="331" w:lineRule="exact"/>
        <w:ind w:left="0" w:right="0" w:firstLine="440"/>
        <w:jc w:val="left"/>
      </w:pPr>
      <w:r>
        <w:rPr>
          <w:color w:val="000000"/>
          <w:spacing w:val="0"/>
          <w:w w:val="100"/>
          <w:position w:val="0"/>
        </w:rPr>
        <w:t>是否存在单次处置对子公司投资即丧失控制权的情形</w:t>
        <w:tab/>
      </w: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q</w:t>
      </w:r>
      <w:r>
        <w:rPr>
          <w:color w:val="000000"/>
          <w:spacing w:val="0"/>
          <w:w w:val="100"/>
          <w:position w:val="0"/>
        </w:rPr>
        <w:t>否</w:t>
      </w:r>
    </w:p>
    <w:p>
      <w:pPr>
        <w:pStyle w:val="Style33"/>
        <w:keepNext w:val="0"/>
        <w:keepLines w:val="0"/>
        <w:widowControl w:val="0"/>
        <w:shd w:val="clear" w:color="auto" w:fill="auto"/>
        <w:tabs>
          <w:tab w:pos="8310" w:val="left"/>
        </w:tabs>
        <w:bidi w:val="0"/>
        <w:spacing w:before="0" w:after="260" w:line="331" w:lineRule="exact"/>
        <w:ind w:left="0" w:right="0" w:firstLine="440"/>
        <w:jc w:val="left"/>
      </w:pPr>
      <w:r>
        <w:rPr>
          <w:color w:val="000000"/>
          <w:spacing w:val="0"/>
          <w:w w:val="100"/>
          <w:position w:val="0"/>
        </w:rPr>
        <w:t>是否存在通过多次交易分步处置对子公司投资且在本期丧失控制权的情</w:t>
        <w:tab/>
      </w: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q</w:t>
      </w:r>
      <w:r>
        <w:rPr>
          <w:color w:val="000000"/>
          <w:spacing w:val="0"/>
          <w:w w:val="100"/>
          <w:position w:val="0"/>
        </w:rPr>
        <w:t>否</w:t>
      </w:r>
    </w:p>
    <w:p>
      <w:pPr>
        <w:pStyle w:val="Style30"/>
        <w:keepNext/>
        <w:keepLines/>
        <w:widowControl w:val="0"/>
        <w:shd w:val="clear" w:color="auto" w:fill="auto"/>
        <w:tabs>
          <w:tab w:pos="378" w:val="left"/>
        </w:tabs>
        <w:bidi w:val="0"/>
        <w:spacing w:before="0" w:after="260" w:line="331" w:lineRule="exact"/>
        <w:ind w:left="0" w:right="0" w:firstLine="0"/>
        <w:jc w:val="left"/>
      </w:pPr>
      <w:bookmarkStart w:id="1418" w:name="bookmark1418"/>
      <w:bookmarkStart w:id="1419" w:name="bookmark1419"/>
      <w:bookmarkStart w:id="1420" w:name="bookmark1420"/>
      <w:bookmarkStart w:id="1421" w:name="bookmark1421"/>
      <w:r>
        <w:rPr>
          <w:rFonts w:ascii="Times New Roman" w:eastAsia="Times New Roman" w:hAnsi="Times New Roman" w:cs="Times New Roman"/>
          <w:color w:val="000000"/>
          <w:spacing w:val="0"/>
          <w:w w:val="100"/>
          <w:position w:val="0"/>
        </w:rPr>
        <w:t>5</w:t>
      </w:r>
      <w:bookmarkEnd w:id="1420"/>
      <w:r>
        <w:rPr>
          <w:color w:val="000000"/>
          <w:spacing w:val="0"/>
          <w:w w:val="100"/>
          <w:position w:val="0"/>
        </w:rPr>
        <w:t>、</w:t>
        <w:tab/>
        <w:t>其他原因的合并范围变动</w:t>
      </w:r>
      <w:bookmarkEnd w:id="1418"/>
      <w:bookmarkEnd w:id="1419"/>
      <w:bookmarkEnd w:id="1421"/>
    </w:p>
    <w:p>
      <w:pPr>
        <w:pStyle w:val="Style33"/>
        <w:keepNext w:val="0"/>
        <w:keepLines w:val="0"/>
        <w:widowControl w:val="0"/>
        <w:shd w:val="clear" w:color="auto" w:fill="auto"/>
        <w:bidi w:val="0"/>
        <w:spacing w:before="0" w:after="360" w:line="331"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日公司设立深圳前海国盛科技有限公司（注册资本</w:t>
      </w:r>
      <w:r>
        <w:rPr>
          <w:rFonts w:ascii="Times New Roman" w:eastAsia="Times New Roman" w:hAnsi="Times New Roman" w:cs="Times New Roman"/>
          <w:color w:val="000000"/>
          <w:spacing w:val="0"/>
          <w:w w:val="100"/>
          <w:position w:val="0"/>
        </w:rPr>
        <w:t>1500</w:t>
      </w:r>
      <w:r>
        <w:rPr>
          <w:color w:val="000000"/>
          <w:spacing w:val="0"/>
          <w:w w:val="100"/>
          <w:position w:val="0"/>
        </w:rPr>
        <w:t>万元，持股比例</w:t>
      </w:r>
      <w:r>
        <w:rPr>
          <w:rFonts w:ascii="Times New Roman" w:eastAsia="Times New Roman" w:hAnsi="Times New Roman" w:cs="Times New Roman"/>
          <w:color w:val="000000"/>
          <w:spacing w:val="0"/>
          <w:w w:val="100"/>
          <w:position w:val="0"/>
        </w:rPr>
        <w:t>100%</w:t>
      </w:r>
      <w:r>
        <w:rPr>
          <w:color w:val="000000"/>
          <w:spacing w:val="0"/>
          <w:w w:val="100"/>
          <w:position w:val="0"/>
        </w:rPr>
        <w:t>），截至本 报告期末尚未完成出资。深圳前海国盛科技有限公司自成立日起纳入合并范围。</w:t>
      </w:r>
    </w:p>
    <w:p>
      <w:pPr>
        <w:pStyle w:val="Style23"/>
        <w:keepNext/>
        <w:keepLines/>
        <w:widowControl w:val="0"/>
        <w:shd w:val="clear" w:color="auto" w:fill="auto"/>
        <w:bidi w:val="0"/>
        <w:spacing w:before="0" w:after="260" w:line="240" w:lineRule="auto"/>
        <w:ind w:left="0" w:right="0" w:firstLine="0"/>
        <w:jc w:val="left"/>
        <w:rPr>
          <w:sz w:val="22"/>
          <w:szCs w:val="22"/>
        </w:rPr>
      </w:pPr>
      <w:bookmarkStart w:id="1422" w:name="bookmark1422"/>
      <w:bookmarkStart w:id="1423" w:name="bookmark1423"/>
      <w:bookmarkStart w:id="1424" w:name="bookmark1424"/>
      <w:bookmarkStart w:id="1425" w:name="bookmark1425"/>
      <w:r>
        <w:rPr>
          <w:b/>
          <w:bCs/>
          <w:color w:val="000000"/>
          <w:spacing w:val="0"/>
          <w:w w:val="100"/>
          <w:position w:val="0"/>
          <w:sz w:val="22"/>
          <w:szCs w:val="22"/>
        </w:rPr>
        <w:t>九</w:t>
      </w:r>
      <w:bookmarkEnd w:id="1424"/>
      <w:r>
        <w:rPr>
          <w:b/>
          <w:bCs/>
          <w:color w:val="000000"/>
          <w:spacing w:val="0"/>
          <w:w w:val="100"/>
          <w:position w:val="0"/>
          <w:sz w:val="22"/>
          <w:szCs w:val="22"/>
        </w:rPr>
        <w:t>、在其他主体中的权益</w:t>
      </w:r>
      <w:bookmarkEnd w:id="1422"/>
      <w:bookmarkEnd w:id="1423"/>
      <w:bookmarkEnd w:id="1425"/>
    </w:p>
    <w:p>
      <w:pPr>
        <w:pStyle w:val="Style30"/>
        <w:keepNext/>
        <w:keepLines/>
        <w:widowControl w:val="0"/>
        <w:shd w:val="clear" w:color="auto" w:fill="auto"/>
        <w:bidi w:val="0"/>
        <w:spacing w:before="0" w:after="260" w:line="331" w:lineRule="exact"/>
        <w:ind w:left="0" w:right="0" w:firstLine="0"/>
        <w:jc w:val="left"/>
      </w:pPr>
      <w:bookmarkStart w:id="1426" w:name="bookmark1426"/>
      <w:bookmarkStart w:id="1427" w:name="bookmark1427"/>
      <w:bookmarkStart w:id="1428" w:name="bookmark1428"/>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426"/>
      <w:bookmarkEnd w:id="1427"/>
      <w:bookmarkEnd w:id="1428"/>
    </w:p>
    <w:p>
      <w:pPr>
        <w:pStyle w:val="Style47"/>
        <w:keepNext/>
        <w:keepLines/>
        <w:widowControl w:val="0"/>
        <w:shd w:val="clear" w:color="auto" w:fill="auto"/>
        <w:bidi w:val="0"/>
        <w:spacing w:before="0" w:after="320" w:line="331" w:lineRule="exact"/>
        <w:ind w:left="0" w:right="0" w:firstLine="0"/>
        <w:jc w:val="left"/>
      </w:pPr>
      <w:bookmarkStart w:id="1429" w:name="bookmark1429"/>
      <w:bookmarkStart w:id="1430" w:name="bookmark1430"/>
      <w:bookmarkStart w:id="1431" w:name="bookmark143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429"/>
      <w:bookmarkEnd w:id="1430"/>
      <w:bookmarkEnd w:id="1431"/>
    </w:p>
    <w:tbl>
      <w:tblPr>
        <w:tblOverlap w:val="never"/>
        <w:jc w:val="center"/>
        <w:tblLayout w:type="fixed"/>
      </w:tblPr>
      <w:tblGrid>
        <w:gridCol w:w="2698"/>
        <w:gridCol w:w="850"/>
        <w:gridCol w:w="854"/>
        <w:gridCol w:w="2832"/>
        <w:gridCol w:w="850"/>
        <w:gridCol w:w="854"/>
        <w:gridCol w:w="648"/>
      </w:tblGrid>
      <w:tr>
        <w:trPr>
          <w:trHeight w:val="326"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主要经 营地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取得 方式</w:t>
            </w:r>
          </w:p>
        </w:tc>
      </w:tr>
      <w:tr>
        <w:trPr>
          <w:trHeight w:val="3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国盛证券有限责任公司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证券经纪、投资等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江信国盛期货有限责任公司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鞍山市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鞍山市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商品期货经纪、金融期货经纪</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国盛证券资产管理有限公司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资产管理业务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上海全钰股权投资有限公司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境内企业的股权投资业务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bl>
    <w:p>
      <w:pPr>
        <w:spacing w:lineRule="exact" w:line="1"/>
        <w:rPr>
          <w:sz w:val="2"/>
          <w:szCs w:val="2"/>
        </w:rPr>
      </w:pPr>
      <w:r>
        <w:br w:type="page"/>
      </w:r>
    </w:p>
    <w:tbl>
      <w:tblPr>
        <w:tblOverlap w:val="never"/>
        <w:jc w:val="center"/>
        <w:tblLayout w:type="fixed"/>
      </w:tblPr>
      <w:tblGrid>
        <w:gridCol w:w="2698"/>
        <w:gridCol w:w="850"/>
        <w:gridCol w:w="854"/>
        <w:gridCol w:w="2832"/>
        <w:gridCol w:w="850"/>
        <w:gridCol w:w="854"/>
        <w:gridCol w:w="648"/>
      </w:tblGrid>
      <w:tr>
        <w:trPr>
          <w:trHeight w:val="9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广东华声电器实业有限公司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佛山市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佛山市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电器连接线、电源线、电线电 缆及相关材料；自有物业、机 器设备出租、管理服务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直接 设立</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扬州华声电子实业有限公司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扬州市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扬州市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家用电器配线组件的研发、生 产、销售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直接 设立</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扬州华声电器装配有限公司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扬州市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扬州市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电源线、连接线加工、装配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直接 设立</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both"/>
            </w:pPr>
            <w:r>
              <w:rPr>
                <w:color w:val="000000"/>
                <w:spacing w:val="0"/>
                <w:w w:val="100"/>
                <w:position w:val="0"/>
              </w:rPr>
              <w:t>佛山市华声电子装配有限责 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佛山市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佛山市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电源线、连接线加工、装配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直接 设立</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广东华声电缆有限公司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佛山市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佛山市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电线、电缆制造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直接 设立</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Wa Sung Investment Limited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直接 设立</w:t>
            </w:r>
          </w:p>
        </w:tc>
      </w:tr>
      <w:tr>
        <w:trPr>
          <w:trHeight w:val="9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 xml:space="preserve">Wa Sung International Investment Limited </w:t>
            </w:r>
            <w:r>
              <w:rPr>
                <w:color w:val="000000"/>
                <w:spacing w:val="0"/>
                <w:w w:val="100"/>
                <w:position w:val="0"/>
              </w:rPr>
              <w:t>（华声国际 投资有限公司）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BVI</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Islands</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BVI</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Islands</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直接 设立</w:t>
            </w:r>
          </w:p>
        </w:tc>
      </w:tr>
      <w:tr>
        <w:trPr>
          <w:trHeight w:val="9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Huasheng Internet Investment Management Limited </w:t>
            </w:r>
            <w:r>
              <w:rPr>
                <w:color w:val="000000"/>
                <w:spacing w:val="0"/>
                <w:w w:val="100"/>
                <w:position w:val="0"/>
              </w:rPr>
              <w:t>（华声互 联网投资管理有限公司）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Cayman</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Islands</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Cayman</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Islands</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直接 设立</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深圳华声前海投资有限公司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rPr>
              <w:t>股权投资、投资咨询、财务顾 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直接 设立</w:t>
            </w:r>
          </w:p>
        </w:tc>
      </w:tr>
      <w:tr>
        <w:trPr>
          <w:trHeight w:val="64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深圳前海国盛科技有限公司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计算机系统、信息、咨询等</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直接 设立</w:t>
            </w:r>
          </w:p>
        </w:tc>
      </w:tr>
    </w:tbl>
    <w:p>
      <w:pPr>
        <w:pStyle w:val="Style26"/>
        <w:keepNext w:val="0"/>
        <w:keepLines w:val="0"/>
        <w:widowControl w:val="0"/>
        <w:shd w:val="clear" w:color="auto" w:fill="auto"/>
        <w:bidi w:val="0"/>
        <w:spacing w:before="0" w:after="0" w:line="240" w:lineRule="auto"/>
        <w:ind w:left="96" w:right="0" w:firstLine="0"/>
        <w:jc w:val="left"/>
      </w:pPr>
      <w:bookmarkStart w:id="1432" w:name="bookmark1432"/>
      <w:r>
        <w:rPr>
          <w:b/>
          <w:bCs/>
          <w:color w:val="000000"/>
          <w:spacing w:val="0"/>
          <w:w w:val="100"/>
          <w:position w:val="0"/>
        </w:rPr>
        <w:t>（</w:t>
      </w:r>
      <w:r>
        <w:rPr>
          <w:rFonts w:ascii="Times New Roman" w:eastAsia="Times New Roman" w:hAnsi="Times New Roman" w:cs="Times New Roman"/>
          <w:b/>
          <w:bCs/>
          <w:color w:val="000000"/>
          <w:spacing w:val="0"/>
          <w:w w:val="100"/>
          <w:position w:val="0"/>
        </w:rPr>
        <w:t>2</w:t>
      </w:r>
      <w:r>
        <w:rPr>
          <w:b/>
          <w:bCs/>
          <w:color w:val="000000"/>
          <w:spacing w:val="0"/>
          <w:w w:val="100"/>
          <w:position w:val="0"/>
        </w:rPr>
        <w:t>）本期无重要的非全资子公司。</w:t>
      </w:r>
      <w:bookmarkEnd w:id="1432"/>
    </w:p>
    <w:p>
      <w:pPr>
        <w:widowControl w:val="0"/>
        <w:spacing w:after="359" w:line="1" w:lineRule="exact"/>
      </w:pPr>
    </w:p>
    <w:p>
      <w:pPr>
        <w:pStyle w:val="Style47"/>
        <w:keepNext/>
        <w:keepLines/>
        <w:widowControl w:val="0"/>
        <w:shd w:val="clear" w:color="auto" w:fill="auto"/>
        <w:tabs>
          <w:tab w:pos="493" w:val="left"/>
        </w:tabs>
        <w:bidi w:val="0"/>
        <w:spacing w:before="0" w:line="240" w:lineRule="auto"/>
        <w:ind w:left="0" w:right="0" w:firstLine="0"/>
        <w:jc w:val="left"/>
      </w:pPr>
      <w:bookmarkStart w:id="1433" w:name="bookmark1433"/>
      <w:bookmarkStart w:id="1434" w:name="bookmark1434"/>
      <w:bookmarkStart w:id="1435" w:name="bookmark1435"/>
      <w:bookmarkStart w:id="1436" w:name="bookmark1436"/>
      <w:r>
        <w:rPr>
          <w:color w:val="000000"/>
          <w:spacing w:val="0"/>
          <w:w w:val="100"/>
          <w:position w:val="0"/>
        </w:rPr>
        <w:t>（</w:t>
      </w:r>
      <w:bookmarkEnd w:id="1435"/>
      <w:r>
        <w:rPr>
          <w:rFonts w:ascii="Times New Roman" w:eastAsia="Times New Roman" w:hAnsi="Times New Roman" w:cs="Times New Roman"/>
          <w:color w:val="000000"/>
          <w:spacing w:val="0"/>
          <w:w w:val="100"/>
          <w:position w:val="0"/>
        </w:rPr>
        <w:t>3</w:t>
      </w:r>
      <w:r>
        <w:rPr>
          <w:color w:val="000000"/>
          <w:spacing w:val="0"/>
          <w:w w:val="100"/>
          <w:position w:val="0"/>
        </w:rPr>
        <w:t>）</w:t>
        <w:tab/>
        <w:t>本期不存在使用企业集团资产和清偿企业集团债务的重大限制。</w:t>
      </w:r>
      <w:bookmarkEnd w:id="1433"/>
      <w:bookmarkEnd w:id="1434"/>
      <w:bookmarkEnd w:id="1436"/>
    </w:p>
    <w:p>
      <w:pPr>
        <w:pStyle w:val="Style47"/>
        <w:keepNext/>
        <w:keepLines/>
        <w:widowControl w:val="0"/>
        <w:shd w:val="clear" w:color="auto" w:fill="auto"/>
        <w:tabs>
          <w:tab w:pos="493" w:val="left"/>
        </w:tabs>
        <w:bidi w:val="0"/>
        <w:spacing w:before="0" w:line="240" w:lineRule="auto"/>
        <w:ind w:left="0" w:right="0" w:firstLine="0"/>
        <w:jc w:val="left"/>
      </w:pPr>
      <w:bookmarkStart w:id="1437" w:name="bookmark1437"/>
      <w:bookmarkStart w:id="1438" w:name="bookmark1438"/>
      <w:bookmarkStart w:id="1439" w:name="bookmark1439"/>
      <w:bookmarkStart w:id="1440" w:name="bookmark1440"/>
      <w:r>
        <w:rPr>
          <w:color w:val="000000"/>
          <w:spacing w:val="0"/>
          <w:w w:val="100"/>
          <w:position w:val="0"/>
        </w:rPr>
        <w:t>（</w:t>
      </w:r>
      <w:bookmarkEnd w:id="1439"/>
      <w:r>
        <w:rPr>
          <w:rFonts w:ascii="Times New Roman" w:eastAsia="Times New Roman" w:hAnsi="Times New Roman" w:cs="Times New Roman"/>
          <w:color w:val="000000"/>
          <w:spacing w:val="0"/>
          <w:w w:val="100"/>
          <w:position w:val="0"/>
        </w:rPr>
        <w:t>4</w:t>
      </w:r>
      <w:r>
        <w:rPr>
          <w:color w:val="000000"/>
          <w:spacing w:val="0"/>
          <w:w w:val="100"/>
          <w:position w:val="0"/>
        </w:rPr>
        <w:t>）</w:t>
        <w:tab/>
        <w:t>本期不存在向纳入合并财务报表范围的结构化主体提供的财务支持或其他支持。</w:t>
      </w:r>
      <w:bookmarkEnd w:id="1437"/>
      <w:bookmarkEnd w:id="1438"/>
      <w:bookmarkEnd w:id="1440"/>
    </w:p>
    <w:p>
      <w:pPr>
        <w:pStyle w:val="Style30"/>
        <w:keepNext/>
        <w:keepLines/>
        <w:widowControl w:val="0"/>
        <w:shd w:val="clear" w:color="auto" w:fill="auto"/>
        <w:tabs>
          <w:tab w:pos="378" w:val="left"/>
        </w:tabs>
        <w:bidi w:val="0"/>
        <w:spacing w:before="0" w:after="360" w:line="240" w:lineRule="auto"/>
        <w:ind w:left="0" w:right="0" w:firstLine="0"/>
        <w:jc w:val="left"/>
      </w:pPr>
      <w:bookmarkStart w:id="1441" w:name="bookmark1441"/>
      <w:bookmarkStart w:id="1442" w:name="bookmark1442"/>
      <w:bookmarkStart w:id="1443" w:name="bookmark1443"/>
      <w:bookmarkStart w:id="1444" w:name="bookmark1444"/>
      <w:r>
        <w:rPr>
          <w:rFonts w:ascii="Times New Roman" w:eastAsia="Times New Roman" w:hAnsi="Times New Roman" w:cs="Times New Roman"/>
          <w:color w:val="000000"/>
          <w:spacing w:val="0"/>
          <w:w w:val="100"/>
          <w:position w:val="0"/>
        </w:rPr>
        <w:t>2</w:t>
      </w:r>
      <w:bookmarkEnd w:id="1443"/>
      <w:r>
        <w:rPr>
          <w:color w:val="000000"/>
          <w:spacing w:val="0"/>
          <w:w w:val="100"/>
          <w:position w:val="0"/>
        </w:rPr>
        <w:t>、</w:t>
        <w:tab/>
        <w:t>本期无在子公司的所有者权益份额发生变化且仍控制子公司的交易。</w:t>
      </w:r>
      <w:bookmarkEnd w:id="1441"/>
      <w:bookmarkEnd w:id="1442"/>
      <w:bookmarkEnd w:id="1444"/>
    </w:p>
    <w:p>
      <w:pPr>
        <w:pStyle w:val="Style30"/>
        <w:keepNext/>
        <w:keepLines/>
        <w:widowControl w:val="0"/>
        <w:shd w:val="clear" w:color="auto" w:fill="auto"/>
        <w:tabs>
          <w:tab w:pos="378" w:val="left"/>
        </w:tabs>
        <w:bidi w:val="0"/>
        <w:spacing w:before="0" w:after="360" w:line="240" w:lineRule="auto"/>
        <w:ind w:left="0" w:right="0" w:firstLine="0"/>
        <w:jc w:val="left"/>
      </w:pPr>
      <w:bookmarkStart w:id="1445" w:name="bookmark1445"/>
      <w:bookmarkStart w:id="1446" w:name="bookmark1446"/>
      <w:bookmarkStart w:id="1447" w:name="bookmark1447"/>
      <w:bookmarkStart w:id="1448" w:name="bookmark1448"/>
      <w:r>
        <w:rPr>
          <w:rFonts w:ascii="Times New Roman" w:eastAsia="Times New Roman" w:hAnsi="Times New Roman" w:cs="Times New Roman"/>
          <w:color w:val="000000"/>
          <w:spacing w:val="0"/>
          <w:w w:val="100"/>
          <w:position w:val="0"/>
        </w:rPr>
        <w:t>3</w:t>
      </w:r>
      <w:bookmarkEnd w:id="1447"/>
      <w:r>
        <w:rPr>
          <w:color w:val="000000"/>
          <w:spacing w:val="0"/>
          <w:w w:val="100"/>
          <w:position w:val="0"/>
        </w:rPr>
        <w:t>、</w:t>
        <w:tab/>
        <w:t>在合营安排或联营企业中的权益</w:t>
      </w:r>
      <w:bookmarkEnd w:id="1445"/>
      <w:bookmarkEnd w:id="1446"/>
      <w:bookmarkEnd w:id="1448"/>
    </w:p>
    <w:p>
      <w:pPr>
        <w:pStyle w:val="Style26"/>
        <w:keepNext w:val="0"/>
        <w:keepLines w:val="0"/>
        <w:widowControl w:val="0"/>
        <w:shd w:val="clear" w:color="auto" w:fill="auto"/>
        <w:bidi w:val="0"/>
        <w:spacing w:before="0" w:after="0" w:line="240" w:lineRule="auto"/>
        <w:ind w:left="96" w:right="0" w:firstLine="0"/>
        <w:jc w:val="left"/>
      </w:pPr>
      <w:bookmarkStart w:id="1449" w:name="bookmark1449"/>
      <w:r>
        <w:rPr>
          <w:rFonts w:ascii="Times New Roman" w:eastAsia="Times New Roman" w:hAnsi="Times New Roman" w:cs="Times New Roman"/>
          <w:b/>
          <w:bCs/>
          <w:color w:val="000000"/>
          <w:spacing w:val="0"/>
          <w:w w:val="100"/>
          <w:position w:val="0"/>
        </w:rPr>
        <w:t>（1</w:t>
      </w:r>
      <w:r>
        <w:rPr>
          <w:b/>
          <w:bCs/>
          <w:color w:val="000000"/>
          <w:spacing w:val="0"/>
          <w:w w:val="100"/>
          <w:position w:val="0"/>
        </w:rPr>
        <w:t>）重要的合营企业或联营企业</w:t>
      </w:r>
      <w:bookmarkEnd w:id="1449"/>
    </w:p>
    <w:tbl>
      <w:tblPr>
        <w:tblOverlap w:val="never"/>
        <w:jc w:val="center"/>
        <w:tblLayout w:type="fixed"/>
      </w:tblPr>
      <w:tblGrid>
        <w:gridCol w:w="1378"/>
        <w:gridCol w:w="1037"/>
        <w:gridCol w:w="1560"/>
        <w:gridCol w:w="2693"/>
        <w:gridCol w:w="710"/>
        <w:gridCol w:w="706"/>
        <w:gridCol w:w="1502"/>
      </w:tblGrid>
      <w:tr>
        <w:trPr>
          <w:trHeight w:val="326"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合营企业或联 营企业名称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98" w:lineRule="exact"/>
              <w:ind w:left="0" w:right="0" w:firstLine="0"/>
              <w:jc w:val="center"/>
            </w:pPr>
            <w:r>
              <w:rPr>
                <w:color w:val="000000"/>
                <w:spacing w:val="0"/>
                <w:w w:val="100"/>
                <w:position w:val="0"/>
              </w:rPr>
              <w:t>主要经营 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对合营企业或 联营企业投资 的会计处理方 法</w:t>
            </w:r>
          </w:p>
        </w:tc>
      </w:tr>
      <w:tr>
        <w:trPr>
          <w:trHeight w:val="93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直接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间接</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6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江信基金管理 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北京市海淀区北 三环西路</w:t>
            </w:r>
            <w:r>
              <w:rPr>
                <w:rFonts w:ascii="Times New Roman" w:eastAsia="Times New Roman" w:hAnsi="Times New Roman" w:cs="Times New Roman"/>
                <w:color w:val="000000"/>
                <w:spacing w:val="0"/>
                <w:w w:val="100"/>
                <w:position w:val="0"/>
              </w:rPr>
              <w:t>99</w:t>
            </w:r>
            <w:r>
              <w:rPr>
                <w:color w:val="000000"/>
                <w:spacing w:val="0"/>
                <w:w w:val="100"/>
                <w:position w:val="0"/>
              </w:rPr>
              <w:t>号 西海国际中心</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基金募集及基金销售、特定客 户资产管理、资产管理和中国 证监会许可的其他业务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spacing w:lineRule="exact" w:line="1"/>
        <w:rPr>
          <w:sz w:val="2"/>
          <w:szCs w:val="2"/>
        </w:rPr>
      </w:pPr>
      <w:r>
        <w:br w:type="page"/>
      </w:r>
    </w:p>
    <w:p>
      <w:pPr>
        <w:pStyle w:val="Style47"/>
        <w:keepNext/>
        <w:keepLines/>
        <w:widowControl w:val="0"/>
        <w:shd w:val="clear" w:color="auto" w:fill="auto"/>
        <w:bidi w:val="0"/>
        <w:spacing w:before="0" w:line="240" w:lineRule="auto"/>
        <w:ind w:left="0" w:right="0" w:firstLine="140"/>
        <w:jc w:val="both"/>
      </w:pPr>
      <w:bookmarkStart w:id="1450" w:name="bookmark1450"/>
      <w:bookmarkStart w:id="1451" w:name="bookmark1451"/>
      <w:bookmarkStart w:id="1452" w:name="bookmark1452"/>
      <w:r>
        <w:rPr>
          <w:rFonts w:ascii="Times New Roman" w:eastAsia="Times New Roman" w:hAnsi="Times New Roman" w:cs="Times New Roman"/>
          <w:color w:val="000000"/>
          <w:spacing w:val="0"/>
          <w:w w:val="100"/>
          <w:position w:val="0"/>
        </w:rPr>
        <w:t>(2</w:t>
      </w:r>
      <w:r>
        <w:rPr>
          <w:color w:val="000000"/>
          <w:spacing w:val="0"/>
          <w:w w:val="100"/>
          <w:position w:val="0"/>
        </w:rPr>
        <w:t>)重要联营企业的主要财务信息</w:t>
      </w:r>
      <w:bookmarkEnd w:id="1450"/>
      <w:bookmarkEnd w:id="1451"/>
      <w:bookmarkEnd w:id="1452"/>
    </w:p>
    <w:p>
      <w:pPr>
        <w:pStyle w:val="Style26"/>
        <w:keepNext w:val="0"/>
        <w:keepLines w:val="0"/>
        <w:widowControl w:val="0"/>
        <w:shd w:val="clear" w:color="auto" w:fill="auto"/>
        <w:bidi w:val="0"/>
        <w:spacing w:before="0" w:after="0" w:line="240" w:lineRule="auto"/>
        <w:ind w:left="8587"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326"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322" w:hRule="exact"/>
        </w:trPr>
        <w:tc>
          <w:tcPr>
            <w:vMerge/>
            <w:tcBorders>
              <w:left w:val="single" w:sz="4"/>
            </w:tcBorders>
            <w:shd w:val="clear" w:color="auto" w:fill="D3D3D3"/>
            <w:vAlign w:val="center"/>
          </w:tcPr>
          <w:p>
            <w:pPr/>
          </w:p>
        </w:tc>
        <w:tc>
          <w:tcPr>
            <w:tcBorders>
              <w:top w:val="single" w:sz="4"/>
              <w:left w:val="single" w:sz="4"/>
            </w:tcBorders>
            <w:shd w:val="clear" w:color="auto" w:fill="E1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江信基金管理有限公司</w:t>
            </w:r>
          </w:p>
        </w:tc>
        <w:tc>
          <w:tcPr>
            <w:tcBorders>
              <w:top w:val="single" w:sz="4"/>
              <w:left w:val="single" w:sz="4"/>
              <w:right w:val="single" w:sz="4"/>
            </w:tcBorders>
            <w:shd w:val="clear" w:color="auto" w:fill="E1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江信基金管理有限公司</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114,083,144.54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142,384,142.18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256,467,286.72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42,171,883.85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42,171,883.85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214,295,402.87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64,288,620.86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84,779,249.08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9,089,129.17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-13,953,012.42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-4,863,883.25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E1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对联营企业权益投资的账面价值</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66,331,578.31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30"/>
        <w:keepNext/>
        <w:keepLines/>
        <w:widowControl w:val="0"/>
        <w:shd w:val="clear" w:color="auto" w:fill="auto"/>
        <w:tabs>
          <w:tab w:pos="378" w:val="left"/>
        </w:tabs>
        <w:bidi w:val="0"/>
        <w:spacing w:before="0" w:after="280" w:line="313" w:lineRule="exact"/>
        <w:ind w:left="0" w:right="0" w:firstLine="0"/>
        <w:jc w:val="both"/>
      </w:pPr>
      <w:bookmarkStart w:id="1453" w:name="bookmark1453"/>
      <w:bookmarkStart w:id="1454" w:name="bookmark1454"/>
      <w:bookmarkStart w:id="1455" w:name="bookmark1455"/>
      <w:bookmarkStart w:id="1456" w:name="bookmark1456"/>
      <w:r>
        <w:rPr>
          <w:rFonts w:ascii="Times New Roman" w:eastAsia="Times New Roman" w:hAnsi="Times New Roman" w:cs="Times New Roman"/>
          <w:color w:val="000000"/>
          <w:spacing w:val="0"/>
          <w:w w:val="100"/>
          <w:position w:val="0"/>
        </w:rPr>
        <w:t>4</w:t>
      </w:r>
      <w:bookmarkEnd w:id="1455"/>
      <w:r>
        <w:rPr>
          <w:color w:val="000000"/>
          <w:spacing w:val="0"/>
          <w:w w:val="100"/>
          <w:position w:val="0"/>
        </w:rPr>
        <w:t>、</w:t>
        <w:tab/>
        <w:t>本期无重要的共同经营。</w:t>
      </w:r>
      <w:bookmarkEnd w:id="1453"/>
      <w:bookmarkEnd w:id="1454"/>
      <w:bookmarkEnd w:id="1456"/>
    </w:p>
    <w:p>
      <w:pPr>
        <w:pStyle w:val="Style30"/>
        <w:keepNext/>
        <w:keepLines/>
        <w:widowControl w:val="0"/>
        <w:shd w:val="clear" w:color="auto" w:fill="auto"/>
        <w:tabs>
          <w:tab w:pos="378" w:val="left"/>
        </w:tabs>
        <w:bidi w:val="0"/>
        <w:spacing w:before="0" w:after="360" w:line="313" w:lineRule="exact"/>
        <w:ind w:left="0" w:right="0" w:firstLine="0"/>
        <w:jc w:val="both"/>
      </w:pPr>
      <w:bookmarkStart w:id="1457" w:name="bookmark1457"/>
      <w:bookmarkStart w:id="1458" w:name="bookmark1458"/>
      <w:bookmarkStart w:id="1459" w:name="bookmark1459"/>
      <w:bookmarkStart w:id="1460" w:name="bookmark1460"/>
      <w:r>
        <w:rPr>
          <w:rFonts w:ascii="Times New Roman" w:eastAsia="Times New Roman" w:hAnsi="Times New Roman" w:cs="Times New Roman"/>
          <w:color w:val="000000"/>
          <w:spacing w:val="0"/>
          <w:w w:val="100"/>
          <w:position w:val="0"/>
        </w:rPr>
        <w:t>5</w:t>
      </w:r>
      <w:bookmarkEnd w:id="1459"/>
      <w:r>
        <w:rPr>
          <w:color w:val="000000"/>
          <w:spacing w:val="0"/>
          <w:w w:val="100"/>
          <w:position w:val="0"/>
        </w:rPr>
        <w:t>、</w:t>
        <w:tab/>
        <w:t>本期无未纳入合并财务报表范围的结构化主体中的权益。</w:t>
      </w:r>
      <w:bookmarkEnd w:id="1457"/>
      <w:bookmarkEnd w:id="1458"/>
      <w:bookmarkEnd w:id="1460"/>
    </w:p>
    <w:p>
      <w:pPr>
        <w:pStyle w:val="Style23"/>
        <w:keepNext/>
        <w:keepLines/>
        <w:widowControl w:val="0"/>
        <w:shd w:val="clear" w:color="auto" w:fill="auto"/>
        <w:bidi w:val="0"/>
        <w:spacing w:before="0" w:after="280" w:line="240" w:lineRule="auto"/>
        <w:ind w:left="0" w:right="0" w:firstLine="0"/>
        <w:jc w:val="both"/>
        <w:rPr>
          <w:sz w:val="22"/>
          <w:szCs w:val="22"/>
        </w:rPr>
      </w:pPr>
      <w:bookmarkStart w:id="1461" w:name="bookmark1461"/>
      <w:bookmarkStart w:id="1462" w:name="bookmark1462"/>
      <w:bookmarkStart w:id="1463" w:name="bookmark1463"/>
      <w:r>
        <w:rPr>
          <w:b/>
          <w:bCs/>
          <w:color w:val="000000"/>
          <w:spacing w:val="0"/>
          <w:w w:val="100"/>
          <w:position w:val="0"/>
          <w:sz w:val="22"/>
          <w:szCs w:val="22"/>
        </w:rPr>
        <w:t>十、与金融工具相关的风险</w:t>
      </w:r>
      <w:bookmarkEnd w:id="1461"/>
      <w:bookmarkEnd w:id="1462"/>
      <w:bookmarkEnd w:id="1463"/>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本公司在经营过程中面临各种金融风险：信用风险、市场风险和流动性风险。公司董事会全面负责风 险管理目标和政策的确定，并对风险管理目标和政策承担最终责任。</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本公司风险管理的总体目标是在不过度影响公司竞争力和应变力的情况下，制定尽可能降低风险的风 险管理政策。</w:t>
      </w:r>
    </w:p>
    <w:p>
      <w:pPr>
        <w:pStyle w:val="Style33"/>
        <w:keepNext w:val="0"/>
        <w:keepLines w:val="0"/>
        <w:widowControl w:val="0"/>
        <w:numPr>
          <w:ilvl w:val="0"/>
          <w:numId w:val="35"/>
        </w:numPr>
        <w:shd w:val="clear" w:color="auto" w:fill="auto"/>
        <w:tabs>
          <w:tab w:pos="976" w:val="left"/>
        </w:tabs>
        <w:bidi w:val="0"/>
        <w:spacing w:before="0" w:after="0" w:line="313" w:lineRule="exact"/>
        <w:ind w:left="0" w:right="0" w:firstLine="440"/>
        <w:jc w:val="both"/>
      </w:pPr>
      <w:bookmarkStart w:id="1464" w:name="bookmark1464"/>
      <w:bookmarkEnd w:id="1464"/>
      <w:r>
        <w:rPr>
          <w:b/>
          <w:bCs/>
          <w:color w:val="000000"/>
          <w:spacing w:val="0"/>
          <w:w w:val="100"/>
          <w:position w:val="0"/>
        </w:rPr>
        <w:t>信用风险</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信用风险是指金融工具的一方不履行义务，造成另一方发生财务损失的风险。截至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0， </w:t>
      </w:r>
      <w:r>
        <w:rPr>
          <w:color w:val="000000"/>
          <w:spacing w:val="0"/>
          <w:w w:val="100"/>
          <w:position w:val="0"/>
        </w:rPr>
        <w:t>可能引起本公司财务损失的最大信用风险敞口主要来自于合同另一方未能履行义务而导致本公司金融资 产产生的损失。</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为降低信用风险，本公司对信用额度进行审批，并执行其他监控程序以确保采取必要的措施回收过期 债权。此外，本公司于每个资产负债表日审核每一单项应收款的回收情况，以确保就无法回收的款项计提 充分的坏账准备。因此，本公司管理层认为本公司所承担的信用风险已经大为降低。</w:t>
      </w:r>
    </w:p>
    <w:p>
      <w:pPr>
        <w:pStyle w:val="Style33"/>
        <w:keepNext w:val="0"/>
        <w:keepLines w:val="0"/>
        <w:widowControl w:val="0"/>
        <w:numPr>
          <w:ilvl w:val="0"/>
          <w:numId w:val="35"/>
        </w:numPr>
        <w:shd w:val="clear" w:color="auto" w:fill="auto"/>
        <w:tabs>
          <w:tab w:pos="976" w:val="left"/>
        </w:tabs>
        <w:bidi w:val="0"/>
        <w:spacing w:before="0" w:after="0" w:line="313" w:lineRule="exact"/>
        <w:ind w:left="0" w:right="0" w:firstLine="440"/>
        <w:jc w:val="both"/>
      </w:pPr>
      <w:bookmarkStart w:id="1465" w:name="bookmark1465"/>
      <w:bookmarkEnd w:id="1465"/>
      <w:r>
        <w:rPr>
          <w:b/>
          <w:bCs/>
          <w:color w:val="000000"/>
          <w:spacing w:val="0"/>
          <w:w w:val="100"/>
          <w:position w:val="0"/>
        </w:rPr>
        <w:t>市场风险</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金融工具的市场风险，是指金融工具的公允价值或未来现金流量因市场价格变动而发生波动的风险， 包括外汇风险、利率风险和其他价格风险。</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)利率风险</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利率风险，是指金融工具的公允价值或未来现金流量因市场利率变动而发生波动的风险。本公司面临 的利率风险主要来源于银行短期借款、一年内到期的非流动负债以及长期借款。公司通过建立良好的银企</w:t>
        <w:br w:type="page"/>
      </w:r>
      <w:r>
        <w:rPr>
          <w:color w:val="000000"/>
          <w:spacing w:val="0"/>
          <w:w w:val="100"/>
          <w:position w:val="0"/>
        </w:rPr>
        <w:t>关系，对授信额度及授信期限进行合理的设计，保障银行授信额度充足，满足公司各类短期、长期融资需 求。</w:t>
      </w:r>
    </w:p>
    <w:p>
      <w:pPr>
        <w:pStyle w:val="Style33"/>
        <w:keepNext w:val="0"/>
        <w:keepLines w:val="0"/>
        <w:widowControl w:val="0"/>
        <w:shd w:val="clear" w:color="auto" w:fill="auto"/>
        <w:tabs>
          <w:tab w:pos="928" w:val="left"/>
        </w:tabs>
        <w:bidi w:val="0"/>
        <w:spacing w:before="0" w:after="0" w:line="307" w:lineRule="exact"/>
        <w:ind w:left="0" w:right="0" w:firstLine="440"/>
        <w:jc w:val="left"/>
      </w:pPr>
      <w:bookmarkStart w:id="1466" w:name="bookmark1466"/>
      <w:r>
        <w:rPr>
          <w:color w:val="000000"/>
          <w:spacing w:val="0"/>
          <w:w w:val="100"/>
          <w:position w:val="0"/>
        </w:rPr>
        <w:t>（</w:t>
      </w:r>
      <w:bookmarkEnd w:id="1466"/>
      <w:r>
        <w:rPr>
          <w:rFonts w:ascii="Times New Roman" w:eastAsia="Times New Roman" w:hAnsi="Times New Roman" w:cs="Times New Roman"/>
          <w:color w:val="000000"/>
          <w:spacing w:val="0"/>
          <w:w w:val="100"/>
          <w:position w:val="0"/>
        </w:rPr>
        <w:t>2</w:t>
      </w:r>
      <w:r>
        <w:rPr>
          <w:color w:val="000000"/>
          <w:spacing w:val="0"/>
          <w:w w:val="100"/>
          <w:position w:val="0"/>
        </w:rPr>
        <w:t>）</w:t>
        <w:tab/>
        <w:t>外汇风险</w:t>
      </w:r>
    </w:p>
    <w:p>
      <w:pPr>
        <w:pStyle w:val="Style33"/>
        <w:keepNext w:val="0"/>
        <w:keepLines w:val="0"/>
        <w:widowControl w:val="0"/>
        <w:shd w:val="clear" w:color="auto" w:fill="auto"/>
        <w:bidi w:val="0"/>
        <w:spacing w:before="0" w:after="0" w:line="307" w:lineRule="exact"/>
        <w:ind w:left="0" w:right="0" w:firstLine="440"/>
        <w:jc w:val="left"/>
      </w:pPr>
      <w:r>
        <w:rPr>
          <w:color w:val="000000"/>
          <w:spacing w:val="0"/>
          <w:w w:val="100"/>
          <w:position w:val="0"/>
        </w:rPr>
        <w:t>外汇风险，是指金融工具的公允价值或未来现金流量因外汇汇率变动而发生波动的风险。截至</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0，</w:t>
      </w:r>
      <w:r>
        <w:rPr>
          <w:color w:val="000000"/>
          <w:spacing w:val="0"/>
          <w:w w:val="100"/>
          <w:position w:val="0"/>
        </w:rPr>
        <w:t>本公司面临的汇率变动风险较小。</w:t>
      </w:r>
    </w:p>
    <w:p>
      <w:pPr>
        <w:pStyle w:val="Style33"/>
        <w:keepNext w:val="0"/>
        <w:keepLines w:val="0"/>
        <w:widowControl w:val="0"/>
        <w:shd w:val="clear" w:color="auto" w:fill="auto"/>
        <w:tabs>
          <w:tab w:pos="928" w:val="left"/>
        </w:tabs>
        <w:bidi w:val="0"/>
        <w:spacing w:before="0" w:after="0" w:line="307" w:lineRule="exact"/>
        <w:ind w:left="0" w:right="0" w:firstLine="440"/>
        <w:jc w:val="both"/>
      </w:pPr>
      <w:bookmarkStart w:id="1467" w:name="bookmark1467"/>
      <w:r>
        <w:rPr>
          <w:color w:val="000000"/>
          <w:spacing w:val="0"/>
          <w:w w:val="100"/>
          <w:position w:val="0"/>
        </w:rPr>
        <w:t>（</w:t>
      </w:r>
      <w:bookmarkEnd w:id="1467"/>
      <w:r>
        <w:rPr>
          <w:rFonts w:ascii="Times New Roman" w:eastAsia="Times New Roman" w:hAnsi="Times New Roman" w:cs="Times New Roman"/>
          <w:color w:val="000000"/>
          <w:spacing w:val="0"/>
          <w:w w:val="100"/>
          <w:position w:val="0"/>
        </w:rPr>
        <w:t>3</w:t>
      </w:r>
      <w:r>
        <w:rPr>
          <w:color w:val="000000"/>
          <w:spacing w:val="0"/>
          <w:w w:val="100"/>
          <w:position w:val="0"/>
        </w:rPr>
        <w:t>）</w:t>
        <w:tab/>
        <w:t>其他价格风险</w:t>
      </w:r>
    </w:p>
    <w:p>
      <w:pPr>
        <w:pStyle w:val="Style33"/>
        <w:keepNext w:val="0"/>
        <w:keepLines w:val="0"/>
        <w:widowControl w:val="0"/>
        <w:shd w:val="clear" w:color="auto" w:fill="auto"/>
        <w:bidi w:val="0"/>
        <w:spacing w:before="0" w:after="80" w:line="307" w:lineRule="exact"/>
        <w:ind w:left="0" w:right="0" w:firstLine="440"/>
        <w:jc w:val="both"/>
      </w:pPr>
      <w:r>
        <w:rPr>
          <w:color w:val="000000"/>
          <w:spacing w:val="0"/>
          <w:w w:val="100"/>
          <w:position w:val="0"/>
        </w:rPr>
        <w:t>本公司无其他价格风险。</w:t>
      </w:r>
    </w:p>
    <w:p>
      <w:pPr>
        <w:pStyle w:val="Style33"/>
        <w:keepNext w:val="0"/>
        <w:keepLines w:val="0"/>
        <w:widowControl w:val="0"/>
        <w:shd w:val="clear" w:color="auto" w:fill="auto"/>
        <w:bidi w:val="0"/>
        <w:spacing w:before="0" w:after="0" w:line="322" w:lineRule="auto"/>
        <w:ind w:left="0" w:right="0" w:firstLine="440"/>
        <w:jc w:val="both"/>
      </w:pPr>
      <w:bookmarkStart w:id="1468" w:name="bookmark1468"/>
      <w:r>
        <w:rPr>
          <w:rFonts w:ascii="Times New Roman" w:eastAsia="Times New Roman" w:hAnsi="Times New Roman" w:cs="Times New Roman"/>
          <w:b/>
          <w:bCs/>
          <w:color w:val="000000"/>
          <w:spacing w:val="0"/>
          <w:w w:val="100"/>
          <w:position w:val="0"/>
        </w:rPr>
        <w:t>（</w:t>
      </w:r>
      <w:bookmarkEnd w:id="1468"/>
      <w:r>
        <w:rPr>
          <w:b/>
          <w:bCs/>
          <w:color w:val="000000"/>
          <w:spacing w:val="0"/>
          <w:w w:val="100"/>
          <w:position w:val="0"/>
        </w:rPr>
        <w:t>三</w:t>
      </w:r>
      <w:r>
        <w:rPr>
          <w:b/>
          <w:bCs/>
          <w:color w:val="000000"/>
          <w:spacing w:val="0"/>
          <w:w w:val="100"/>
          <w:position w:val="0"/>
        </w:rPr>
        <w:t>）</w:t>
      </w:r>
      <w:r>
        <w:rPr>
          <w:b/>
          <w:bCs/>
          <w:color w:val="000000"/>
          <w:spacing w:val="0"/>
          <w:w w:val="100"/>
          <w:position w:val="0"/>
        </w:rPr>
        <w:t>流动性风险</w:t>
      </w:r>
    </w:p>
    <w:p>
      <w:pPr>
        <w:pStyle w:val="Style33"/>
        <w:keepNext w:val="0"/>
        <w:keepLines w:val="0"/>
        <w:widowControl w:val="0"/>
        <w:shd w:val="clear" w:color="auto" w:fill="auto"/>
        <w:bidi w:val="0"/>
        <w:spacing w:before="0" w:after="280" w:line="307" w:lineRule="exact"/>
        <w:ind w:left="0" w:right="0" w:firstLine="440"/>
        <w:jc w:val="both"/>
      </w:pPr>
      <w:r>
        <w:rPr>
          <w:color w:val="000000"/>
          <w:spacing w:val="0"/>
          <w:w w:val="100"/>
          <w:position w:val="0"/>
        </w:rPr>
        <w:t>流动风险，是指企业在履行以交付现金或其他金融资产的方式结算的义务时发生资金短缺的风险。本 公司的政策是确保拥有充足的现金以偿还到期债务。流动性风险由本公司的财务部门集中控制。财务部门 通过监控现金余额、可随时变现的有价证券以及对未来</w:t>
      </w:r>
      <w:r>
        <w:rPr>
          <w:rFonts w:ascii="Times New Roman" w:eastAsia="Times New Roman" w:hAnsi="Times New Roman" w:cs="Times New Roman"/>
          <w:color w:val="000000"/>
          <w:spacing w:val="0"/>
          <w:w w:val="100"/>
          <w:position w:val="0"/>
        </w:rPr>
        <w:t>12</w:t>
      </w:r>
      <w:r>
        <w:rPr>
          <w:color w:val="000000"/>
          <w:spacing w:val="0"/>
          <w:w w:val="100"/>
          <w:position w:val="0"/>
        </w:rPr>
        <w:t>个月现金流量的滚动预测，确保公司在所有合理 预测的情况下拥有充足的资金偿还债务。</w:t>
      </w:r>
    </w:p>
    <w:p>
      <w:pPr>
        <w:pStyle w:val="Style23"/>
        <w:keepNext/>
        <w:keepLines/>
        <w:widowControl w:val="0"/>
        <w:shd w:val="clear" w:color="auto" w:fill="auto"/>
        <w:bidi w:val="0"/>
        <w:spacing w:before="0" w:after="280" w:line="307" w:lineRule="exact"/>
        <w:ind w:left="0" w:right="0" w:firstLine="0"/>
        <w:jc w:val="left"/>
      </w:pPr>
      <w:bookmarkStart w:id="1469" w:name="bookmark1469"/>
      <w:bookmarkStart w:id="1470" w:name="bookmark1470"/>
      <w:bookmarkStart w:id="1471" w:name="bookmark1471"/>
      <w:r>
        <w:rPr>
          <w:b/>
          <w:bCs/>
          <w:color w:val="000000"/>
          <w:spacing w:val="0"/>
          <w:w w:val="100"/>
          <w:position w:val="0"/>
        </w:rPr>
        <w:t>十一、公允价值的披露</w:t>
      </w:r>
      <w:bookmarkEnd w:id="1469"/>
      <w:bookmarkEnd w:id="1470"/>
      <w:bookmarkEnd w:id="1471"/>
    </w:p>
    <w:p>
      <w:pPr>
        <w:pStyle w:val="Style33"/>
        <w:keepNext w:val="0"/>
        <w:keepLines w:val="0"/>
        <w:widowControl w:val="0"/>
        <w:shd w:val="clear" w:color="auto" w:fill="auto"/>
        <w:bidi w:val="0"/>
        <w:spacing w:before="0" w:after="0" w:line="314" w:lineRule="exact"/>
        <w:ind w:left="0" w:right="0" w:firstLine="440"/>
        <w:jc w:val="left"/>
      </w:pPr>
      <w:r>
        <w:rPr>
          <w:color w:val="000000"/>
          <w:spacing w:val="0"/>
          <w:w w:val="100"/>
          <w:position w:val="0"/>
        </w:rPr>
        <w:t>公允价值计量所使用的输入值划分为三个层次：</w:t>
      </w:r>
    </w:p>
    <w:p>
      <w:pPr>
        <w:pStyle w:val="Style33"/>
        <w:keepNext w:val="0"/>
        <w:keepLines w:val="0"/>
        <w:widowControl w:val="0"/>
        <w:shd w:val="clear" w:color="auto" w:fill="auto"/>
        <w:bidi w:val="0"/>
        <w:spacing w:before="0" w:after="0" w:line="314" w:lineRule="exact"/>
        <w:ind w:left="440" w:right="0" w:firstLine="0"/>
        <w:jc w:val="left"/>
      </w:pPr>
      <w:r>
        <w:rPr>
          <w:color w:val="000000"/>
          <w:spacing w:val="0"/>
          <w:w w:val="100"/>
          <w:position w:val="0"/>
        </w:rPr>
        <w:t>第一层次输入值是在计量日能够取得的相同资产或负债在活跃市场上未经调整的报价。 第二层次输入值是除第一层次输入值外相关资产或负债直接或间接可观察的输入值。 第三层次输入值是相关资产或负债的不可观察输入值。</w:t>
      </w:r>
    </w:p>
    <w:p>
      <w:pPr>
        <w:pStyle w:val="Style33"/>
        <w:keepNext w:val="0"/>
        <w:keepLines w:val="0"/>
        <w:widowControl w:val="0"/>
        <w:shd w:val="clear" w:color="auto" w:fill="auto"/>
        <w:bidi w:val="0"/>
        <w:spacing w:before="0" w:after="360" w:line="274" w:lineRule="exact"/>
        <w:ind w:left="0" w:right="0" w:firstLine="440"/>
        <w:jc w:val="both"/>
      </w:pPr>
      <w:r>
        <w:rPr>
          <w:color w:val="000000"/>
          <w:spacing w:val="0"/>
          <w:w w:val="100"/>
          <w:position w:val="0"/>
        </w:rPr>
        <w:t>公允价值计量结果所属的层次，由对公允价值计量整体而言具有重要意义的输入值所属的最低层次决 定。</w:t>
      </w:r>
    </w:p>
    <w:p>
      <w:pPr>
        <w:pStyle w:val="Style30"/>
        <w:keepNext/>
        <w:keepLines/>
        <w:widowControl w:val="0"/>
        <w:shd w:val="clear" w:color="auto" w:fill="auto"/>
        <w:bidi w:val="0"/>
        <w:spacing w:before="0" w:after="280" w:line="322" w:lineRule="auto"/>
        <w:ind w:left="0" w:right="0" w:firstLine="0"/>
        <w:jc w:val="left"/>
      </w:pPr>
      <w:bookmarkStart w:id="1472" w:name="bookmark1472"/>
      <w:bookmarkStart w:id="1473" w:name="bookmark1473"/>
      <w:bookmarkStart w:id="1474" w:name="bookmark1474"/>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472"/>
      <w:bookmarkEnd w:id="1473"/>
      <w:bookmarkEnd w:id="1474"/>
    </w:p>
    <w:p>
      <w:pPr>
        <w:pStyle w:val="Style26"/>
        <w:keepNext w:val="0"/>
        <w:keepLines w:val="0"/>
        <w:widowControl w:val="0"/>
        <w:shd w:val="clear" w:color="auto" w:fill="auto"/>
        <w:bidi w:val="0"/>
        <w:spacing w:before="0" w:after="0" w:line="240" w:lineRule="auto"/>
        <w:ind w:left="8587" w:right="0" w:firstLine="0"/>
        <w:jc w:val="left"/>
      </w:pPr>
      <w:r>
        <w:rPr>
          <w:color w:val="000000"/>
          <w:spacing w:val="0"/>
          <w:w w:val="100"/>
          <w:position w:val="0"/>
        </w:rPr>
        <w:t>单位：元</w:t>
      </w:r>
    </w:p>
    <w:tbl>
      <w:tblPr>
        <w:tblOverlap w:val="never"/>
        <w:jc w:val="center"/>
        <w:tblLayout w:type="fixed"/>
      </w:tblPr>
      <w:tblGrid>
        <w:gridCol w:w="3691"/>
        <w:gridCol w:w="1560"/>
        <w:gridCol w:w="1272"/>
        <w:gridCol w:w="1421"/>
        <w:gridCol w:w="1642"/>
      </w:tblGrid>
      <w:tr>
        <w:trPr>
          <w:trHeight w:val="326"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63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第一层次公允价 值计量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第二层次公 允价值计量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第三层次公允 价值计量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2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w:t>
            </w:r>
          </w:p>
        </w:tc>
      </w:tr>
      <w:tr>
        <w:trPr>
          <w:trHeight w:val="63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（一）以公允价值计量且变动计入当期 损益的金融资产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2,412,043,481.70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2,412,043,481.70</w:t>
            </w:r>
          </w:p>
        </w:tc>
      </w:tr>
      <w:tr>
        <w:trPr>
          <w:trHeight w:val="3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交易性金融资产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2,412,043,481.70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2,412,043,481.70</w:t>
            </w:r>
          </w:p>
        </w:tc>
      </w:tr>
      <w:tr>
        <w:trPr>
          <w:trHeight w:val="3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）债务工具投资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1,151,731,980.00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1,151,731,980.00</w:t>
            </w:r>
          </w:p>
        </w:tc>
      </w:tr>
      <w:tr>
        <w:trPr>
          <w:trHeight w:val="3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）权益工具投资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1,249,182,374.95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1,249,182,374.95</w:t>
            </w:r>
          </w:p>
        </w:tc>
      </w:tr>
      <w:tr>
        <w:trPr>
          <w:trHeight w:val="3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）基金投资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11,129,126.75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11,129,126.75</w:t>
            </w:r>
          </w:p>
        </w:tc>
      </w:tr>
      <w:tr>
        <w:trPr>
          <w:trHeight w:val="3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（二）可供出售金融资产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3,624,240,891.56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30,000,000.00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3,654,240,891.56</w:t>
            </w: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）债务工具投资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566,900,550.00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566,900,550.00</w:t>
            </w: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）权益工具投资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47,084,625.22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47,084,625.22</w:t>
            </w: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）基金投资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358,155,716.34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358,155,716.34</w:t>
            </w: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）资产管理计划</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2,652,100,000.00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30,000,000.00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2,682,100,000.00</w:t>
            </w:r>
          </w:p>
        </w:tc>
      </w:tr>
      <w:tr>
        <w:trPr>
          <w:trHeight w:val="32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持续以公允价值计量的资产总额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6,036,284,373.26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30,000,000.00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6,066,284,373.26</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二、非持续的公允价值计量</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34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42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p>
      <w:pPr>
        <w:pStyle w:val="Style30"/>
        <w:keepNext/>
        <w:keepLines/>
        <w:widowControl w:val="0"/>
        <w:shd w:val="clear" w:color="auto" w:fill="auto"/>
        <w:bidi w:val="0"/>
        <w:spacing w:before="0" w:after="280" w:line="317" w:lineRule="exact"/>
        <w:ind w:left="0" w:right="0" w:firstLine="0"/>
        <w:jc w:val="left"/>
      </w:pPr>
      <w:bookmarkStart w:id="1475" w:name="bookmark1475"/>
      <w:bookmarkStart w:id="1476" w:name="bookmark1476"/>
      <w:bookmarkStart w:id="1477" w:name="bookmark1477"/>
      <w:r>
        <w:rPr>
          <w:rFonts w:ascii="Times New Roman" w:eastAsia="Times New Roman" w:hAnsi="Times New Roman" w:cs="Times New Roman"/>
          <w:color w:val="000000"/>
          <w:spacing w:val="0"/>
          <w:w w:val="100"/>
          <w:position w:val="0"/>
        </w:rPr>
        <w:t>2</w:t>
      </w:r>
      <w:r>
        <w:rPr>
          <w:color w:val="000000"/>
          <w:spacing w:val="0"/>
          <w:w w:val="100"/>
          <w:position w:val="0"/>
        </w:rPr>
        <w:t>、持续和非持续第一层次公允价值计量项目市价的确定依据</w:t>
      </w:r>
      <w:bookmarkEnd w:id="1475"/>
      <w:bookmarkEnd w:id="1476"/>
      <w:bookmarkEnd w:id="1477"/>
    </w:p>
    <w:p>
      <w:pPr>
        <w:pStyle w:val="Style33"/>
        <w:keepNext w:val="0"/>
        <w:keepLines w:val="0"/>
        <w:widowControl w:val="0"/>
        <w:shd w:val="clear" w:color="auto" w:fill="auto"/>
        <w:bidi w:val="0"/>
        <w:spacing w:before="0" w:after="360" w:line="317" w:lineRule="exact"/>
        <w:ind w:left="0" w:right="0" w:firstLine="440"/>
        <w:jc w:val="both"/>
      </w:pPr>
      <w:r>
        <w:rPr>
          <w:color w:val="000000"/>
          <w:spacing w:val="0"/>
          <w:w w:val="100"/>
          <w:position w:val="0"/>
        </w:rPr>
        <w:t>对于存在活跃市场的以公允价值计量且其变动计入当期损益的资产、可供出售金融资产，其公允价值 是按资产负债表日的市场报价确定的。</w:t>
      </w:r>
    </w:p>
    <w:p>
      <w:pPr>
        <w:pStyle w:val="Style26"/>
        <w:keepNext w:val="0"/>
        <w:keepLines w:val="0"/>
        <w:widowControl w:val="0"/>
        <w:shd w:val="clear" w:color="auto" w:fill="auto"/>
        <w:bidi w:val="0"/>
        <w:spacing w:before="0" w:after="0" w:line="240" w:lineRule="auto"/>
        <w:ind w:left="0" w:right="0" w:firstLine="0"/>
        <w:jc w:val="left"/>
      </w:pPr>
      <w:bookmarkStart w:id="1478" w:name="bookmark1478"/>
      <w:r>
        <w:rPr>
          <w:rFonts w:ascii="Times New Roman" w:eastAsia="Times New Roman" w:hAnsi="Times New Roman" w:cs="Times New Roman"/>
          <w:b/>
          <w:bCs/>
          <w:color w:val="000000"/>
          <w:spacing w:val="0"/>
          <w:w w:val="100"/>
          <w:position w:val="0"/>
        </w:rPr>
        <w:t>3</w:t>
      </w:r>
      <w:r>
        <w:rPr>
          <w:b/>
          <w:bCs/>
          <w:color w:val="000000"/>
          <w:spacing w:val="0"/>
          <w:w w:val="100"/>
          <w:position w:val="0"/>
        </w:rPr>
        <w:t>、持续的第三层次公允价值计量项目，期初与期末账面价值间的调节信息及不可观察参数敏感性分析</w:t>
      </w:r>
      <w:bookmarkEnd w:id="1478"/>
    </w:p>
    <w:tbl>
      <w:tblPr>
        <w:tblOverlap w:val="never"/>
        <w:jc w:val="center"/>
        <w:tblLayout w:type="fixed"/>
      </w:tblPr>
      <w:tblGrid>
        <w:gridCol w:w="2414"/>
        <w:gridCol w:w="1258"/>
        <w:gridCol w:w="1296"/>
        <w:gridCol w:w="1555"/>
        <w:gridCol w:w="3130"/>
      </w:tblGrid>
      <w:tr>
        <w:trPr>
          <w:trHeight w:val="65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期末公允价 值</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估值技术</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输入值</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对公允价的影响</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资产管理计划</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市场折扣法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缺乏流动性折扣</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折扣越高，公允价值越低</w:t>
            </w:r>
          </w:p>
        </w:tc>
      </w:tr>
      <w:tr>
        <w:trPr>
          <w:trHeight w:val="3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30"/>
        <w:keepNext/>
        <w:keepLines/>
        <w:widowControl w:val="0"/>
        <w:shd w:val="clear" w:color="auto" w:fill="auto"/>
        <w:bidi w:val="0"/>
        <w:spacing w:before="0" w:after="280" w:line="312" w:lineRule="exact"/>
        <w:ind w:left="0" w:right="0" w:firstLine="0"/>
        <w:jc w:val="left"/>
      </w:pPr>
      <w:bookmarkStart w:id="1479" w:name="bookmark1479"/>
      <w:bookmarkStart w:id="1480" w:name="bookmark1480"/>
      <w:bookmarkStart w:id="1481" w:name="bookmark1481"/>
      <w:bookmarkStart w:id="1482" w:name="bookmark1482"/>
      <w:r>
        <w:rPr>
          <w:rFonts w:ascii="Times New Roman" w:eastAsia="Times New Roman" w:hAnsi="Times New Roman" w:cs="Times New Roman"/>
          <w:color w:val="000000"/>
          <w:spacing w:val="0"/>
          <w:w w:val="100"/>
          <w:position w:val="0"/>
        </w:rPr>
        <w:t>4</w:t>
      </w:r>
      <w:bookmarkEnd w:id="1481"/>
      <w:r>
        <w:rPr>
          <w:color w:val="000000"/>
          <w:spacing w:val="0"/>
          <w:w w:val="100"/>
          <w:position w:val="0"/>
        </w:rPr>
        <w:t>、不以公允价值计量的金融资产和金融负债的公允价值情况</w:t>
      </w:r>
      <w:bookmarkEnd w:id="1479"/>
      <w:bookmarkEnd w:id="1480"/>
      <w:bookmarkEnd w:id="1482"/>
    </w:p>
    <w:p>
      <w:pPr>
        <w:pStyle w:val="Style33"/>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除了上述以公允价值计量的金融资产和金融负债外，公司对其他不以公允价值计量的金融资产和金融 负债，如融出资金、买入返售金融资产、应收账款、应付债券、拆入资金、卖出回购金融资产款、应付账 款等，公允价值与账面价值相若，根据会计政策的规定进行计量。</w:t>
      </w:r>
    </w:p>
    <w:p>
      <w:pPr>
        <w:pStyle w:val="Style23"/>
        <w:keepNext/>
        <w:keepLines/>
        <w:widowControl w:val="0"/>
        <w:shd w:val="clear" w:color="auto" w:fill="auto"/>
        <w:bidi w:val="0"/>
        <w:spacing w:before="0" w:after="360" w:line="240" w:lineRule="auto"/>
        <w:ind w:left="0" w:right="0" w:firstLine="0"/>
        <w:jc w:val="left"/>
        <w:rPr>
          <w:sz w:val="22"/>
          <w:szCs w:val="22"/>
        </w:rPr>
      </w:pPr>
      <w:bookmarkStart w:id="1483" w:name="bookmark1483"/>
      <w:bookmarkStart w:id="1484" w:name="bookmark1484"/>
      <w:bookmarkStart w:id="1485" w:name="bookmark1485"/>
      <w:r>
        <w:rPr>
          <w:b/>
          <w:bCs/>
          <w:color w:val="000000"/>
          <w:spacing w:val="0"/>
          <w:w w:val="100"/>
          <w:position w:val="0"/>
          <w:sz w:val="22"/>
          <w:szCs w:val="22"/>
        </w:rPr>
        <w:t>十二、关联方及关联交易</w:t>
      </w:r>
      <w:bookmarkEnd w:id="1483"/>
      <w:bookmarkEnd w:id="1484"/>
      <w:bookmarkEnd w:id="1485"/>
    </w:p>
    <w:p>
      <w:pPr>
        <w:pStyle w:val="Style26"/>
        <w:keepNext w:val="0"/>
        <w:keepLines w:val="0"/>
        <w:widowControl w:val="0"/>
        <w:shd w:val="clear" w:color="auto" w:fill="auto"/>
        <w:bidi w:val="0"/>
        <w:spacing w:before="0" w:after="0" w:line="240" w:lineRule="auto"/>
        <w:ind w:left="0" w:right="0" w:firstLine="0"/>
        <w:jc w:val="left"/>
      </w:pPr>
      <w:bookmarkStart w:id="1486" w:name="bookmark1486"/>
      <w:r>
        <w:rPr>
          <w:rFonts w:ascii="Times New Roman" w:eastAsia="Times New Roman" w:hAnsi="Times New Roman" w:cs="Times New Roman"/>
          <w:b/>
          <w:bCs/>
          <w:color w:val="000000"/>
          <w:spacing w:val="0"/>
          <w:w w:val="100"/>
          <w:position w:val="0"/>
        </w:rPr>
        <w:t>1</w:t>
      </w:r>
      <w:r>
        <w:rPr>
          <w:b/>
          <w:bCs/>
          <w:color w:val="000000"/>
          <w:spacing w:val="0"/>
          <w:w w:val="100"/>
          <w:position w:val="0"/>
        </w:rPr>
        <w:t>、本企业的母公司情况</w:t>
      </w:r>
      <w:bookmarkEnd w:id="1486"/>
    </w:p>
    <w:tbl>
      <w:tblPr>
        <w:tblOverlap w:val="never"/>
        <w:jc w:val="center"/>
        <w:tblLayout w:type="fixed"/>
      </w:tblPr>
      <w:tblGrid>
        <w:gridCol w:w="2568"/>
        <w:gridCol w:w="840"/>
        <w:gridCol w:w="1560"/>
        <w:gridCol w:w="1555"/>
        <w:gridCol w:w="1454"/>
        <w:gridCol w:w="1603"/>
      </w:tblGrid>
      <w:tr>
        <w:trPr>
          <w:trHeight w:val="63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注册资本（万元）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母公司对本企 业的持股比例</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母公司对本企业 的表决权比例</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深圳前海财智发展投资中 心（有限合伙）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投资管理、咨询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250,001.00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16.94%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16.94%</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深圳前海财智远大投资中 心（有限合伙）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投资管理、咨询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180,001.00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13.26%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13.26%</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北京凤凰财鑫股权投资中 心（有限合伙）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投资管理、咨询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150,001.00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7.37%</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北京凤凰财智创新投资中 心（有限合伙）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投资管理、咨询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120,001.00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43.94%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43.94%</w:t>
            </w:r>
          </w:p>
        </w:tc>
      </w:tr>
      <w:tr>
        <w:trPr>
          <w:trHeight w:val="28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本公司的实际控制人为杜</w:t>
            </w:r>
          </w:p>
        </w:tc>
        <w:tc>
          <w:tcPr>
            <w:gridSpan w:val="5"/>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杜力及其一致行动人张巍。</w:t>
            </w:r>
          </w:p>
        </w:tc>
      </w:tr>
    </w:tbl>
    <w:p>
      <w:pPr>
        <w:widowControl w:val="0"/>
        <w:spacing w:after="359" w:line="1" w:lineRule="exact"/>
      </w:pPr>
    </w:p>
    <w:p>
      <w:pPr>
        <w:pStyle w:val="Style30"/>
        <w:keepNext/>
        <w:keepLines/>
        <w:widowControl w:val="0"/>
        <w:shd w:val="clear" w:color="auto" w:fill="auto"/>
        <w:tabs>
          <w:tab w:pos="378" w:val="left"/>
        </w:tabs>
        <w:bidi w:val="0"/>
        <w:spacing w:before="0" w:after="360" w:line="240" w:lineRule="auto"/>
        <w:ind w:left="0" w:right="0" w:firstLine="0"/>
        <w:jc w:val="left"/>
      </w:pPr>
      <w:bookmarkStart w:id="1487" w:name="bookmark1487"/>
      <w:bookmarkStart w:id="1488" w:name="bookmark1488"/>
      <w:bookmarkStart w:id="1489" w:name="bookmark1489"/>
      <w:bookmarkStart w:id="1490" w:name="bookmark1490"/>
      <w:r>
        <w:rPr>
          <w:rFonts w:ascii="Times New Roman" w:eastAsia="Times New Roman" w:hAnsi="Times New Roman" w:cs="Times New Roman"/>
          <w:color w:val="000000"/>
          <w:spacing w:val="0"/>
          <w:w w:val="100"/>
          <w:position w:val="0"/>
        </w:rPr>
        <w:t>2</w:t>
      </w:r>
      <w:bookmarkEnd w:id="1489"/>
      <w:r>
        <w:rPr>
          <w:color w:val="000000"/>
          <w:spacing w:val="0"/>
          <w:w w:val="100"/>
          <w:position w:val="0"/>
        </w:rPr>
        <w:t>、</w:t>
        <w:tab/>
        <w:t>本企业的子公司情况</w:t>
      </w:r>
      <w:bookmarkEnd w:id="1487"/>
      <w:bookmarkEnd w:id="1488"/>
      <w:bookmarkEnd w:id="1490"/>
    </w:p>
    <w:p>
      <w:pPr>
        <w:pStyle w:val="Style33"/>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本企业子公司的情况详见附注九。</w:t>
      </w:r>
    </w:p>
    <w:p>
      <w:pPr>
        <w:pStyle w:val="Style30"/>
        <w:keepNext/>
        <w:keepLines/>
        <w:widowControl w:val="0"/>
        <w:shd w:val="clear" w:color="auto" w:fill="auto"/>
        <w:tabs>
          <w:tab w:pos="378" w:val="left"/>
        </w:tabs>
        <w:bidi w:val="0"/>
        <w:spacing w:before="0" w:after="360" w:line="240" w:lineRule="auto"/>
        <w:ind w:left="0" w:right="0" w:firstLine="0"/>
        <w:jc w:val="left"/>
      </w:pPr>
      <w:bookmarkStart w:id="1491" w:name="bookmark1491"/>
      <w:bookmarkStart w:id="1492" w:name="bookmark1492"/>
      <w:bookmarkStart w:id="1493" w:name="bookmark1493"/>
      <w:bookmarkStart w:id="1494" w:name="bookmark1494"/>
      <w:r>
        <w:rPr>
          <w:rFonts w:ascii="Times New Roman" w:eastAsia="Times New Roman" w:hAnsi="Times New Roman" w:cs="Times New Roman"/>
          <w:color w:val="000000"/>
          <w:spacing w:val="0"/>
          <w:w w:val="100"/>
          <w:position w:val="0"/>
        </w:rPr>
        <w:t>3</w:t>
      </w:r>
      <w:bookmarkEnd w:id="1493"/>
      <w:r>
        <w:rPr>
          <w:color w:val="000000"/>
          <w:spacing w:val="0"/>
          <w:w w:val="100"/>
          <w:position w:val="0"/>
        </w:rPr>
        <w:t>、</w:t>
        <w:tab/>
        <w:t>本企业合营和联营企业情况</w:t>
      </w:r>
      <w:bookmarkEnd w:id="1491"/>
      <w:bookmarkEnd w:id="1492"/>
      <w:bookmarkEnd w:id="1494"/>
    </w:p>
    <w:p>
      <w:pPr>
        <w:pStyle w:val="Style33"/>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本企业重要的合营或联营企业详见附注九。</w:t>
      </w:r>
      <w:r>
        <w:br w:type="page"/>
      </w:r>
    </w:p>
    <w:p>
      <w:pPr>
        <w:pStyle w:val="Style26"/>
        <w:keepNext w:val="0"/>
        <w:keepLines w:val="0"/>
        <w:widowControl w:val="0"/>
        <w:shd w:val="clear" w:color="auto" w:fill="auto"/>
        <w:bidi w:val="0"/>
        <w:spacing w:before="0" w:after="0" w:line="240" w:lineRule="auto"/>
        <w:ind w:left="0" w:right="0" w:firstLine="0"/>
        <w:jc w:val="left"/>
      </w:pPr>
      <w:bookmarkStart w:id="1495" w:name="bookmark1495"/>
      <w:r>
        <w:rPr>
          <w:rFonts w:ascii="Times New Roman" w:eastAsia="Times New Roman" w:hAnsi="Times New Roman" w:cs="Times New Roman"/>
          <w:b/>
          <w:bCs/>
          <w:color w:val="000000"/>
          <w:spacing w:val="0"/>
          <w:w w:val="100"/>
          <w:position w:val="0"/>
        </w:rPr>
        <w:t>4</w:t>
      </w:r>
      <w:r>
        <w:rPr>
          <w:b/>
          <w:bCs/>
          <w:color w:val="000000"/>
          <w:spacing w:val="0"/>
          <w:w w:val="100"/>
          <w:position w:val="0"/>
        </w:rPr>
        <w:t>、其他关联方情况</w:t>
      </w:r>
      <w:bookmarkEnd w:id="1495"/>
    </w:p>
    <w:tbl>
      <w:tblPr>
        <w:tblOverlap w:val="never"/>
        <w:jc w:val="center"/>
        <w:tblLayout w:type="fixed"/>
      </w:tblPr>
      <w:tblGrid>
        <w:gridCol w:w="4786"/>
        <w:gridCol w:w="4795"/>
      </w:tblGrid>
      <w:tr>
        <w:trPr>
          <w:trHeight w:val="32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杜力</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董事长、实际控制人</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副董事长、总经理、实际控制人的一致行动人</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谢基柱</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赵岑</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董事、董事会秘书、财务总监</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罗嘉俊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李英明</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张李平</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周春生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徐强国</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何国英</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刘琛</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叶强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刘世明</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r>
      <w:tr>
        <w:trPr>
          <w:trHeight w:val="12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众安在线财产保险股份有限公司、北京快乐时代科技 发展有限公司、广州达意隆包装机械股份有限公司、 深圳乐丰投资管理有限公司、北京凤凰祥瑞互联投资 基金(有限合伙)</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本企业实际控制人控制或施加重大影响的其他企业</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中江国际信托股份有限公司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以上股东</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江西赣粤高速公路股份有限公司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以上股东</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北京迅杰新科科技有限公司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以上股东</w:t>
            </w: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罗桥胜</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原</w:t>
            </w:r>
            <w:r>
              <w:rPr>
                <w:rFonts w:ascii="Times New Roman" w:eastAsia="Times New Roman" w:hAnsi="Times New Roman" w:cs="Times New Roman"/>
                <w:color w:val="000000"/>
                <w:spacing w:val="0"/>
                <w:w w:val="100"/>
                <w:position w:val="0"/>
              </w:rPr>
              <w:t>5%</w:t>
            </w:r>
            <w:r>
              <w:rPr>
                <w:color w:val="000000"/>
                <w:spacing w:val="0"/>
                <w:w w:val="100"/>
                <w:position w:val="0"/>
              </w:rPr>
              <w:t>以上股东</w:t>
            </w:r>
          </w:p>
        </w:tc>
      </w:tr>
    </w:tbl>
    <w:p>
      <w:pPr>
        <w:pStyle w:val="Style26"/>
        <w:keepNext w:val="0"/>
        <w:keepLines w:val="0"/>
        <w:widowControl w:val="0"/>
        <w:shd w:val="clear" w:color="auto" w:fill="auto"/>
        <w:bidi w:val="0"/>
        <w:spacing w:before="0" w:after="0" w:line="240" w:lineRule="auto"/>
        <w:ind w:left="0" w:right="0" w:firstLine="0"/>
        <w:jc w:val="left"/>
      </w:pPr>
      <w:bookmarkStart w:id="1496" w:name="bookmark1496"/>
      <w:r>
        <w:rPr>
          <w:rFonts w:ascii="Times New Roman" w:eastAsia="Times New Roman" w:hAnsi="Times New Roman" w:cs="Times New Roman"/>
          <w:b/>
          <w:bCs/>
          <w:color w:val="000000"/>
          <w:spacing w:val="0"/>
          <w:w w:val="100"/>
          <w:position w:val="0"/>
        </w:rPr>
        <w:t>5</w:t>
      </w:r>
      <w:r>
        <w:rPr>
          <w:b/>
          <w:bCs/>
          <w:color w:val="000000"/>
          <w:spacing w:val="0"/>
          <w:w w:val="100"/>
          <w:position w:val="0"/>
        </w:rPr>
        <w:t>、关联交易情况</w:t>
      </w:r>
      <w:bookmarkEnd w:id="1496"/>
    </w:p>
    <w:p>
      <w:pPr>
        <w:widowControl w:val="0"/>
        <w:spacing w:after="359" w:line="1" w:lineRule="exact"/>
      </w:pPr>
    </w:p>
    <w:p>
      <w:pPr>
        <w:pStyle w:val="Style47"/>
        <w:keepNext/>
        <w:keepLines/>
        <w:widowControl w:val="0"/>
        <w:shd w:val="clear" w:color="auto" w:fill="auto"/>
        <w:bidi w:val="0"/>
        <w:spacing w:before="0" w:line="240" w:lineRule="auto"/>
        <w:ind w:left="0" w:right="0" w:firstLine="220"/>
        <w:jc w:val="left"/>
      </w:pPr>
      <w:bookmarkStart w:id="1497" w:name="bookmark1497"/>
      <w:bookmarkStart w:id="1498" w:name="bookmark1498"/>
      <w:bookmarkStart w:id="1499" w:name="bookmark1499"/>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497"/>
      <w:bookmarkEnd w:id="1498"/>
      <w:bookmarkEnd w:id="1499"/>
    </w:p>
    <w:p>
      <w:pPr>
        <w:pStyle w:val="Style33"/>
        <w:keepNext w:val="0"/>
        <w:keepLines w:val="0"/>
        <w:widowControl w:val="0"/>
        <w:shd w:val="clear" w:color="auto" w:fill="auto"/>
        <w:bidi w:val="0"/>
        <w:spacing w:before="0" w:after="80" w:line="240" w:lineRule="auto"/>
        <w:ind w:left="0" w:right="0" w:firstLine="520"/>
        <w:jc w:val="left"/>
      </w:pPr>
      <w:r>
        <w:rPr>
          <w:color w:val="000000"/>
          <w:spacing w:val="0"/>
          <w:w w:val="100"/>
          <w:position w:val="0"/>
        </w:rPr>
        <w:t>采购商品</w:t>
      </w:r>
      <w:r>
        <w:rPr>
          <w:rFonts w:ascii="Times New Roman" w:eastAsia="Times New Roman" w:hAnsi="Times New Roman" w:cs="Times New Roman"/>
          <w:color w:val="000000"/>
          <w:spacing w:val="0"/>
          <w:w w:val="100"/>
          <w:position w:val="0"/>
        </w:rPr>
        <w:t>/</w:t>
      </w:r>
      <w:r>
        <w:rPr>
          <w:color w:val="000000"/>
          <w:spacing w:val="0"/>
          <w:w w:val="100"/>
          <w:position w:val="0"/>
        </w:rPr>
        <w:t>接受劳务情况表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35"/>
        <w:gridCol w:w="2976"/>
        <w:gridCol w:w="2774"/>
      </w:tblGrid>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江信基金管理有限公司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11,270,000.00</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中江国际信托股份有限公司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手续费及佣金</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754,716.98</w:t>
            </w:r>
          </w:p>
        </w:tc>
      </w:tr>
    </w:tbl>
    <w:p>
      <w:pPr>
        <w:pStyle w:val="Style26"/>
        <w:keepNext w:val="0"/>
        <w:keepLines w:val="0"/>
        <w:widowControl w:val="0"/>
        <w:shd w:val="clear" w:color="auto" w:fill="auto"/>
        <w:bidi w:val="0"/>
        <w:spacing w:before="0" w:after="0" w:line="240" w:lineRule="auto"/>
        <w:ind w:left="538"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rPr>
        <w:t>/</w:t>
      </w:r>
      <w:r>
        <w:rPr>
          <w:color w:val="000000"/>
          <w:spacing w:val="0"/>
          <w:w w:val="100"/>
          <w:position w:val="0"/>
        </w:rPr>
        <w:t>提供劳务情况表</w:t>
      </w:r>
    </w:p>
    <w:p>
      <w:pPr>
        <w:widowControl w:val="0"/>
        <w:spacing w:after="7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35"/>
        <w:gridCol w:w="2976"/>
        <w:gridCol w:w="2774"/>
      </w:tblGrid>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江信基金管理有限公司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手续费及佣金</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4,580,644.65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中江国际信托股份有限公司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手续费及佣金</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49,546.25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中江国际信托股份有限公司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信托产品推荐服务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27,306,816.35</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中江国际信托股份有限公司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信托产品推荐服务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1,810,103.17</w:t>
            </w:r>
          </w:p>
        </w:tc>
      </w:tr>
    </w:tbl>
    <w:p>
      <w:pPr>
        <w:spacing w:lineRule="exact" w:line="1"/>
        <w:rPr>
          <w:sz w:val="2"/>
          <w:szCs w:val="2"/>
        </w:rPr>
      </w:pPr>
      <w:r>
        <w:br w:type="page"/>
      </w:r>
    </w:p>
    <w:tbl>
      <w:tblPr>
        <w:tblOverlap w:val="never"/>
        <w:jc w:val="center"/>
        <w:tblLayout w:type="fixed"/>
      </w:tblPr>
      <w:tblGrid>
        <w:gridCol w:w="3835"/>
        <w:gridCol w:w="2976"/>
        <w:gridCol w:w="2774"/>
      </w:tblGrid>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中江国际信托股份有限公司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信托产品推荐服务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1,553,397.98</w:t>
            </w:r>
          </w:p>
        </w:tc>
      </w:tr>
    </w:tbl>
    <w:p>
      <w:pPr>
        <w:widowControl w:val="0"/>
        <w:spacing w:after="319" w:line="1" w:lineRule="exact"/>
      </w:pPr>
    </w:p>
    <w:p>
      <w:pPr>
        <w:pStyle w:val="Style47"/>
        <w:keepNext/>
        <w:keepLines/>
        <w:widowControl w:val="0"/>
        <w:shd w:val="clear" w:color="auto" w:fill="auto"/>
        <w:bidi w:val="0"/>
        <w:spacing w:before="0" w:line="240" w:lineRule="auto"/>
        <w:ind w:left="0" w:right="0" w:firstLine="220"/>
        <w:jc w:val="left"/>
      </w:pPr>
      <w:bookmarkStart w:id="1500" w:name="bookmark1500"/>
      <w:bookmarkStart w:id="1501" w:name="bookmark1501"/>
      <w:bookmarkStart w:id="1502" w:name="bookmark150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500"/>
      <w:bookmarkEnd w:id="1501"/>
      <w:bookmarkEnd w:id="1502"/>
    </w:p>
    <w:p>
      <w:pPr>
        <w:pStyle w:val="Style33"/>
        <w:keepNext w:val="0"/>
        <w:keepLines w:val="0"/>
        <w:widowControl w:val="0"/>
        <w:shd w:val="clear" w:color="auto" w:fill="auto"/>
        <w:bidi w:val="0"/>
        <w:spacing w:before="0" w:after="100" w:line="240" w:lineRule="auto"/>
        <w:ind w:left="0" w:right="0" w:firstLine="52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rPr>
        <w:t>/</w:t>
      </w:r>
      <w:r>
        <w:rPr>
          <w:color w:val="000000"/>
          <w:spacing w:val="0"/>
          <w:w w:val="100"/>
          <w:position w:val="0"/>
        </w:rPr>
        <w:t>承包情况表：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65"/>
        <w:gridCol w:w="1699"/>
        <w:gridCol w:w="1843"/>
        <w:gridCol w:w="1133"/>
        <w:gridCol w:w="994"/>
        <w:gridCol w:w="1133"/>
        <w:gridCol w:w="1219"/>
      </w:tblGrid>
      <w:tr>
        <w:trPr>
          <w:trHeight w:val="95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rPr>
              <w:t>/</w:t>
            </w:r>
            <w:r>
              <w:rPr>
                <w:color w:val="000000"/>
                <w:spacing w:val="0"/>
                <w:w w:val="100"/>
                <w:position w:val="0"/>
              </w:rPr>
              <w:t>出包方 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rPr>
              <w:t>/</w:t>
            </w:r>
            <w:r>
              <w:rPr>
                <w:color w:val="000000"/>
                <w:spacing w:val="0"/>
                <w:w w:val="100"/>
                <w:position w:val="0"/>
              </w:rPr>
              <w:t>承包方名 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承包资产类型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 起始日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 终止日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托管收益</w:t>
            </w:r>
            <w:r>
              <w:rPr>
                <w:rFonts w:ascii="Times New Roman" w:eastAsia="Times New Roman" w:hAnsi="Times New Roman" w:cs="Times New Roman"/>
                <w:color w:val="000000"/>
                <w:spacing w:val="0"/>
                <w:w w:val="100"/>
                <w:position w:val="0"/>
              </w:rPr>
              <w:t xml:space="preserve">/ </w:t>
            </w:r>
            <w:r>
              <w:rPr>
                <w:color w:val="000000"/>
                <w:spacing w:val="0"/>
                <w:w w:val="100"/>
                <w:position w:val="0"/>
              </w:rPr>
              <w:t>承包收益定 价依据</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本期确认的 托管收益</w:t>
            </w:r>
            <w:r>
              <w:rPr>
                <w:rFonts w:ascii="Times New Roman" w:eastAsia="Times New Roman" w:hAnsi="Times New Roman" w:cs="Times New Roman"/>
                <w:color w:val="000000"/>
                <w:spacing w:val="0"/>
                <w:w w:val="100"/>
                <w:position w:val="0"/>
              </w:rPr>
              <w:t>/</w:t>
            </w:r>
            <w:r>
              <w:rPr>
                <w:color w:val="000000"/>
                <w:spacing w:val="0"/>
                <w:w w:val="100"/>
                <w:position w:val="0"/>
              </w:rPr>
              <w:t>承 包收益</w:t>
            </w:r>
          </w:p>
        </w:tc>
      </w:tr>
      <w:tr>
        <w:trPr>
          <w:trHeight w:val="63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国盛证券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江信基金管理有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江信基金</w:t>
            </w:r>
            <w:r>
              <w:rPr>
                <w:rFonts w:ascii="Times New Roman" w:eastAsia="Times New Roman" w:hAnsi="Times New Roman" w:cs="Times New Roman"/>
                <w:color w:val="000000"/>
                <w:spacing w:val="0"/>
                <w:w w:val="100"/>
                <w:position w:val="0"/>
              </w:rPr>
              <w:t>FOF2</w:t>
            </w:r>
            <w:r>
              <w:rPr>
                <w:color w:val="000000"/>
                <w:spacing w:val="0"/>
                <w:w w:val="100"/>
                <w:position w:val="0"/>
              </w:rPr>
              <w:t>号 资产管理计划</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至今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基金公司估 值确认表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-570,000.00</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国盛证券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江信基金管理有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江信基金</w:t>
            </w:r>
            <w:r>
              <w:rPr>
                <w:rFonts w:ascii="Times New Roman" w:eastAsia="Times New Roman" w:hAnsi="Times New Roman" w:cs="Times New Roman"/>
                <w:color w:val="000000"/>
                <w:spacing w:val="0"/>
                <w:w w:val="100"/>
                <w:position w:val="0"/>
              </w:rPr>
              <w:t>FOF3</w:t>
            </w:r>
            <w:r>
              <w:rPr>
                <w:color w:val="000000"/>
                <w:spacing w:val="0"/>
                <w:w w:val="100"/>
                <w:position w:val="0"/>
              </w:rPr>
              <w:t>号 资产管理计划</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至今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基金公司估 值确认表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-570,000.00</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国盛证券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江信基金管理有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江信基金</w:t>
            </w:r>
            <w:r>
              <w:rPr>
                <w:rFonts w:ascii="Times New Roman" w:eastAsia="Times New Roman" w:hAnsi="Times New Roman" w:cs="Times New Roman"/>
                <w:color w:val="000000"/>
                <w:spacing w:val="0"/>
                <w:w w:val="100"/>
                <w:position w:val="0"/>
              </w:rPr>
              <w:t>FOF4</w:t>
            </w:r>
            <w:r>
              <w:rPr>
                <w:color w:val="000000"/>
                <w:spacing w:val="0"/>
                <w:w w:val="100"/>
                <w:position w:val="0"/>
              </w:rPr>
              <w:t>号 资产管理计划</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至今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基金公司估 值确认表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-570,000.00</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国盛证券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江信基金管理有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江信基金</w:t>
            </w:r>
            <w:r>
              <w:rPr>
                <w:rFonts w:ascii="Times New Roman" w:eastAsia="Times New Roman" w:hAnsi="Times New Roman" w:cs="Times New Roman"/>
                <w:color w:val="000000"/>
                <w:spacing w:val="0"/>
                <w:w w:val="100"/>
                <w:position w:val="0"/>
              </w:rPr>
              <w:t>FOF5</w:t>
            </w:r>
            <w:r>
              <w:rPr>
                <w:color w:val="000000"/>
                <w:spacing w:val="0"/>
                <w:w w:val="100"/>
                <w:position w:val="0"/>
              </w:rPr>
              <w:t>号 资产管理计划</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至今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基金公司估 值确认表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-570,000.00</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国盛证券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江信基金管理有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left"/>
            </w:pPr>
            <w:r>
              <w:rPr>
                <w:color w:val="000000"/>
                <w:spacing w:val="0"/>
                <w:w w:val="100"/>
                <w:position w:val="0"/>
              </w:rPr>
              <w:t xml:space="preserve">江信基金策略投资 </w:t>
            </w:r>
            <w:r>
              <w:rPr>
                <w:rFonts w:ascii="Times New Roman" w:eastAsia="Times New Roman" w:hAnsi="Times New Roman" w:cs="Times New Roman"/>
                <w:color w:val="000000"/>
                <w:spacing w:val="0"/>
                <w:w w:val="100"/>
                <w:position w:val="0"/>
              </w:rPr>
              <w:t>2</w:t>
            </w:r>
            <w:r>
              <w:rPr>
                <w:color w:val="000000"/>
                <w:spacing w:val="0"/>
                <w:w w:val="100"/>
                <w:position w:val="0"/>
              </w:rPr>
              <w:t>号资产管理计划</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04</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至今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基金公司估 值确认表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3,910,000.00</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国盛证券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江信基金管理有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江信基金聚富</w:t>
            </w:r>
            <w:r>
              <w:rPr>
                <w:rFonts w:ascii="Times New Roman" w:eastAsia="Times New Roman" w:hAnsi="Times New Roman" w:cs="Times New Roman"/>
                <w:color w:val="000000"/>
                <w:spacing w:val="0"/>
                <w:w w:val="100"/>
                <w:position w:val="0"/>
              </w:rPr>
              <w:t>1</w:t>
            </w:r>
            <w:r>
              <w:rPr>
                <w:color w:val="000000"/>
                <w:spacing w:val="0"/>
                <w:w w:val="100"/>
                <w:position w:val="0"/>
              </w:rPr>
              <w:t>号 资产管理计划</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至今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基金公司估 值确认表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470,000.00</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国盛资管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江信基金管理有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江信基金聚富</w:t>
            </w:r>
            <w:r>
              <w:rPr>
                <w:rFonts w:ascii="Times New Roman" w:eastAsia="Times New Roman" w:hAnsi="Times New Roman" w:cs="Times New Roman"/>
                <w:color w:val="000000"/>
                <w:spacing w:val="0"/>
                <w:w w:val="100"/>
                <w:position w:val="0"/>
              </w:rPr>
              <w:t>1</w:t>
            </w:r>
            <w:r>
              <w:rPr>
                <w:color w:val="000000"/>
                <w:spacing w:val="0"/>
                <w:w w:val="100"/>
                <w:position w:val="0"/>
              </w:rPr>
              <w:t>号 资产管理计划</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至今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基金公司估 值确认表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-40,000.00</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全钰投资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江信基金管理有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江信基金聚富</w:t>
            </w:r>
            <w:r>
              <w:rPr>
                <w:rFonts w:ascii="Times New Roman" w:eastAsia="Times New Roman" w:hAnsi="Times New Roman" w:cs="Times New Roman"/>
                <w:color w:val="000000"/>
                <w:spacing w:val="0"/>
                <w:w w:val="100"/>
                <w:position w:val="0"/>
              </w:rPr>
              <w:t>1</w:t>
            </w:r>
            <w:r>
              <w:rPr>
                <w:color w:val="000000"/>
                <w:spacing w:val="0"/>
                <w:w w:val="100"/>
                <w:position w:val="0"/>
              </w:rPr>
              <w:t>号 资产管理计划</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至今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基金公司估 值确认表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-20,000.40</w:t>
            </w:r>
          </w:p>
        </w:tc>
      </w:tr>
      <w:tr>
        <w:trPr>
          <w:trHeight w:val="9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国盛资管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pPr>
            <w:r>
              <w:rPr>
                <w:color w:val="000000"/>
                <w:spacing w:val="0"/>
                <w:w w:val="100"/>
                <w:position w:val="0"/>
              </w:rPr>
              <w:t>中江国际信托股 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color w:val="000000"/>
                <w:spacing w:val="0"/>
                <w:w w:val="100"/>
                <w:position w:val="0"/>
              </w:rPr>
              <w:t>中江国际</w:t>
            </w:r>
            <w:r>
              <w:rPr>
                <w:rFonts w:ascii="Times New Roman" w:eastAsia="Times New Roman" w:hAnsi="Times New Roman" w:cs="Times New Roman"/>
                <w:color w:val="000000"/>
                <w:spacing w:val="0"/>
                <w:w w:val="100"/>
                <w:position w:val="0"/>
              </w:rPr>
              <w:t>•</w:t>
            </w:r>
            <w:r>
              <w:rPr>
                <w:color w:val="000000"/>
                <w:spacing w:val="0"/>
                <w:w w:val="100"/>
                <w:position w:val="0"/>
              </w:rPr>
              <w:t>金狮</w:t>
            </w:r>
            <w:r>
              <w:rPr>
                <w:rFonts w:ascii="Times New Roman" w:eastAsia="Times New Roman" w:hAnsi="Times New Roman" w:cs="Times New Roman"/>
                <w:color w:val="000000"/>
                <w:spacing w:val="0"/>
                <w:w w:val="100"/>
                <w:position w:val="0"/>
              </w:rPr>
              <w:t xml:space="preserve">31 </w:t>
            </w:r>
            <w:r>
              <w:rPr>
                <w:color w:val="000000"/>
                <w:spacing w:val="0"/>
                <w:w w:val="100"/>
                <w:position w:val="0"/>
              </w:rPr>
              <w:t>号证券投资集合资 金信托计划</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08</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righ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国盛资管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pPr>
            <w:r>
              <w:rPr>
                <w:color w:val="000000"/>
                <w:spacing w:val="0"/>
                <w:w w:val="100"/>
                <w:position w:val="0"/>
              </w:rPr>
              <w:t>中江国际信托股 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color w:val="000000"/>
                <w:spacing w:val="0"/>
                <w:w w:val="100"/>
                <w:position w:val="0"/>
              </w:rPr>
              <w:t>中江国际</w:t>
            </w:r>
            <w:r>
              <w:rPr>
                <w:rFonts w:ascii="Times New Roman" w:eastAsia="Times New Roman" w:hAnsi="Times New Roman" w:cs="Times New Roman"/>
                <w:color w:val="000000"/>
                <w:spacing w:val="0"/>
                <w:w w:val="100"/>
                <w:position w:val="0"/>
              </w:rPr>
              <w:t>•</w:t>
            </w:r>
            <w:r>
              <w:rPr>
                <w:color w:val="000000"/>
                <w:spacing w:val="0"/>
                <w:w w:val="100"/>
                <w:position w:val="0"/>
              </w:rPr>
              <w:t>银鹤</w:t>
            </w:r>
            <w:r>
              <w:rPr>
                <w:rFonts w:ascii="Times New Roman" w:eastAsia="Times New Roman" w:hAnsi="Times New Roman" w:cs="Times New Roman"/>
                <w:color w:val="000000"/>
                <w:spacing w:val="0"/>
                <w:w w:val="100"/>
                <w:position w:val="0"/>
              </w:rPr>
              <w:t xml:space="preserve">199 </w:t>
            </w:r>
            <w:r>
              <w:rPr>
                <w:color w:val="000000"/>
                <w:spacing w:val="0"/>
                <w:w w:val="100"/>
                <w:position w:val="0"/>
              </w:rPr>
              <w:t>号证券市场投资集 合资金信托计划</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05</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righ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07</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国盛期货</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江信基金管理有 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江信基金聚合</w:t>
            </w:r>
            <w:r>
              <w:rPr>
                <w:rFonts w:ascii="Times New Roman" w:eastAsia="Times New Roman" w:hAnsi="Times New Roman" w:cs="Times New Roman"/>
                <w:color w:val="000000"/>
                <w:spacing w:val="0"/>
                <w:w w:val="100"/>
                <w:position w:val="0"/>
              </w:rPr>
              <w:t>5</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至今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6"/>
        <w:keepNext w:val="0"/>
        <w:keepLines w:val="0"/>
        <w:widowControl w:val="0"/>
        <w:shd w:val="clear" w:color="auto" w:fill="auto"/>
        <w:bidi w:val="0"/>
        <w:spacing w:before="0" w:after="0" w:line="240" w:lineRule="auto"/>
        <w:ind w:left="96" w:right="0" w:firstLine="0"/>
        <w:jc w:val="left"/>
      </w:pPr>
      <w:bookmarkStart w:id="1503" w:name="bookmark1503"/>
      <w:r>
        <w:rPr>
          <w:rFonts w:ascii="Times New Roman" w:eastAsia="Times New Roman" w:hAnsi="Times New Roman" w:cs="Times New Roman"/>
          <w:b/>
          <w:bCs/>
          <w:color w:val="000000"/>
          <w:spacing w:val="0"/>
          <w:w w:val="100"/>
          <w:position w:val="0"/>
        </w:rPr>
        <w:t>（3</w:t>
      </w:r>
      <w:r>
        <w:rPr>
          <w:b/>
          <w:bCs/>
          <w:color w:val="000000"/>
          <w:spacing w:val="0"/>
          <w:w w:val="100"/>
          <w:position w:val="0"/>
        </w:rPr>
        <w:t>）关键管理人员报酬</w:t>
      </w:r>
      <w:bookmarkEnd w:id="1503"/>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关键管理人员薪酬</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2,943,272.00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1,256,061.89</w:t>
            </w:r>
          </w:p>
        </w:tc>
      </w:tr>
    </w:tbl>
    <w:p>
      <w:pPr>
        <w:widowControl w:val="0"/>
        <w:spacing w:after="319" w:line="1" w:lineRule="exact"/>
      </w:pPr>
    </w:p>
    <w:p>
      <w:pPr>
        <w:pStyle w:val="Style26"/>
        <w:keepNext w:val="0"/>
        <w:keepLines w:val="0"/>
        <w:widowControl w:val="0"/>
        <w:shd w:val="clear" w:color="auto" w:fill="auto"/>
        <w:bidi w:val="0"/>
        <w:spacing w:before="0" w:after="0" w:line="240" w:lineRule="auto"/>
        <w:ind w:left="106" w:right="0" w:firstLine="0"/>
        <w:jc w:val="left"/>
      </w:pPr>
      <w:bookmarkStart w:id="1504" w:name="bookmark1504"/>
      <w:r>
        <w:rPr>
          <w:b/>
          <w:bCs/>
          <w:color w:val="000000"/>
          <w:spacing w:val="0"/>
          <w:w w:val="100"/>
          <w:position w:val="0"/>
        </w:rPr>
        <w:t>（</w:t>
      </w:r>
      <w:r>
        <w:rPr>
          <w:rFonts w:ascii="Times New Roman" w:eastAsia="Times New Roman" w:hAnsi="Times New Roman" w:cs="Times New Roman"/>
          <w:b/>
          <w:bCs/>
          <w:color w:val="000000"/>
          <w:spacing w:val="0"/>
          <w:w w:val="100"/>
          <w:position w:val="0"/>
        </w:rPr>
        <w:t>4</w:t>
      </w:r>
      <w:r>
        <w:rPr>
          <w:b/>
          <w:bCs/>
          <w:color w:val="000000"/>
          <w:spacing w:val="0"/>
          <w:w w:val="100"/>
          <w:position w:val="0"/>
        </w:rPr>
        <w:t>）其他关联方交易</w:t>
      </w:r>
      <w:bookmarkEnd w:id="1504"/>
    </w:p>
    <w:tbl>
      <w:tblPr>
        <w:tblOverlap w:val="never"/>
        <w:jc w:val="center"/>
        <w:tblLayout w:type="fixed"/>
      </w:tblPr>
      <w:tblGrid>
        <w:gridCol w:w="2227"/>
        <w:gridCol w:w="1507"/>
        <w:gridCol w:w="1334"/>
        <w:gridCol w:w="1560"/>
        <w:gridCol w:w="1234"/>
        <w:gridCol w:w="1810"/>
      </w:tblGrid>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合并转入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增加金额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5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中江国际信托股份有限</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卖出回购金融资产</w:t>
            </w:r>
          </w:p>
        </w:tc>
      </w:tr>
    </w:tbl>
    <w:p>
      <w:pPr>
        <w:spacing w:lineRule="exact" w:line="1"/>
        <w:rPr>
          <w:sz w:val="2"/>
          <w:szCs w:val="2"/>
        </w:rPr>
      </w:pPr>
      <w:r>
        <w:br w:type="page"/>
      </w:r>
    </w:p>
    <w:tbl>
      <w:tblPr>
        <w:tblOverlap w:val="never"/>
        <w:jc w:val="center"/>
        <w:tblLayout w:type="fixed"/>
      </w:tblPr>
      <w:tblGrid>
        <w:gridCol w:w="2227"/>
        <w:gridCol w:w="1507"/>
        <w:gridCol w:w="1334"/>
        <w:gridCol w:w="1560"/>
        <w:gridCol w:w="1234"/>
        <w:gridCol w:w="1810"/>
      </w:tblGrid>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公司（信托产品受托人）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北京凤凰祥瑞互联投资 基金（有限合伙）</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375,000,000.00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375,000,000.00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股权转让款</w:t>
            </w:r>
          </w:p>
        </w:tc>
      </w:tr>
    </w:tbl>
    <w:p>
      <w:pPr>
        <w:pStyle w:val="Style26"/>
        <w:keepNext w:val="0"/>
        <w:keepLines w:val="0"/>
        <w:widowControl w:val="0"/>
        <w:shd w:val="clear" w:color="auto" w:fill="auto"/>
        <w:bidi w:val="0"/>
        <w:spacing w:before="0" w:after="0" w:line="283" w:lineRule="exact"/>
        <w:ind w:left="14" w:right="0" w:firstLine="0"/>
        <w:jc w:val="left"/>
        <w:sectPr>
          <w:headerReference w:type="default" r:id="rId61"/>
          <w:footerReference w:type="default" r:id="rId62"/>
          <w:footnotePr>
            <w:pos w:val="pageBottom"/>
            <w:numFmt w:val="decimal"/>
            <w:numRestart w:val="continuous"/>
          </w:footnotePr>
          <w:pgSz w:w="11900" w:h="16840"/>
          <w:pgMar w:top="1398" w:right="1031" w:bottom="1446" w:left="1000" w:header="0" w:footer="3" w:gutter="0"/>
          <w:cols w:space="720"/>
          <w:noEndnote/>
          <w:rtlGutter w:val="0"/>
          <w:docGrid w:linePitch="360"/>
        </w:sectPr>
      </w:pPr>
      <w:r>
        <w:rPr>
          <w:color w:val="000000"/>
          <w:spacing w:val="0"/>
          <w:w w:val="100"/>
          <w:position w:val="0"/>
        </w:rPr>
        <w:t>国盛证券于</w:t>
      </w:r>
      <w:r>
        <w:rPr>
          <w:rFonts w:ascii="Times New Roman" w:eastAsia="Times New Roman" w:hAnsi="Times New Roman" w:cs="Times New Roman"/>
          <w:color w:val="000000"/>
          <w:spacing w:val="0"/>
          <w:w w:val="100"/>
          <w:position w:val="0"/>
        </w:rPr>
        <w:t>2015</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日以</w:t>
      </w:r>
      <w:r>
        <w:rPr>
          <w:rFonts w:ascii="Times New Roman" w:eastAsia="Times New Roman" w:hAnsi="Times New Roman" w:cs="Times New Roman"/>
          <w:color w:val="000000"/>
          <w:spacing w:val="0"/>
          <w:w w:val="100"/>
          <w:position w:val="0"/>
        </w:rPr>
        <w:t>2</w:t>
      </w:r>
      <w:r>
        <w:rPr>
          <w:color w:val="000000"/>
          <w:spacing w:val="0"/>
          <w:w w:val="100"/>
          <w:position w:val="0"/>
        </w:rPr>
        <w:t>亿元价款向中江信托转让金融资产收益权。</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日转让期满, 国盛证券按照协议约定回购该等金融资产。</w:t>
      </w:r>
    </w:p>
    <w:p>
      <w:pPr>
        <w:pStyle w:val="Style33"/>
        <w:keepNext w:val="0"/>
        <w:keepLines w:val="0"/>
        <w:widowControl w:val="0"/>
        <w:numPr>
          <w:ilvl w:val="0"/>
          <w:numId w:val="37"/>
        </w:numPr>
        <w:shd w:val="clear" w:color="auto" w:fill="auto"/>
        <w:bidi w:val="0"/>
        <w:spacing w:before="0" w:after="0" w:line="240" w:lineRule="auto"/>
        <w:ind w:left="0" w:right="0" w:firstLine="0"/>
        <w:jc w:val="left"/>
      </w:pPr>
      <w:bookmarkStart w:id="1505" w:name="bookmark1505"/>
      <w:bookmarkEnd w:id="1505"/>
      <w:r>
        <w:rPr>
          <w:b/>
          <w:bCs/>
          <w:color w:val="000000"/>
          <w:spacing w:val="0"/>
          <w:w w:val="100"/>
          <w:position w:val="0"/>
        </w:rPr>
        <w:t>其他金融资产关联方交易</w:t>
      </w:r>
    </w:p>
    <w:tbl>
      <w:tblPr>
        <w:tblOverlap w:val="never"/>
        <w:jc w:val="center"/>
        <w:tblLayout w:type="fixed"/>
      </w:tblPr>
      <w:tblGrid>
        <w:gridCol w:w="1166"/>
        <w:gridCol w:w="1109"/>
        <w:gridCol w:w="1085"/>
        <w:gridCol w:w="1339"/>
        <w:gridCol w:w="1277"/>
        <w:gridCol w:w="1277"/>
        <w:gridCol w:w="1339"/>
        <w:gridCol w:w="1162"/>
        <w:gridCol w:w="1166"/>
        <w:gridCol w:w="994"/>
        <w:gridCol w:w="2256"/>
      </w:tblGrid>
      <w:tr>
        <w:trPr>
          <w:trHeight w:val="77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买入方名称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卖出方名称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产品名称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合并转入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增加金额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减少金额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期末本金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持有收益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收益确定</w:t>
            </w:r>
          </w:p>
          <w:p>
            <w:pPr>
              <w:pStyle w:val="Style20"/>
              <w:keepNext w:val="0"/>
              <w:keepLines w:val="0"/>
              <w:widowControl w:val="0"/>
              <w:shd w:val="clear" w:color="auto" w:fill="auto"/>
              <w:bidi w:val="0"/>
              <w:spacing w:before="0" w:after="0" w:line="240" w:lineRule="auto"/>
              <w:ind w:left="0" w:right="300" w:firstLine="0"/>
              <w:jc w:val="right"/>
              <w:rPr>
                <w:sz w:val="17"/>
                <w:szCs w:val="17"/>
              </w:rPr>
            </w:pPr>
            <w:r>
              <w:rPr>
                <w:color w:val="000000"/>
                <w:spacing w:val="0"/>
                <w:w w:val="100"/>
                <w:position w:val="0"/>
                <w:sz w:val="17"/>
                <w:szCs w:val="17"/>
              </w:rPr>
              <w:t>依据</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备注</w:t>
            </w:r>
          </w:p>
        </w:tc>
      </w:tr>
      <w:tr>
        <w:trPr>
          <w:trHeight w:val="76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国盛证券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江信基金管</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江信汇福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530,010.31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-669,624.15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公允市场</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价格</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可供出售金融资产</w:t>
            </w:r>
          </w:p>
        </w:tc>
      </w:tr>
      <w:tr>
        <w:trPr>
          <w:trHeight w:val="76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国盛证券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江信基金管</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江信聚福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7,921,716.00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1,730,369.20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公允市场</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价格</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可供出售金融资产</w:t>
            </w:r>
          </w:p>
        </w:tc>
      </w:tr>
      <w:tr>
        <w:trPr>
          <w:trHeight w:val="77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国盛证券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江信基金管</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理有限公司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江信同福</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1,299,999.28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954,971.69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公允市场</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价格</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可供出售金融资产</w:t>
            </w:r>
          </w:p>
        </w:tc>
      </w:tr>
      <w:tr>
        <w:trPr>
          <w:trHeight w:val="76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国盛证券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江信基金管</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江信汇福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368,020.77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以公允价值计量且其变动</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计入当期损益的金融资产</w:t>
            </w:r>
          </w:p>
        </w:tc>
      </w:tr>
      <w:tr>
        <w:trPr>
          <w:trHeight w:val="77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国盛期货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江信基金管</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江信聚福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10,296,386.24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10,296,386.24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660,284.50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-183,028.61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公允市场</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价格</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以公允价值计量且其变动</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计入当期损益的金融资产</w:t>
            </w:r>
          </w:p>
        </w:tc>
      </w:tr>
      <w:tr>
        <w:trPr>
          <w:trHeight w:val="77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国盛期货</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江信基金管</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理有限公司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江信同福</w:t>
            </w:r>
            <w:r>
              <w:rPr>
                <w:rFonts w:ascii="Times New Roman" w:eastAsia="Times New Roman" w:hAnsi="Times New Roman" w:cs="Times New Roman"/>
                <w:color w:val="000000"/>
                <w:spacing w:val="0"/>
                <w:w w:val="100"/>
                <w:position w:val="0"/>
                <w:sz w:val="18"/>
                <w:szCs w:val="18"/>
              </w:rPr>
              <w:t>c</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22,001.50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15,769.12</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公允市场</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价格</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以公允价值计量且其变动</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计入当期损益的金融资产</w:t>
            </w:r>
          </w:p>
        </w:tc>
      </w:tr>
    </w:tbl>
    <w:p>
      <w:pPr>
        <w:widowControl w:val="0"/>
        <w:spacing w:after="119" w:line="1" w:lineRule="exact"/>
      </w:pPr>
    </w:p>
    <w:p>
      <w:pPr>
        <w:pStyle w:val="Style33"/>
        <w:keepNext w:val="0"/>
        <w:keepLines w:val="0"/>
        <w:widowControl w:val="0"/>
        <w:numPr>
          <w:ilvl w:val="0"/>
          <w:numId w:val="37"/>
        </w:numPr>
        <w:shd w:val="clear" w:color="auto" w:fill="auto"/>
        <w:bidi w:val="0"/>
        <w:spacing w:before="0" w:after="0" w:line="240" w:lineRule="auto"/>
        <w:ind w:left="0" w:right="0" w:firstLine="0"/>
        <w:jc w:val="left"/>
      </w:pPr>
      <w:bookmarkStart w:id="1506" w:name="bookmark1506"/>
      <w:bookmarkEnd w:id="1506"/>
      <w:r>
        <w:rPr>
          <w:b/>
          <w:bCs/>
          <w:color w:val="000000"/>
          <w:spacing w:val="0"/>
          <w:w w:val="100"/>
          <w:position w:val="0"/>
        </w:rPr>
        <w:t>利息情况</w:t>
      </w:r>
    </w:p>
    <w:tbl>
      <w:tblPr>
        <w:tblOverlap w:val="never"/>
        <w:jc w:val="center"/>
        <w:tblLayout w:type="fixed"/>
      </w:tblPr>
      <w:tblGrid>
        <w:gridCol w:w="3792"/>
        <w:gridCol w:w="3792"/>
        <w:gridCol w:w="2654"/>
        <w:gridCol w:w="3797"/>
      </w:tblGrid>
      <w:tr>
        <w:trPr>
          <w:trHeight w:val="49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支付利息单位</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收取利息单位</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利息原因</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r>
      <w:tr>
        <w:trPr>
          <w:trHeight w:val="499"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国盛证券</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中江国际信托股份有限公司</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卖出回购利息</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1,173,333.34</w:t>
            </w:r>
          </w:p>
        </w:tc>
      </w:tr>
    </w:tbl>
    <w:p>
      <w:pPr>
        <w:sectPr>
          <w:headerReference w:type="default" r:id="rId63"/>
          <w:footerReference w:type="default" r:id="rId64"/>
          <w:footnotePr>
            <w:pos w:val="pageBottom"/>
            <w:numFmt w:val="decimal"/>
            <w:numRestart w:val="continuous"/>
          </w:footnotePr>
          <w:pgSz w:w="16840" w:h="11900" w:orient="landscape"/>
          <w:pgMar w:top="1263" w:right="1095" w:bottom="1263" w:left="1575" w:header="0" w:footer="3" w:gutter="0"/>
          <w:cols w:space="720"/>
          <w:noEndnote/>
          <w:rtlGutter w:val="0"/>
          <w:docGrid w:linePitch="360"/>
        </w:sectPr>
      </w:pPr>
    </w:p>
    <w:p>
      <w:pPr>
        <w:widowControl w:val="0"/>
        <w:spacing w:after="319" w:line="1" w:lineRule="exact"/>
      </w:pPr>
    </w:p>
    <w:p>
      <w:pPr>
        <w:pStyle w:val="Style26"/>
        <w:keepNext w:val="0"/>
        <w:keepLines w:val="0"/>
        <w:widowControl w:val="0"/>
        <w:shd w:val="clear" w:color="auto" w:fill="auto"/>
        <w:bidi w:val="0"/>
        <w:spacing w:before="0" w:after="0" w:line="240" w:lineRule="auto"/>
        <w:ind w:left="91" w:right="0" w:firstLine="0"/>
        <w:jc w:val="left"/>
      </w:pPr>
      <w:bookmarkStart w:id="1507" w:name="bookmark1507"/>
      <w:r>
        <w:rPr>
          <w:rFonts w:ascii="Times New Roman" w:eastAsia="Times New Roman" w:hAnsi="Times New Roman" w:cs="Times New Roman"/>
          <w:b/>
          <w:bCs/>
          <w:color w:val="000000"/>
          <w:spacing w:val="0"/>
          <w:w w:val="100"/>
          <w:position w:val="0"/>
        </w:rPr>
        <w:t>6</w:t>
      </w:r>
      <w:r>
        <w:rPr>
          <w:b/>
          <w:bCs/>
          <w:color w:val="000000"/>
          <w:spacing w:val="0"/>
          <w:w w:val="100"/>
          <w:position w:val="0"/>
        </w:rPr>
        <w:t>、关联方应收应付款项</w:t>
      </w:r>
      <w:bookmarkEnd w:id="1507"/>
    </w:p>
    <w:tbl>
      <w:tblPr>
        <w:tblOverlap w:val="never"/>
        <w:jc w:val="center"/>
        <w:tblLayout w:type="fixed"/>
      </w:tblPr>
      <w:tblGrid>
        <w:gridCol w:w="2645"/>
        <w:gridCol w:w="3994"/>
        <w:gridCol w:w="3230"/>
      </w:tblGrid>
      <w:tr>
        <w:trPr>
          <w:trHeight w:val="36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49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中江国际信托股份有限公司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63,545,210.73</w:t>
            </w:r>
          </w:p>
        </w:tc>
      </w:tr>
      <w:tr>
        <w:trPr>
          <w:trHeight w:val="49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r>
              <w:rPr>
                <w:rFonts w:ascii="Times New Roman" w:eastAsia="Times New Roman" w:hAnsi="Times New Roman" w:cs="Times New Roman"/>
                <w:color w:val="000000"/>
                <w:spacing w:val="0"/>
                <w:w w:val="100"/>
                <w:position w:val="0"/>
              </w:rPr>
              <w:t>-</w:t>
            </w:r>
            <w:r>
              <w:rPr>
                <w:color w:val="000000"/>
                <w:spacing w:val="0"/>
                <w:w w:val="100"/>
                <w:position w:val="0"/>
              </w:rPr>
              <w:t>资管计划管理费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中江国际信托股份有限公司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18,061.82</w:t>
            </w:r>
          </w:p>
        </w:tc>
      </w:tr>
      <w:tr>
        <w:trPr>
          <w:trHeight w:val="49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中江国际信托股份有限公司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2,883,369.06</w:t>
            </w:r>
          </w:p>
        </w:tc>
      </w:tr>
      <w:tr>
        <w:trPr>
          <w:trHeight w:val="49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北京凤凰祥瑞互联投资基金（有限合伙）</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375,000,000.00</w:t>
            </w:r>
          </w:p>
        </w:tc>
      </w:tr>
    </w:tbl>
    <w:p>
      <w:pPr>
        <w:widowControl w:val="0"/>
        <w:spacing w:after="299" w:line="1" w:lineRule="exact"/>
      </w:pPr>
    </w:p>
    <w:p>
      <w:pPr>
        <w:pStyle w:val="Style23"/>
        <w:keepNext/>
        <w:keepLines/>
        <w:widowControl w:val="0"/>
        <w:shd w:val="clear" w:color="auto" w:fill="auto"/>
        <w:bidi w:val="0"/>
        <w:spacing w:before="0" w:after="360" w:line="240" w:lineRule="auto"/>
        <w:ind w:left="0" w:right="0" w:firstLine="0"/>
        <w:jc w:val="both"/>
        <w:rPr>
          <w:sz w:val="22"/>
          <w:szCs w:val="22"/>
        </w:rPr>
      </w:pPr>
      <w:bookmarkStart w:id="1508" w:name="bookmark1508"/>
      <w:bookmarkStart w:id="1509" w:name="bookmark1509"/>
      <w:bookmarkStart w:id="1510" w:name="bookmark1510"/>
      <w:r>
        <w:rPr>
          <w:b/>
          <w:bCs/>
          <w:color w:val="000000"/>
          <w:spacing w:val="0"/>
          <w:w w:val="100"/>
          <w:position w:val="0"/>
          <w:sz w:val="22"/>
          <w:szCs w:val="22"/>
        </w:rPr>
        <w:t>十三、股份支付</w:t>
      </w:r>
      <w:bookmarkEnd w:id="1508"/>
      <w:bookmarkEnd w:id="1509"/>
      <w:bookmarkEnd w:id="1510"/>
    </w:p>
    <w:p>
      <w:pPr>
        <w:pStyle w:val="Style33"/>
        <w:keepNext w:val="0"/>
        <w:keepLines w:val="0"/>
        <w:widowControl w:val="0"/>
        <w:shd w:val="clear" w:color="auto" w:fill="auto"/>
        <w:tabs>
          <w:tab w:pos="7883" w:val="left"/>
        </w:tabs>
        <w:bidi w:val="0"/>
        <w:spacing w:before="0" w:after="0" w:line="240" w:lineRule="auto"/>
        <w:ind w:left="0" w:right="0" w:firstLine="0"/>
        <w:jc w:val="both"/>
      </w:pPr>
      <w:bookmarkStart w:id="1511" w:name="bookmark1511"/>
      <w:r>
        <w:rPr>
          <w:rFonts w:ascii="Times New Roman" w:eastAsia="Times New Roman" w:hAnsi="Times New Roman" w:cs="Times New Roman"/>
          <w:b/>
          <w:bCs/>
          <w:color w:val="000000"/>
          <w:spacing w:val="0"/>
          <w:w w:val="100"/>
          <w:position w:val="0"/>
        </w:rPr>
        <w:t>1</w:t>
      </w:r>
      <w:r>
        <w:rPr>
          <w:b/>
          <w:bCs/>
          <w:color w:val="000000"/>
          <w:spacing w:val="0"/>
          <w:w w:val="100"/>
          <w:position w:val="0"/>
        </w:rPr>
        <w:t>、股份支付总体情况</w:t>
        <w:tab/>
      </w: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1511"/>
    </w:p>
    <w:p>
      <w:pPr>
        <w:pStyle w:val="Style33"/>
        <w:keepNext w:val="0"/>
        <w:keepLines w:val="0"/>
        <w:widowControl w:val="0"/>
        <w:shd w:val="clear" w:color="auto" w:fill="auto"/>
        <w:tabs>
          <w:tab w:pos="7883" w:val="left"/>
        </w:tabs>
        <w:bidi w:val="0"/>
        <w:spacing w:before="0" w:after="0" w:line="610" w:lineRule="exact"/>
        <w:ind w:left="0" w:right="0" w:firstLine="0"/>
        <w:jc w:val="both"/>
      </w:pPr>
      <w:bookmarkStart w:id="1512" w:name="bookmark1512"/>
      <w:bookmarkStart w:id="1513" w:name="bookmark1513"/>
      <w:r>
        <w:rPr>
          <w:rFonts w:ascii="Times New Roman" w:eastAsia="Times New Roman" w:hAnsi="Times New Roman" w:cs="Times New Roman"/>
          <w:b/>
          <w:bCs/>
          <w:color w:val="000000"/>
          <w:spacing w:val="0"/>
          <w:w w:val="100"/>
          <w:position w:val="0"/>
        </w:rPr>
        <w:t>2</w:t>
      </w:r>
      <w:bookmarkEnd w:id="1512"/>
      <w:r>
        <w:rPr>
          <w:b/>
          <w:bCs/>
          <w:color w:val="000000"/>
          <w:spacing w:val="0"/>
          <w:w w:val="100"/>
          <w:position w:val="0"/>
        </w:rPr>
        <w:t>、 以权益结算的股份支付情况</w:t>
        <w:tab/>
      </w:r>
      <w:r>
        <w:rPr>
          <w:color w:val="000000"/>
          <w:spacing w:val="0"/>
          <w:w w:val="100"/>
          <w:position w:val="0"/>
        </w:rPr>
        <w:t>口</w:t>
      </w:r>
      <w:r>
        <w:rPr>
          <w:color w:val="000000"/>
          <w:spacing w:val="0"/>
          <w:w w:val="100"/>
          <w:position w:val="0"/>
        </w:rPr>
        <w:t>适用</w:t>
      </w:r>
      <w:r>
        <w:rPr>
          <w:i/>
          <w:iCs/>
          <w:color w:val="000000"/>
          <w:spacing w:val="0"/>
          <w:w w:val="100"/>
          <w:position w:val="0"/>
        </w:rPr>
        <w:t>q</w:t>
      </w:r>
      <w:r>
        <w:rPr>
          <w:color w:val="000000"/>
          <w:spacing w:val="0"/>
          <w:w w:val="100"/>
          <w:position w:val="0"/>
        </w:rPr>
        <w:t>不适用</w:t>
      </w:r>
      <w:bookmarkEnd w:id="1513"/>
    </w:p>
    <w:p>
      <w:pPr>
        <w:pStyle w:val="Style33"/>
        <w:keepNext w:val="0"/>
        <w:keepLines w:val="0"/>
        <w:widowControl w:val="0"/>
        <w:shd w:val="clear" w:color="auto" w:fill="auto"/>
        <w:tabs>
          <w:tab w:pos="7883" w:val="left"/>
        </w:tabs>
        <w:bidi w:val="0"/>
        <w:spacing w:before="0" w:after="0" w:line="610" w:lineRule="exact"/>
        <w:ind w:left="0" w:right="0" w:firstLine="0"/>
        <w:jc w:val="both"/>
      </w:pPr>
      <w:bookmarkStart w:id="1514" w:name="bookmark1514"/>
      <w:bookmarkStart w:id="1515" w:name="bookmark1515"/>
      <w:bookmarkStart w:id="1516" w:name="bookmark1516"/>
      <w:r>
        <w:rPr>
          <w:rFonts w:ascii="Times New Roman" w:eastAsia="Times New Roman" w:hAnsi="Times New Roman" w:cs="Times New Roman"/>
          <w:b/>
          <w:bCs/>
          <w:color w:val="000000"/>
          <w:spacing w:val="0"/>
          <w:w w:val="100"/>
          <w:position w:val="0"/>
        </w:rPr>
        <w:t>3</w:t>
      </w:r>
      <w:bookmarkEnd w:id="1514"/>
      <w:r>
        <w:rPr>
          <w:b/>
          <w:bCs/>
          <w:color w:val="000000"/>
          <w:spacing w:val="0"/>
          <w:w w:val="100"/>
          <w:position w:val="0"/>
        </w:rPr>
        <w:t>、 以现金结算的股份支付情况</w:t>
        <w:tab/>
      </w: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 xml:space="preserve">不适用 </w:t>
      </w:r>
      <w:r>
        <w:rPr>
          <w:b/>
          <w:bCs/>
          <w:color w:val="000000"/>
          <w:spacing w:val="0"/>
          <w:w w:val="100"/>
          <w:position w:val="0"/>
        </w:rPr>
        <w:t>十四、承诺及或有事项</w:t>
      </w:r>
      <w:bookmarkEnd w:id="1515"/>
      <w:bookmarkEnd w:id="1516"/>
    </w:p>
    <w:p>
      <w:pPr>
        <w:pStyle w:val="Style33"/>
        <w:keepNext w:val="0"/>
        <w:keepLines w:val="0"/>
        <w:widowControl w:val="0"/>
        <w:shd w:val="clear" w:color="auto" w:fill="auto"/>
        <w:bidi w:val="0"/>
        <w:spacing w:before="0" w:after="360" w:line="610" w:lineRule="exact"/>
        <w:ind w:left="0" w:right="0" w:firstLine="520"/>
        <w:jc w:val="both"/>
      </w:pPr>
      <w:bookmarkStart w:id="1517" w:name="bookmark1517"/>
      <w:bookmarkStart w:id="1518" w:name="bookmark1518"/>
      <w:bookmarkStart w:id="1519" w:name="bookmark1519"/>
      <w:bookmarkStart w:id="1520" w:name="bookmark1520"/>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日止，本公司无需要披露的承诺及或有事项。</w:t>
      </w:r>
      <w:bookmarkEnd w:id="1517"/>
      <w:bookmarkEnd w:id="1518"/>
      <w:bookmarkEnd w:id="1519"/>
      <w:bookmarkEnd w:id="1520"/>
    </w:p>
    <w:p>
      <w:pPr>
        <w:pStyle w:val="Style23"/>
        <w:keepNext/>
        <w:keepLines/>
        <w:widowControl w:val="0"/>
        <w:shd w:val="clear" w:color="auto" w:fill="auto"/>
        <w:bidi w:val="0"/>
        <w:spacing w:before="0" w:after="300" w:line="240" w:lineRule="auto"/>
        <w:ind w:left="0" w:right="0" w:firstLine="0"/>
        <w:jc w:val="both"/>
        <w:rPr>
          <w:sz w:val="22"/>
          <w:szCs w:val="22"/>
        </w:rPr>
      </w:pPr>
      <w:bookmarkStart w:id="1521" w:name="bookmark1521"/>
      <w:bookmarkStart w:id="1522" w:name="bookmark1522"/>
      <w:bookmarkStart w:id="1523" w:name="bookmark1523"/>
      <w:bookmarkStart w:id="1524" w:name="bookmark1524"/>
      <w:r>
        <w:rPr>
          <w:b/>
          <w:bCs/>
          <w:color w:val="000000"/>
          <w:spacing w:val="0"/>
          <w:w w:val="100"/>
          <w:position w:val="0"/>
          <w:sz w:val="22"/>
          <w:szCs w:val="22"/>
        </w:rPr>
        <w:t>十五、资产负债表日后事项</w:t>
      </w:r>
      <w:bookmarkEnd w:id="1521"/>
      <w:bookmarkEnd w:id="1522"/>
      <w:bookmarkEnd w:id="1523"/>
      <w:bookmarkEnd w:id="1524"/>
    </w:p>
    <w:p>
      <w:pPr>
        <w:pStyle w:val="Style23"/>
        <w:keepNext/>
        <w:keepLines/>
        <w:widowControl w:val="0"/>
        <w:shd w:val="clear" w:color="auto" w:fill="auto"/>
        <w:tabs>
          <w:tab w:pos="1122" w:val="left"/>
        </w:tabs>
        <w:bidi w:val="0"/>
        <w:spacing w:before="0" w:after="0" w:line="277" w:lineRule="exact"/>
        <w:ind w:left="0" w:right="0" w:firstLine="520"/>
        <w:jc w:val="both"/>
      </w:pPr>
      <w:bookmarkStart w:id="1525" w:name="bookmark1525"/>
      <w:bookmarkStart w:id="1526" w:name="bookmark1526"/>
      <w:bookmarkStart w:id="1527" w:name="bookmark1527"/>
      <w:bookmarkStart w:id="1528" w:name="bookmark1528"/>
      <w:r>
        <w:rPr>
          <w:color w:val="000000"/>
          <w:spacing w:val="0"/>
          <w:w w:val="100"/>
          <w:position w:val="0"/>
        </w:rPr>
        <w:t>（</w:t>
      </w:r>
      <w:bookmarkEnd w:id="1527"/>
      <w:r>
        <w:rPr>
          <w:color w:val="000000"/>
          <w:spacing w:val="0"/>
          <w:w w:val="100"/>
          <w:position w:val="0"/>
        </w:rPr>
        <w:t>一）</w:t>
        <w:tab/>
        <w:t>经</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日第二届董事会第二十五次会议审议通过，公司决定出资</w:t>
      </w:r>
      <w:r>
        <w:rPr>
          <w:rFonts w:ascii="Times New Roman" w:eastAsia="Times New Roman" w:hAnsi="Times New Roman" w:cs="Times New Roman"/>
          <w:color w:val="000000"/>
          <w:spacing w:val="0"/>
          <w:w w:val="100"/>
          <w:position w:val="0"/>
        </w:rPr>
        <w:t>4,500</w:t>
      </w:r>
      <w:r>
        <w:rPr>
          <w:color w:val="000000"/>
          <w:spacing w:val="0"/>
          <w:w w:val="100"/>
          <w:position w:val="0"/>
        </w:rPr>
        <w:t>万元发起设 立广州仁诺互联网小额贷款有限公司。</w:t>
      </w:r>
      <w:bookmarkEnd w:id="1525"/>
      <w:bookmarkEnd w:id="1526"/>
      <w:bookmarkEnd w:id="1528"/>
    </w:p>
    <w:p>
      <w:pPr>
        <w:pStyle w:val="Style23"/>
        <w:keepNext/>
        <w:keepLines/>
        <w:widowControl w:val="0"/>
        <w:shd w:val="clear" w:color="auto" w:fill="auto"/>
        <w:tabs>
          <w:tab w:pos="1117" w:val="left"/>
        </w:tabs>
        <w:bidi w:val="0"/>
        <w:spacing w:before="0" w:after="0" w:line="277" w:lineRule="exact"/>
        <w:ind w:left="0" w:right="0" w:firstLine="520"/>
        <w:jc w:val="both"/>
      </w:pPr>
      <w:bookmarkStart w:id="1529" w:name="bookmark1529"/>
      <w:bookmarkStart w:id="1530" w:name="bookmark1530"/>
      <w:bookmarkStart w:id="1531" w:name="bookmark1531"/>
      <w:bookmarkStart w:id="1532" w:name="bookmark1532"/>
      <w:r>
        <w:rPr>
          <w:color w:val="000000"/>
          <w:spacing w:val="0"/>
          <w:w w:val="100"/>
          <w:position w:val="0"/>
        </w:rPr>
        <w:t>（</w:t>
      </w:r>
      <w:bookmarkEnd w:id="1531"/>
      <w:r>
        <w:rPr>
          <w:color w:val="000000"/>
          <w:spacing w:val="0"/>
          <w:w w:val="100"/>
          <w:position w:val="0"/>
        </w:rPr>
        <w:t>二）</w:t>
        <w:tab/>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日，公司</w:t>
      </w:r>
      <w:r>
        <w:rPr>
          <w:rFonts w:ascii="Times New Roman" w:eastAsia="Times New Roman" w:hAnsi="Times New Roman" w:cs="Times New Roman"/>
          <w:color w:val="000000"/>
          <w:spacing w:val="0"/>
          <w:w w:val="100"/>
          <w:position w:val="0"/>
        </w:rPr>
        <w:t>2017</w:t>
      </w:r>
      <w:r>
        <w:rPr>
          <w:color w:val="000000"/>
          <w:spacing w:val="0"/>
          <w:w w:val="100"/>
          <w:position w:val="0"/>
        </w:rPr>
        <w:t>年第一次临时股东大会审议通过《关于国盛证券转让江信基金管 理有限公司</w:t>
      </w:r>
      <w:r>
        <w:rPr>
          <w:rFonts w:ascii="Times New Roman" w:eastAsia="Times New Roman" w:hAnsi="Times New Roman" w:cs="Times New Roman"/>
          <w:color w:val="000000"/>
          <w:spacing w:val="0"/>
          <w:w w:val="100"/>
          <w:position w:val="0"/>
        </w:rPr>
        <w:t>30%</w:t>
      </w:r>
      <w:r>
        <w:rPr>
          <w:color w:val="000000"/>
          <w:spacing w:val="0"/>
          <w:w w:val="100"/>
          <w:position w:val="0"/>
        </w:rPr>
        <w:t>股权暨关联交易的议案》，同意国盛证券转让所持江信基金全部股权。</w:t>
      </w:r>
      <w:bookmarkEnd w:id="1529"/>
      <w:bookmarkEnd w:id="1530"/>
      <w:bookmarkEnd w:id="1532"/>
    </w:p>
    <w:p>
      <w:pPr>
        <w:pStyle w:val="Style23"/>
        <w:keepNext/>
        <w:keepLines/>
        <w:widowControl w:val="0"/>
        <w:shd w:val="clear" w:color="auto" w:fill="auto"/>
        <w:tabs>
          <w:tab w:pos="1122" w:val="left"/>
        </w:tabs>
        <w:bidi w:val="0"/>
        <w:spacing w:before="0" w:after="0" w:line="277" w:lineRule="exact"/>
        <w:ind w:left="0" w:right="0" w:firstLine="520"/>
        <w:jc w:val="both"/>
      </w:pPr>
      <w:bookmarkStart w:id="1533" w:name="bookmark1533"/>
      <w:bookmarkStart w:id="1534" w:name="bookmark1534"/>
      <w:bookmarkStart w:id="1535" w:name="bookmark1535"/>
      <w:bookmarkStart w:id="1536" w:name="bookmark1536"/>
      <w:r>
        <w:rPr>
          <w:color w:val="000000"/>
          <w:spacing w:val="0"/>
          <w:w w:val="100"/>
          <w:position w:val="0"/>
        </w:rPr>
        <w:t>（</w:t>
      </w:r>
      <w:bookmarkEnd w:id="1535"/>
      <w:r>
        <w:rPr>
          <w:color w:val="000000"/>
          <w:spacing w:val="0"/>
          <w:w w:val="100"/>
          <w:position w:val="0"/>
        </w:rPr>
        <w:t>三）</w:t>
        <w:tab/>
        <w:t>经</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日召开的</w:t>
      </w:r>
      <w:r>
        <w:rPr>
          <w:rFonts w:ascii="Times New Roman" w:eastAsia="Times New Roman" w:hAnsi="Times New Roman" w:cs="Times New Roman"/>
          <w:color w:val="000000"/>
          <w:spacing w:val="0"/>
          <w:w w:val="100"/>
          <w:position w:val="0"/>
        </w:rPr>
        <w:t>2017</w:t>
      </w:r>
      <w:r>
        <w:rPr>
          <w:color w:val="000000"/>
          <w:spacing w:val="0"/>
          <w:w w:val="100"/>
          <w:position w:val="0"/>
        </w:rPr>
        <w:t>年第一次临时股东大会审议通过，公司同意国盛证券以不超 过人民币</w:t>
      </w:r>
      <w:r>
        <w:rPr>
          <w:rFonts w:ascii="Times New Roman" w:eastAsia="Times New Roman" w:hAnsi="Times New Roman" w:cs="Times New Roman"/>
          <w:color w:val="000000"/>
          <w:spacing w:val="0"/>
          <w:w w:val="100"/>
          <w:position w:val="0"/>
        </w:rPr>
        <w:t>18</w:t>
      </w:r>
      <w:r>
        <w:rPr>
          <w:color w:val="000000"/>
          <w:spacing w:val="0"/>
          <w:w w:val="100"/>
          <w:position w:val="0"/>
        </w:rPr>
        <w:t>亿元的价格参与竞买国泰君安证券股份有限公司在上海联合产权交易所公开挂牌转让的其持 有的国联安基金管理有限公司</w:t>
      </w:r>
      <w:r>
        <w:rPr>
          <w:rFonts w:ascii="Times New Roman" w:eastAsia="Times New Roman" w:hAnsi="Times New Roman" w:cs="Times New Roman"/>
          <w:color w:val="000000"/>
          <w:spacing w:val="0"/>
          <w:w w:val="100"/>
          <w:position w:val="0"/>
        </w:rPr>
        <w:t>51%</w:t>
      </w:r>
      <w:r>
        <w:rPr>
          <w:color w:val="000000"/>
          <w:spacing w:val="0"/>
          <w:w w:val="100"/>
          <w:position w:val="0"/>
        </w:rPr>
        <w:t>股权。</w:t>
      </w:r>
      <w:bookmarkEnd w:id="1533"/>
      <w:bookmarkEnd w:id="1534"/>
      <w:bookmarkEnd w:id="1536"/>
    </w:p>
    <w:p>
      <w:pPr>
        <w:pStyle w:val="Style23"/>
        <w:keepNext/>
        <w:keepLines/>
        <w:widowControl w:val="0"/>
        <w:shd w:val="clear" w:color="auto" w:fill="auto"/>
        <w:tabs>
          <w:tab w:pos="1122" w:val="left"/>
        </w:tabs>
        <w:bidi w:val="0"/>
        <w:spacing w:before="0" w:after="360" w:line="277" w:lineRule="exact"/>
        <w:ind w:left="0" w:right="0" w:firstLine="520"/>
        <w:jc w:val="both"/>
      </w:pPr>
      <w:bookmarkStart w:id="1537" w:name="bookmark1537"/>
      <w:bookmarkStart w:id="1538" w:name="bookmark1538"/>
      <w:bookmarkStart w:id="1539" w:name="bookmark1539"/>
      <w:bookmarkStart w:id="1540" w:name="bookmark1540"/>
      <w:r>
        <w:rPr>
          <w:color w:val="000000"/>
          <w:spacing w:val="0"/>
          <w:w w:val="100"/>
          <w:position w:val="0"/>
        </w:rPr>
        <w:t>（</w:t>
      </w:r>
      <w:bookmarkEnd w:id="1539"/>
      <w:r>
        <w:rPr>
          <w:color w:val="000000"/>
          <w:spacing w:val="0"/>
          <w:w w:val="100"/>
          <w:position w:val="0"/>
        </w:rPr>
        <w:t>四）</w:t>
        <w:tab/>
        <w:t>经</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日召开的第二届董事会第二十九次会议审议通过，以截至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日的公司总股本</w:t>
      </w:r>
      <w:r>
        <w:rPr>
          <w:rFonts w:ascii="Times New Roman" w:eastAsia="Times New Roman" w:hAnsi="Times New Roman" w:cs="Times New Roman"/>
          <w:color w:val="000000"/>
          <w:spacing w:val="0"/>
          <w:w w:val="100"/>
          <w:position w:val="0"/>
        </w:rPr>
        <w:t>936,127,750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0.20</w:t>
      </w:r>
      <w:r>
        <w:rPr>
          <w:color w:val="000000"/>
          <w:spacing w:val="0"/>
          <w:w w:val="100"/>
          <w:position w:val="0"/>
        </w:rPr>
        <w:t>元（含税），送股</w:t>
      </w:r>
      <w:r>
        <w:rPr>
          <w:rFonts w:ascii="Times New Roman" w:eastAsia="Times New Roman" w:hAnsi="Times New Roman" w:cs="Times New Roman"/>
          <w:color w:val="000000"/>
          <w:spacing w:val="0"/>
          <w:w w:val="100"/>
          <w:position w:val="0"/>
        </w:rPr>
        <w:t>0</w:t>
      </w:r>
      <w:r>
        <w:rPr>
          <w:color w:val="000000"/>
          <w:spacing w:val="0"/>
          <w:w w:val="100"/>
          <w:position w:val="0"/>
        </w:rPr>
        <w:t>股（含 税），以资本公积每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6</w:t>
      </w:r>
      <w:r>
        <w:rPr>
          <w:color w:val="000000"/>
          <w:spacing w:val="0"/>
          <w:w w:val="100"/>
          <w:position w:val="0"/>
        </w:rPr>
        <w:t>股。</w:t>
      </w:r>
      <w:bookmarkEnd w:id="1537"/>
      <w:bookmarkEnd w:id="1538"/>
      <w:bookmarkEnd w:id="1540"/>
    </w:p>
    <w:p>
      <w:pPr>
        <w:pStyle w:val="Style23"/>
        <w:keepNext/>
        <w:keepLines/>
        <w:widowControl w:val="0"/>
        <w:shd w:val="clear" w:color="auto" w:fill="auto"/>
        <w:bidi w:val="0"/>
        <w:spacing w:before="0" w:after="360" w:line="240" w:lineRule="auto"/>
        <w:ind w:left="0" w:right="0" w:firstLine="0"/>
        <w:jc w:val="both"/>
        <w:rPr>
          <w:sz w:val="22"/>
          <w:szCs w:val="22"/>
        </w:rPr>
      </w:pPr>
      <w:bookmarkStart w:id="1541" w:name="bookmark1541"/>
      <w:bookmarkStart w:id="1542" w:name="bookmark1542"/>
      <w:bookmarkStart w:id="1543" w:name="bookmark1543"/>
      <w:r>
        <w:rPr>
          <w:b/>
          <w:bCs/>
          <w:color w:val="000000"/>
          <w:spacing w:val="0"/>
          <w:w w:val="100"/>
          <w:position w:val="0"/>
          <w:sz w:val="22"/>
          <w:szCs w:val="22"/>
        </w:rPr>
        <w:t>十六、其他重要事项</w:t>
      </w:r>
      <w:bookmarkEnd w:id="1541"/>
      <w:bookmarkEnd w:id="1542"/>
      <w:bookmarkEnd w:id="1543"/>
    </w:p>
    <w:p>
      <w:pPr>
        <w:pStyle w:val="Style30"/>
        <w:keepNext/>
        <w:keepLines/>
        <w:widowControl w:val="0"/>
        <w:shd w:val="clear" w:color="auto" w:fill="auto"/>
        <w:bidi w:val="0"/>
        <w:spacing w:before="0" w:after="340" w:line="240" w:lineRule="auto"/>
        <w:ind w:left="0" w:right="0" w:firstLine="0"/>
        <w:jc w:val="both"/>
      </w:pPr>
      <w:bookmarkStart w:id="1544" w:name="bookmark1544"/>
      <w:bookmarkStart w:id="1545" w:name="bookmark1545"/>
      <w:bookmarkStart w:id="1546" w:name="bookmark1546"/>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1544"/>
      <w:bookmarkEnd w:id="1545"/>
      <w:bookmarkEnd w:id="1546"/>
    </w:p>
    <w:p>
      <w:pPr>
        <w:pStyle w:val="Style47"/>
        <w:keepNext/>
        <w:keepLines/>
        <w:widowControl w:val="0"/>
        <w:shd w:val="clear" w:color="auto" w:fill="auto"/>
        <w:tabs>
          <w:tab w:pos="488" w:val="left"/>
        </w:tabs>
        <w:bidi w:val="0"/>
        <w:spacing w:before="0" w:line="240" w:lineRule="auto"/>
        <w:ind w:left="0" w:right="0" w:firstLine="0"/>
        <w:jc w:val="left"/>
      </w:pPr>
      <w:bookmarkStart w:id="1547" w:name="bookmark1547"/>
      <w:bookmarkStart w:id="1548" w:name="bookmark1548"/>
      <w:bookmarkStart w:id="1549" w:name="bookmark1549"/>
      <w:bookmarkStart w:id="1550" w:name="bookmark1550"/>
      <w:r>
        <w:rPr>
          <w:b w:val="0"/>
          <w:bCs w:val="0"/>
          <w:color w:val="000000"/>
          <w:spacing w:val="0"/>
          <w:w w:val="100"/>
          <w:position w:val="0"/>
        </w:rPr>
        <w:t>（</w:t>
      </w:r>
      <w:bookmarkEnd w:id="1549"/>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w:t>
        <w:tab/>
        <w:t>本报告期未发生采用追溯重述法的前期会计差错更正事项。</w:t>
      </w:r>
      <w:bookmarkEnd w:id="1547"/>
      <w:bookmarkEnd w:id="1548"/>
      <w:bookmarkEnd w:id="1550"/>
    </w:p>
    <w:p>
      <w:pPr>
        <w:pStyle w:val="Style47"/>
        <w:keepNext/>
        <w:keepLines/>
        <w:widowControl w:val="0"/>
        <w:shd w:val="clear" w:color="auto" w:fill="auto"/>
        <w:tabs>
          <w:tab w:pos="488" w:val="left"/>
        </w:tabs>
        <w:bidi w:val="0"/>
        <w:spacing w:before="0" w:line="240" w:lineRule="auto"/>
        <w:ind w:left="0" w:right="0" w:firstLine="0"/>
        <w:jc w:val="left"/>
      </w:pPr>
      <w:bookmarkStart w:id="1551" w:name="bookmark1551"/>
      <w:bookmarkStart w:id="1552" w:name="bookmark1552"/>
      <w:bookmarkStart w:id="1553" w:name="bookmark1553"/>
      <w:bookmarkStart w:id="1554" w:name="bookmark1554"/>
      <w:r>
        <w:rPr>
          <w:b w:val="0"/>
          <w:bCs w:val="0"/>
          <w:color w:val="000000"/>
          <w:spacing w:val="0"/>
          <w:w w:val="100"/>
          <w:position w:val="0"/>
        </w:rPr>
        <w:t>（</w:t>
      </w:r>
      <w:bookmarkEnd w:id="1553"/>
      <w:r>
        <w:rPr>
          <w:rFonts w:ascii="Times New Roman" w:eastAsia="Times New Roman" w:hAnsi="Times New Roman" w:cs="Times New Roman"/>
          <w:b w:val="0"/>
          <w:bCs w:val="0"/>
          <w:color w:val="000000"/>
          <w:spacing w:val="0"/>
          <w:w w:val="100"/>
          <w:position w:val="0"/>
        </w:rPr>
        <w:t>2</w:t>
      </w:r>
      <w:r>
        <w:rPr>
          <w:b w:val="0"/>
          <w:bCs w:val="0"/>
          <w:color w:val="000000"/>
          <w:spacing w:val="0"/>
          <w:w w:val="100"/>
          <w:position w:val="0"/>
        </w:rPr>
        <w:t>）</w:t>
        <w:tab/>
        <w:t>本报告期未发生采用未来适用法的前期会计差错更正事项。</w:t>
      </w:r>
      <w:bookmarkEnd w:id="1551"/>
      <w:bookmarkEnd w:id="1552"/>
      <w:bookmarkEnd w:id="1554"/>
    </w:p>
    <w:p>
      <w:pPr>
        <w:pStyle w:val="Style47"/>
        <w:keepNext/>
        <w:keepLines/>
        <w:widowControl w:val="0"/>
        <w:shd w:val="clear" w:color="auto" w:fill="auto"/>
        <w:tabs>
          <w:tab w:pos="378" w:val="left"/>
        </w:tabs>
        <w:bidi w:val="0"/>
        <w:spacing w:before="0" w:line="240" w:lineRule="auto"/>
        <w:ind w:left="0" w:right="0" w:firstLine="0"/>
        <w:jc w:val="left"/>
      </w:pPr>
      <w:bookmarkStart w:id="1555" w:name="bookmark1555"/>
      <w:bookmarkStart w:id="1556" w:name="bookmark1556"/>
      <w:bookmarkStart w:id="1557" w:name="bookmark1557"/>
      <w:bookmarkStart w:id="1558" w:name="bookmark1558"/>
      <w:r>
        <w:rPr>
          <w:rFonts w:ascii="Times New Roman" w:eastAsia="Times New Roman" w:hAnsi="Times New Roman" w:cs="Times New Roman"/>
          <w:color w:val="000000"/>
          <w:spacing w:val="0"/>
          <w:w w:val="100"/>
          <w:position w:val="0"/>
        </w:rPr>
        <w:t>2</w:t>
      </w:r>
      <w:bookmarkEnd w:id="1557"/>
      <w:r>
        <w:rPr>
          <w:color w:val="000000"/>
          <w:spacing w:val="0"/>
          <w:w w:val="100"/>
          <w:position w:val="0"/>
        </w:rPr>
        <w:t>、</w:t>
        <w:tab/>
        <w:t>本报告期未发生债务重组。</w:t>
      </w:r>
      <w:bookmarkEnd w:id="1555"/>
      <w:bookmarkEnd w:id="1556"/>
      <w:bookmarkEnd w:id="1558"/>
    </w:p>
    <w:p>
      <w:pPr>
        <w:pStyle w:val="Style30"/>
        <w:keepNext/>
        <w:keepLines/>
        <w:widowControl w:val="0"/>
        <w:shd w:val="clear" w:color="auto" w:fill="auto"/>
        <w:tabs>
          <w:tab w:pos="378" w:val="left"/>
        </w:tabs>
        <w:bidi w:val="0"/>
        <w:spacing w:before="0" w:after="360" w:line="240" w:lineRule="auto"/>
        <w:ind w:left="0" w:right="0" w:firstLine="0"/>
        <w:jc w:val="left"/>
      </w:pPr>
      <w:bookmarkStart w:id="1559" w:name="bookmark1559"/>
      <w:bookmarkStart w:id="1560" w:name="bookmark1560"/>
      <w:bookmarkStart w:id="1561" w:name="bookmark1561"/>
      <w:bookmarkStart w:id="1562" w:name="bookmark1562"/>
      <w:r>
        <w:rPr>
          <w:rFonts w:ascii="Times New Roman" w:eastAsia="Times New Roman" w:hAnsi="Times New Roman" w:cs="Times New Roman"/>
          <w:color w:val="000000"/>
          <w:spacing w:val="0"/>
          <w:w w:val="100"/>
          <w:position w:val="0"/>
        </w:rPr>
        <w:t>3</w:t>
      </w:r>
      <w:bookmarkEnd w:id="1561"/>
      <w:r>
        <w:rPr>
          <w:color w:val="000000"/>
          <w:spacing w:val="0"/>
          <w:w w:val="100"/>
          <w:position w:val="0"/>
        </w:rPr>
        <w:t>、</w:t>
        <w:tab/>
        <w:t>本报告期未发生资产置换。</w:t>
      </w:r>
      <w:bookmarkEnd w:id="1559"/>
      <w:bookmarkEnd w:id="1560"/>
      <w:bookmarkEnd w:id="1562"/>
    </w:p>
    <w:p>
      <w:pPr>
        <w:pStyle w:val="Style30"/>
        <w:keepNext/>
        <w:keepLines/>
        <w:widowControl w:val="0"/>
        <w:shd w:val="clear" w:color="auto" w:fill="auto"/>
        <w:tabs>
          <w:tab w:pos="378" w:val="left"/>
        </w:tabs>
        <w:bidi w:val="0"/>
        <w:spacing w:before="0" w:after="360" w:line="240" w:lineRule="auto"/>
        <w:ind w:left="0" w:right="0" w:firstLine="0"/>
        <w:jc w:val="left"/>
      </w:pPr>
      <w:bookmarkStart w:id="1563" w:name="bookmark1563"/>
      <w:bookmarkStart w:id="1564" w:name="bookmark1564"/>
      <w:bookmarkStart w:id="1565" w:name="bookmark1565"/>
      <w:bookmarkStart w:id="1566" w:name="bookmark1566"/>
      <w:r>
        <w:rPr>
          <w:rFonts w:ascii="Times New Roman" w:eastAsia="Times New Roman" w:hAnsi="Times New Roman" w:cs="Times New Roman"/>
          <w:color w:val="000000"/>
          <w:spacing w:val="0"/>
          <w:w w:val="100"/>
          <w:position w:val="0"/>
        </w:rPr>
        <w:t>4</w:t>
      </w:r>
      <w:bookmarkEnd w:id="1565"/>
      <w:r>
        <w:rPr>
          <w:color w:val="000000"/>
          <w:spacing w:val="0"/>
          <w:w w:val="100"/>
          <w:position w:val="0"/>
        </w:rPr>
        <w:t>、</w:t>
        <w:tab/>
        <w:t>本报告期未发生年金计划。</w:t>
      </w:r>
      <w:bookmarkEnd w:id="1563"/>
      <w:bookmarkEnd w:id="1564"/>
      <w:bookmarkEnd w:id="1566"/>
    </w:p>
    <w:p>
      <w:pPr>
        <w:pStyle w:val="Style30"/>
        <w:keepNext/>
        <w:keepLines/>
        <w:widowControl w:val="0"/>
        <w:shd w:val="clear" w:color="auto" w:fill="auto"/>
        <w:tabs>
          <w:tab w:pos="378" w:val="left"/>
        </w:tabs>
        <w:bidi w:val="0"/>
        <w:spacing w:before="0" w:after="360" w:line="240" w:lineRule="auto"/>
        <w:ind w:left="0" w:right="0" w:firstLine="0"/>
        <w:jc w:val="left"/>
      </w:pPr>
      <w:bookmarkStart w:id="1567" w:name="bookmark1567"/>
      <w:bookmarkStart w:id="1568" w:name="bookmark1568"/>
      <w:bookmarkStart w:id="1569" w:name="bookmark1569"/>
      <w:bookmarkStart w:id="1570" w:name="bookmark1570"/>
      <w:r>
        <w:rPr>
          <w:rFonts w:ascii="Times New Roman" w:eastAsia="Times New Roman" w:hAnsi="Times New Roman" w:cs="Times New Roman"/>
          <w:color w:val="000000"/>
          <w:spacing w:val="0"/>
          <w:w w:val="100"/>
          <w:position w:val="0"/>
        </w:rPr>
        <w:t>5</w:t>
      </w:r>
      <w:bookmarkEnd w:id="1569"/>
      <w:r>
        <w:rPr>
          <w:color w:val="000000"/>
          <w:spacing w:val="0"/>
          <w:w w:val="100"/>
          <w:position w:val="0"/>
        </w:rPr>
        <w:t>、</w:t>
        <w:tab/>
        <w:t>本报告期未发生终止经营。</w:t>
      </w:r>
      <w:bookmarkEnd w:id="1567"/>
      <w:bookmarkEnd w:id="1568"/>
      <w:bookmarkEnd w:id="1570"/>
    </w:p>
    <w:p>
      <w:pPr>
        <w:pStyle w:val="Style30"/>
        <w:keepNext/>
        <w:keepLines/>
        <w:widowControl w:val="0"/>
        <w:shd w:val="clear" w:color="auto" w:fill="auto"/>
        <w:tabs>
          <w:tab w:pos="378" w:val="left"/>
        </w:tabs>
        <w:bidi w:val="0"/>
        <w:spacing w:before="0" w:after="360" w:line="240" w:lineRule="auto"/>
        <w:ind w:left="0" w:right="0" w:firstLine="0"/>
        <w:jc w:val="left"/>
      </w:pPr>
      <w:bookmarkStart w:id="1571" w:name="bookmark1571"/>
      <w:bookmarkStart w:id="1572" w:name="bookmark1572"/>
      <w:bookmarkStart w:id="1573" w:name="bookmark1573"/>
      <w:bookmarkStart w:id="1574" w:name="bookmark1574"/>
      <w:r>
        <w:rPr>
          <w:rFonts w:ascii="Times New Roman" w:eastAsia="Times New Roman" w:hAnsi="Times New Roman" w:cs="Times New Roman"/>
          <w:color w:val="000000"/>
          <w:spacing w:val="0"/>
          <w:w w:val="100"/>
          <w:position w:val="0"/>
        </w:rPr>
        <w:t>6</w:t>
      </w:r>
      <w:bookmarkEnd w:id="1573"/>
      <w:r>
        <w:rPr>
          <w:color w:val="000000"/>
          <w:spacing w:val="0"/>
          <w:w w:val="100"/>
          <w:position w:val="0"/>
        </w:rPr>
        <w:t>、</w:t>
        <w:tab/>
        <w:t>分部信息</w:t>
      </w:r>
      <w:bookmarkEnd w:id="1571"/>
      <w:bookmarkEnd w:id="1572"/>
      <w:bookmarkEnd w:id="1574"/>
    </w:p>
    <w:p>
      <w:pPr>
        <w:pStyle w:val="Style47"/>
        <w:keepNext/>
        <w:keepLines/>
        <w:widowControl w:val="0"/>
        <w:shd w:val="clear" w:color="auto" w:fill="auto"/>
        <w:tabs>
          <w:tab w:pos="493" w:val="left"/>
        </w:tabs>
        <w:bidi w:val="0"/>
        <w:spacing w:before="0" w:line="240" w:lineRule="auto"/>
        <w:ind w:left="0" w:right="0" w:firstLine="0"/>
        <w:jc w:val="left"/>
      </w:pPr>
      <w:bookmarkStart w:id="1575" w:name="bookmark1575"/>
      <w:bookmarkStart w:id="1576" w:name="bookmark1576"/>
      <w:bookmarkStart w:id="1577" w:name="bookmark1577"/>
      <w:bookmarkStart w:id="1578" w:name="bookmark1578"/>
      <w:r>
        <w:rPr>
          <w:color w:val="000000"/>
          <w:spacing w:val="0"/>
          <w:w w:val="100"/>
          <w:position w:val="0"/>
        </w:rPr>
        <w:t>（</w:t>
      </w:r>
      <w:bookmarkEnd w:id="1577"/>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1575"/>
      <w:bookmarkEnd w:id="1576"/>
      <w:bookmarkEnd w:id="1578"/>
    </w:p>
    <w:p>
      <w:pPr>
        <w:pStyle w:val="Style47"/>
        <w:keepNext/>
        <w:keepLines/>
        <w:widowControl w:val="0"/>
        <w:shd w:val="clear" w:color="auto" w:fill="auto"/>
        <w:tabs>
          <w:tab w:pos="493" w:val="left"/>
        </w:tabs>
        <w:bidi w:val="0"/>
        <w:spacing w:before="0" w:line="240" w:lineRule="auto"/>
        <w:ind w:left="0" w:right="0" w:firstLine="0"/>
        <w:jc w:val="left"/>
      </w:pPr>
      <w:bookmarkStart w:id="1579" w:name="bookmark1579"/>
      <w:bookmarkStart w:id="1580" w:name="bookmark1580"/>
      <w:bookmarkStart w:id="1581" w:name="bookmark1581"/>
      <w:bookmarkStart w:id="1582" w:name="bookmark1582"/>
      <w:r>
        <w:rPr>
          <w:color w:val="000000"/>
          <w:spacing w:val="0"/>
          <w:w w:val="100"/>
          <w:position w:val="0"/>
        </w:rPr>
        <w:t>（</w:t>
      </w:r>
      <w:bookmarkEnd w:id="1581"/>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1579"/>
      <w:bookmarkEnd w:id="1580"/>
      <w:bookmarkEnd w:id="1582"/>
    </w:p>
    <w:p>
      <w:pPr>
        <w:pStyle w:val="Style47"/>
        <w:keepNext/>
        <w:keepLines/>
        <w:widowControl w:val="0"/>
        <w:shd w:val="clear" w:color="auto" w:fill="auto"/>
        <w:tabs>
          <w:tab w:pos="493" w:val="left"/>
        </w:tabs>
        <w:bidi w:val="0"/>
        <w:spacing w:before="0" w:after="440" w:line="240" w:lineRule="auto"/>
        <w:ind w:left="0" w:right="0" w:firstLine="0"/>
        <w:jc w:val="left"/>
      </w:pPr>
      <w:bookmarkStart w:id="1583" w:name="bookmark1583"/>
      <w:bookmarkStart w:id="1584" w:name="bookmark1584"/>
      <w:bookmarkStart w:id="1585" w:name="bookmark1585"/>
      <w:bookmarkStart w:id="1586" w:name="bookmark1586"/>
      <w:r>
        <w:rPr>
          <w:color w:val="000000"/>
          <w:spacing w:val="0"/>
          <w:w w:val="100"/>
          <w:position w:val="0"/>
        </w:rPr>
        <w:t>（</w:t>
      </w:r>
      <w:bookmarkEnd w:id="1585"/>
      <w:r>
        <w:rPr>
          <w:rFonts w:ascii="Times New Roman" w:eastAsia="Times New Roman" w:hAnsi="Times New Roman" w:cs="Times New Roman"/>
          <w:color w:val="000000"/>
          <w:spacing w:val="0"/>
          <w:w w:val="100"/>
          <w:position w:val="0"/>
        </w:rPr>
        <w:t>3</w:t>
      </w:r>
      <w:r>
        <w:rPr>
          <w:color w:val="000000"/>
          <w:spacing w:val="0"/>
          <w:w w:val="100"/>
          <w:position w:val="0"/>
        </w:rPr>
        <w:t>）</w:t>
        <w:tab/>
        <w:t>公司无报告分部的，或者不能披露各报告分部的资产总额和负债总额的，应说明原因</w:t>
      </w:r>
      <w:bookmarkEnd w:id="1583"/>
      <w:bookmarkEnd w:id="1584"/>
      <w:bookmarkEnd w:id="1586"/>
    </w:p>
    <w:p>
      <w:pPr>
        <w:pStyle w:val="Style12"/>
        <w:keepNext/>
        <w:keepLines/>
        <w:widowControl w:val="0"/>
        <w:shd w:val="clear" w:color="auto" w:fill="auto"/>
        <w:bidi w:val="0"/>
        <w:spacing w:before="0" w:after="160" w:line="240" w:lineRule="auto"/>
        <w:ind w:left="0" w:right="0" w:firstLine="0"/>
        <w:jc w:val="left"/>
        <w:rPr>
          <w:sz w:val="20"/>
          <w:szCs w:val="20"/>
        </w:rPr>
      </w:pPr>
      <w:bookmarkStart w:id="1587" w:name="bookmark1587"/>
      <w:bookmarkStart w:id="1588" w:name="bookmark1588"/>
      <w:bookmarkStart w:id="1589" w:name="bookmark1589"/>
      <w:bookmarkStart w:id="1590" w:name="bookmark1590"/>
      <w:r>
        <w:rPr>
          <w:color w:val="000000"/>
          <w:spacing w:val="0"/>
          <w:w w:val="100"/>
          <w:position w:val="0"/>
          <w:sz w:val="20"/>
          <w:szCs w:val="20"/>
        </w:rPr>
        <w:t>（</w:t>
      </w:r>
      <w:bookmarkEnd w:id="1589"/>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 分部信息（占公司营业总收入或营业利润</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以上的行业、产品或地区情况）</w:t>
      </w:r>
      <w:bookmarkEnd w:id="1587"/>
      <w:bookmarkEnd w:id="1588"/>
      <w:bookmarkEnd w:id="1590"/>
    </w:p>
    <w:p>
      <w:pPr>
        <w:pStyle w:val="Style26"/>
        <w:keepNext w:val="0"/>
        <w:keepLines w:val="0"/>
        <w:widowControl w:val="0"/>
        <w:shd w:val="clear" w:color="auto" w:fill="auto"/>
        <w:bidi w:val="0"/>
        <w:spacing w:before="0" w:after="0" w:line="240" w:lineRule="auto"/>
        <w:ind w:left="725" w:right="0" w:firstLine="0"/>
        <w:jc w:val="left"/>
      </w:pPr>
      <w:r>
        <w:rPr>
          <w:b/>
          <w:bCs/>
          <w:color w:val="000000"/>
          <w:spacing w:val="0"/>
          <w:w w:val="100"/>
          <w:position w:val="0"/>
        </w:rPr>
        <w:t>1、 按行业分类</w:t>
      </w:r>
    </w:p>
    <w:tbl>
      <w:tblPr>
        <w:tblOverlap w:val="never"/>
        <w:jc w:val="left"/>
        <w:tblLayout w:type="fixed"/>
      </w:tblPr>
      <w:tblGrid>
        <w:gridCol w:w="1205"/>
        <w:gridCol w:w="1958"/>
        <w:gridCol w:w="1958"/>
        <w:gridCol w:w="1958"/>
        <w:gridCol w:w="1963"/>
      </w:tblGrid>
      <w:tr>
        <w:trPr>
          <w:trHeight w:val="40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营业成本</w:t>
            </w:r>
          </w:p>
        </w:tc>
      </w:tr>
      <w:tr>
        <w:trPr>
          <w:trHeight w:val="49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证券业务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821,966,807.52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209,499,543.14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线缆业务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819,893,522.46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684,491,530.17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1,049,493,193.33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906,896,335.09</w:t>
            </w:r>
          </w:p>
        </w:tc>
      </w:tr>
      <w:tr>
        <w:trPr>
          <w:trHeight w:val="499"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1,641,860,329.98</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893,991,073.31</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1,049,493,193.33</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906,896,335.09</w:t>
            </w:r>
          </w:p>
        </w:tc>
      </w:tr>
    </w:tbl>
    <w:p>
      <w:pPr>
        <w:widowControl w:val="0"/>
        <w:spacing w:after="519" w:line="1" w:lineRule="exact"/>
      </w:pPr>
    </w:p>
    <w:p>
      <w:pPr>
        <w:pStyle w:val="Style33"/>
        <w:keepNext w:val="0"/>
        <w:keepLines w:val="0"/>
        <w:widowControl w:val="0"/>
        <w:shd w:val="clear" w:color="auto" w:fill="auto"/>
        <w:bidi w:val="0"/>
        <w:spacing w:before="0" w:after="160" w:line="240" w:lineRule="auto"/>
        <w:ind w:left="0" w:right="0" w:firstLine="720"/>
        <w:jc w:val="left"/>
      </w:pPr>
      <w:r>
        <w:rPr>
          <w:b/>
          <w:bCs/>
          <w:color w:val="000000"/>
          <w:spacing w:val="0"/>
          <w:w w:val="100"/>
          <w:position w:val="0"/>
        </w:rPr>
        <w:t>2、 分产品</w:t>
      </w:r>
    </w:p>
    <w:p>
      <w:pPr>
        <w:pStyle w:val="Style26"/>
        <w:keepNext w:val="0"/>
        <w:keepLines w:val="0"/>
        <w:widowControl w:val="0"/>
        <w:shd w:val="clear" w:color="auto" w:fill="auto"/>
        <w:bidi w:val="0"/>
        <w:spacing w:before="0" w:after="0" w:line="240" w:lineRule="auto"/>
        <w:ind w:left="826"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）证券业务</w:t>
      </w:r>
    </w:p>
    <w:tbl>
      <w:tblPr>
        <w:tblOverlap w:val="never"/>
        <w:jc w:val="left"/>
        <w:tblLayout w:type="fixed"/>
      </w:tblPr>
      <w:tblGrid>
        <w:gridCol w:w="3619"/>
        <w:gridCol w:w="2707"/>
        <w:gridCol w:w="2717"/>
      </w:tblGrid>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r>
      <w:tr>
        <w:trPr>
          <w:trHeight w:val="49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证券经纪业务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372,378,490.52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99,711,696.87</w:t>
            </w:r>
          </w:p>
        </w:tc>
      </w:tr>
      <w:tr>
        <w:trPr>
          <w:trHeight w:val="49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期货经纪业务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5,312,741.17</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投资银行业务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70,564,467.28</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资产管理业务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34,835,122.55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2,159,283.83</w:t>
            </w:r>
          </w:p>
        </w:tc>
      </w:tr>
      <w:tr>
        <w:trPr>
          <w:trHeight w:val="49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335,514,816.76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107,628,562.44</w:t>
            </w:r>
          </w:p>
        </w:tc>
      </w:tr>
      <w:tr>
        <w:trPr>
          <w:trHeight w:val="499"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3,361,169.24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left"/>
        <w:tblLayout w:type="fixed"/>
      </w:tblPr>
      <w:tblGrid>
        <w:gridCol w:w="3619"/>
        <w:gridCol w:w="2707"/>
        <w:gridCol w:w="2717"/>
      </w:tblGrid>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r>
      <w:tr>
        <w:trPr>
          <w:trHeight w:val="499"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821,966,807.52</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209,499,543.14</w:t>
            </w:r>
          </w:p>
        </w:tc>
      </w:tr>
    </w:tbl>
    <w:p>
      <w:pPr>
        <w:widowControl w:val="0"/>
        <w:spacing w:after="119" w:line="1" w:lineRule="exact"/>
      </w:pPr>
    </w:p>
    <w:p>
      <w:pPr>
        <w:pStyle w:val="Style26"/>
        <w:keepNext w:val="0"/>
        <w:keepLines w:val="0"/>
        <w:widowControl w:val="0"/>
        <w:shd w:val="clear" w:color="auto" w:fill="auto"/>
        <w:bidi w:val="0"/>
        <w:spacing w:before="0" w:after="0" w:line="240" w:lineRule="auto"/>
        <w:ind w:left="806"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）线缆业务</w:t>
      </w:r>
    </w:p>
    <w:tbl>
      <w:tblPr>
        <w:tblOverlap w:val="never"/>
        <w:jc w:val="left"/>
        <w:tblLayout w:type="fixed"/>
      </w:tblPr>
      <w:tblGrid>
        <w:gridCol w:w="2405"/>
        <w:gridCol w:w="1709"/>
        <w:gridCol w:w="1526"/>
        <w:gridCol w:w="1694"/>
        <w:gridCol w:w="1709"/>
      </w:tblGrid>
      <w:tr>
        <w:trPr>
          <w:trHeight w:val="365"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产品名称</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年度</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w:t>
            </w:r>
            <w:r>
              <w:rPr>
                <w:color w:val="000000"/>
                <w:spacing w:val="0"/>
                <w:w w:val="100"/>
                <w:position w:val="0"/>
              </w:rPr>
              <w:t>年度</w:t>
            </w:r>
          </w:p>
        </w:tc>
      </w:tr>
      <w:tr>
        <w:trPr>
          <w:trHeight w:val="36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营业成本</w:t>
            </w:r>
          </w:p>
        </w:tc>
      </w:tr>
      <w:tr>
        <w:trPr>
          <w:trHeight w:val="49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空调连接组件</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586,158,211.85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483,576,052.26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742,482,610.12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629,803,791.08</w:t>
            </w:r>
          </w:p>
        </w:tc>
      </w:tr>
      <w:tr>
        <w:trPr>
          <w:trHeight w:val="49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空调电源输入组件</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179,315,021.51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159,435,482.13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249,149,437.62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230,564,923.71</w:t>
            </w:r>
          </w:p>
        </w:tc>
      </w:tr>
      <w:tr>
        <w:trPr>
          <w:trHeight w:val="49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电热电器电源输入组件</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20,934,754.05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16,197,410.69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22,225,273.30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18,974,551.16</w:t>
            </w:r>
          </w:p>
        </w:tc>
      </w:tr>
      <w:tr>
        <w:trPr>
          <w:trHeight w:val="49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冰洗电器电源输入组件</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15,706,718.15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13,206,857.94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14,872,720.92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12,563,312.74</w:t>
            </w:r>
          </w:p>
        </w:tc>
      </w:tr>
      <w:tr>
        <w:trPr>
          <w:trHeight w:val="49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其他家电电源输入组件</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17,621,243.22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11,919,105.35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20,549,279.89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14,955,750.02</w:t>
            </w:r>
          </w:p>
        </w:tc>
      </w:tr>
      <w:tr>
        <w:trPr>
          <w:trHeight w:val="49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材料销售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157,573.68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156,621.80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213,871.48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34,006.38</w:t>
            </w:r>
          </w:p>
        </w:tc>
      </w:tr>
      <w:tr>
        <w:trPr>
          <w:trHeight w:val="504"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819,893,522.46</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684,491,530.17</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1,049,493,193.33</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906,896,335.09</w:t>
            </w:r>
          </w:p>
        </w:tc>
      </w:tr>
    </w:tbl>
    <w:p>
      <w:pPr>
        <w:widowControl w:val="0"/>
        <w:spacing w:after="519" w:line="1" w:lineRule="exact"/>
      </w:pPr>
    </w:p>
    <w:p>
      <w:pPr>
        <w:pStyle w:val="Style33"/>
        <w:keepNext w:val="0"/>
        <w:keepLines w:val="0"/>
        <w:widowControl w:val="0"/>
        <w:shd w:val="clear" w:color="auto" w:fill="auto"/>
        <w:tabs>
          <w:tab w:pos="1298" w:val="left"/>
        </w:tabs>
        <w:bidi w:val="0"/>
        <w:spacing w:before="0" w:after="200" w:line="240" w:lineRule="auto"/>
        <w:ind w:left="0" w:right="0" w:firstLine="760"/>
        <w:jc w:val="left"/>
      </w:pPr>
      <w:bookmarkStart w:id="1591" w:name="bookmark1591"/>
      <w:r>
        <w:rPr>
          <w:b/>
          <w:bCs/>
          <w:color w:val="000000"/>
          <w:spacing w:val="0"/>
          <w:w w:val="100"/>
          <w:position w:val="0"/>
          <w:shd w:val="clear" w:color="auto" w:fill="FFFFFF"/>
        </w:rPr>
        <w:t>3</w:t>
      </w:r>
      <w:bookmarkEnd w:id="1591"/>
      <w:r>
        <w:rPr>
          <w:b/>
          <w:bCs/>
          <w:color w:val="000000"/>
          <w:spacing w:val="0"/>
          <w:w w:val="100"/>
          <w:position w:val="0"/>
          <w:shd w:val="clear" w:color="auto" w:fill="FFFFFF"/>
        </w:rPr>
        <w:t>、</w:t>
      </w:r>
      <w:r>
        <w:rPr>
          <w:b/>
          <w:bCs/>
          <w:color w:val="000000"/>
          <w:spacing w:val="0"/>
          <w:w w:val="100"/>
          <w:position w:val="0"/>
        </w:rPr>
        <w:tab/>
        <w:t>分地区</w:t>
      </w:r>
    </w:p>
    <w:p>
      <w:pPr>
        <w:pStyle w:val="Style26"/>
        <w:keepNext w:val="0"/>
        <w:keepLines w:val="0"/>
        <w:widowControl w:val="0"/>
        <w:shd w:val="clear" w:color="auto" w:fill="auto"/>
        <w:bidi w:val="0"/>
        <w:spacing w:before="0" w:after="0" w:line="240" w:lineRule="auto"/>
        <w:ind w:left="715"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）证券业务</w:t>
      </w:r>
    </w:p>
    <w:tbl>
      <w:tblPr>
        <w:tblOverlap w:val="never"/>
        <w:jc w:val="left"/>
        <w:tblLayout w:type="fixed"/>
      </w:tblPr>
      <w:tblGrid>
        <w:gridCol w:w="2467"/>
        <w:gridCol w:w="3115"/>
        <w:gridCol w:w="3461"/>
      </w:tblGrid>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省份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r>
      <w:tr>
        <w:trPr>
          <w:trHeight w:val="49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江西省内</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603,802,518.49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162,074,348.77</w:t>
            </w:r>
          </w:p>
        </w:tc>
      </w:tr>
      <w:tr>
        <w:trPr>
          <w:trHeight w:val="49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江西省外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218,164,289.03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47,425,194.37</w:t>
            </w:r>
          </w:p>
        </w:tc>
      </w:tr>
      <w:tr>
        <w:trPr>
          <w:trHeight w:val="504"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821,966,807.52</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209,499,543.14</w:t>
            </w:r>
          </w:p>
        </w:tc>
      </w:tr>
    </w:tbl>
    <w:p>
      <w:pPr>
        <w:widowControl w:val="0"/>
        <w:spacing w:after="519" w:line="1" w:lineRule="exact"/>
      </w:pPr>
    </w:p>
    <w:p>
      <w:pPr>
        <w:pStyle w:val="Style26"/>
        <w:keepNext w:val="0"/>
        <w:keepLines w:val="0"/>
        <w:widowControl w:val="0"/>
        <w:shd w:val="clear" w:color="auto" w:fill="auto"/>
        <w:bidi w:val="0"/>
        <w:spacing w:before="0" w:after="0" w:line="240" w:lineRule="auto"/>
        <w:ind w:left="845"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）线缆业务</w:t>
      </w:r>
    </w:p>
    <w:tbl>
      <w:tblPr>
        <w:tblOverlap w:val="never"/>
        <w:jc w:val="left"/>
        <w:tblLayout w:type="fixed"/>
      </w:tblPr>
      <w:tblGrid>
        <w:gridCol w:w="1541"/>
        <w:gridCol w:w="1882"/>
        <w:gridCol w:w="1886"/>
        <w:gridCol w:w="1882"/>
        <w:gridCol w:w="1915"/>
      </w:tblGrid>
      <w:tr>
        <w:trPr>
          <w:trHeight w:val="427"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地区名称</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年度</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w:t>
            </w:r>
            <w:r>
              <w:rPr>
                <w:color w:val="000000"/>
                <w:spacing w:val="0"/>
                <w:w w:val="100"/>
                <w:position w:val="0"/>
              </w:rPr>
              <w:t>年度</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9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广东省内</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267,586,280.54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220,502,487.16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331,125,222.80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283,076,697.62</w:t>
            </w:r>
          </w:p>
        </w:tc>
      </w:tr>
      <w:tr>
        <w:trPr>
          <w:trHeight w:val="49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广东省外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514,873,561.90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435,251,025.56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683,078,148.70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595,776,569.93</w:t>
            </w:r>
          </w:p>
        </w:tc>
      </w:tr>
      <w:tr>
        <w:trPr>
          <w:trHeight w:val="49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国外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37,433,680.02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28,738,017.45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35,289,821.83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28,043,067.53</w:t>
            </w:r>
          </w:p>
        </w:tc>
      </w:tr>
      <w:tr>
        <w:trPr>
          <w:trHeight w:val="523"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819,893,522.46</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684,491,530.17</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1,049,493,193.33</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906,896,335.08</w:t>
            </w:r>
          </w:p>
        </w:tc>
      </w:tr>
    </w:tbl>
    <w:p>
      <w:pPr>
        <w:widowControl w:val="0"/>
        <w:spacing w:after="119" w:line="1" w:lineRule="exact"/>
      </w:pPr>
    </w:p>
    <w:p>
      <w:pPr>
        <w:pStyle w:val="Style26"/>
        <w:keepNext w:val="0"/>
        <w:keepLines w:val="0"/>
        <w:widowControl w:val="0"/>
        <w:shd w:val="clear" w:color="auto" w:fill="auto"/>
        <w:bidi w:val="0"/>
        <w:spacing w:before="0" w:after="0" w:line="240" w:lineRule="auto"/>
        <w:ind w:left="811" w:right="0" w:firstLine="0"/>
        <w:jc w:val="left"/>
      </w:pPr>
      <w:r>
        <w:rPr>
          <w:rFonts w:ascii="Arial" w:eastAsia="Arial" w:hAnsi="Arial" w:cs="Arial"/>
          <w:b/>
          <w:bCs/>
          <w:color w:val="000000"/>
          <w:spacing w:val="0"/>
          <w:w w:val="100"/>
          <w:position w:val="0"/>
          <w:sz w:val="19"/>
          <w:szCs w:val="19"/>
        </w:rPr>
        <w:t>4</w:t>
      </w:r>
      <w:r>
        <w:rPr>
          <w:b/>
          <w:bCs/>
          <w:color w:val="000000"/>
          <w:spacing w:val="0"/>
          <w:w w:val="100"/>
          <w:position w:val="0"/>
        </w:rPr>
        <w:t>、公司前五名客户的营业收入情况（线缆业务）</w:t>
      </w:r>
    </w:p>
    <w:tbl>
      <w:tblPr>
        <w:tblOverlap w:val="never"/>
        <w:jc w:val="center"/>
        <w:tblLayout w:type="fixed"/>
      </w:tblPr>
      <w:tblGrid>
        <w:gridCol w:w="2856"/>
        <w:gridCol w:w="2995"/>
        <w:gridCol w:w="4018"/>
      </w:tblGrid>
      <w:tr>
        <w:trPr>
          <w:trHeight w:val="365"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年度</w:t>
            </w:r>
          </w:p>
        </w:tc>
      </w:tr>
      <w:tr>
        <w:trPr>
          <w:trHeight w:val="36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营业收入总额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pPr>
            <w:r>
              <w:rPr>
                <w:color w:val="000000"/>
                <w:spacing w:val="0"/>
                <w:w w:val="100"/>
                <w:position w:val="0"/>
              </w:rPr>
              <w:t>占公司全部营业收入的比例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480"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368,540,128.06</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44.95</w:t>
            </w:r>
          </w:p>
        </w:tc>
      </w:tr>
    </w:tbl>
    <w:p>
      <w:pPr>
        <w:spacing w:lineRule="exact" w:line="1"/>
        <w:rPr>
          <w:sz w:val="2"/>
          <w:szCs w:val="2"/>
        </w:rPr>
      </w:pPr>
      <w:r>
        <w:br w:type="page"/>
      </w:r>
    </w:p>
    <w:tbl>
      <w:tblPr>
        <w:tblOverlap w:val="never"/>
        <w:jc w:val="center"/>
        <w:tblLayout w:type="fixed"/>
      </w:tblPr>
      <w:tblGrid>
        <w:gridCol w:w="2856"/>
        <w:gridCol w:w="2995"/>
        <w:gridCol w:w="4018"/>
      </w:tblGrid>
      <w:tr>
        <w:trPr>
          <w:trHeight w:val="365"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年度</w:t>
            </w:r>
          </w:p>
        </w:tc>
      </w:tr>
      <w:tr>
        <w:trPr>
          <w:trHeight w:val="36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营业收入总额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pPr>
            <w:r>
              <w:rPr>
                <w:color w:val="000000"/>
                <w:spacing w:val="0"/>
                <w:w w:val="100"/>
                <w:position w:val="0"/>
              </w:rPr>
              <w:t>占公司全部营业收入的比例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47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148,592,533.71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18.12</w:t>
            </w:r>
          </w:p>
        </w:tc>
      </w:tr>
      <w:tr>
        <w:trPr>
          <w:trHeight w:val="46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69,462,883.71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520" w:right="0" w:firstLine="0"/>
              <w:jc w:val="left"/>
            </w:pPr>
            <w:r>
              <w:rPr>
                <w:rFonts w:ascii="Times New Roman" w:eastAsia="Times New Roman" w:hAnsi="Times New Roman" w:cs="Times New Roman"/>
                <w:color w:val="000000"/>
                <w:spacing w:val="0"/>
                <w:w w:val="100"/>
                <w:position w:val="0"/>
              </w:rPr>
              <w:t>8.47</w:t>
            </w:r>
          </w:p>
        </w:tc>
      </w:tr>
      <w:tr>
        <w:trPr>
          <w:trHeight w:val="47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57,034,427.29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520" w:right="0" w:firstLine="0"/>
              <w:jc w:val="left"/>
            </w:pPr>
            <w:r>
              <w:rPr>
                <w:rFonts w:ascii="Times New Roman" w:eastAsia="Times New Roman" w:hAnsi="Times New Roman" w:cs="Times New Roman"/>
                <w:color w:val="000000"/>
                <w:spacing w:val="0"/>
                <w:w w:val="100"/>
                <w:position w:val="0"/>
              </w:rPr>
              <w:t>6.96</w:t>
            </w:r>
          </w:p>
        </w:tc>
      </w:tr>
      <w:tr>
        <w:trPr>
          <w:trHeight w:val="47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33,777,486.69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520" w:right="0" w:firstLine="0"/>
              <w:jc w:val="left"/>
            </w:pPr>
            <w:r>
              <w:rPr>
                <w:rFonts w:ascii="Times New Roman" w:eastAsia="Times New Roman" w:hAnsi="Times New Roman" w:cs="Times New Roman"/>
                <w:color w:val="000000"/>
                <w:spacing w:val="0"/>
                <w:w w:val="100"/>
                <w:position w:val="0"/>
              </w:rPr>
              <w:t>4.12</w:t>
            </w:r>
          </w:p>
        </w:tc>
      </w:tr>
      <w:tr>
        <w:trPr>
          <w:trHeight w:val="48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677,407,459.47</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82.62</w:t>
            </w:r>
          </w:p>
        </w:tc>
      </w:tr>
    </w:tbl>
    <w:p>
      <w:pPr>
        <w:widowControl w:val="0"/>
        <w:spacing w:after="359" w:line="1" w:lineRule="exact"/>
      </w:pPr>
    </w:p>
    <w:tbl>
      <w:tblPr>
        <w:tblOverlap w:val="never"/>
        <w:jc w:val="left"/>
        <w:tblLayout w:type="fixed"/>
      </w:tblPr>
      <w:tblGrid>
        <w:gridCol w:w="2794"/>
        <w:gridCol w:w="2971"/>
        <w:gridCol w:w="3278"/>
      </w:tblGrid>
      <w:tr>
        <w:trPr>
          <w:trHeight w:val="475"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w:t>
            </w:r>
            <w:r>
              <w:rPr>
                <w:color w:val="000000"/>
                <w:spacing w:val="0"/>
                <w:w w:val="100"/>
                <w:position w:val="0"/>
              </w:rPr>
              <w:t>年度</w:t>
            </w:r>
          </w:p>
        </w:tc>
      </w:tr>
      <w:tr>
        <w:trPr>
          <w:trHeight w:val="47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营业收入总额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占公司全部营业收入的比例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47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564,809,582.85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680" w:right="0" w:firstLine="0"/>
              <w:jc w:val="left"/>
            </w:pPr>
            <w:r>
              <w:rPr>
                <w:rFonts w:ascii="Times New Roman" w:eastAsia="Times New Roman" w:hAnsi="Times New Roman" w:cs="Times New Roman"/>
                <w:color w:val="000000"/>
                <w:spacing w:val="0"/>
                <w:w w:val="100"/>
                <w:position w:val="0"/>
              </w:rPr>
              <w:t>53.82</w:t>
            </w:r>
          </w:p>
        </w:tc>
      </w:tr>
      <w:tr>
        <w:trPr>
          <w:trHeight w:val="47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167,419,960.26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680" w:right="0" w:firstLine="0"/>
              <w:jc w:val="left"/>
            </w:pPr>
            <w:r>
              <w:rPr>
                <w:rFonts w:ascii="Times New Roman" w:eastAsia="Times New Roman" w:hAnsi="Times New Roman" w:cs="Times New Roman"/>
                <w:color w:val="000000"/>
                <w:spacing w:val="0"/>
                <w:w w:val="100"/>
                <w:position w:val="0"/>
              </w:rPr>
              <w:t>15.95</w:t>
            </w:r>
          </w:p>
        </w:tc>
      </w:tr>
      <w:tr>
        <w:trPr>
          <w:trHeight w:val="47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54,524,781.90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780" w:right="0" w:firstLine="0"/>
              <w:jc w:val="left"/>
            </w:pPr>
            <w:r>
              <w:rPr>
                <w:rFonts w:ascii="Times New Roman" w:eastAsia="Times New Roman" w:hAnsi="Times New Roman" w:cs="Times New Roman"/>
                <w:color w:val="000000"/>
                <w:spacing w:val="0"/>
                <w:w w:val="100"/>
                <w:position w:val="0"/>
              </w:rPr>
              <w:t>5.20</w:t>
            </w:r>
          </w:p>
        </w:tc>
      </w:tr>
      <w:tr>
        <w:trPr>
          <w:trHeight w:val="47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51,941,873.77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780" w:right="0" w:firstLine="0"/>
              <w:jc w:val="left"/>
            </w:pPr>
            <w:r>
              <w:rPr>
                <w:rFonts w:ascii="Times New Roman" w:eastAsia="Times New Roman" w:hAnsi="Times New Roman" w:cs="Times New Roman"/>
                <w:color w:val="000000"/>
                <w:spacing w:val="0"/>
                <w:w w:val="100"/>
                <w:position w:val="0"/>
              </w:rPr>
              <w:t>4.95</w:t>
            </w:r>
          </w:p>
        </w:tc>
      </w:tr>
      <w:tr>
        <w:trPr>
          <w:trHeight w:val="47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30,861,479.72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780" w:right="0" w:firstLine="0"/>
              <w:jc w:val="left"/>
            </w:pPr>
            <w:r>
              <w:rPr>
                <w:rFonts w:ascii="Times New Roman" w:eastAsia="Times New Roman" w:hAnsi="Times New Roman" w:cs="Times New Roman"/>
                <w:color w:val="000000"/>
                <w:spacing w:val="0"/>
                <w:w w:val="100"/>
                <w:position w:val="0"/>
              </w:rPr>
              <w:t>2.94</w:t>
            </w:r>
          </w:p>
        </w:tc>
      </w:tr>
      <w:tr>
        <w:trPr>
          <w:trHeight w:val="480"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869,557,678.50</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680" w:right="0" w:firstLine="0"/>
              <w:jc w:val="left"/>
            </w:pPr>
            <w:r>
              <w:rPr>
                <w:rFonts w:ascii="Times New Roman" w:eastAsia="Times New Roman" w:hAnsi="Times New Roman" w:cs="Times New Roman"/>
                <w:color w:val="000000"/>
                <w:spacing w:val="0"/>
                <w:w w:val="100"/>
                <w:position w:val="0"/>
              </w:rPr>
              <w:t>82.86</w:t>
            </w:r>
          </w:p>
        </w:tc>
      </w:tr>
    </w:tbl>
    <w:p>
      <w:pPr>
        <w:widowControl w:val="0"/>
        <w:spacing w:after="259" w:line="1" w:lineRule="exact"/>
      </w:pPr>
    </w:p>
    <w:p>
      <w:pPr>
        <w:pStyle w:val="Style23"/>
        <w:keepNext/>
        <w:keepLines/>
        <w:widowControl w:val="0"/>
        <w:shd w:val="clear" w:color="auto" w:fill="auto"/>
        <w:bidi w:val="0"/>
        <w:spacing w:before="0" w:after="260" w:line="313" w:lineRule="exact"/>
        <w:ind w:left="0" w:right="0" w:firstLine="0"/>
        <w:jc w:val="left"/>
      </w:pPr>
      <w:bookmarkStart w:id="1592" w:name="bookmark1592"/>
      <w:bookmarkStart w:id="1593" w:name="bookmark1593"/>
      <w:bookmarkStart w:id="1594" w:name="bookmark1594"/>
      <w:bookmarkStart w:id="1595" w:name="bookmark1595"/>
      <w:r>
        <w:rPr>
          <w:rFonts w:ascii="Times New Roman" w:eastAsia="Times New Roman" w:hAnsi="Times New Roman" w:cs="Times New Roman"/>
          <w:b/>
          <w:bCs/>
          <w:color w:val="000000"/>
          <w:spacing w:val="0"/>
          <w:w w:val="100"/>
          <w:position w:val="0"/>
        </w:rPr>
        <w:t>7</w:t>
      </w:r>
      <w:bookmarkEnd w:id="1594"/>
      <w:r>
        <w:rPr>
          <w:b/>
          <w:bCs/>
          <w:color w:val="000000"/>
          <w:spacing w:val="0"/>
          <w:w w:val="100"/>
          <w:position w:val="0"/>
        </w:rPr>
        <w:t>、其他</w:t>
      </w:r>
      <w:bookmarkEnd w:id="1592"/>
      <w:bookmarkEnd w:id="1593"/>
      <w:bookmarkEnd w:id="1595"/>
    </w:p>
    <w:p>
      <w:pPr>
        <w:pStyle w:val="Style33"/>
        <w:keepNext w:val="0"/>
        <w:keepLines w:val="0"/>
        <w:widowControl w:val="0"/>
        <w:shd w:val="clear" w:color="auto" w:fill="auto"/>
        <w:bidi w:val="0"/>
        <w:spacing w:before="0" w:after="320" w:line="313" w:lineRule="exact"/>
        <w:ind w:left="0" w:right="0" w:firstLine="520"/>
        <w:jc w:val="both"/>
        <w:sectPr>
          <w:headerReference w:type="default" r:id="rId65"/>
          <w:footerReference w:type="default" r:id="rId66"/>
          <w:footnotePr>
            <w:pos w:val="pageBottom"/>
            <w:numFmt w:val="decimal"/>
            <w:numRestart w:val="continuous"/>
          </w:footnotePr>
          <w:pgSz w:w="11900" w:h="16840"/>
          <w:pgMar w:top="1441" w:right="1003" w:bottom="1633" w:left="989" w:header="0" w:footer="3" w:gutter="0"/>
          <w:cols w:space="720"/>
          <w:noEndnote/>
          <w:rtlGutter w:val="0"/>
          <w:docGrid w:linePitch="360"/>
        </w:sectP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日，公司、中江信托、杜力、张巍签订《广东华声电器股份有限公司与中江国际信托 股份有限公司、杜力、张巍签署之业绩承诺补偿协议》，中江信托承诺国盛证券</w:t>
      </w:r>
      <w:r>
        <w:rPr>
          <w:rFonts w:ascii="Times New Roman" w:eastAsia="Times New Roman" w:hAnsi="Times New Roman" w:cs="Times New Roman"/>
          <w:color w:val="000000"/>
          <w:spacing w:val="0"/>
          <w:w w:val="100"/>
          <w:position w:val="0"/>
        </w:rPr>
        <w:t>2016</w:t>
      </w:r>
      <w:r>
        <w:rPr>
          <w:color w:val="000000"/>
          <w:spacing w:val="0"/>
          <w:w w:val="100"/>
          <w:position w:val="0"/>
        </w:rPr>
        <w:t>年度、</w:t>
      </w:r>
      <w:r>
        <w:rPr>
          <w:rFonts w:ascii="Times New Roman" w:eastAsia="Times New Roman" w:hAnsi="Times New Roman" w:cs="Times New Roman"/>
          <w:color w:val="000000"/>
          <w:spacing w:val="0"/>
          <w:w w:val="100"/>
          <w:position w:val="0"/>
        </w:rPr>
        <w:t>2017</w:t>
      </w:r>
      <w:r>
        <w:rPr>
          <w:color w:val="000000"/>
          <w:spacing w:val="0"/>
          <w:w w:val="100"/>
          <w:position w:val="0"/>
        </w:rPr>
        <w:t xml:space="preserve">年度、 </w:t>
      </w:r>
      <w:r>
        <w:rPr>
          <w:rFonts w:ascii="Times New Roman" w:eastAsia="Times New Roman" w:hAnsi="Times New Roman" w:cs="Times New Roman"/>
          <w:color w:val="000000"/>
          <w:spacing w:val="0"/>
          <w:w w:val="100"/>
          <w:position w:val="0"/>
        </w:rPr>
        <w:t>2018</w:t>
      </w:r>
      <w:r>
        <w:rPr>
          <w:color w:val="000000"/>
          <w:spacing w:val="0"/>
          <w:w w:val="100"/>
          <w:position w:val="0"/>
        </w:rPr>
        <w:t>年度经审计的归属于母公司所有者的净利润分别不低于人民币</w:t>
      </w:r>
      <w:r>
        <w:rPr>
          <w:rFonts w:ascii="Times New Roman" w:eastAsia="Times New Roman" w:hAnsi="Times New Roman" w:cs="Times New Roman"/>
          <w:color w:val="000000"/>
          <w:spacing w:val="0"/>
          <w:w w:val="100"/>
          <w:position w:val="0"/>
        </w:rPr>
        <w:t>74,000</w:t>
      </w:r>
      <w:r>
        <w:rPr>
          <w:color w:val="000000"/>
          <w:spacing w:val="0"/>
          <w:w w:val="100"/>
          <w:position w:val="0"/>
        </w:rPr>
        <w:t>万元（含本数）、</w:t>
      </w:r>
      <w:r>
        <w:rPr>
          <w:rFonts w:ascii="Times New Roman" w:eastAsia="Times New Roman" w:hAnsi="Times New Roman" w:cs="Times New Roman"/>
          <w:color w:val="000000"/>
          <w:spacing w:val="0"/>
          <w:w w:val="100"/>
          <w:position w:val="0"/>
        </w:rPr>
        <w:t>79,000</w:t>
      </w:r>
      <w:r>
        <w:rPr>
          <w:color w:val="000000"/>
          <w:spacing w:val="0"/>
          <w:w w:val="100"/>
          <w:position w:val="0"/>
        </w:rPr>
        <w:t>万元 （含本数）、</w:t>
      </w:r>
      <w:r>
        <w:rPr>
          <w:rFonts w:ascii="Times New Roman" w:eastAsia="Times New Roman" w:hAnsi="Times New Roman" w:cs="Times New Roman"/>
          <w:color w:val="000000"/>
          <w:spacing w:val="0"/>
          <w:w w:val="100"/>
          <w:position w:val="0"/>
        </w:rPr>
        <w:t>85,000</w:t>
      </w:r>
      <w:r>
        <w:rPr>
          <w:color w:val="000000"/>
          <w:spacing w:val="0"/>
          <w:w w:val="100"/>
          <w:position w:val="0"/>
        </w:rPr>
        <w:t>万元（含本数），净利润以扣除非经常性损益前后孰低值为准。经立信会计师事务所 （特殊普通合伙）审计，国盛证券</w:t>
      </w:r>
      <w:r>
        <w:rPr>
          <w:rFonts w:ascii="Times New Roman" w:eastAsia="Times New Roman" w:hAnsi="Times New Roman" w:cs="Times New Roman"/>
          <w:color w:val="000000"/>
          <w:spacing w:val="0"/>
          <w:w w:val="100"/>
          <w:position w:val="0"/>
        </w:rPr>
        <w:t>2016</w:t>
      </w:r>
      <w:r>
        <w:rPr>
          <w:color w:val="000000"/>
          <w:spacing w:val="0"/>
          <w:w w:val="100"/>
          <w:position w:val="0"/>
        </w:rPr>
        <w:t>年度实现归属于母公司所有者的净利润</w:t>
      </w:r>
      <w:r>
        <w:rPr>
          <w:rFonts w:ascii="Times New Roman" w:eastAsia="Times New Roman" w:hAnsi="Times New Roman" w:cs="Times New Roman"/>
          <w:color w:val="000000"/>
          <w:spacing w:val="0"/>
          <w:w w:val="100"/>
          <w:position w:val="0"/>
        </w:rPr>
        <w:t>612,509,257.79</w:t>
      </w:r>
      <w:r>
        <w:rPr>
          <w:color w:val="000000"/>
          <w:spacing w:val="0"/>
          <w:w w:val="100"/>
          <w:position w:val="0"/>
        </w:rPr>
        <w:t>元，扣除 非经常性损益后归属于母公司所有者的净利润为</w:t>
      </w:r>
      <w:r>
        <w:rPr>
          <w:rFonts w:ascii="Times New Roman" w:eastAsia="Times New Roman" w:hAnsi="Times New Roman" w:cs="Times New Roman"/>
          <w:color w:val="000000"/>
          <w:spacing w:val="0"/>
          <w:w w:val="100"/>
          <w:position w:val="0"/>
        </w:rPr>
        <w:t>608,180,997.77</w:t>
      </w:r>
      <w:r>
        <w:rPr>
          <w:color w:val="000000"/>
          <w:spacing w:val="0"/>
          <w:w w:val="100"/>
          <w:position w:val="0"/>
        </w:rPr>
        <w:t>元。国盛证券</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年度业绩承诺完成率 为 </w:t>
      </w:r>
      <w:r>
        <w:rPr>
          <w:rFonts w:ascii="Times New Roman" w:eastAsia="Times New Roman" w:hAnsi="Times New Roman" w:cs="Times New Roman"/>
          <w:color w:val="000000"/>
          <w:spacing w:val="0"/>
          <w:w w:val="100"/>
          <w:position w:val="0"/>
        </w:rPr>
        <w:t>82.19%</w:t>
      </w:r>
      <w:r>
        <w:rPr>
          <w:color w:val="000000"/>
          <w:spacing w:val="0"/>
          <w:w w:val="100"/>
          <w:position w:val="0"/>
        </w:rPr>
        <w:t>。</w:t>
      </w:r>
    </w:p>
    <w:p>
      <w:pPr>
        <w:pStyle w:val="Style23"/>
        <w:keepNext/>
        <w:keepLines/>
        <w:widowControl w:val="0"/>
        <w:shd w:val="clear" w:color="auto" w:fill="auto"/>
        <w:bidi w:val="0"/>
        <w:spacing w:before="0" w:after="360" w:line="240" w:lineRule="auto"/>
        <w:ind w:left="0" w:right="0" w:firstLine="0"/>
        <w:jc w:val="left"/>
        <w:rPr>
          <w:sz w:val="22"/>
          <w:szCs w:val="22"/>
        </w:rPr>
      </w:pPr>
      <w:bookmarkStart w:id="1596" w:name="bookmark1596"/>
      <w:bookmarkStart w:id="1597" w:name="bookmark1597"/>
      <w:bookmarkStart w:id="1598" w:name="bookmark1598"/>
      <w:r>
        <w:rPr>
          <w:b/>
          <w:bCs/>
          <w:color w:val="000000"/>
          <w:spacing w:val="0"/>
          <w:w w:val="100"/>
          <w:position w:val="0"/>
          <w:sz w:val="22"/>
          <w:szCs w:val="22"/>
        </w:rPr>
        <w:t>十七、母公司财务报表主要项目注释</w:t>
      </w:r>
      <w:bookmarkEnd w:id="1596"/>
      <w:bookmarkEnd w:id="1597"/>
      <w:bookmarkEnd w:id="1598"/>
    </w:p>
    <w:p>
      <w:pPr>
        <w:pStyle w:val="Style30"/>
        <w:keepNext/>
        <w:keepLines/>
        <w:widowControl w:val="0"/>
        <w:shd w:val="clear" w:color="auto" w:fill="auto"/>
        <w:bidi w:val="0"/>
        <w:spacing w:before="0" w:after="360" w:line="240" w:lineRule="auto"/>
        <w:ind w:left="0" w:right="0" w:firstLine="0"/>
        <w:jc w:val="left"/>
      </w:pPr>
      <w:bookmarkStart w:id="1599" w:name="bookmark1599"/>
      <w:bookmarkStart w:id="1600" w:name="bookmark1600"/>
      <w:bookmarkStart w:id="1601" w:name="bookmark1601"/>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599"/>
      <w:bookmarkEnd w:id="1600"/>
      <w:bookmarkEnd w:id="1601"/>
    </w:p>
    <w:p>
      <w:pPr>
        <w:pStyle w:val="Style47"/>
        <w:keepNext/>
        <w:keepLines/>
        <w:widowControl w:val="0"/>
        <w:shd w:val="clear" w:color="auto" w:fill="auto"/>
        <w:bidi w:val="0"/>
        <w:spacing w:before="0" w:line="240" w:lineRule="auto"/>
        <w:ind w:left="0" w:right="0" w:firstLine="0"/>
        <w:jc w:val="left"/>
      </w:pPr>
      <w:r>
        <mc:AlternateContent>
          <mc:Choice Requires="wps">
            <w:drawing>
              <wp:anchor distT="0" distB="0" distL="0" distR="0" simplePos="0" relativeHeight="125829438" behindDoc="0" locked="0" layoutInCell="1" allowOverlap="1">
                <wp:simplePos x="0" y="0"/>
                <wp:positionH relativeFrom="page">
                  <wp:posOffset>1197610</wp:posOffset>
                </wp:positionH>
                <wp:positionV relativeFrom="paragraph">
                  <wp:posOffset>2019300</wp:posOffset>
                </wp:positionV>
                <wp:extent cx="3093720" cy="457200"/>
                <wp:wrapSquare wrapText="bothSides"/>
                <wp:docPr id="202" name="Shape 202"/>
                <a:graphic xmlns:a="http://schemas.openxmlformats.org/drawingml/2006/main">
                  <a:graphicData uri="http://schemas.microsoft.com/office/word/2010/wordprocessingShape">
                    <wps:wsp>
                      <wps:cNvSpPr txBox="1"/>
                      <wps:spPr>
                        <a:xfrm>
                          <a:ext cx="3093720" cy="457200"/>
                        </a:xfrm>
                        <a:prstGeom prst="rect"/>
                        <a:noFill/>
                      </wps:spPr>
                      <wps:txbx>
                        <w:txbxContent>
                          <w:p>
                            <w:pPr>
                              <w:pStyle w:val="Style33"/>
                              <w:keepNext w:val="0"/>
                              <w:keepLines w:val="0"/>
                              <w:widowControl w:val="0"/>
                              <w:shd w:val="clear" w:color="auto" w:fill="auto"/>
                              <w:bidi w:val="0"/>
                              <w:spacing w:before="0" w:after="0" w:line="350" w:lineRule="exact"/>
                              <w:ind w:left="0" w:right="0" w:firstLine="0"/>
                              <w:jc w:val="left"/>
                            </w:pPr>
                            <w:r>
                              <w:rPr>
                                <w:color w:val="000000"/>
                                <w:spacing w:val="0"/>
                                <w:w w:val="100"/>
                                <w:position w:val="0"/>
                              </w:rPr>
                              <w:t>期末单项金额重大并单项计提坏账准备的应收账款: 组合中，按账龄分析法计提坏账准备的应收账款：</w:t>
                            </w:r>
                          </w:p>
                        </w:txbxContent>
                      </wps:txbx>
                      <wps:bodyPr lIns="0" tIns="0" rIns="0" bIns="0">
                        <a:noAutoFit/>
                      </wps:bodyPr>
                    </wps:wsp>
                  </a:graphicData>
                </a:graphic>
              </wp:anchor>
            </w:drawing>
          </mc:Choice>
          <mc:Fallback>
            <w:pict>
              <v:shape id="_x0000_s1228" type="#_x0000_t202" style="position:absolute;margin-left:94.299999999999997pt;margin-top:159.pt;width:243.59999999999999pt;height:36.pt;z-index:-125829315;mso-wrap-distance-left:0;mso-wrap-distance-right:0;mso-position-horizontal-relative:page" filled="f" stroked="f">
                <v:textbox inset="0,0,0,0">
                  <w:txbxContent>
                    <w:p>
                      <w:pPr>
                        <w:pStyle w:val="Style33"/>
                        <w:keepNext w:val="0"/>
                        <w:keepLines w:val="0"/>
                        <w:widowControl w:val="0"/>
                        <w:shd w:val="clear" w:color="auto" w:fill="auto"/>
                        <w:bidi w:val="0"/>
                        <w:spacing w:before="0" w:after="0" w:line="350" w:lineRule="exact"/>
                        <w:ind w:left="0" w:right="0" w:firstLine="0"/>
                        <w:jc w:val="left"/>
                      </w:pPr>
                      <w:r>
                        <w:rPr>
                          <w:color w:val="000000"/>
                          <w:spacing w:val="0"/>
                          <w:w w:val="100"/>
                          <w:position w:val="0"/>
                        </w:rPr>
                        <w:t>期末单项金额重大并单项计提坏账准备的应收账款: 组合中，按账龄分析法计提坏账准备的应收账款：</w:t>
                      </w:r>
                    </w:p>
                  </w:txbxContent>
                </v:textbox>
                <w10:wrap type="square" anchorx="page"/>
              </v:shape>
            </w:pict>
          </mc:Fallback>
        </mc:AlternateContent>
      </w:r>
      <w:bookmarkStart w:id="1602" w:name="bookmark1602"/>
      <w:bookmarkStart w:id="1603" w:name="bookmark1603"/>
      <w:bookmarkStart w:id="1604" w:name="bookmark160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602"/>
      <w:bookmarkEnd w:id="1603"/>
      <w:bookmarkEnd w:id="1604"/>
    </w:p>
    <w:tbl>
      <w:tblPr>
        <w:tblOverlap w:val="never"/>
        <w:jc w:val="left"/>
        <w:tblLayout w:type="fixed"/>
      </w:tblPr>
      <w:tblGrid>
        <w:gridCol w:w="2842"/>
        <w:gridCol w:w="1277"/>
        <w:gridCol w:w="850"/>
        <w:gridCol w:w="1277"/>
        <w:gridCol w:w="710"/>
        <w:gridCol w:w="1277"/>
        <w:gridCol w:w="1416"/>
        <w:gridCol w:w="850"/>
        <w:gridCol w:w="1277"/>
        <w:gridCol w:w="706"/>
        <w:gridCol w:w="1430"/>
      </w:tblGrid>
      <w:tr>
        <w:trPr>
          <w:trHeight w:val="326" w:hRule="exact"/>
        </w:trPr>
        <w:tc>
          <w:tcPr>
            <w:vMerge w:val="restart"/>
            <w:tcBorders>
              <w:top w:val="single" w:sz="4"/>
              <w:left w:val="single" w:sz="4"/>
            </w:tcBorders>
            <w:shd w:val="clear" w:color="auto" w:fill="D3D3D3"/>
            <w:vAlign w:val="center"/>
          </w:tcPr>
          <w:p>
            <w:pPr>
              <w:pStyle w:val="Style20"/>
              <w:keepNext w:val="0"/>
              <w:keepLines w:val="0"/>
              <w:framePr w:w="13910" w:h="2246" w:vSpace="322" w:wrap="notBeside" w:vAnchor="text" w:hAnchor="text" w:x="78" w:y="323"/>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0"/>
              <w:keepNext w:val="0"/>
              <w:keepLines w:val="0"/>
              <w:framePr w:w="13910" w:h="2246" w:vSpace="322" w:wrap="notBeside" w:vAnchor="text" w:hAnchor="text" w:x="78" w:y="323"/>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0"/>
              <w:keepNext w:val="0"/>
              <w:keepLines w:val="0"/>
              <w:framePr w:w="13910" w:h="2246" w:vSpace="322" w:wrap="notBeside" w:vAnchor="text" w:hAnchor="text" w:x="78" w:y="323"/>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vMerge/>
            <w:tcBorders>
              <w:left w:val="single" w:sz="4"/>
            </w:tcBorders>
            <w:shd w:val="clear" w:color="auto" w:fill="D3D3D3"/>
            <w:vAlign w:val="center"/>
          </w:tcPr>
          <w:p>
            <w:pPr>
              <w:framePr w:w="13910" w:h="2246" w:vSpace="322" w:wrap="notBeside" w:vAnchor="text" w:hAnchor="text" w:x="78" w:y="323"/>
            </w:pPr>
          </w:p>
        </w:tc>
        <w:tc>
          <w:tcPr>
            <w:gridSpan w:val="2"/>
            <w:tcBorders>
              <w:top w:val="single" w:sz="4"/>
              <w:left w:val="single" w:sz="4"/>
            </w:tcBorders>
            <w:shd w:val="clear" w:color="auto" w:fill="D3D3D3"/>
            <w:vAlign w:val="center"/>
          </w:tcPr>
          <w:p>
            <w:pPr>
              <w:pStyle w:val="Style20"/>
              <w:keepNext w:val="0"/>
              <w:keepLines w:val="0"/>
              <w:framePr w:w="13910" w:h="2246" w:vSpace="322" w:wrap="notBeside" w:vAnchor="text" w:hAnchor="text" w:x="78" w:y="323"/>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0"/>
              <w:keepNext w:val="0"/>
              <w:keepLines w:val="0"/>
              <w:framePr w:w="13910" w:h="2246" w:vSpace="322" w:wrap="notBeside" w:vAnchor="text" w:hAnchor="text" w:x="78" w:y="323"/>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0"/>
              <w:keepNext w:val="0"/>
              <w:keepLines w:val="0"/>
              <w:framePr w:w="13910" w:h="2246" w:vSpace="322" w:wrap="notBeside" w:vAnchor="text" w:hAnchor="text" w:x="78" w:y="323"/>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0"/>
              <w:keepNext w:val="0"/>
              <w:keepLines w:val="0"/>
              <w:framePr w:w="13910" w:h="2246" w:vSpace="322" w:wrap="notBeside" w:vAnchor="text" w:hAnchor="text" w:x="78" w:y="323"/>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0"/>
              <w:keepNext w:val="0"/>
              <w:keepLines w:val="0"/>
              <w:framePr w:w="13910" w:h="2246" w:vSpace="322" w:wrap="notBeside" w:vAnchor="text" w:hAnchor="text" w:x="78" w:y="323"/>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0"/>
              <w:keepNext w:val="0"/>
              <w:keepLines w:val="0"/>
              <w:framePr w:w="13910" w:h="2246" w:vSpace="322" w:wrap="notBeside" w:vAnchor="text" w:hAnchor="text" w:x="78" w:y="323"/>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634" w:hRule="exact"/>
        </w:trPr>
        <w:tc>
          <w:tcPr>
            <w:vMerge/>
            <w:tcBorders>
              <w:left w:val="single" w:sz="4"/>
            </w:tcBorders>
            <w:shd w:val="clear" w:color="auto" w:fill="D3D3D3"/>
            <w:vAlign w:val="center"/>
          </w:tcPr>
          <w:p>
            <w:pPr>
              <w:framePr w:w="13910" w:h="2246" w:vSpace="322" w:wrap="notBeside" w:vAnchor="text" w:hAnchor="text" w:x="78" w:y="323"/>
            </w:pPr>
          </w:p>
        </w:tc>
        <w:tc>
          <w:tcPr>
            <w:tcBorders>
              <w:top w:val="single" w:sz="4"/>
              <w:left w:val="single" w:sz="4"/>
            </w:tcBorders>
            <w:shd w:val="clear" w:color="auto" w:fill="D3D3D3"/>
            <w:vAlign w:val="center"/>
          </w:tcPr>
          <w:p>
            <w:pPr>
              <w:pStyle w:val="Style20"/>
              <w:keepNext w:val="0"/>
              <w:keepLines w:val="0"/>
              <w:framePr w:w="13910" w:h="2246" w:vSpace="322" w:wrap="notBeside" w:vAnchor="text" w:hAnchor="text" w:x="78" w:y="323"/>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framePr w:w="13910" w:h="2246" w:vSpace="322" w:wrap="notBeside" w:vAnchor="text" w:hAnchor="text" w:x="78" w:y="323"/>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0"/>
              <w:keepNext w:val="0"/>
              <w:keepLines w:val="0"/>
              <w:framePr w:w="13910" w:h="2246" w:vSpace="322" w:wrap="notBeside" w:vAnchor="text" w:hAnchor="text" w:x="78" w:y="323"/>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framePr w:w="13910" w:h="2246" w:vSpace="322" w:wrap="notBeside" w:vAnchor="text" w:hAnchor="text" w:x="78" w:y="323"/>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framePr w:w="13910" w:h="2246" w:vSpace="322" w:wrap="notBeside" w:vAnchor="text" w:hAnchor="text" w:x="78" w:y="323"/>
            </w:pPr>
          </w:p>
        </w:tc>
        <w:tc>
          <w:tcPr>
            <w:tcBorders>
              <w:top w:val="single" w:sz="4"/>
              <w:left w:val="single" w:sz="4"/>
            </w:tcBorders>
            <w:shd w:val="clear" w:color="auto" w:fill="D3D3D3"/>
            <w:vAlign w:val="center"/>
          </w:tcPr>
          <w:p>
            <w:pPr>
              <w:pStyle w:val="Style20"/>
              <w:keepNext w:val="0"/>
              <w:keepLines w:val="0"/>
              <w:framePr w:w="13910" w:h="2246" w:vSpace="322" w:wrap="notBeside" w:vAnchor="text" w:hAnchor="text" w:x="78" w:y="323"/>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framePr w:w="13910" w:h="2246" w:vSpace="322" w:wrap="notBeside" w:vAnchor="text" w:hAnchor="text" w:x="78" w:y="323"/>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0"/>
              <w:keepNext w:val="0"/>
              <w:keepLines w:val="0"/>
              <w:framePr w:w="13910" w:h="2246" w:vSpace="322" w:wrap="notBeside" w:vAnchor="text" w:hAnchor="text" w:x="78" w:y="323"/>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framePr w:w="13910" w:h="2246" w:vSpace="322" w:wrap="notBeside" w:vAnchor="text" w:hAnchor="text" w:x="78" w:y="323"/>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3D3D3"/>
            <w:vAlign w:val="center"/>
          </w:tcPr>
          <w:p>
            <w:pPr>
              <w:framePr w:w="13910" w:h="2246" w:vSpace="322" w:wrap="notBeside" w:vAnchor="text" w:hAnchor="text" w:x="78" w:y="323"/>
            </w:pPr>
          </w:p>
        </w:tc>
      </w:tr>
      <w:tr>
        <w:trPr>
          <w:trHeight w:val="634" w:hRule="exact"/>
        </w:trPr>
        <w:tc>
          <w:tcPr>
            <w:tcBorders>
              <w:top w:val="single" w:sz="4"/>
              <w:left w:val="single" w:sz="4"/>
            </w:tcBorders>
            <w:shd w:val="clear" w:color="auto" w:fill="D3D3D3"/>
            <w:vAlign w:val="center"/>
          </w:tcPr>
          <w:p>
            <w:pPr>
              <w:pStyle w:val="Style20"/>
              <w:keepNext w:val="0"/>
              <w:keepLines w:val="0"/>
              <w:framePr w:w="13910" w:h="2246" w:vSpace="322" w:wrap="notBeside" w:vAnchor="text" w:hAnchor="text" w:x="78" w:y="323"/>
              <w:widowControl w:val="0"/>
              <w:shd w:val="clear" w:color="auto" w:fill="auto"/>
              <w:bidi w:val="0"/>
              <w:spacing w:before="0" w:after="0" w:line="307" w:lineRule="exact"/>
              <w:ind w:left="0" w:right="0" w:firstLine="0"/>
              <w:jc w:val="left"/>
            </w:pPr>
            <w:r>
              <w:rPr>
                <w:color w:val="000000"/>
                <w:spacing w:val="0"/>
                <w:w w:val="100"/>
                <w:position w:val="0"/>
              </w:rPr>
              <w:t>按信用风险特征组合计提坏账 准备的应收账款</w:t>
            </w:r>
          </w:p>
        </w:tc>
        <w:tc>
          <w:tcPr>
            <w:tcBorders>
              <w:top w:val="single" w:sz="4"/>
              <w:left w:val="single" w:sz="4"/>
            </w:tcBorders>
            <w:shd w:val="clear" w:color="auto" w:fill="FFFFFF"/>
            <w:vAlign w:val="center"/>
          </w:tcPr>
          <w:p>
            <w:pPr>
              <w:pStyle w:val="Style20"/>
              <w:keepNext w:val="0"/>
              <w:keepLines w:val="0"/>
              <w:framePr w:w="13910" w:h="2246" w:vSpace="322" w:wrap="notBeside" w:vAnchor="text" w:hAnchor="text" w:x="78" w:y="323"/>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8,757,255.42</w:t>
            </w:r>
          </w:p>
        </w:tc>
        <w:tc>
          <w:tcPr>
            <w:tcBorders>
              <w:top w:val="single" w:sz="4"/>
              <w:left w:val="single" w:sz="4"/>
            </w:tcBorders>
            <w:shd w:val="clear" w:color="auto" w:fill="FFFFFF"/>
            <w:vAlign w:val="center"/>
          </w:tcPr>
          <w:p>
            <w:pPr>
              <w:pStyle w:val="Style20"/>
              <w:keepNext w:val="0"/>
              <w:keepLines w:val="0"/>
              <w:framePr w:w="13910" w:h="2246" w:vSpace="322" w:wrap="notBeside" w:vAnchor="text" w:hAnchor="text" w:x="78" w:y="323"/>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framePr w:w="13910" w:h="2246" w:vSpace="322" w:wrap="notBeside" w:vAnchor="text" w:hAnchor="text" w:x="78" w:y="323"/>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1,152,107.87</w:t>
            </w:r>
          </w:p>
        </w:tc>
        <w:tc>
          <w:tcPr>
            <w:tcBorders>
              <w:top w:val="single" w:sz="4"/>
              <w:left w:val="single" w:sz="4"/>
            </w:tcBorders>
            <w:shd w:val="clear" w:color="auto" w:fill="FFFFFF"/>
            <w:vAlign w:val="center"/>
          </w:tcPr>
          <w:p>
            <w:pPr>
              <w:pStyle w:val="Style20"/>
              <w:keepNext w:val="0"/>
              <w:keepLines w:val="0"/>
              <w:framePr w:w="13910" w:h="2246" w:vSpace="322" w:wrap="notBeside" w:vAnchor="text" w:hAnchor="text" w:x="78" w:y="323"/>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13.16%</w:t>
            </w:r>
          </w:p>
        </w:tc>
        <w:tc>
          <w:tcPr>
            <w:tcBorders>
              <w:top w:val="single" w:sz="4"/>
              <w:left w:val="single" w:sz="4"/>
            </w:tcBorders>
            <w:shd w:val="clear" w:color="auto" w:fill="FFFFFF"/>
            <w:vAlign w:val="center"/>
          </w:tcPr>
          <w:p>
            <w:pPr>
              <w:pStyle w:val="Style20"/>
              <w:keepNext w:val="0"/>
              <w:keepLines w:val="0"/>
              <w:framePr w:w="13910" w:h="2246" w:vSpace="322" w:wrap="notBeside" w:vAnchor="text" w:hAnchor="text" w:x="78" w:y="323"/>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7,605,147.55</w:t>
            </w:r>
          </w:p>
        </w:tc>
        <w:tc>
          <w:tcPr>
            <w:tcBorders>
              <w:top w:val="single" w:sz="4"/>
              <w:left w:val="single" w:sz="4"/>
            </w:tcBorders>
            <w:shd w:val="clear" w:color="auto" w:fill="FFFFFF"/>
            <w:vAlign w:val="center"/>
          </w:tcPr>
          <w:p>
            <w:pPr>
              <w:pStyle w:val="Style20"/>
              <w:keepNext w:val="0"/>
              <w:keepLines w:val="0"/>
              <w:framePr w:w="13910" w:h="2246" w:vSpace="322" w:wrap="notBeside" w:vAnchor="text" w:hAnchor="text" w:x="78" w:y="323"/>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194,576,888.96</w:t>
            </w:r>
          </w:p>
        </w:tc>
        <w:tc>
          <w:tcPr>
            <w:tcBorders>
              <w:top w:val="single" w:sz="4"/>
              <w:left w:val="single" w:sz="4"/>
            </w:tcBorders>
            <w:shd w:val="clear" w:color="auto" w:fill="FFFFFF"/>
            <w:vAlign w:val="center"/>
          </w:tcPr>
          <w:p>
            <w:pPr>
              <w:pStyle w:val="Style20"/>
              <w:keepNext w:val="0"/>
              <w:keepLines w:val="0"/>
              <w:framePr w:w="13910" w:h="2246" w:vSpace="322" w:wrap="notBeside" w:vAnchor="text" w:hAnchor="text" w:x="78" w:y="323"/>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framePr w:w="13910" w:h="2246" w:vSpace="322" w:wrap="notBeside" w:vAnchor="text" w:hAnchor="text" w:x="78" w:y="323"/>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1,072,214.52</w:t>
            </w:r>
          </w:p>
        </w:tc>
        <w:tc>
          <w:tcPr>
            <w:tcBorders>
              <w:top w:val="single" w:sz="4"/>
              <w:left w:val="single" w:sz="4"/>
            </w:tcBorders>
            <w:shd w:val="clear" w:color="auto" w:fill="FFFFFF"/>
            <w:vAlign w:val="center"/>
          </w:tcPr>
          <w:p>
            <w:pPr>
              <w:pStyle w:val="Style20"/>
              <w:keepNext w:val="0"/>
              <w:keepLines w:val="0"/>
              <w:framePr w:w="13910" w:h="2246" w:vSpace="322" w:wrap="notBeside" w:vAnchor="text" w:hAnchor="text" w:x="78" w:y="323"/>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0.55%</w:t>
            </w:r>
          </w:p>
        </w:tc>
        <w:tc>
          <w:tcPr>
            <w:tcBorders>
              <w:top w:val="single" w:sz="4"/>
              <w:left w:val="single" w:sz="4"/>
              <w:right w:val="single" w:sz="4"/>
            </w:tcBorders>
            <w:shd w:val="clear" w:color="auto" w:fill="FFFFFF"/>
            <w:vAlign w:val="center"/>
          </w:tcPr>
          <w:p>
            <w:pPr>
              <w:pStyle w:val="Style20"/>
              <w:keepNext w:val="0"/>
              <w:keepLines w:val="0"/>
              <w:framePr w:w="13910" w:h="2246" w:vSpace="322" w:wrap="notBeside" w:vAnchor="text" w:hAnchor="text" w:x="78" w:y="323"/>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193,504,674.44</w:t>
            </w:r>
          </w:p>
        </w:tc>
      </w:tr>
      <w:tr>
        <w:trPr>
          <w:trHeight w:val="331" w:hRule="exact"/>
        </w:trPr>
        <w:tc>
          <w:tcPr>
            <w:tcBorders>
              <w:top w:val="single" w:sz="4"/>
              <w:left w:val="single" w:sz="4"/>
              <w:bottom w:val="single" w:sz="4"/>
            </w:tcBorders>
            <w:shd w:val="clear" w:color="auto" w:fill="D3D3D3"/>
            <w:vAlign w:val="center"/>
          </w:tcPr>
          <w:p>
            <w:pPr>
              <w:pStyle w:val="Style20"/>
              <w:keepNext w:val="0"/>
              <w:keepLines w:val="0"/>
              <w:framePr w:w="13910" w:h="2246" w:vSpace="322" w:wrap="notBeside" w:vAnchor="text" w:hAnchor="text" w:x="78" w:y="323"/>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framePr w:w="13910" w:h="2246" w:vSpace="322" w:wrap="notBeside" w:vAnchor="text" w:hAnchor="text" w:x="78" w:y="323"/>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8,757,255.42</w:t>
            </w:r>
          </w:p>
        </w:tc>
        <w:tc>
          <w:tcPr>
            <w:tcBorders>
              <w:top w:val="single" w:sz="4"/>
              <w:left w:val="single" w:sz="4"/>
              <w:bottom w:val="single" w:sz="4"/>
            </w:tcBorders>
            <w:shd w:val="clear" w:color="auto" w:fill="FFFFFF"/>
            <w:vAlign w:val="center"/>
          </w:tcPr>
          <w:p>
            <w:pPr>
              <w:pStyle w:val="Style20"/>
              <w:keepNext w:val="0"/>
              <w:keepLines w:val="0"/>
              <w:framePr w:w="13910" w:h="2246" w:vSpace="322" w:wrap="notBeside" w:vAnchor="text" w:hAnchor="text" w:x="78" w:y="323"/>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0"/>
              <w:keepNext w:val="0"/>
              <w:keepLines w:val="0"/>
              <w:framePr w:w="13910" w:h="2246" w:vSpace="322" w:wrap="notBeside" w:vAnchor="text" w:hAnchor="text" w:x="78" w:y="323"/>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1,152,107.87</w:t>
            </w:r>
          </w:p>
        </w:tc>
        <w:tc>
          <w:tcPr>
            <w:tcBorders>
              <w:top w:val="single" w:sz="4"/>
              <w:left w:val="single" w:sz="4"/>
              <w:bottom w:val="single" w:sz="4"/>
            </w:tcBorders>
            <w:shd w:val="clear" w:color="auto" w:fill="FFFFFF"/>
            <w:vAlign w:val="center"/>
          </w:tcPr>
          <w:p>
            <w:pPr>
              <w:pStyle w:val="Style20"/>
              <w:keepNext w:val="0"/>
              <w:keepLines w:val="0"/>
              <w:framePr w:w="13910" w:h="2246" w:vSpace="322" w:wrap="notBeside" w:vAnchor="text" w:hAnchor="text" w:x="78" w:y="323"/>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13.16%</w:t>
            </w:r>
          </w:p>
        </w:tc>
        <w:tc>
          <w:tcPr>
            <w:tcBorders>
              <w:top w:val="single" w:sz="4"/>
              <w:left w:val="single" w:sz="4"/>
              <w:bottom w:val="single" w:sz="4"/>
            </w:tcBorders>
            <w:shd w:val="clear" w:color="auto" w:fill="FFFFFF"/>
            <w:vAlign w:val="center"/>
          </w:tcPr>
          <w:p>
            <w:pPr>
              <w:pStyle w:val="Style20"/>
              <w:keepNext w:val="0"/>
              <w:keepLines w:val="0"/>
              <w:framePr w:w="13910" w:h="2246" w:vSpace="322" w:wrap="notBeside" w:vAnchor="text" w:hAnchor="text" w:x="78" w:y="323"/>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7,605,147.55</w:t>
            </w:r>
          </w:p>
        </w:tc>
        <w:tc>
          <w:tcPr>
            <w:tcBorders>
              <w:top w:val="single" w:sz="4"/>
              <w:left w:val="single" w:sz="4"/>
              <w:bottom w:val="single" w:sz="4"/>
            </w:tcBorders>
            <w:shd w:val="clear" w:color="auto" w:fill="FFFFFF"/>
            <w:vAlign w:val="center"/>
          </w:tcPr>
          <w:p>
            <w:pPr>
              <w:pStyle w:val="Style20"/>
              <w:keepNext w:val="0"/>
              <w:keepLines w:val="0"/>
              <w:framePr w:w="13910" w:h="2246" w:vSpace="322" w:wrap="notBeside" w:vAnchor="text" w:hAnchor="text" w:x="78" w:y="323"/>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194,576,888.96</w:t>
            </w:r>
          </w:p>
        </w:tc>
        <w:tc>
          <w:tcPr>
            <w:tcBorders>
              <w:top w:val="single" w:sz="4"/>
              <w:left w:val="single" w:sz="4"/>
              <w:bottom w:val="single" w:sz="4"/>
            </w:tcBorders>
            <w:shd w:val="clear" w:color="auto" w:fill="FFFFFF"/>
            <w:vAlign w:val="center"/>
          </w:tcPr>
          <w:p>
            <w:pPr>
              <w:pStyle w:val="Style20"/>
              <w:keepNext w:val="0"/>
              <w:keepLines w:val="0"/>
              <w:framePr w:w="13910" w:h="2246" w:vSpace="322" w:wrap="notBeside" w:vAnchor="text" w:hAnchor="text" w:x="78" w:y="323"/>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0"/>
              <w:keepNext w:val="0"/>
              <w:keepLines w:val="0"/>
              <w:framePr w:w="13910" w:h="2246" w:vSpace="322" w:wrap="notBeside" w:vAnchor="text" w:hAnchor="text" w:x="78" w:y="323"/>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1,072,214.52</w:t>
            </w:r>
          </w:p>
        </w:tc>
        <w:tc>
          <w:tcPr>
            <w:tcBorders>
              <w:top w:val="single" w:sz="4"/>
              <w:left w:val="single" w:sz="4"/>
              <w:bottom w:val="single" w:sz="4"/>
            </w:tcBorders>
            <w:shd w:val="clear" w:color="auto" w:fill="FFFFFF"/>
            <w:vAlign w:val="center"/>
          </w:tcPr>
          <w:p>
            <w:pPr>
              <w:pStyle w:val="Style20"/>
              <w:keepNext w:val="0"/>
              <w:keepLines w:val="0"/>
              <w:framePr w:w="13910" w:h="2246" w:vSpace="322" w:wrap="notBeside" w:vAnchor="text" w:hAnchor="text" w:x="78" w:y="323"/>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0.55%</w:t>
            </w:r>
          </w:p>
        </w:tc>
        <w:tc>
          <w:tcPr>
            <w:tcBorders>
              <w:top w:val="single" w:sz="4"/>
              <w:left w:val="single" w:sz="4"/>
              <w:bottom w:val="single" w:sz="4"/>
              <w:right w:val="single" w:sz="4"/>
            </w:tcBorders>
            <w:shd w:val="clear" w:color="auto" w:fill="FFFFFF"/>
            <w:vAlign w:val="center"/>
          </w:tcPr>
          <w:p>
            <w:pPr>
              <w:pStyle w:val="Style20"/>
              <w:keepNext w:val="0"/>
              <w:keepLines w:val="0"/>
              <w:framePr w:w="13910" w:h="2246" w:vSpace="322" w:wrap="notBeside" w:vAnchor="text" w:hAnchor="text" w:x="78" w:y="323"/>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193,504,674.44</w:t>
            </w:r>
          </w:p>
        </w:tc>
      </w:tr>
    </w:tbl>
    <w:p>
      <w:pPr>
        <w:pStyle w:val="Style26"/>
        <w:keepNext w:val="0"/>
        <w:keepLines w:val="0"/>
        <w:framePr w:w="984" w:h="259" w:hSpace="77" w:wrap="notBeside" w:vAnchor="text" w:hAnchor="text" w:x="12990" w:y="1"/>
        <w:widowControl w:val="0"/>
        <w:shd w:val="clear" w:color="auto" w:fill="auto"/>
        <w:bidi w:val="0"/>
        <w:spacing w:before="0" w:after="0" w:line="240" w:lineRule="auto"/>
        <w:ind w:left="0" w:right="0" w:firstLine="0"/>
        <w:jc w:val="left"/>
      </w:pPr>
      <w:r>
        <w:rPr>
          <w:color w:val="000000"/>
          <w:spacing w:val="0"/>
          <w:w w:val="100"/>
          <w:position w:val="0"/>
        </w:rPr>
        <w:t>单位：元</w:t>
      </w:r>
    </w:p>
    <w:p>
      <w:pPr>
        <w:pStyle w:val="Style26"/>
        <w:keepNext w:val="0"/>
        <w:keepLines w:val="0"/>
        <w:framePr w:w="1651" w:h="730" w:hSpace="77" w:wrap="notBeside" w:vAnchor="text" w:hAnchor="text" w:x="12318" w:y="2574"/>
        <w:widowControl w:val="0"/>
        <w:shd w:val="clear" w:color="auto" w:fill="auto"/>
        <w:bidi w:val="0"/>
        <w:spacing w:before="0" w:after="0" w:line="355" w:lineRule="exact"/>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 xml:space="preserve">不适用 </w:t>
      </w: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widowControl w:val="0"/>
        <w:spacing w:line="1" w:lineRule="exact"/>
      </w:pPr>
    </w:p>
    <w:p>
      <w:pPr>
        <w:pStyle w:val="Style26"/>
        <w:keepNext w:val="0"/>
        <w:keepLines w:val="0"/>
        <w:widowControl w:val="0"/>
        <w:shd w:val="clear" w:color="auto" w:fill="auto"/>
        <w:bidi w:val="0"/>
        <w:spacing w:before="0" w:after="0" w:line="240" w:lineRule="auto"/>
        <w:ind w:left="12912" w:right="0" w:firstLine="0"/>
        <w:jc w:val="left"/>
      </w:pPr>
      <w:r>
        <w:rPr>
          <w:color w:val="000000"/>
          <w:spacing w:val="0"/>
          <w:w w:val="100"/>
          <w:position w:val="0"/>
        </w:rPr>
        <w:t>单位： 元</w:t>
      </w:r>
    </w:p>
    <w:tbl>
      <w:tblPr>
        <w:tblOverlap w:val="never"/>
        <w:jc w:val="center"/>
        <w:tblLayout w:type="fixed"/>
      </w:tblPr>
      <w:tblGrid>
        <w:gridCol w:w="2842"/>
        <w:gridCol w:w="3686"/>
        <w:gridCol w:w="3686"/>
        <w:gridCol w:w="3696"/>
      </w:tblGrid>
      <w:tr>
        <w:trPr>
          <w:trHeight w:val="326"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22" w:hRule="exact"/>
        </w:trPr>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年以内分项</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个月以内（含</w:t>
            </w:r>
            <w:r>
              <w:rPr>
                <w:rFonts w:ascii="Times New Roman" w:eastAsia="Times New Roman" w:hAnsi="Times New Roman" w:cs="Times New Roman"/>
                <w:color w:val="000000"/>
                <w:spacing w:val="0"/>
                <w:w w:val="100"/>
                <w:position w:val="0"/>
              </w:rPr>
              <w:t>3</w:t>
            </w:r>
            <w:r>
              <w:rPr>
                <w:color w:val="000000"/>
                <w:spacing w:val="0"/>
                <w:w w:val="100"/>
                <w:position w:val="0"/>
              </w:rPr>
              <w:t>个月）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540" w:right="0" w:firstLine="0"/>
              <w:jc w:val="left"/>
            </w:pPr>
            <w:r>
              <w:rPr>
                <w:rFonts w:ascii="Times New Roman" w:eastAsia="Times New Roman" w:hAnsi="Times New Roman" w:cs="Times New Roman"/>
                <w:color w:val="000000"/>
                <w:spacing w:val="0"/>
                <w:w w:val="100"/>
                <w:position w:val="0"/>
              </w:rPr>
              <w:t>2,960,695.99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个月至</w:t>
            </w:r>
            <w:r>
              <w:rPr>
                <w:rFonts w:ascii="Times New Roman" w:eastAsia="Times New Roman" w:hAnsi="Times New Roman" w:cs="Times New Roman"/>
                <w:color w:val="000000"/>
                <w:spacing w:val="0"/>
                <w:w w:val="100"/>
                <w:position w:val="0"/>
              </w:rPr>
              <w:t>6</w:t>
            </w:r>
            <w:r>
              <w:rPr>
                <w:color w:val="000000"/>
                <w:spacing w:val="0"/>
                <w:w w:val="100"/>
                <w:position w:val="0"/>
              </w:rPr>
              <w:t>个月（含</w:t>
            </w:r>
            <w:r>
              <w:rPr>
                <w:rFonts w:ascii="Times New Roman" w:eastAsia="Times New Roman" w:hAnsi="Times New Roman" w:cs="Times New Roman"/>
                <w:color w:val="000000"/>
                <w:spacing w:val="0"/>
                <w:w w:val="100"/>
                <w:position w:val="0"/>
              </w:rPr>
              <w:t>6</w:t>
            </w:r>
            <w:r>
              <w:rPr>
                <w:color w:val="000000"/>
                <w:spacing w:val="0"/>
                <w:w w:val="100"/>
                <w:position w:val="0"/>
              </w:rPr>
              <w:t>个月）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540" w:right="0" w:firstLine="0"/>
              <w:jc w:val="left"/>
            </w:pPr>
            <w:r>
              <w:rPr>
                <w:rFonts w:ascii="Times New Roman" w:eastAsia="Times New Roman" w:hAnsi="Times New Roman" w:cs="Times New Roman"/>
                <w:color w:val="000000"/>
                <w:spacing w:val="0"/>
                <w:w w:val="100"/>
                <w:position w:val="0"/>
              </w:rPr>
              <w:t>3,893,394.78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194,669.74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个月至</w:t>
            </w:r>
            <w:r>
              <w:rPr>
                <w:rFonts w:ascii="Times New Roman" w:eastAsia="Times New Roman" w:hAnsi="Times New Roman" w:cs="Times New Roman"/>
                <w:color w:val="000000"/>
                <w:spacing w:val="0"/>
                <w:w w:val="100"/>
                <w:position w:val="0"/>
              </w:rPr>
              <w:t>1</w:t>
            </w:r>
            <w:r>
              <w:rPr>
                <w:color w:val="000000"/>
                <w:spacing w:val="0"/>
                <w:w w:val="100"/>
                <w:position w:val="0"/>
              </w:rPr>
              <w:t>年（含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540" w:right="0" w:firstLine="0"/>
              <w:jc w:val="left"/>
            </w:pPr>
            <w:r>
              <w:rPr>
                <w:rFonts w:ascii="Times New Roman" w:eastAsia="Times New Roman" w:hAnsi="Times New Roman" w:cs="Times New Roman"/>
                <w:color w:val="000000"/>
                <w:spacing w:val="0"/>
                <w:w w:val="100"/>
                <w:position w:val="0"/>
              </w:rPr>
              <w:t>1,891,453.05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945,726.53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3.24%</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11,711.60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11,711.60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540" w:right="0" w:firstLine="0"/>
              <w:jc w:val="left"/>
            </w:pPr>
            <w:r>
              <w:rPr>
                <w:rFonts w:ascii="Times New Roman" w:eastAsia="Times New Roman" w:hAnsi="Times New Roman" w:cs="Times New Roman"/>
                <w:color w:val="000000"/>
                <w:spacing w:val="0"/>
                <w:w w:val="100"/>
                <w:position w:val="0"/>
              </w:rPr>
              <w:t>8,757,255.42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1,152,107.87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w:t>
            </w:r>
          </w:p>
        </w:tc>
      </w:tr>
    </w:tbl>
    <w:p>
      <w:pPr>
        <w:pStyle w:val="Style33"/>
        <w:keepNext w:val="0"/>
        <w:keepLines w:val="0"/>
        <w:widowControl w:val="0"/>
        <w:shd w:val="clear" w:color="auto" w:fill="auto"/>
        <w:bidi w:val="0"/>
        <w:spacing w:before="0" w:after="360" w:line="355" w:lineRule="exact"/>
        <w:ind w:left="420" w:right="0" w:firstLine="0"/>
        <w:jc w:val="left"/>
      </w:pPr>
      <w:r>
        <mc:AlternateContent>
          <mc:Choice Requires="wps">
            <w:drawing>
              <wp:anchor distT="0" distB="0" distL="114300" distR="114300" simplePos="0" relativeHeight="125829440" behindDoc="0" locked="0" layoutInCell="1" allowOverlap="1">
                <wp:simplePos x="0" y="0"/>
                <wp:positionH relativeFrom="page">
                  <wp:posOffset>8860790</wp:posOffset>
                </wp:positionH>
                <wp:positionV relativeFrom="paragraph">
                  <wp:posOffset>292100</wp:posOffset>
                </wp:positionV>
                <wp:extent cx="899160" cy="189230"/>
                <wp:wrapSquare wrapText="left"/>
                <wp:docPr id="204" name="Shape 204"/>
                <a:graphic xmlns:a="http://schemas.openxmlformats.org/drawingml/2006/main">
                  <a:graphicData uri="http://schemas.microsoft.com/office/word/2010/wordprocessingShape">
                    <wps:wsp>
                      <wps:cNvSpPr txBox="1"/>
                      <wps:spPr>
                        <a:xfrm>
                          <a:ext cx="899160" cy="18923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txbxContent>
                      </wps:txbx>
                      <wps:bodyPr wrap="none" lIns="0" tIns="0" rIns="0" bIns="0">
                        <a:noAutoFit/>
                      </wps:bodyPr>
                    </wps:wsp>
                  </a:graphicData>
                </a:graphic>
              </wp:anchor>
            </w:drawing>
          </mc:Choice>
          <mc:Fallback>
            <w:pict>
              <v:shape id="_x0000_s1230" type="#_x0000_t202" style="position:absolute;margin-left:697.70000000000005pt;margin-top:23.pt;width:70.799999999999997pt;height:14.9pt;z-index:-125829313;mso-wrap-distance-left:9.pt;mso-wrap-distance-right:9.pt;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txbxContent>
                </v:textbox>
                <w10:wrap type="square" side="left" anchorx="page"/>
              </v:shape>
            </w:pict>
          </mc:Fallback>
        </mc:AlternateContent>
      </w:r>
      <w:r>
        <w:rPr>
          <w:color w:val="000000"/>
          <w:spacing w:val="0"/>
          <w:w w:val="100"/>
          <w:position w:val="0"/>
        </w:rPr>
        <w:t>确定该组合依据的说明：详见附注五、（十一）应收款项坏账准备 组合中，采用余额百分比法计提坏账准备的应收账款：</w:t>
      </w:r>
      <w:r>
        <w:br w:type="page"/>
      </w:r>
    </w:p>
    <w:p>
      <w:pPr>
        <w:pStyle w:val="Style26"/>
        <w:keepNext w:val="0"/>
        <w:keepLines w:val="0"/>
        <w:widowControl w:val="0"/>
        <w:shd w:val="clear" w:color="auto" w:fill="auto"/>
        <w:bidi w:val="0"/>
        <w:spacing w:before="0" w:after="0" w:line="240" w:lineRule="auto"/>
        <w:ind w:left="0" w:right="0" w:firstLine="0"/>
        <w:jc w:val="left"/>
      </w:pPr>
      <w:bookmarkStart w:id="1605" w:name="bookmark1605"/>
      <w:r>
        <w:rPr>
          <w:b/>
          <w:bCs/>
          <w:color w:val="000000"/>
          <w:spacing w:val="0"/>
          <w:w w:val="100"/>
          <w:position w:val="0"/>
        </w:rPr>
        <w:t>（</w:t>
      </w:r>
      <w:r>
        <w:rPr>
          <w:rFonts w:ascii="Times New Roman" w:eastAsia="Times New Roman" w:hAnsi="Times New Roman" w:cs="Times New Roman"/>
          <w:b/>
          <w:bCs/>
          <w:color w:val="000000"/>
          <w:spacing w:val="0"/>
          <w:w w:val="100"/>
          <w:position w:val="0"/>
        </w:rPr>
        <w:t>2</w:t>
      </w:r>
      <w:r>
        <w:rPr>
          <w:b/>
          <w:bCs/>
          <w:color w:val="000000"/>
          <w:spacing w:val="0"/>
          <w:w w:val="100"/>
          <w:position w:val="0"/>
        </w:rPr>
        <w:t>）本期计提坏账准备情况</w:t>
      </w:r>
      <w:bookmarkEnd w:id="1605"/>
    </w:p>
    <w:tbl>
      <w:tblPr>
        <w:tblOverlap w:val="never"/>
        <w:jc w:val="center"/>
        <w:tblLayout w:type="fixed"/>
      </w:tblPr>
      <w:tblGrid>
        <w:gridCol w:w="5962"/>
        <w:gridCol w:w="4042"/>
        <w:gridCol w:w="4046"/>
      </w:tblGrid>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w:t>
            </w:r>
            <w:r>
              <w:rPr>
                <w:color w:val="000000"/>
                <w:spacing w:val="0"/>
                <w:w w:val="100"/>
                <w:position w:val="0"/>
              </w:rPr>
              <w:t>年度</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计提坏账准备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1,188,445.52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-38,199.08</w:t>
            </w:r>
          </w:p>
        </w:tc>
      </w:tr>
      <w:tr>
        <w:trPr>
          <w:trHeight w:val="35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划转至子公司华声实业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1,108,552.17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101" w:right="0" w:firstLine="0"/>
        <w:jc w:val="left"/>
      </w:pPr>
      <w:bookmarkStart w:id="1606" w:name="bookmark1606"/>
      <w:r>
        <w:rPr>
          <w:b/>
          <w:bCs/>
          <w:color w:val="000000"/>
          <w:spacing w:val="0"/>
          <w:w w:val="100"/>
          <w:position w:val="0"/>
        </w:rPr>
        <w:t>（</w:t>
      </w:r>
      <w:r>
        <w:rPr>
          <w:rFonts w:ascii="Times New Roman" w:eastAsia="Times New Roman" w:hAnsi="Times New Roman" w:cs="Times New Roman"/>
          <w:b/>
          <w:bCs/>
          <w:color w:val="000000"/>
          <w:spacing w:val="0"/>
          <w:w w:val="100"/>
          <w:position w:val="0"/>
        </w:rPr>
        <w:t>3</w:t>
      </w:r>
      <w:r>
        <w:rPr>
          <w:b/>
          <w:bCs/>
          <w:color w:val="000000"/>
          <w:spacing w:val="0"/>
          <w:w w:val="100"/>
          <w:position w:val="0"/>
        </w:rPr>
        <w:t>）本期无实际核销的应收账款。</w:t>
      </w:r>
      <w:bookmarkEnd w:id="1606"/>
    </w:p>
    <w:p>
      <w:pPr>
        <w:widowControl w:val="0"/>
        <w:spacing w:after="33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110" w:right="0" w:firstLine="0"/>
        <w:jc w:val="left"/>
      </w:pPr>
      <w:bookmarkStart w:id="1607" w:name="bookmark1607"/>
      <w:r>
        <w:rPr>
          <w:b/>
          <w:bCs/>
          <w:color w:val="000000"/>
          <w:spacing w:val="0"/>
          <w:w w:val="100"/>
          <w:position w:val="0"/>
        </w:rPr>
        <w:t>（</w:t>
      </w:r>
      <w:r>
        <w:rPr>
          <w:rFonts w:ascii="Times New Roman" w:eastAsia="Times New Roman" w:hAnsi="Times New Roman" w:cs="Times New Roman"/>
          <w:b/>
          <w:bCs/>
          <w:color w:val="000000"/>
          <w:spacing w:val="0"/>
          <w:w w:val="100"/>
          <w:position w:val="0"/>
        </w:rPr>
        <w:t>4</w:t>
      </w:r>
      <w:r>
        <w:rPr>
          <w:b/>
          <w:bCs/>
          <w:color w:val="000000"/>
          <w:spacing w:val="0"/>
          <w:w w:val="100"/>
          <w:position w:val="0"/>
        </w:rPr>
        <w:t>）按欠款方归集的期末余额前五名的应收账款情况</w:t>
      </w:r>
      <w:bookmarkEnd w:id="1607"/>
    </w:p>
    <w:tbl>
      <w:tblPr>
        <w:tblOverlap w:val="never"/>
        <w:jc w:val="center"/>
        <w:tblLayout w:type="fixed"/>
      </w:tblPr>
      <w:tblGrid>
        <w:gridCol w:w="3158"/>
        <w:gridCol w:w="2846"/>
        <w:gridCol w:w="2410"/>
        <w:gridCol w:w="3374"/>
        <w:gridCol w:w="2208"/>
      </w:tblGrid>
      <w:tr>
        <w:trPr>
          <w:trHeight w:val="346"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4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占应收账款合计数的比例（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3,820,775.64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3,900,469.17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780" w:right="0" w:firstLine="0"/>
              <w:jc w:val="left"/>
            </w:pPr>
            <w:r>
              <w:rPr>
                <w:rFonts w:ascii="Times New Roman" w:eastAsia="Times New Roman" w:hAnsi="Times New Roman" w:cs="Times New Roman"/>
                <w:color w:val="000000"/>
                <w:spacing w:val="0"/>
                <w:w w:val="100"/>
                <w:position w:val="0"/>
              </w:rPr>
              <w:t>44.54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79,693.53</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2,487,137.54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3,382,692.85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780" w:right="0" w:firstLine="0"/>
              <w:jc w:val="left"/>
            </w:pPr>
            <w:r>
              <w:rPr>
                <w:rFonts w:ascii="Times New Roman" w:eastAsia="Times New Roman" w:hAnsi="Times New Roman" w:cs="Times New Roman"/>
                <w:color w:val="000000"/>
                <w:spacing w:val="0"/>
                <w:w w:val="100"/>
                <w:position w:val="0"/>
              </w:rPr>
              <w:t>38.63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895,555.31</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1,233,291.25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1,376,230.62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780" w:right="0" w:firstLine="0"/>
              <w:jc w:val="left"/>
            </w:pPr>
            <w:r>
              <w:rPr>
                <w:rFonts w:ascii="Times New Roman" w:eastAsia="Times New Roman" w:hAnsi="Times New Roman" w:cs="Times New Roman"/>
                <w:color w:val="000000"/>
                <w:spacing w:val="0"/>
                <w:w w:val="100"/>
                <w:position w:val="0"/>
              </w:rPr>
              <w:t>15.72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142,939.37</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15,328.37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30,656.75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15,328.38</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24,515.36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25,805.64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1,290.28</w:t>
            </w:r>
          </w:p>
        </w:tc>
      </w:tr>
      <w:tr>
        <w:trPr>
          <w:trHeight w:val="33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7,581,048.16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8,715,855.03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780" w:right="0" w:firstLine="0"/>
              <w:jc w:val="left"/>
            </w:pPr>
            <w:r>
              <w:rPr>
                <w:rFonts w:ascii="Times New Roman" w:eastAsia="Times New Roman" w:hAnsi="Times New Roman" w:cs="Times New Roman"/>
                <w:color w:val="000000"/>
                <w:spacing w:val="0"/>
                <w:w w:val="100"/>
                <w:position w:val="0"/>
              </w:rPr>
              <w:t>99.53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1,134,806.87</w:t>
            </w:r>
          </w:p>
        </w:tc>
      </w:tr>
    </w:tbl>
    <w:p>
      <w:pPr>
        <w:pStyle w:val="Style26"/>
        <w:keepNext w:val="0"/>
        <w:keepLines w:val="0"/>
        <w:widowControl w:val="0"/>
        <w:shd w:val="clear" w:color="auto" w:fill="auto"/>
        <w:bidi w:val="0"/>
        <w:spacing w:before="0" w:after="0" w:line="240" w:lineRule="auto"/>
        <w:ind w:left="110" w:right="0" w:firstLine="0"/>
        <w:jc w:val="left"/>
      </w:pPr>
      <w:bookmarkStart w:id="1608" w:name="bookmark1608"/>
      <w:r>
        <w:rPr>
          <w:b/>
          <w:bCs/>
          <w:color w:val="000000"/>
          <w:spacing w:val="0"/>
          <w:w w:val="100"/>
          <w:position w:val="0"/>
        </w:rPr>
        <w:t>（</w:t>
      </w:r>
      <w:r>
        <w:rPr>
          <w:rFonts w:ascii="Times New Roman" w:eastAsia="Times New Roman" w:hAnsi="Times New Roman" w:cs="Times New Roman"/>
          <w:b/>
          <w:bCs/>
          <w:color w:val="000000"/>
          <w:spacing w:val="0"/>
          <w:w w:val="100"/>
          <w:position w:val="0"/>
        </w:rPr>
        <w:t>5</w:t>
      </w:r>
      <w:r>
        <w:rPr>
          <w:b/>
          <w:bCs/>
          <w:color w:val="000000"/>
          <w:spacing w:val="0"/>
          <w:w w:val="100"/>
          <w:position w:val="0"/>
        </w:rPr>
        <w:t>）本期无因金融资产转移而终止确认的应收款项。</w:t>
      </w:r>
      <w:bookmarkEnd w:id="1608"/>
    </w:p>
    <w:p>
      <w:pPr>
        <w:widowControl w:val="0"/>
        <w:spacing w:after="339" w:line="1" w:lineRule="exact"/>
      </w:pPr>
    </w:p>
    <w:p>
      <w:pPr>
        <w:pStyle w:val="Style47"/>
        <w:keepNext/>
        <w:keepLines/>
        <w:widowControl w:val="0"/>
        <w:shd w:val="clear" w:color="auto" w:fill="auto"/>
        <w:bidi w:val="0"/>
        <w:spacing w:before="0" w:after="340" w:line="240" w:lineRule="auto"/>
        <w:ind w:left="0" w:right="0" w:firstLine="0"/>
        <w:jc w:val="left"/>
      </w:pPr>
      <w:bookmarkStart w:id="1609" w:name="bookmark1609"/>
      <w:bookmarkStart w:id="1610" w:name="bookmark1610"/>
      <w:bookmarkStart w:id="1611" w:name="bookmark1611"/>
      <w:bookmarkStart w:id="1612" w:name="bookmark1612"/>
      <w:r>
        <w:rPr>
          <w:color w:val="000000"/>
          <w:spacing w:val="0"/>
          <w:w w:val="100"/>
          <w:position w:val="0"/>
        </w:rPr>
        <w:t>（</w:t>
      </w:r>
      <w:bookmarkEnd w:id="1611"/>
      <w:r>
        <w:rPr>
          <w:rFonts w:ascii="Times New Roman" w:eastAsia="Times New Roman" w:hAnsi="Times New Roman" w:cs="Times New Roman"/>
          <w:color w:val="000000"/>
          <w:spacing w:val="0"/>
          <w:w w:val="100"/>
          <w:position w:val="0"/>
        </w:rPr>
        <w:t>6</w:t>
      </w:r>
      <w:r>
        <w:rPr>
          <w:color w:val="000000"/>
          <w:spacing w:val="0"/>
          <w:w w:val="100"/>
          <w:position w:val="0"/>
        </w:rPr>
        <w:t>）本期无转移应收账款且继续涉入形成的资产、负债金额。</w:t>
      </w:r>
      <w:bookmarkEnd w:id="1609"/>
      <w:bookmarkEnd w:id="1610"/>
      <w:bookmarkEnd w:id="1612"/>
    </w:p>
    <w:p>
      <w:pPr>
        <w:pStyle w:val="Style30"/>
        <w:keepNext/>
        <w:keepLines/>
        <w:widowControl w:val="0"/>
        <w:shd w:val="clear" w:color="auto" w:fill="auto"/>
        <w:bidi w:val="0"/>
        <w:spacing w:before="0" w:after="340" w:line="240" w:lineRule="auto"/>
        <w:ind w:left="0" w:right="0" w:firstLine="0"/>
        <w:jc w:val="left"/>
      </w:pPr>
      <w:bookmarkStart w:id="1613" w:name="bookmark1613"/>
      <w:bookmarkStart w:id="1614" w:name="bookmark1614"/>
      <w:bookmarkStart w:id="1615" w:name="bookmark1615"/>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613"/>
      <w:bookmarkEnd w:id="1614"/>
      <w:bookmarkEnd w:id="1615"/>
    </w:p>
    <w:p>
      <w:pPr>
        <w:pStyle w:val="Style47"/>
        <w:keepNext/>
        <w:keepLines/>
        <w:widowControl w:val="0"/>
        <w:shd w:val="clear" w:color="auto" w:fill="auto"/>
        <w:bidi w:val="0"/>
        <w:spacing w:before="0" w:after="340" w:line="240" w:lineRule="auto"/>
        <w:ind w:left="0" w:right="0" w:firstLine="0"/>
        <w:jc w:val="left"/>
      </w:pPr>
      <w:bookmarkStart w:id="1616" w:name="bookmark1616"/>
      <w:bookmarkStart w:id="1617" w:name="bookmark1617"/>
      <w:bookmarkStart w:id="1618" w:name="bookmark161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616"/>
      <w:bookmarkEnd w:id="1617"/>
      <w:bookmarkEnd w:id="1618"/>
    </w:p>
    <w:p>
      <w:pPr>
        <w:pStyle w:val="Style26"/>
        <w:keepNext w:val="0"/>
        <w:keepLines w:val="0"/>
        <w:widowControl w:val="0"/>
        <w:shd w:val="clear" w:color="auto" w:fill="auto"/>
        <w:bidi w:val="0"/>
        <w:spacing w:before="0" w:after="0" w:line="240" w:lineRule="auto"/>
        <w:ind w:left="12912" w:right="0" w:firstLine="0"/>
        <w:jc w:val="left"/>
      </w:pPr>
      <w:r>
        <w:rPr>
          <w:color w:val="000000"/>
          <w:spacing w:val="0"/>
          <w:w w:val="100"/>
          <w:position w:val="0"/>
        </w:rPr>
        <w:t>单位：元</w:t>
      </w:r>
    </w:p>
    <w:tbl>
      <w:tblPr>
        <w:tblOverlap w:val="never"/>
        <w:jc w:val="center"/>
        <w:tblLayout w:type="fixed"/>
      </w:tblPr>
      <w:tblGrid>
        <w:gridCol w:w="2419"/>
        <w:gridCol w:w="2266"/>
        <w:gridCol w:w="1843"/>
        <w:gridCol w:w="1560"/>
        <w:gridCol w:w="2410"/>
        <w:gridCol w:w="2126"/>
        <w:gridCol w:w="1426"/>
      </w:tblGrid>
      <w:tr>
        <w:trPr>
          <w:trHeight w:val="326"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31"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r>
    </w:tbl>
    <w:p>
      <w:pPr>
        <w:widowControl w:val="0"/>
        <w:spacing w:line="1" w:lineRule="exact"/>
      </w:pPr>
      <w:r>
        <w:br w:type="page"/>
      </w:r>
    </w:p>
    <w:tbl>
      <w:tblPr>
        <w:tblOverlap w:val="never"/>
        <w:jc w:val="left"/>
        <w:tblLayout w:type="fixed"/>
      </w:tblPr>
      <w:tblGrid>
        <w:gridCol w:w="2419"/>
        <w:gridCol w:w="1560"/>
        <w:gridCol w:w="706"/>
        <w:gridCol w:w="994"/>
        <w:gridCol w:w="850"/>
        <w:gridCol w:w="1560"/>
        <w:gridCol w:w="1416"/>
        <w:gridCol w:w="994"/>
        <w:gridCol w:w="1133"/>
        <w:gridCol w:w="994"/>
        <w:gridCol w:w="1426"/>
      </w:tblGrid>
      <w:tr>
        <w:trPr>
          <w:trHeight w:val="667" w:hRule="exact"/>
        </w:trPr>
        <w:tc>
          <w:tcPr>
            <w:tcBorders>
              <w:top w:val="single" w:sz="4"/>
              <w:left w:val="single" w:sz="4"/>
            </w:tcBorders>
            <w:shd w:val="clear" w:color="auto" w:fill="D3D3D3"/>
            <w:vAlign w:val="top"/>
          </w:tcPr>
          <w:p>
            <w:pPr>
              <w:framePr w:w="14050" w:h="1632" w:vSpace="346" w:wrap="notBeside" w:vAnchor="text" w:hAnchor="text" w:x="8" w:y="1"/>
              <w:widowControl w:val="0"/>
              <w:rPr>
                <w:sz w:val="10"/>
                <w:szCs w:val="10"/>
              </w:rPr>
            </w:pPr>
          </w:p>
        </w:tc>
        <w:tc>
          <w:tcPr>
            <w:tcBorders>
              <w:top w:val="single" w:sz="4"/>
              <w:left w:val="single" w:sz="4"/>
            </w:tcBorders>
            <w:shd w:val="clear" w:color="auto" w:fill="D3D3D3"/>
            <w:vAlign w:val="center"/>
          </w:tcPr>
          <w:p>
            <w:pPr>
              <w:pStyle w:val="Style20"/>
              <w:keepNext w:val="0"/>
              <w:keepLines w:val="0"/>
              <w:framePr w:w="14050" w:h="1632" w:vSpace="346" w:wrap="notBeside" w:vAnchor="text" w:hAnchor="text" w:x="8" w:y="1"/>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framePr w:w="14050" w:h="1632" w:vSpace="346" w:wrap="notBeside" w:vAnchor="text" w:hAnchor="text" w:x="8" w:y="1"/>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0"/>
              <w:keepNext w:val="0"/>
              <w:keepLines w:val="0"/>
              <w:framePr w:w="14050" w:h="1632" w:vSpace="346" w:wrap="notBeside" w:vAnchor="text" w:hAnchor="text" w:x="8" w:y="1"/>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framePr w:w="14050" w:h="1632" w:vSpace="346" w:wrap="notBeside" w:vAnchor="text" w:hAnchor="text" w:x="8" w:y="1"/>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tcBorders>
              <w:top w:val="single" w:sz="4"/>
              <w:left w:val="single" w:sz="4"/>
            </w:tcBorders>
            <w:shd w:val="clear" w:color="auto" w:fill="D3D3D3"/>
            <w:vAlign w:val="top"/>
          </w:tcPr>
          <w:p>
            <w:pPr>
              <w:framePr w:w="14050" w:h="1632" w:vSpace="346" w:wrap="notBeside" w:vAnchor="text" w:hAnchor="text" w:x="8" w:y="1"/>
              <w:widowControl w:val="0"/>
              <w:rPr>
                <w:sz w:val="10"/>
                <w:szCs w:val="10"/>
              </w:rPr>
            </w:pPr>
          </w:p>
        </w:tc>
        <w:tc>
          <w:tcPr>
            <w:tcBorders>
              <w:top w:val="single" w:sz="4"/>
              <w:left w:val="single" w:sz="4"/>
            </w:tcBorders>
            <w:shd w:val="clear" w:color="auto" w:fill="D3D3D3"/>
            <w:vAlign w:val="center"/>
          </w:tcPr>
          <w:p>
            <w:pPr>
              <w:pStyle w:val="Style20"/>
              <w:keepNext w:val="0"/>
              <w:keepLines w:val="0"/>
              <w:framePr w:w="14050" w:h="1632" w:vSpace="346" w:wrap="notBeside" w:vAnchor="text" w:hAnchor="text" w:x="8" w:y="1"/>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framePr w:w="14050" w:h="1632" w:vSpace="346" w:wrap="notBeside" w:vAnchor="text" w:hAnchor="text" w:x="8" w:y="1"/>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0"/>
              <w:keepNext w:val="0"/>
              <w:keepLines w:val="0"/>
              <w:framePr w:w="14050" w:h="1632" w:vSpace="346" w:wrap="notBeside" w:vAnchor="text" w:hAnchor="text" w:x="8" w:y="1"/>
              <w:widowControl w:val="0"/>
              <w:shd w:val="clear" w:color="auto" w:fill="auto"/>
              <w:bidi w:val="0"/>
              <w:spacing w:before="0" w:after="0" w:line="240" w:lineRule="auto"/>
              <w:ind w:left="0" w:right="0" w:firstLine="360"/>
              <w:jc w:val="left"/>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framePr w:w="14050" w:h="1632" w:vSpace="346" w:wrap="notBeside" w:vAnchor="text" w:hAnchor="text" w:x="8" w:y="1"/>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tcBorders>
              <w:top w:val="single" w:sz="4"/>
              <w:left w:val="single" w:sz="4"/>
              <w:right w:val="single" w:sz="4"/>
            </w:tcBorders>
            <w:shd w:val="clear" w:color="auto" w:fill="D3D3D3"/>
            <w:vAlign w:val="top"/>
          </w:tcPr>
          <w:p>
            <w:pPr>
              <w:framePr w:w="14050" w:h="1632" w:vSpace="346" w:wrap="notBeside" w:vAnchor="text" w:hAnchor="text" w:x="8" w:y="1"/>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20"/>
              <w:keepNext w:val="0"/>
              <w:keepLines w:val="0"/>
              <w:framePr w:w="14050" w:h="1632" w:vSpace="346" w:wrap="notBeside" w:vAnchor="text" w:hAnchor="text" w:x="8" w:y="1"/>
              <w:widowControl w:val="0"/>
              <w:shd w:val="clear" w:color="auto" w:fill="auto"/>
              <w:bidi w:val="0"/>
              <w:spacing w:before="0" w:after="0" w:line="307" w:lineRule="exact"/>
              <w:ind w:left="0" w:right="0" w:firstLine="0"/>
              <w:jc w:val="left"/>
            </w:pPr>
            <w:r>
              <w:rPr>
                <w:color w:val="000000"/>
                <w:spacing w:val="0"/>
                <w:w w:val="100"/>
                <w:position w:val="0"/>
              </w:rPr>
              <w:t>按信用风险特征组合计提 坏账准备的其他应收款</w:t>
            </w:r>
          </w:p>
        </w:tc>
        <w:tc>
          <w:tcPr>
            <w:tcBorders>
              <w:top w:val="single" w:sz="4"/>
              <w:left w:val="single" w:sz="4"/>
            </w:tcBorders>
            <w:shd w:val="clear" w:color="auto" w:fill="FFFFFF"/>
            <w:vAlign w:val="center"/>
          </w:tcPr>
          <w:p>
            <w:pPr>
              <w:pStyle w:val="Style20"/>
              <w:keepNext w:val="0"/>
              <w:keepLines w:val="0"/>
              <w:framePr w:w="14050" w:h="1632" w:vSpace="346" w:wrap="notBeside" w:vAnchor="text" w:hAnchor="text" w:x="8"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2,180,292,077.29</w:t>
            </w:r>
          </w:p>
        </w:tc>
        <w:tc>
          <w:tcPr>
            <w:tcBorders>
              <w:top w:val="single" w:sz="4"/>
              <w:left w:val="single" w:sz="4"/>
            </w:tcBorders>
            <w:shd w:val="clear" w:color="auto" w:fill="FFFFFF"/>
            <w:vAlign w:val="top"/>
          </w:tcPr>
          <w:p>
            <w:pPr>
              <w:framePr w:w="14050" w:h="1632" w:vSpace="346" w:wrap="notBeside" w:vAnchor="text" w:hAnchor="text" w:x="8" w:y="1"/>
              <w:widowControl w:val="0"/>
              <w:rPr>
                <w:sz w:val="10"/>
                <w:szCs w:val="10"/>
              </w:rPr>
            </w:pPr>
          </w:p>
        </w:tc>
        <w:tc>
          <w:tcPr>
            <w:tcBorders>
              <w:top w:val="single" w:sz="4"/>
              <w:left w:val="single" w:sz="4"/>
            </w:tcBorders>
            <w:shd w:val="clear" w:color="auto" w:fill="FFFFFF"/>
            <w:vAlign w:val="center"/>
          </w:tcPr>
          <w:p>
            <w:pPr>
              <w:pStyle w:val="Style20"/>
              <w:keepNext w:val="0"/>
              <w:keepLines w:val="0"/>
              <w:framePr w:w="14050" w:h="1632" w:vSpace="346" w:wrap="notBeside" w:vAnchor="text" w:hAnchor="text" w:x="8"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50,540.00</w:t>
            </w:r>
          </w:p>
        </w:tc>
        <w:tc>
          <w:tcPr>
            <w:tcBorders>
              <w:top w:val="single" w:sz="4"/>
              <w:left w:val="single" w:sz="4"/>
            </w:tcBorders>
            <w:shd w:val="clear" w:color="auto" w:fill="FFFFFF"/>
            <w:vAlign w:val="center"/>
          </w:tcPr>
          <w:p>
            <w:pPr>
              <w:pStyle w:val="Style20"/>
              <w:keepNext w:val="0"/>
              <w:keepLines w:val="0"/>
              <w:framePr w:w="14050" w:h="1632" w:vSpace="346" w:wrap="notBeside" w:vAnchor="text" w:hAnchor="text" w:x="8" w:y="1"/>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framePr w:w="14050" w:h="1632" w:vSpace="346" w:wrap="notBeside" w:vAnchor="text" w:hAnchor="text" w:x="8"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2,180,241,537.29</w:t>
            </w:r>
          </w:p>
        </w:tc>
        <w:tc>
          <w:tcPr>
            <w:tcBorders>
              <w:top w:val="single" w:sz="4"/>
              <w:left w:val="single" w:sz="4"/>
            </w:tcBorders>
            <w:shd w:val="clear" w:color="auto" w:fill="FFFFFF"/>
            <w:vAlign w:val="center"/>
          </w:tcPr>
          <w:p>
            <w:pPr>
              <w:pStyle w:val="Style20"/>
              <w:keepNext w:val="0"/>
              <w:keepLines w:val="0"/>
              <w:framePr w:w="14050" w:h="1632" w:vSpace="346" w:wrap="notBeside" w:vAnchor="text" w:hAnchor="text" w:x="8"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46,918,952.95</w:t>
            </w:r>
          </w:p>
        </w:tc>
        <w:tc>
          <w:tcPr>
            <w:tcBorders>
              <w:top w:val="single" w:sz="4"/>
              <w:left w:val="single" w:sz="4"/>
            </w:tcBorders>
            <w:shd w:val="clear" w:color="auto" w:fill="FFFFFF"/>
            <w:vAlign w:val="center"/>
          </w:tcPr>
          <w:p>
            <w:pPr>
              <w:pStyle w:val="Style20"/>
              <w:keepNext w:val="0"/>
              <w:keepLines w:val="0"/>
              <w:framePr w:w="14050" w:h="1632" w:vSpace="346" w:wrap="notBeside" w:vAnchor="text" w:hAnchor="text" w:x="8"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framePr w:w="14050" w:h="1632" w:vSpace="346" w:wrap="notBeside" w:vAnchor="text" w:hAnchor="text" w:x="8" w:y="1"/>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3,441.70</w:t>
            </w:r>
          </w:p>
        </w:tc>
        <w:tc>
          <w:tcPr>
            <w:tcBorders>
              <w:top w:val="single" w:sz="4"/>
              <w:left w:val="single" w:sz="4"/>
            </w:tcBorders>
            <w:shd w:val="clear" w:color="auto" w:fill="FFFFFF"/>
            <w:vAlign w:val="center"/>
          </w:tcPr>
          <w:p>
            <w:pPr>
              <w:pStyle w:val="Style20"/>
              <w:keepNext w:val="0"/>
              <w:keepLines w:val="0"/>
              <w:framePr w:w="14050" w:h="1632" w:vSpace="346" w:wrap="notBeside" w:vAnchor="text" w:hAnchor="text" w:x="8"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0.01%</w:t>
            </w:r>
          </w:p>
        </w:tc>
        <w:tc>
          <w:tcPr>
            <w:tcBorders>
              <w:top w:val="single" w:sz="4"/>
              <w:left w:val="single" w:sz="4"/>
              <w:right w:val="single" w:sz="4"/>
            </w:tcBorders>
            <w:shd w:val="clear" w:color="auto" w:fill="FFFFFF"/>
            <w:vAlign w:val="center"/>
          </w:tcPr>
          <w:p>
            <w:pPr>
              <w:pStyle w:val="Style20"/>
              <w:keepNext w:val="0"/>
              <w:keepLines w:val="0"/>
              <w:framePr w:w="14050" w:h="1632" w:vSpace="346" w:wrap="notBeside" w:vAnchor="text" w:hAnchor="text" w:x="8"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46,915,511.25</w:t>
            </w:r>
          </w:p>
        </w:tc>
      </w:tr>
      <w:tr>
        <w:trPr>
          <w:trHeight w:val="331" w:hRule="exact"/>
        </w:trPr>
        <w:tc>
          <w:tcPr>
            <w:tcBorders>
              <w:top w:val="single" w:sz="4"/>
              <w:left w:val="single" w:sz="4"/>
              <w:bottom w:val="single" w:sz="4"/>
            </w:tcBorders>
            <w:shd w:val="clear" w:color="auto" w:fill="D3D3D3"/>
            <w:vAlign w:val="center"/>
          </w:tcPr>
          <w:p>
            <w:pPr>
              <w:pStyle w:val="Style20"/>
              <w:keepNext w:val="0"/>
              <w:keepLines w:val="0"/>
              <w:framePr w:w="14050" w:h="1632" w:vSpace="346" w:wrap="notBeside" w:vAnchor="text" w:hAnchor="text" w:x="8" w:y="1"/>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framePr w:w="14050" w:h="1632" w:vSpace="346" w:wrap="notBeside" w:vAnchor="text" w:hAnchor="text" w:x="8"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2,180,292,077.29</w:t>
            </w:r>
          </w:p>
        </w:tc>
        <w:tc>
          <w:tcPr>
            <w:tcBorders>
              <w:top w:val="single" w:sz="4"/>
              <w:left w:val="single" w:sz="4"/>
              <w:bottom w:val="single" w:sz="4"/>
            </w:tcBorders>
            <w:shd w:val="clear" w:color="auto" w:fill="FFFFFF"/>
            <w:vAlign w:val="top"/>
          </w:tcPr>
          <w:p>
            <w:pPr>
              <w:framePr w:w="14050" w:h="1632" w:vSpace="346" w:wrap="notBeside" w:vAnchor="text" w:hAnchor="text" w:x="8" w:y="1"/>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framePr w:w="14050" w:h="1632" w:vSpace="346" w:wrap="notBeside" w:vAnchor="text" w:hAnchor="text" w:x="8"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50,540.00</w:t>
            </w:r>
          </w:p>
        </w:tc>
        <w:tc>
          <w:tcPr>
            <w:tcBorders>
              <w:top w:val="single" w:sz="4"/>
              <w:left w:val="single" w:sz="4"/>
              <w:bottom w:val="single" w:sz="4"/>
            </w:tcBorders>
            <w:shd w:val="clear" w:color="auto" w:fill="FFFFFF"/>
            <w:vAlign w:val="center"/>
          </w:tcPr>
          <w:p>
            <w:pPr>
              <w:pStyle w:val="Style20"/>
              <w:keepNext w:val="0"/>
              <w:keepLines w:val="0"/>
              <w:framePr w:w="14050" w:h="1632" w:vSpace="346" w:wrap="notBeside" w:vAnchor="text" w:hAnchor="text" w:x="8" w:y="1"/>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0"/>
              <w:keepNext w:val="0"/>
              <w:keepLines w:val="0"/>
              <w:framePr w:w="14050" w:h="1632" w:vSpace="346" w:wrap="notBeside" w:vAnchor="text" w:hAnchor="text" w:x="8"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2,180,241,537.29</w:t>
            </w:r>
          </w:p>
        </w:tc>
        <w:tc>
          <w:tcPr>
            <w:tcBorders>
              <w:top w:val="single" w:sz="4"/>
              <w:left w:val="single" w:sz="4"/>
              <w:bottom w:val="single" w:sz="4"/>
            </w:tcBorders>
            <w:shd w:val="clear" w:color="auto" w:fill="FFFFFF"/>
            <w:vAlign w:val="center"/>
          </w:tcPr>
          <w:p>
            <w:pPr>
              <w:pStyle w:val="Style20"/>
              <w:keepNext w:val="0"/>
              <w:keepLines w:val="0"/>
              <w:framePr w:w="14050" w:h="1632" w:vSpace="346" w:wrap="notBeside" w:vAnchor="text" w:hAnchor="text" w:x="8"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46,918,952.95</w:t>
            </w:r>
          </w:p>
        </w:tc>
        <w:tc>
          <w:tcPr>
            <w:tcBorders>
              <w:top w:val="single" w:sz="4"/>
              <w:left w:val="single" w:sz="4"/>
              <w:bottom w:val="single" w:sz="4"/>
            </w:tcBorders>
            <w:shd w:val="clear" w:color="auto" w:fill="FFFFFF"/>
            <w:vAlign w:val="top"/>
          </w:tcPr>
          <w:p>
            <w:pPr>
              <w:framePr w:w="14050" w:h="1632" w:vSpace="346" w:wrap="notBeside" w:vAnchor="text" w:hAnchor="text" w:x="8" w:y="1"/>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framePr w:w="14050" w:h="1632" w:vSpace="346" w:wrap="notBeside" w:vAnchor="text" w:hAnchor="text" w:x="8" w:y="1"/>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3,441.70</w:t>
            </w:r>
          </w:p>
        </w:tc>
        <w:tc>
          <w:tcPr>
            <w:tcBorders>
              <w:top w:val="single" w:sz="4"/>
              <w:left w:val="single" w:sz="4"/>
              <w:bottom w:val="single" w:sz="4"/>
            </w:tcBorders>
            <w:shd w:val="clear" w:color="auto" w:fill="FFFFFF"/>
            <w:vAlign w:val="center"/>
          </w:tcPr>
          <w:p>
            <w:pPr>
              <w:pStyle w:val="Style20"/>
              <w:keepNext w:val="0"/>
              <w:keepLines w:val="0"/>
              <w:framePr w:w="14050" w:h="1632" w:vSpace="346" w:wrap="notBeside" w:vAnchor="text" w:hAnchor="text" w:x="8"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0"/>
              <w:keepNext w:val="0"/>
              <w:keepLines w:val="0"/>
              <w:framePr w:w="14050" w:h="1632" w:vSpace="346" w:wrap="notBeside" w:vAnchor="text" w:hAnchor="text" w:x="8"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46,915,511.25</w:t>
            </w:r>
          </w:p>
        </w:tc>
      </w:tr>
    </w:tbl>
    <w:p>
      <w:pPr>
        <w:pStyle w:val="Style26"/>
        <w:keepNext w:val="0"/>
        <w:keepLines w:val="0"/>
        <w:framePr w:w="5074" w:h="264" w:hSpace="7" w:wrap="notBeside" w:vAnchor="text" w:hAnchor="text" w:x="421" w:y="1700"/>
        <w:widowControl w:val="0"/>
        <w:shd w:val="clear" w:color="auto" w:fill="auto"/>
        <w:bidi w:val="0"/>
        <w:spacing w:before="0" w:after="0" w:line="240" w:lineRule="auto"/>
        <w:ind w:left="0" w:right="0" w:firstLine="0"/>
        <w:jc w:val="left"/>
      </w:pPr>
      <w:r>
        <w:rPr>
          <w:color w:val="000000"/>
          <w:spacing w:val="0"/>
          <w:w w:val="100"/>
          <w:position w:val="0"/>
        </w:rPr>
        <w:t>期末单项金额重大并单项计提坏账准备的其他应收款:</w:t>
      </w:r>
    </w:p>
    <w:p>
      <w:pPr>
        <w:pStyle w:val="Style26"/>
        <w:keepNext w:val="0"/>
        <w:keepLines w:val="0"/>
        <w:framePr w:w="1642" w:h="298" w:hSpace="7" w:wrap="notBeside" w:vAnchor="text" w:hAnchor="text" w:x="12258" w:y="168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widowControl w:val="0"/>
        <w:spacing w:line="1" w:lineRule="exact"/>
      </w:pPr>
    </w:p>
    <w:p>
      <w:pPr>
        <w:pStyle w:val="Style33"/>
        <w:keepNext w:val="0"/>
        <w:keepLines w:val="0"/>
        <w:widowControl w:val="0"/>
        <w:shd w:val="clear" w:color="auto" w:fill="auto"/>
        <w:bidi w:val="0"/>
        <w:spacing w:before="0" w:after="100" w:line="240" w:lineRule="auto"/>
        <w:ind w:left="0" w:right="0" w:firstLine="420"/>
        <w:jc w:val="left"/>
      </w:pPr>
      <w:r>
        <mc:AlternateContent>
          <mc:Choice Requires="wps">
            <w:drawing>
              <wp:anchor distT="0" distB="0" distL="114300" distR="114300" simplePos="0" relativeHeight="125829442" behindDoc="0" locked="0" layoutInCell="1" allowOverlap="1">
                <wp:simplePos x="0" y="0"/>
                <wp:positionH relativeFrom="page">
                  <wp:posOffset>8663940</wp:posOffset>
                </wp:positionH>
                <wp:positionV relativeFrom="paragraph">
                  <wp:posOffset>12700</wp:posOffset>
                </wp:positionV>
                <wp:extent cx="1048385" cy="189230"/>
                <wp:wrapSquare wrapText="left"/>
                <wp:docPr id="206" name="Shape 206"/>
                <a:graphic xmlns:a="http://schemas.openxmlformats.org/drawingml/2006/main">
                  <a:graphicData uri="http://schemas.microsoft.com/office/word/2010/wordprocessingShape">
                    <wps:wsp>
                      <wps:cNvSpPr txBox="1"/>
                      <wps:spPr>
                        <a:xfrm>
                          <a:ext cx="1048385" cy="18923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txbxContent>
                      </wps:txbx>
                      <wps:bodyPr wrap="none" lIns="0" tIns="0" rIns="0" bIns="0">
                        <a:noAutoFit/>
                      </wps:bodyPr>
                    </wps:wsp>
                  </a:graphicData>
                </a:graphic>
              </wp:anchor>
            </w:drawing>
          </mc:Choice>
          <mc:Fallback>
            <w:pict>
              <v:shape id="_x0000_s1232" type="#_x0000_t202" style="position:absolute;margin-left:682.20000000000005pt;margin-top:1.pt;width:82.549999999999997pt;height:14.9pt;z-index:-125829311;mso-wrap-distance-left:9.pt;mso-wrap-distance-right:9.pt;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txbxContent>
                </v:textbox>
                <w10:wrap type="square" side="left" anchorx="page"/>
              </v:shape>
            </w:pict>
          </mc:Fallback>
        </mc:AlternateContent>
      </w:r>
      <w:r>
        <w:rPr>
          <w:color w:val="000000"/>
          <w:spacing w:val="0"/>
          <w:w w:val="100"/>
          <w:position w:val="0"/>
        </w:rPr>
        <w:t>组合中，按账龄分析法计提坏账准备的其他应收款:</w:t>
      </w:r>
    </w:p>
    <w:p>
      <w:pPr>
        <w:pStyle w:val="Style26"/>
        <w:keepNext w:val="0"/>
        <w:keepLines w:val="0"/>
        <w:widowControl w:val="0"/>
        <w:shd w:val="clear" w:color="auto" w:fill="auto"/>
        <w:bidi w:val="0"/>
        <w:spacing w:before="0" w:after="0" w:line="240" w:lineRule="auto"/>
        <w:ind w:left="12912" w:right="0" w:firstLine="0"/>
        <w:jc w:val="left"/>
      </w:pPr>
      <w:r>
        <w:rPr>
          <w:color w:val="000000"/>
          <w:spacing w:val="0"/>
          <w:w w:val="100"/>
          <w:position w:val="0"/>
        </w:rPr>
        <w:t>单位：元</w:t>
      </w:r>
    </w:p>
    <w:tbl>
      <w:tblPr>
        <w:tblOverlap w:val="never"/>
        <w:jc w:val="center"/>
        <w:tblLayout w:type="fixed"/>
      </w:tblPr>
      <w:tblGrid>
        <w:gridCol w:w="2558"/>
        <w:gridCol w:w="3830"/>
        <w:gridCol w:w="3826"/>
        <w:gridCol w:w="3835"/>
      </w:tblGrid>
      <w:tr>
        <w:trPr>
          <w:trHeight w:val="326"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年以内分项</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个月以内（含</w:t>
            </w:r>
            <w:r>
              <w:rPr>
                <w:rFonts w:ascii="Times New Roman" w:eastAsia="Times New Roman" w:hAnsi="Times New Roman" w:cs="Times New Roman"/>
                <w:color w:val="000000"/>
                <w:spacing w:val="0"/>
                <w:w w:val="100"/>
                <w:position w:val="0"/>
              </w:rPr>
              <w:t>3</w:t>
            </w:r>
            <w:r>
              <w:rPr>
                <w:color w:val="000000"/>
                <w:spacing w:val="0"/>
                <w:w w:val="100"/>
                <w:position w:val="0"/>
              </w:rPr>
              <w:t>个月）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2,175,477,851.34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6</w:t>
            </w:r>
            <w:r>
              <w:rPr>
                <w:color w:val="000000"/>
                <w:spacing w:val="0"/>
                <w:w w:val="100"/>
                <w:position w:val="0"/>
              </w:rPr>
              <w:t>个月（含</w:t>
            </w:r>
            <w:r>
              <w:rPr>
                <w:rFonts w:ascii="Times New Roman" w:eastAsia="Times New Roman" w:hAnsi="Times New Roman" w:cs="Times New Roman"/>
                <w:color w:val="000000"/>
                <w:spacing w:val="0"/>
                <w:w w:val="100"/>
                <w:position w:val="0"/>
              </w:rPr>
              <w:t>6</w:t>
            </w:r>
            <w:r>
              <w:rPr>
                <w:color w:val="000000"/>
                <w:spacing w:val="0"/>
                <w:w w:val="100"/>
                <w:position w:val="0"/>
              </w:rPr>
              <w:t>个月）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700" w:right="0" w:firstLine="0"/>
              <w:jc w:val="both"/>
            </w:pPr>
            <w:r>
              <w:rPr>
                <w:rFonts w:ascii="Times New Roman" w:eastAsia="Times New Roman" w:hAnsi="Times New Roman" w:cs="Times New Roman"/>
                <w:color w:val="000000"/>
                <w:spacing w:val="0"/>
                <w:w w:val="100"/>
                <w:position w:val="0"/>
              </w:rPr>
              <w:t>3,808,825.95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个月至</w:t>
            </w:r>
            <w:r>
              <w:rPr>
                <w:rFonts w:ascii="Times New Roman" w:eastAsia="Times New Roman" w:hAnsi="Times New Roman" w:cs="Times New Roman"/>
                <w:color w:val="000000"/>
                <w:spacing w:val="0"/>
                <w:w w:val="100"/>
                <w:position w:val="0"/>
              </w:rPr>
              <w:t>1</w:t>
            </w:r>
            <w:r>
              <w:rPr>
                <w:color w:val="000000"/>
                <w:spacing w:val="0"/>
                <w:w w:val="100"/>
                <w:position w:val="0"/>
              </w:rPr>
              <w:t>年（含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700" w:right="0" w:firstLine="0"/>
              <w:jc w:val="both"/>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2,180,292,077.29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960" w:right="0" w:firstLine="0"/>
              <w:jc w:val="left"/>
            </w:pPr>
            <w:r>
              <w:rPr>
                <w:rFonts w:ascii="Times New Roman" w:eastAsia="Times New Roman" w:hAnsi="Times New Roman" w:cs="Times New Roman"/>
                <w:color w:val="000000"/>
                <w:spacing w:val="0"/>
                <w:w w:val="100"/>
                <w:position w:val="0"/>
              </w:rPr>
              <w:t>50,540.00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26"/>
        <w:keepNext w:val="0"/>
        <w:keepLines w:val="0"/>
        <w:widowControl w:val="0"/>
        <w:shd w:val="clear" w:color="auto" w:fill="auto"/>
        <w:bidi w:val="0"/>
        <w:spacing w:before="0" w:after="0" w:line="240" w:lineRule="auto"/>
        <w:ind w:left="408" w:right="0" w:firstLine="0"/>
        <w:jc w:val="left"/>
      </w:pPr>
      <w:r>
        <w:rPr>
          <w:color w:val="000000"/>
          <w:spacing w:val="0"/>
          <w:w w:val="100"/>
          <w:position w:val="0"/>
        </w:rPr>
        <w:t>确定该组合依据的说明：详见附注五、（十一）应收款项坏账准备</w:t>
      </w:r>
    </w:p>
    <w:p>
      <w:pPr>
        <w:widowControl w:val="0"/>
        <w:spacing w:after="99" w:line="1" w:lineRule="exact"/>
      </w:pPr>
    </w:p>
    <w:p>
      <w:pPr>
        <w:pStyle w:val="Style33"/>
        <w:keepNext w:val="0"/>
        <w:keepLines w:val="0"/>
        <w:widowControl w:val="0"/>
        <w:shd w:val="clear" w:color="auto" w:fill="auto"/>
        <w:bidi w:val="0"/>
        <w:spacing w:before="0" w:after="100" w:line="240" w:lineRule="auto"/>
        <w:ind w:left="0" w:right="0" w:firstLine="420"/>
        <w:jc w:val="left"/>
      </w:pPr>
      <w:r>
        <mc:AlternateContent>
          <mc:Choice Requires="wps">
            <w:drawing>
              <wp:anchor distT="0" distB="215900" distL="114300" distR="114300" simplePos="0" relativeHeight="125829444" behindDoc="0" locked="0" layoutInCell="1" allowOverlap="1">
                <wp:simplePos x="0" y="0"/>
                <wp:positionH relativeFrom="page">
                  <wp:posOffset>8670290</wp:posOffset>
                </wp:positionH>
                <wp:positionV relativeFrom="paragraph">
                  <wp:posOffset>12700</wp:posOffset>
                </wp:positionV>
                <wp:extent cx="1042670" cy="189230"/>
                <wp:wrapSquare wrapText="left"/>
                <wp:docPr id="208" name="Shape 208"/>
                <a:graphic xmlns:a="http://schemas.openxmlformats.org/drawingml/2006/main">
                  <a:graphicData uri="http://schemas.microsoft.com/office/word/2010/wordprocessingShape">
                    <wps:wsp>
                      <wps:cNvSpPr txBox="1"/>
                      <wps:spPr>
                        <a:xfrm>
                          <a:ext cx="1042670" cy="18923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txbxContent>
                      </wps:txbx>
                      <wps:bodyPr wrap="none" lIns="0" tIns="0" rIns="0" bIns="0">
                        <a:noAutoFit/>
                      </wps:bodyPr>
                    </wps:wsp>
                  </a:graphicData>
                </a:graphic>
              </wp:anchor>
            </w:drawing>
          </mc:Choice>
          <mc:Fallback>
            <w:pict>
              <v:shape id="_x0000_s1234" type="#_x0000_t202" style="position:absolute;margin-left:682.70000000000005pt;margin-top:1.pt;width:82.100000000000009pt;height:14.9pt;z-index:-125829309;mso-wrap-distance-left:9.pt;mso-wrap-distance-right:9.pt;mso-wrap-distance-bottom:17.pt;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txbxContent>
                </v:textbox>
                <w10:wrap type="square" side="left" anchorx="page"/>
              </v:shape>
            </w:pict>
          </mc:Fallback>
        </mc:AlternateContent>
      </w:r>
      <w:r>
        <mc:AlternateContent>
          <mc:Choice Requires="wps">
            <w:drawing>
              <wp:anchor distT="225425" distB="0" distL="114300" distR="114300" simplePos="0" relativeHeight="125829446" behindDoc="0" locked="0" layoutInCell="1" allowOverlap="1">
                <wp:simplePos x="0" y="0"/>
                <wp:positionH relativeFrom="page">
                  <wp:posOffset>8670290</wp:posOffset>
                </wp:positionH>
                <wp:positionV relativeFrom="paragraph">
                  <wp:posOffset>238125</wp:posOffset>
                </wp:positionV>
                <wp:extent cx="1042670" cy="179705"/>
                <wp:wrapSquare wrapText="left"/>
                <wp:docPr id="210" name="Shape 210"/>
                <a:graphic xmlns:a="http://schemas.openxmlformats.org/drawingml/2006/main">
                  <a:graphicData uri="http://schemas.microsoft.com/office/word/2010/wordprocessingShape">
                    <wps:wsp>
                      <wps:cNvSpPr txBox="1"/>
                      <wps:spPr>
                        <a:xfrm>
                          <a:ext cx="1042670" cy="17970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q </w:t>
                            </w:r>
                            <w:r>
                              <w:rPr>
                                <w:color w:val="000000"/>
                                <w:spacing w:val="0"/>
                                <w:w w:val="100"/>
                                <w:position w:val="0"/>
                              </w:rPr>
                              <w:t>不适用</w:t>
                            </w:r>
                          </w:p>
                        </w:txbxContent>
                      </wps:txbx>
                      <wps:bodyPr wrap="none" lIns="0" tIns="0" rIns="0" bIns="0">
                        <a:noAutoFit/>
                      </wps:bodyPr>
                    </wps:wsp>
                  </a:graphicData>
                </a:graphic>
              </wp:anchor>
            </w:drawing>
          </mc:Choice>
          <mc:Fallback>
            <w:pict>
              <v:shape id="_x0000_s1236" type="#_x0000_t202" style="position:absolute;margin-left:682.70000000000005pt;margin-top:18.75pt;width:82.100000000000009pt;height:14.15pt;z-index:-125829307;mso-wrap-distance-left:9.pt;mso-wrap-distance-top:17.75pt;mso-wrap-distance-right:9.pt;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q </w:t>
                      </w:r>
                      <w:r>
                        <w:rPr>
                          <w:color w:val="000000"/>
                          <w:spacing w:val="0"/>
                          <w:w w:val="100"/>
                          <w:position w:val="0"/>
                        </w:rPr>
                        <w:t>不适用</w:t>
                      </w:r>
                    </w:p>
                  </w:txbxContent>
                </v:textbox>
                <w10:wrap type="square" side="left" anchorx="page"/>
              </v:shape>
            </w:pict>
          </mc:Fallback>
        </mc:AlternateContent>
      </w:r>
      <w:r>
        <w:rPr>
          <w:color w:val="000000"/>
          <w:spacing w:val="0"/>
          <w:w w:val="100"/>
          <w:position w:val="0"/>
        </w:rPr>
        <w:t>组合中，采用余额百分比法计提坏账准备的其他应收款:</w:t>
      </w:r>
    </w:p>
    <w:p>
      <w:pPr>
        <w:pStyle w:val="Style33"/>
        <w:keepNext w:val="0"/>
        <w:keepLines w:val="0"/>
        <w:widowControl w:val="0"/>
        <w:shd w:val="clear" w:color="auto" w:fill="auto"/>
        <w:bidi w:val="0"/>
        <w:spacing w:before="0" w:after="360" w:line="240" w:lineRule="auto"/>
        <w:ind w:left="0" w:right="0" w:firstLine="420"/>
        <w:jc w:val="left"/>
      </w:pPr>
      <w:r>
        <w:rPr>
          <w:color w:val="000000"/>
          <w:spacing w:val="0"/>
          <w:w w:val="100"/>
          <w:position w:val="0"/>
        </w:rPr>
        <w:t>组合中，采用其他方法计提坏账准备的其他应收款:</w:t>
      </w:r>
    </w:p>
    <w:p>
      <w:pPr>
        <w:pStyle w:val="Style26"/>
        <w:keepNext w:val="0"/>
        <w:keepLines w:val="0"/>
        <w:widowControl w:val="0"/>
        <w:shd w:val="clear" w:color="auto" w:fill="auto"/>
        <w:bidi w:val="0"/>
        <w:spacing w:before="0" w:after="0" w:line="240" w:lineRule="auto"/>
        <w:ind w:left="101" w:right="0" w:firstLine="0"/>
        <w:jc w:val="left"/>
      </w:pPr>
      <w:bookmarkStart w:id="1619" w:name="bookmark1619"/>
      <w:r>
        <w:rPr>
          <w:rFonts w:ascii="Times New Roman" w:eastAsia="Times New Roman" w:hAnsi="Times New Roman" w:cs="Times New Roman"/>
          <w:b/>
          <w:bCs/>
          <w:color w:val="000000"/>
          <w:spacing w:val="0"/>
          <w:w w:val="100"/>
          <w:position w:val="0"/>
        </w:rPr>
        <w:t>（2</w:t>
      </w:r>
      <w:r>
        <w:rPr>
          <w:b/>
          <w:bCs/>
          <w:color w:val="000000"/>
          <w:spacing w:val="0"/>
          <w:w w:val="100"/>
          <w:position w:val="0"/>
        </w:rPr>
        <w:t>）本期计提、收回或转回的坏账准备情况</w:t>
      </w:r>
      <w:bookmarkEnd w:id="1619"/>
    </w:p>
    <w:tbl>
      <w:tblPr>
        <w:tblOverlap w:val="never"/>
        <w:jc w:val="center"/>
        <w:tblLayout w:type="fixed"/>
      </w:tblPr>
      <w:tblGrid>
        <w:gridCol w:w="4685"/>
        <w:gridCol w:w="4608"/>
        <w:gridCol w:w="4618"/>
      </w:tblGrid>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w:t>
            </w:r>
            <w:r>
              <w:rPr>
                <w:color w:val="000000"/>
                <w:spacing w:val="0"/>
                <w:w w:val="100"/>
                <w:position w:val="0"/>
              </w:rPr>
              <w:t>年度</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计提坏账准备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760" w:right="0" w:firstLine="0"/>
              <w:jc w:val="left"/>
            </w:pPr>
            <w:r>
              <w:rPr>
                <w:rFonts w:ascii="Times New Roman" w:eastAsia="Times New Roman" w:hAnsi="Times New Roman" w:cs="Times New Roman"/>
                <w:color w:val="000000"/>
                <w:spacing w:val="0"/>
                <w:w w:val="100"/>
                <w:position w:val="0"/>
              </w:rPr>
              <w:t>69,829.62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934.71</w:t>
            </w:r>
          </w:p>
        </w:tc>
      </w:tr>
      <w:tr>
        <w:trPr>
          <w:trHeight w:val="35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划转至子公司华声实业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760" w:right="0" w:firstLine="0"/>
              <w:jc w:val="left"/>
            </w:pPr>
            <w:r>
              <w:rPr>
                <w:rFonts w:ascii="Times New Roman" w:eastAsia="Times New Roman" w:hAnsi="Times New Roman" w:cs="Times New Roman"/>
                <w:color w:val="000000"/>
                <w:spacing w:val="0"/>
                <w:w w:val="100"/>
                <w:position w:val="0"/>
              </w:rPr>
              <w:t>22,731.32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67"/>
          <w:footerReference w:type="default" r:id="rId68"/>
          <w:footnotePr>
            <w:pos w:val="pageBottom"/>
            <w:numFmt w:val="decimal"/>
            <w:numRestart w:val="continuous"/>
          </w:footnotePr>
          <w:pgSz w:w="16840" w:h="11900" w:orient="landscape"/>
          <w:pgMar w:top="1098" w:right="1379" w:bottom="1206" w:left="1397" w:header="0" w:footer="3" w:gutter="0"/>
          <w:cols w:space="720"/>
          <w:noEndnote/>
          <w:rtlGutter w:val="0"/>
          <w:docGrid w:linePitch="360"/>
        </w:sectPr>
      </w:pPr>
    </w:p>
    <w:p>
      <w:pPr>
        <w:pStyle w:val="Style47"/>
        <w:keepNext/>
        <w:keepLines/>
        <w:widowControl w:val="0"/>
        <w:numPr>
          <w:ilvl w:val="0"/>
          <w:numId w:val="39"/>
        </w:numPr>
        <w:shd w:val="clear" w:color="auto" w:fill="auto"/>
        <w:tabs>
          <w:tab w:pos="633" w:val="left"/>
        </w:tabs>
        <w:bidi w:val="0"/>
        <w:spacing w:before="0" w:line="240" w:lineRule="auto"/>
        <w:ind w:left="0" w:right="0" w:firstLine="140"/>
        <w:jc w:val="left"/>
      </w:pPr>
      <w:bookmarkStart w:id="1620" w:name="bookmark1620"/>
      <w:bookmarkStart w:id="1621" w:name="bookmark1621"/>
      <w:bookmarkStart w:id="1622" w:name="bookmark1622"/>
      <w:bookmarkStart w:id="1623" w:name="bookmark1623"/>
      <w:bookmarkEnd w:id="1622"/>
      <w:r>
        <w:rPr>
          <w:color w:val="000000"/>
          <w:spacing w:val="0"/>
          <w:w w:val="100"/>
          <w:position w:val="0"/>
        </w:rPr>
        <w:t>本期无实际核销的其他应收款。</w:t>
      </w:r>
      <w:bookmarkEnd w:id="1620"/>
      <w:bookmarkEnd w:id="1621"/>
      <w:bookmarkEnd w:id="1623"/>
    </w:p>
    <w:p>
      <w:pPr>
        <w:pStyle w:val="Style47"/>
        <w:keepNext/>
        <w:keepLines/>
        <w:widowControl w:val="0"/>
        <w:numPr>
          <w:ilvl w:val="0"/>
          <w:numId w:val="39"/>
        </w:numPr>
        <w:shd w:val="clear" w:color="auto" w:fill="auto"/>
        <w:tabs>
          <w:tab w:pos="633" w:val="left"/>
        </w:tabs>
        <w:bidi w:val="0"/>
        <w:spacing w:before="0" w:line="240" w:lineRule="auto"/>
        <w:ind w:left="0" w:right="0" w:firstLine="140"/>
        <w:jc w:val="left"/>
      </w:pPr>
      <w:bookmarkStart w:id="1624" w:name="bookmark1624"/>
      <w:bookmarkStart w:id="1625" w:name="bookmark1625"/>
      <w:bookmarkStart w:id="1626" w:name="bookmark1626"/>
      <w:bookmarkStart w:id="1627" w:name="bookmark1627"/>
      <w:bookmarkEnd w:id="1626"/>
      <w:r>
        <w:rPr>
          <w:color w:val="000000"/>
          <w:spacing w:val="0"/>
          <w:w w:val="100"/>
          <w:position w:val="0"/>
        </w:rPr>
        <w:t>其他应收款按款项性质分类情况</w:t>
      </w:r>
      <w:bookmarkEnd w:id="1624"/>
      <w:bookmarkEnd w:id="1625"/>
      <w:bookmarkEnd w:id="162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74"/>
        <w:gridCol w:w="3096"/>
        <w:gridCol w:w="311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2,175,085,909.73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46,521,926.50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5,145,064.00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51,400.01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230,626.45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146,400.00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5,303.55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2,180,292,077.29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46,918,952.95</w:t>
            </w:r>
          </w:p>
        </w:tc>
      </w:tr>
    </w:tbl>
    <w:p>
      <w:pPr>
        <w:pStyle w:val="Style26"/>
        <w:keepNext w:val="0"/>
        <w:keepLines w:val="0"/>
        <w:widowControl w:val="0"/>
        <w:shd w:val="clear" w:color="auto" w:fill="auto"/>
        <w:bidi w:val="0"/>
        <w:spacing w:before="0" w:after="0" w:line="240" w:lineRule="auto"/>
        <w:ind w:left="96" w:right="0" w:firstLine="0"/>
        <w:jc w:val="left"/>
      </w:pPr>
      <w:bookmarkStart w:id="1628" w:name="bookmark1628"/>
      <w:r>
        <w:rPr>
          <w:rFonts w:ascii="Times New Roman" w:eastAsia="Times New Roman" w:hAnsi="Times New Roman" w:cs="Times New Roman"/>
          <w:b/>
          <w:bCs/>
          <w:color w:val="000000"/>
          <w:spacing w:val="0"/>
          <w:w w:val="100"/>
          <w:position w:val="0"/>
        </w:rPr>
        <w:t>(5</w:t>
      </w:r>
      <w:r>
        <w:rPr>
          <w:b/>
          <w:bCs/>
          <w:color w:val="000000"/>
          <w:spacing w:val="0"/>
          <w:w w:val="100"/>
          <w:position w:val="0"/>
        </w:rPr>
        <w:t>)按欠款方归集的期末余额前五名的其他应收款情况</w:t>
      </w:r>
      <w:bookmarkEnd w:id="1628"/>
    </w:p>
    <w:p>
      <w:pPr>
        <w:widowControl w:val="0"/>
        <w:spacing w:after="35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698"/>
        <w:gridCol w:w="1277"/>
        <w:gridCol w:w="1560"/>
        <w:gridCol w:w="1133"/>
        <w:gridCol w:w="1843"/>
        <w:gridCol w:w="1070"/>
      </w:tblGrid>
      <w:tr>
        <w:trPr>
          <w:trHeight w:val="64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right"/>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right"/>
            </w:pPr>
            <w:r>
              <w:rPr>
                <w:color w:val="000000"/>
                <w:spacing w:val="0"/>
                <w:w w:val="100"/>
                <w:position w:val="0"/>
              </w:rPr>
              <w:t>坏账准备 期末余额</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国盛证券有限责任公司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2,004,657,534.25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个月以内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91.94%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广东华声电器实业有限公司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170,004,375.48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个月以内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7.80%</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深圳平安金融中心建设发展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4,145,064.00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个月以内、</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w:t>
            </w:r>
            <w:r>
              <w:rPr>
                <w:color w:val="000000"/>
                <w:spacing w:val="0"/>
                <w:w w:val="100"/>
                <w:position w:val="0"/>
              </w:rPr>
              <w:t>个月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0.19%</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西安国际医学投资股份有限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6-12</w:t>
            </w:r>
            <w:r>
              <w:rPr>
                <w:color w:val="000000"/>
                <w:spacing w:val="0"/>
                <w:w w:val="100"/>
                <w:position w:val="0"/>
              </w:rPr>
              <w:t>个月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0.05%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深圳华声前海投资有限公司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个月以内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0.02%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2,180,230,973.73</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w:t>
            </w:r>
          </w:p>
        </w:tc>
      </w:tr>
    </w:tbl>
    <w:p>
      <w:pPr>
        <w:widowControl w:val="0"/>
        <w:spacing w:after="359" w:line="1" w:lineRule="exact"/>
      </w:pPr>
    </w:p>
    <w:p>
      <w:pPr>
        <w:pStyle w:val="Style47"/>
        <w:keepNext/>
        <w:keepLines/>
        <w:widowControl w:val="0"/>
        <w:numPr>
          <w:ilvl w:val="0"/>
          <w:numId w:val="41"/>
        </w:numPr>
        <w:shd w:val="clear" w:color="auto" w:fill="auto"/>
        <w:tabs>
          <w:tab w:pos="493" w:val="left"/>
        </w:tabs>
        <w:bidi w:val="0"/>
        <w:spacing w:before="0" w:line="240" w:lineRule="auto"/>
        <w:ind w:left="0" w:right="0" w:firstLine="0"/>
        <w:jc w:val="left"/>
      </w:pPr>
      <w:bookmarkStart w:id="1629" w:name="bookmark1629"/>
      <w:bookmarkStart w:id="1630" w:name="bookmark1630"/>
      <w:bookmarkStart w:id="1631" w:name="bookmark1631"/>
      <w:bookmarkStart w:id="1632" w:name="bookmark1632"/>
      <w:bookmarkEnd w:id="1631"/>
      <w:r>
        <w:rPr>
          <w:color w:val="000000"/>
          <w:spacing w:val="0"/>
          <w:w w:val="100"/>
          <w:position w:val="0"/>
        </w:rPr>
        <w:t>本期无涉及政府补助的应收款项。</w:t>
      </w:r>
      <w:bookmarkEnd w:id="1629"/>
      <w:bookmarkEnd w:id="1630"/>
      <w:bookmarkEnd w:id="1632"/>
    </w:p>
    <w:p>
      <w:pPr>
        <w:pStyle w:val="Style47"/>
        <w:keepNext/>
        <w:keepLines/>
        <w:widowControl w:val="0"/>
        <w:numPr>
          <w:ilvl w:val="0"/>
          <w:numId w:val="41"/>
        </w:numPr>
        <w:shd w:val="clear" w:color="auto" w:fill="auto"/>
        <w:tabs>
          <w:tab w:pos="493" w:val="left"/>
        </w:tabs>
        <w:bidi w:val="0"/>
        <w:spacing w:before="0" w:line="240" w:lineRule="auto"/>
        <w:ind w:left="0" w:right="0" w:firstLine="0"/>
        <w:jc w:val="left"/>
      </w:pPr>
      <w:bookmarkStart w:id="1633" w:name="bookmark1633"/>
      <w:bookmarkStart w:id="1634" w:name="bookmark1634"/>
      <w:bookmarkStart w:id="1635" w:name="bookmark1635"/>
      <w:bookmarkStart w:id="1636" w:name="bookmark1636"/>
      <w:bookmarkEnd w:id="1635"/>
      <w:r>
        <w:rPr>
          <w:color w:val="000000"/>
          <w:spacing w:val="0"/>
          <w:w w:val="100"/>
          <w:position w:val="0"/>
        </w:rPr>
        <w:t>本期无因金融资产转移而终止确认的其他应收款。</w:t>
      </w:r>
      <w:bookmarkEnd w:id="1633"/>
      <w:bookmarkEnd w:id="1634"/>
      <w:bookmarkEnd w:id="1636"/>
    </w:p>
    <w:p>
      <w:pPr>
        <w:pStyle w:val="Style47"/>
        <w:keepNext/>
        <w:keepLines/>
        <w:widowControl w:val="0"/>
        <w:numPr>
          <w:ilvl w:val="0"/>
          <w:numId w:val="41"/>
        </w:numPr>
        <w:shd w:val="clear" w:color="auto" w:fill="auto"/>
        <w:bidi w:val="0"/>
        <w:spacing w:before="0" w:line="240" w:lineRule="auto"/>
        <w:ind w:left="0" w:right="0" w:firstLine="0"/>
        <w:jc w:val="left"/>
      </w:pPr>
      <w:bookmarkStart w:id="1637" w:name="bookmark1637"/>
      <w:bookmarkStart w:id="1638" w:name="bookmark1638"/>
      <w:bookmarkStart w:id="1639" w:name="bookmark1639"/>
      <w:bookmarkStart w:id="1640" w:name="bookmark1640"/>
      <w:bookmarkEnd w:id="1639"/>
      <w:r>
        <w:rPr>
          <w:color w:val="000000"/>
          <w:spacing w:val="0"/>
          <w:w w:val="100"/>
          <w:position w:val="0"/>
        </w:rPr>
        <w:t xml:space="preserve"> 本期无转移其他应收款且继续涉入形成的资产、负债。</w:t>
      </w:r>
      <w:bookmarkEnd w:id="1637"/>
      <w:bookmarkEnd w:id="1638"/>
      <w:bookmarkEnd w:id="1640"/>
    </w:p>
    <w:p>
      <w:pPr>
        <w:pStyle w:val="Style30"/>
        <w:keepNext/>
        <w:keepLines/>
        <w:widowControl w:val="0"/>
        <w:shd w:val="clear" w:color="auto" w:fill="auto"/>
        <w:bidi w:val="0"/>
        <w:spacing w:before="0" w:after="360" w:line="240" w:lineRule="auto"/>
        <w:ind w:left="0" w:right="0" w:firstLine="0"/>
        <w:jc w:val="left"/>
      </w:pPr>
      <w:bookmarkStart w:id="1641" w:name="bookmark1641"/>
      <w:bookmarkStart w:id="1642" w:name="bookmark1642"/>
      <w:bookmarkStart w:id="1643" w:name="bookmark1643"/>
      <w:bookmarkStart w:id="1644" w:name="bookmark1644"/>
      <w:r>
        <w:rPr>
          <w:rFonts w:ascii="Times New Roman" w:eastAsia="Times New Roman" w:hAnsi="Times New Roman" w:cs="Times New Roman"/>
          <w:color w:val="000000"/>
          <w:spacing w:val="0"/>
          <w:w w:val="100"/>
          <w:position w:val="0"/>
        </w:rPr>
        <w:t>3</w:t>
      </w:r>
      <w:bookmarkEnd w:id="1643"/>
      <w:r>
        <w:rPr>
          <w:color w:val="000000"/>
          <w:spacing w:val="0"/>
          <w:w w:val="100"/>
          <w:position w:val="0"/>
        </w:rPr>
        <w:t>、长期股权投资</w:t>
      </w:r>
      <w:bookmarkEnd w:id="1641"/>
      <w:bookmarkEnd w:id="1642"/>
      <w:bookmarkEnd w:id="164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131"/>
        <w:gridCol w:w="1843"/>
        <w:gridCol w:w="566"/>
        <w:gridCol w:w="1699"/>
        <w:gridCol w:w="1421"/>
        <w:gridCol w:w="547"/>
        <w:gridCol w:w="1378"/>
      </w:tblGrid>
      <w:tr>
        <w:trPr>
          <w:trHeight w:val="326"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63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 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减值</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准备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10,781,652,375.62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10,781,652,375.62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141,112,700.00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141,112,700.00</w:t>
            </w:r>
          </w:p>
        </w:tc>
      </w:tr>
      <w:tr>
        <w:trPr>
          <w:trHeight w:val="331"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10,781,652,375.62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10,781,652,375.62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141,112,700.00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141,112,700.00</w:t>
            </w:r>
          </w:p>
        </w:tc>
      </w:tr>
    </w:tbl>
    <w:p>
      <w:pPr>
        <w:spacing w:lineRule="exact" w:line="1"/>
        <w:rPr>
          <w:sz w:val="2"/>
          <w:szCs w:val="2"/>
        </w:rPr>
      </w:pPr>
      <w:r>
        <w:br w:type="page"/>
      </w:r>
    </w:p>
    <w:p>
      <w:pPr>
        <w:pStyle w:val="Style47"/>
        <w:keepNext/>
        <w:keepLines/>
        <w:widowControl w:val="0"/>
        <w:shd w:val="clear" w:color="auto" w:fill="auto"/>
        <w:bidi w:val="0"/>
        <w:spacing w:before="0" w:after="340" w:line="240" w:lineRule="auto"/>
        <w:ind w:left="0" w:right="0" w:firstLine="140"/>
        <w:jc w:val="left"/>
      </w:pPr>
      <w:bookmarkStart w:id="1645" w:name="bookmark1645"/>
      <w:bookmarkStart w:id="1646" w:name="bookmark1646"/>
      <w:bookmarkStart w:id="1647" w:name="bookmark164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645"/>
      <w:bookmarkEnd w:id="1646"/>
      <w:bookmarkEnd w:id="164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48"/>
        <w:gridCol w:w="1416"/>
        <w:gridCol w:w="1704"/>
        <w:gridCol w:w="1416"/>
        <w:gridCol w:w="1699"/>
        <w:gridCol w:w="710"/>
        <w:gridCol w:w="787"/>
      </w:tblGrid>
      <w:tr>
        <w:trPr>
          <w:trHeight w:val="95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被投资单位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 提减值 准备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 备期末 余额</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扬州华声电子实业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119,012,700.00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119,012,700.00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扬州华声电器装配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rPr>
              <w:t>佛山市华声电子装 配有限责任公司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广东华声电缆有限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9,000,000.00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9,000,000.00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深圳华声前海投资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2,500,000.00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广东华声电器实业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427,353,374.78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427,953,374.78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国盛证券有限责任</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10,326,000,000.00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10,326,000,000.00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Wa Sung Investment</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Limited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1,699,000.84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1,699,000.84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141,112,700.00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10,778,552,375.62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138,012,700.00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10,781,652,375.62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47"/>
        <w:keepNext/>
        <w:keepLines/>
        <w:widowControl w:val="0"/>
        <w:shd w:val="clear" w:color="auto" w:fill="auto"/>
        <w:bidi w:val="0"/>
        <w:spacing w:before="0" w:after="340" w:line="240" w:lineRule="auto"/>
        <w:ind w:left="0" w:right="0" w:firstLine="0"/>
        <w:jc w:val="left"/>
      </w:pPr>
      <w:bookmarkStart w:id="1648" w:name="bookmark1648"/>
      <w:bookmarkStart w:id="1649" w:name="bookmark1649"/>
      <w:bookmarkStart w:id="1650" w:name="bookmark165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)本期无对联营、合营企业投资。</w:t>
      </w:r>
      <w:bookmarkEnd w:id="1648"/>
      <w:bookmarkEnd w:id="1649"/>
      <w:bookmarkEnd w:id="1650"/>
    </w:p>
    <w:p>
      <w:pPr>
        <w:pStyle w:val="Style30"/>
        <w:keepNext/>
        <w:keepLines/>
        <w:widowControl w:val="0"/>
        <w:shd w:val="clear" w:color="auto" w:fill="auto"/>
        <w:bidi w:val="0"/>
        <w:spacing w:before="0" w:after="340" w:line="240" w:lineRule="auto"/>
        <w:ind w:left="0" w:right="0" w:firstLine="0"/>
        <w:jc w:val="left"/>
      </w:pPr>
      <w:bookmarkStart w:id="1651" w:name="bookmark1651"/>
      <w:bookmarkStart w:id="1652" w:name="bookmark1652"/>
      <w:bookmarkStart w:id="1653" w:name="bookmark1653"/>
      <w:bookmarkStart w:id="1654" w:name="bookmark1654"/>
      <w:r>
        <w:rPr>
          <w:rFonts w:ascii="Times New Roman" w:eastAsia="Times New Roman" w:hAnsi="Times New Roman" w:cs="Times New Roman"/>
          <w:color w:val="000000"/>
          <w:spacing w:val="0"/>
          <w:w w:val="100"/>
          <w:position w:val="0"/>
        </w:rPr>
        <w:t>4</w:t>
      </w:r>
      <w:bookmarkEnd w:id="1653"/>
      <w:r>
        <w:rPr>
          <w:color w:val="000000"/>
          <w:spacing w:val="0"/>
          <w:w w:val="100"/>
          <w:position w:val="0"/>
        </w:rPr>
        <w:t>、营业收入和营业成本</w:t>
      </w:r>
      <w:bookmarkEnd w:id="1651"/>
      <w:bookmarkEnd w:id="1652"/>
      <w:bookmarkEnd w:id="165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97"/>
        <w:gridCol w:w="1838"/>
        <w:gridCol w:w="1915"/>
        <w:gridCol w:w="1910"/>
        <w:gridCol w:w="1925"/>
      </w:tblGrid>
      <w:tr>
        <w:trPr>
          <w:trHeight w:val="326"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3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280,363,825.01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250,691,015.72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802,310,838.05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721,665,655.08</w:t>
            </w: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27,927,450.38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20,124,112.18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23,844,909.04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22,682,267.56</w:t>
            </w:r>
          </w:p>
        </w:tc>
      </w:tr>
      <w:tr>
        <w:trPr>
          <w:trHeight w:val="331"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308,291,275.39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270,815,127.90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826,155,747.09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744,347,922.64</w:t>
            </w:r>
          </w:p>
        </w:tc>
      </w:tr>
    </w:tbl>
    <w:p>
      <w:pPr>
        <w:pStyle w:val="Style26"/>
        <w:keepNext w:val="0"/>
        <w:keepLines w:val="0"/>
        <w:widowControl w:val="0"/>
        <w:shd w:val="clear" w:color="auto" w:fill="auto"/>
        <w:bidi w:val="0"/>
        <w:spacing w:before="0" w:after="0" w:line="240" w:lineRule="auto"/>
        <w:ind w:left="0" w:right="0" w:firstLine="0"/>
        <w:jc w:val="left"/>
      </w:pPr>
      <w:bookmarkStart w:id="1655" w:name="bookmark1655"/>
      <w:r>
        <w:rPr>
          <w:rFonts w:ascii="Times New Roman" w:eastAsia="Times New Roman" w:hAnsi="Times New Roman" w:cs="Times New Roman"/>
          <w:b/>
          <w:bCs/>
          <w:color w:val="000000"/>
          <w:spacing w:val="0"/>
          <w:w w:val="100"/>
          <w:position w:val="0"/>
        </w:rPr>
        <w:t>5</w:t>
      </w:r>
      <w:r>
        <w:rPr>
          <w:b/>
          <w:bCs/>
          <w:color w:val="000000"/>
          <w:spacing w:val="0"/>
          <w:w w:val="100"/>
          <w:position w:val="0"/>
        </w:rPr>
        <w:t>、投资收益</w:t>
      </w:r>
      <w:bookmarkEnd w:id="1655"/>
    </w:p>
    <w:p>
      <w:pPr>
        <w:widowControl w:val="0"/>
        <w:spacing w:after="33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26"/>
        <w:gridCol w:w="3062"/>
        <w:gridCol w:w="3192"/>
      </w:tblGrid>
      <w:tr>
        <w:trPr>
          <w:trHeight w:val="32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54,500,000.00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3"/>
        <w:keepNext/>
        <w:keepLines/>
        <w:widowControl w:val="0"/>
        <w:shd w:val="clear" w:color="auto" w:fill="auto"/>
        <w:bidi w:val="0"/>
        <w:spacing w:before="0" w:after="340" w:line="240" w:lineRule="auto"/>
        <w:ind w:left="0" w:right="0" w:firstLine="0"/>
        <w:jc w:val="left"/>
        <w:rPr>
          <w:sz w:val="22"/>
          <w:szCs w:val="22"/>
        </w:rPr>
      </w:pPr>
      <w:bookmarkStart w:id="1656" w:name="bookmark1656"/>
      <w:bookmarkStart w:id="1657" w:name="bookmark1657"/>
      <w:bookmarkStart w:id="1658" w:name="bookmark1658"/>
      <w:r>
        <w:rPr>
          <w:b/>
          <w:bCs/>
          <w:color w:val="000000"/>
          <w:spacing w:val="0"/>
          <w:w w:val="100"/>
          <w:position w:val="0"/>
          <w:sz w:val="22"/>
          <w:szCs w:val="22"/>
        </w:rPr>
        <w:t>十八、补充资料</w:t>
      </w:r>
      <w:bookmarkEnd w:id="1656"/>
      <w:bookmarkEnd w:id="1657"/>
      <w:bookmarkEnd w:id="1658"/>
    </w:p>
    <w:p>
      <w:pPr>
        <w:pStyle w:val="Style33"/>
        <w:keepNext w:val="0"/>
        <w:keepLines w:val="0"/>
        <w:widowControl w:val="0"/>
        <w:shd w:val="clear" w:color="auto" w:fill="auto"/>
        <w:tabs>
          <w:tab w:pos="7574" w:val="left"/>
        </w:tabs>
        <w:bidi w:val="0"/>
        <w:spacing w:before="0" w:after="340" w:line="240" w:lineRule="auto"/>
        <w:ind w:left="0" w:right="0" w:firstLine="0"/>
        <w:jc w:val="left"/>
      </w:pPr>
      <w:bookmarkStart w:id="1659" w:name="bookmark1659"/>
      <w:r>
        <w:rPr>
          <w:rFonts w:ascii="Times New Roman" w:eastAsia="Times New Roman" w:hAnsi="Times New Roman" w:cs="Times New Roman"/>
          <w:b/>
          <w:bCs/>
          <w:color w:val="000000"/>
          <w:spacing w:val="0"/>
          <w:w w:val="100"/>
          <w:position w:val="0"/>
        </w:rPr>
        <w:t>1</w:t>
      </w:r>
      <w:r>
        <w:rPr>
          <w:b/>
          <w:bCs/>
          <w:color w:val="000000"/>
          <w:spacing w:val="0"/>
          <w:w w:val="100"/>
          <w:position w:val="0"/>
        </w:rPr>
        <w:t>、当期非经常性损益明细表</w:t>
        <w:tab/>
      </w: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165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68"/>
        <w:gridCol w:w="2410"/>
        <w:gridCol w:w="2203"/>
      </w:tblGrid>
      <w:tr>
        <w:trPr>
          <w:trHeight w:val="33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226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-995,469.92</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计入当期损益的政府补助（与企业业务密切相关，按 照国家统一标准定额或定量享受的政府补助除外）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12,548,428.02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-5,230,835.83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2,739,000.78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3,583,121.49</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w:t>
            </w:r>
          </w:p>
        </w:tc>
      </w:tr>
    </w:tbl>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号一非经常性损益》定义界定的非经 常性损益项目，以及把《公开发行证券的公司信息披露解释性公告第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w:t>
      </w:r>
      <w:r>
        <w:rPr>
          <w:color w:val="000000"/>
          <w:spacing w:val="0"/>
          <w:w w:val="100"/>
          <w:position w:val="0"/>
        </w:rPr>
        <w:t xml:space="preserve">非经常性损益》中列举的 非经常性损益项目界定为经常性损益的项目，应说明原因。 </w:t>
      </w:r>
      <w:r>
        <w:rPr>
          <w:color w:val="000000"/>
          <w:spacing w:val="0"/>
          <w:w w:val="100"/>
          <w:position w:val="0"/>
        </w:rPr>
        <w:t>口</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widowControl w:val="0"/>
        <w:spacing w:after="339" w:line="1" w:lineRule="exact"/>
      </w:pPr>
    </w:p>
    <w:p>
      <w:pPr>
        <w:pStyle w:val="Style26"/>
        <w:keepNext w:val="0"/>
        <w:keepLines w:val="0"/>
        <w:widowControl w:val="0"/>
        <w:shd w:val="clear" w:color="auto" w:fill="auto"/>
        <w:bidi w:val="0"/>
        <w:spacing w:before="0" w:after="0" w:line="240" w:lineRule="auto"/>
        <w:ind w:left="0" w:right="0" w:firstLine="0"/>
        <w:jc w:val="left"/>
      </w:pPr>
      <w:bookmarkStart w:id="1660" w:name="bookmark1660"/>
      <w:r>
        <w:rPr>
          <w:rFonts w:ascii="Times New Roman" w:eastAsia="Times New Roman" w:hAnsi="Times New Roman" w:cs="Times New Roman"/>
          <w:b/>
          <w:bCs/>
          <w:color w:val="000000"/>
          <w:spacing w:val="0"/>
          <w:w w:val="100"/>
          <w:position w:val="0"/>
        </w:rPr>
        <w:t>2</w:t>
      </w:r>
      <w:r>
        <w:rPr>
          <w:b/>
          <w:bCs/>
          <w:color w:val="000000"/>
          <w:spacing w:val="0"/>
          <w:w w:val="100"/>
          <w:position w:val="0"/>
        </w:rPr>
        <w:t>、净资产收益率及每股收益</w:t>
      </w:r>
      <w:bookmarkEnd w:id="1660"/>
    </w:p>
    <w:tbl>
      <w:tblPr>
        <w:tblOverlap w:val="never"/>
        <w:jc w:val="center"/>
        <w:tblLayout w:type="fixed"/>
      </w:tblPr>
      <w:tblGrid>
        <w:gridCol w:w="3274"/>
        <w:gridCol w:w="2107"/>
        <w:gridCol w:w="2150"/>
        <w:gridCol w:w="2050"/>
      </w:tblGrid>
      <w:tr>
        <w:trPr>
          <w:trHeight w:val="326"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加权平均净资产收益 率</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2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r>
      <w:tr>
        <w:trPr>
          <w:trHeight w:val="3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7.07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0.7930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0.7930</w:t>
            </w:r>
          </w:p>
        </w:tc>
      </w:tr>
      <w:tr>
        <w:trPr>
          <w:trHeight w:val="64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扣除非经常性损益后归属于公司普 通股股东的净利润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7.02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0.7930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0.7930</w:t>
            </w:r>
          </w:p>
        </w:tc>
      </w:tr>
    </w:tbl>
    <w:p>
      <w:pPr>
        <w:pStyle w:val="Style26"/>
        <w:keepNext w:val="0"/>
        <w:keepLines w:val="0"/>
        <w:widowControl w:val="0"/>
        <w:shd w:val="clear" w:color="auto" w:fill="auto"/>
        <w:bidi w:val="0"/>
        <w:spacing w:before="0" w:after="0" w:line="240" w:lineRule="auto"/>
        <w:ind w:left="0" w:right="0" w:firstLine="0"/>
        <w:jc w:val="left"/>
      </w:pPr>
      <w:bookmarkStart w:id="1661" w:name="bookmark1661"/>
      <w:r>
        <w:rPr>
          <w:rFonts w:ascii="Times New Roman" w:eastAsia="Times New Roman" w:hAnsi="Times New Roman" w:cs="Times New Roman"/>
          <w:b/>
          <w:bCs/>
          <w:color w:val="000000"/>
          <w:spacing w:val="0"/>
          <w:w w:val="100"/>
          <w:position w:val="0"/>
        </w:rPr>
        <w:t>3</w:t>
      </w:r>
      <w:r>
        <w:rPr>
          <w:b/>
          <w:bCs/>
          <w:color w:val="000000"/>
          <w:spacing w:val="0"/>
          <w:w w:val="100"/>
          <w:position w:val="0"/>
        </w:rPr>
        <w:t>、境内外会计准则下会计数据差异</w:t>
      </w:r>
      <w:bookmarkEnd w:id="1661"/>
    </w:p>
    <w:p>
      <w:pPr>
        <w:widowControl w:val="0"/>
        <w:spacing w:after="279" w:line="1" w:lineRule="exact"/>
      </w:pPr>
    </w:p>
    <w:p>
      <w:pPr>
        <w:pStyle w:val="Style47"/>
        <w:keepNext/>
        <w:keepLines/>
        <w:widowControl w:val="0"/>
        <w:shd w:val="clear" w:color="auto" w:fill="auto"/>
        <w:tabs>
          <w:tab w:pos="493" w:val="left"/>
        </w:tabs>
        <w:bidi w:val="0"/>
        <w:spacing w:before="0" w:after="280" w:line="326" w:lineRule="exact"/>
        <w:ind w:left="0" w:right="0" w:firstLine="0"/>
        <w:jc w:val="left"/>
      </w:pPr>
      <w:bookmarkStart w:id="1662" w:name="bookmark1662"/>
      <w:bookmarkStart w:id="1663" w:name="bookmark1663"/>
      <w:bookmarkStart w:id="1664" w:name="bookmark1664"/>
      <w:bookmarkStart w:id="1665" w:name="bookmark1665"/>
      <w:r>
        <w:rPr>
          <w:color w:val="000000"/>
          <w:spacing w:val="0"/>
          <w:w w:val="100"/>
          <w:position w:val="0"/>
        </w:rPr>
        <w:t>（</w:t>
      </w:r>
      <w:bookmarkEnd w:id="1664"/>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1662"/>
      <w:bookmarkEnd w:id="1663"/>
      <w:bookmarkEnd w:id="1665"/>
    </w:p>
    <w:p>
      <w:pPr>
        <w:pStyle w:val="Style33"/>
        <w:keepNext w:val="0"/>
        <w:keepLines w:val="0"/>
        <w:widowControl w:val="0"/>
        <w:shd w:val="clear" w:color="auto" w:fill="auto"/>
        <w:bidi w:val="0"/>
        <w:spacing w:before="0" w:after="280" w:line="326" w:lineRule="exact"/>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47"/>
        <w:keepNext/>
        <w:keepLines/>
        <w:widowControl w:val="0"/>
        <w:shd w:val="clear" w:color="auto" w:fill="auto"/>
        <w:tabs>
          <w:tab w:pos="493" w:val="left"/>
        </w:tabs>
        <w:bidi w:val="0"/>
        <w:spacing w:before="0" w:after="280" w:line="326" w:lineRule="exact"/>
        <w:ind w:left="0" w:right="0" w:firstLine="0"/>
        <w:jc w:val="left"/>
      </w:pPr>
      <w:bookmarkStart w:id="1666" w:name="bookmark1666"/>
      <w:bookmarkStart w:id="1667" w:name="bookmark1667"/>
      <w:bookmarkStart w:id="1668" w:name="bookmark1668"/>
      <w:bookmarkStart w:id="1669" w:name="bookmark1669"/>
      <w:r>
        <w:rPr>
          <w:color w:val="000000"/>
          <w:spacing w:val="0"/>
          <w:w w:val="100"/>
          <w:position w:val="0"/>
        </w:rPr>
        <w:t>（</w:t>
      </w:r>
      <w:bookmarkEnd w:id="1668"/>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1666"/>
      <w:bookmarkEnd w:id="1667"/>
      <w:bookmarkEnd w:id="1669"/>
    </w:p>
    <w:p>
      <w:pPr>
        <w:pStyle w:val="Style33"/>
        <w:keepNext w:val="0"/>
        <w:keepLines w:val="0"/>
        <w:widowControl w:val="0"/>
        <w:shd w:val="clear" w:color="auto" w:fill="auto"/>
        <w:bidi w:val="0"/>
        <w:spacing w:before="0" w:after="280" w:line="326" w:lineRule="exact"/>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47"/>
        <w:keepNext/>
        <w:keepLines/>
        <w:widowControl w:val="0"/>
        <w:shd w:val="clear" w:color="auto" w:fill="auto"/>
        <w:bidi w:val="0"/>
        <w:spacing w:before="0" w:after="280" w:line="326" w:lineRule="exact"/>
        <w:ind w:left="0" w:right="0" w:firstLine="0"/>
        <w:jc w:val="left"/>
      </w:pPr>
      <w:bookmarkStart w:id="1670" w:name="bookmark1670"/>
      <w:bookmarkStart w:id="1671" w:name="bookmark1671"/>
      <w:bookmarkStart w:id="1672" w:name="bookmark1672"/>
      <w:bookmarkStart w:id="1673" w:name="bookmark1673"/>
      <w:r>
        <w:rPr>
          <w:color w:val="000000"/>
          <w:spacing w:val="0"/>
          <w:w w:val="100"/>
          <w:position w:val="0"/>
        </w:rPr>
        <w:t>（</w:t>
      </w:r>
      <w:bookmarkEnd w:id="1672"/>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境内外会计准则下会计数据差异原因说明，对已经境外审计机构审计的数据进行差异调节的，应注 明该境外机构的名称</w:t>
      </w:r>
      <w:bookmarkEnd w:id="1670"/>
      <w:bookmarkEnd w:id="1671"/>
      <w:bookmarkEnd w:id="1673"/>
    </w:p>
    <w:p>
      <w:pPr>
        <w:pStyle w:val="Style33"/>
        <w:keepNext w:val="0"/>
        <w:keepLines w:val="0"/>
        <w:widowControl w:val="0"/>
        <w:shd w:val="clear" w:color="auto" w:fill="auto"/>
        <w:bidi w:val="0"/>
        <w:spacing w:before="0" w:after="280" w:line="326" w:lineRule="exact"/>
        <w:ind w:left="0" w:right="0" w:firstLine="440"/>
        <w:jc w:val="both"/>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q </w:t>
      </w:r>
      <w:r>
        <w:rPr>
          <w:color w:val="000000"/>
          <w:spacing w:val="0"/>
          <w:w w:val="100"/>
          <w:position w:val="0"/>
        </w:rPr>
        <w:t>不适用</w:t>
      </w:r>
    </w:p>
    <w:p>
      <w:pPr>
        <w:pStyle w:val="Style12"/>
        <w:keepNext/>
        <w:keepLines/>
        <w:widowControl w:val="0"/>
        <w:shd w:val="clear" w:color="auto" w:fill="auto"/>
        <w:bidi w:val="0"/>
        <w:spacing w:before="0" w:after="580" w:line="240" w:lineRule="auto"/>
        <w:ind w:left="0" w:right="0" w:firstLine="0"/>
        <w:jc w:val="center"/>
      </w:pPr>
      <w:bookmarkStart w:id="1674" w:name="bookmark1674"/>
      <w:bookmarkStart w:id="1675" w:name="bookmark1675"/>
      <w:bookmarkStart w:id="1676" w:name="bookmark1676"/>
      <w:r>
        <w:rPr>
          <w:color w:val="000000"/>
          <w:spacing w:val="0"/>
          <w:w w:val="100"/>
          <w:position w:val="0"/>
        </w:rPr>
        <w:t>第十二节备查文件目录</w:t>
      </w:r>
      <w:bookmarkEnd w:id="1674"/>
      <w:bookmarkEnd w:id="1675"/>
      <w:bookmarkEnd w:id="1676"/>
    </w:p>
    <w:p>
      <w:pPr>
        <w:pStyle w:val="Style33"/>
        <w:keepNext w:val="0"/>
        <w:keepLines w:val="0"/>
        <w:widowControl w:val="0"/>
        <w:shd w:val="clear" w:color="auto" w:fill="auto"/>
        <w:tabs>
          <w:tab w:pos="512" w:val="left"/>
        </w:tabs>
        <w:bidi w:val="0"/>
        <w:spacing w:before="0" w:after="60" w:line="240" w:lineRule="auto"/>
        <w:ind w:left="0" w:right="0" w:firstLine="0"/>
        <w:jc w:val="left"/>
        <w:rPr>
          <w:sz w:val="22"/>
          <w:szCs w:val="22"/>
        </w:rPr>
      </w:pPr>
      <w:bookmarkStart w:id="1677" w:name="bookmark1677"/>
      <w:r>
        <w:rPr>
          <w:color w:val="000000"/>
          <w:spacing w:val="0"/>
          <w:w w:val="100"/>
          <w:position w:val="0"/>
          <w:sz w:val="22"/>
          <w:szCs w:val="22"/>
        </w:rPr>
        <w:t>一</w:t>
      </w:r>
      <w:bookmarkEnd w:id="1677"/>
      <w:r>
        <w:rPr>
          <w:color w:val="000000"/>
          <w:spacing w:val="0"/>
          <w:w w:val="100"/>
          <w:position w:val="0"/>
          <w:sz w:val="22"/>
          <w:szCs w:val="22"/>
        </w:rPr>
        <w:t>、</w:t>
        <w:tab/>
        <w:t>载有公司法定代表人、主管会计工作的负责人、会计机构负责人签名并盖章的财务报表。</w:t>
      </w:r>
    </w:p>
    <w:p>
      <w:pPr>
        <w:pStyle w:val="Style33"/>
        <w:keepNext w:val="0"/>
        <w:keepLines w:val="0"/>
        <w:widowControl w:val="0"/>
        <w:shd w:val="clear" w:color="auto" w:fill="auto"/>
        <w:tabs>
          <w:tab w:pos="512" w:val="left"/>
        </w:tabs>
        <w:bidi w:val="0"/>
        <w:spacing w:before="0" w:after="60" w:line="240" w:lineRule="auto"/>
        <w:ind w:left="0" w:right="0" w:firstLine="0"/>
        <w:jc w:val="left"/>
        <w:rPr>
          <w:sz w:val="22"/>
          <w:szCs w:val="22"/>
        </w:rPr>
      </w:pPr>
      <w:bookmarkStart w:id="1678" w:name="bookmark1678"/>
      <w:r>
        <w:rPr>
          <w:color w:val="000000"/>
          <w:spacing w:val="0"/>
          <w:w w:val="100"/>
          <w:position w:val="0"/>
          <w:sz w:val="22"/>
          <w:szCs w:val="22"/>
        </w:rPr>
        <w:t>二</w:t>
      </w:r>
      <w:bookmarkEnd w:id="1678"/>
      <w:r>
        <w:rPr>
          <w:color w:val="000000"/>
          <w:spacing w:val="0"/>
          <w:w w:val="100"/>
          <w:position w:val="0"/>
          <w:sz w:val="22"/>
          <w:szCs w:val="22"/>
        </w:rPr>
        <w:t>、</w:t>
        <w:tab/>
        <w:t>载有会计师事务所盖章、注册会计师签名并盖章的审计报告原件。</w:t>
      </w:r>
    </w:p>
    <w:p>
      <w:pPr>
        <w:pStyle w:val="Style33"/>
        <w:keepNext w:val="0"/>
        <w:keepLines w:val="0"/>
        <w:widowControl w:val="0"/>
        <w:shd w:val="clear" w:color="auto" w:fill="auto"/>
        <w:tabs>
          <w:tab w:pos="512" w:val="left"/>
        </w:tabs>
        <w:bidi w:val="0"/>
        <w:spacing w:before="0" w:after="60" w:line="240" w:lineRule="auto"/>
        <w:ind w:left="0" w:right="0" w:firstLine="0"/>
        <w:jc w:val="left"/>
        <w:rPr>
          <w:sz w:val="22"/>
          <w:szCs w:val="22"/>
        </w:rPr>
      </w:pPr>
      <w:bookmarkStart w:id="1679" w:name="bookmark1679"/>
      <w:r>
        <w:rPr>
          <w:color w:val="000000"/>
          <w:spacing w:val="0"/>
          <w:w w:val="100"/>
          <w:position w:val="0"/>
          <w:sz w:val="22"/>
          <w:szCs w:val="22"/>
        </w:rPr>
        <w:t>三</w:t>
      </w:r>
      <w:bookmarkEnd w:id="1679"/>
      <w:r>
        <w:rPr>
          <w:color w:val="000000"/>
          <w:spacing w:val="0"/>
          <w:w w:val="100"/>
          <w:position w:val="0"/>
          <w:sz w:val="22"/>
          <w:szCs w:val="22"/>
        </w:rPr>
        <w:t>、</w:t>
        <w:tab/>
        <w:t>报告期内在中国证监会指定网站上公开披露过的所有公司文件的正本及公告的原稿。</w:t>
      </w:r>
    </w:p>
    <w:p>
      <w:pPr>
        <w:pStyle w:val="Style33"/>
        <w:keepNext w:val="0"/>
        <w:keepLines w:val="0"/>
        <w:widowControl w:val="0"/>
        <w:shd w:val="clear" w:color="auto" w:fill="auto"/>
        <w:tabs>
          <w:tab w:pos="512" w:val="left"/>
        </w:tabs>
        <w:bidi w:val="0"/>
        <w:spacing w:before="0" w:after="1140" w:line="240" w:lineRule="auto"/>
        <w:ind w:left="0" w:right="0" w:firstLine="0"/>
        <w:jc w:val="left"/>
        <w:rPr>
          <w:sz w:val="22"/>
          <w:szCs w:val="22"/>
        </w:rPr>
      </w:pPr>
      <w:bookmarkStart w:id="1680" w:name="bookmark1680"/>
      <w:r>
        <w:rPr>
          <w:color w:val="000000"/>
          <w:spacing w:val="0"/>
          <w:w w:val="100"/>
          <w:position w:val="0"/>
          <w:sz w:val="22"/>
          <w:szCs w:val="22"/>
        </w:rPr>
        <w:t>四</w:t>
      </w:r>
      <w:bookmarkEnd w:id="1680"/>
      <w:r>
        <w:rPr>
          <w:color w:val="000000"/>
          <w:spacing w:val="0"/>
          <w:w w:val="100"/>
          <w:position w:val="0"/>
          <w:sz w:val="22"/>
          <w:szCs w:val="22"/>
        </w:rPr>
        <w:t>、</w:t>
        <w:tab/>
        <w:t>其他有关资料。</w:t>
      </w:r>
    </w:p>
    <w:p>
      <w:pPr>
        <w:pStyle w:val="Style33"/>
        <w:keepNext w:val="0"/>
        <w:keepLines w:val="0"/>
        <w:widowControl w:val="0"/>
        <w:shd w:val="clear" w:color="auto" w:fill="auto"/>
        <w:bidi w:val="0"/>
        <w:spacing w:before="0" w:after="440" w:line="240" w:lineRule="auto"/>
        <w:ind w:left="6240" w:right="0" w:firstLine="0"/>
        <w:jc w:val="left"/>
        <w:rPr>
          <w:sz w:val="22"/>
          <w:szCs w:val="22"/>
        </w:rPr>
      </w:pPr>
      <w:r>
        <w:rPr>
          <w:color w:val="000000"/>
          <w:spacing w:val="0"/>
          <w:w w:val="100"/>
          <w:position w:val="0"/>
          <w:sz w:val="22"/>
          <w:szCs w:val="22"/>
        </w:rPr>
        <w:t xml:space="preserve">广东国盛金控集团股份有限公司 </w:t>
      </w:r>
      <w:r>
        <w:rPr>
          <w:color w:val="000000"/>
          <w:spacing w:val="0"/>
          <w:w w:val="100"/>
          <w:position w:val="0"/>
          <w:sz w:val="22"/>
          <w:szCs w:val="22"/>
        </w:rPr>
        <w:t xml:space="preserve">董事长：杜力 </w:t>
      </w:r>
      <w:r>
        <w:rPr>
          <w:color w:val="000000"/>
          <w:spacing w:val="0"/>
          <w:w w:val="100"/>
          <w:position w:val="0"/>
          <w:sz w:val="22"/>
          <w:szCs w:val="22"/>
        </w:rPr>
        <w:t>二</w:t>
      </w:r>
      <w:r>
        <w:rPr>
          <w:rFonts w:ascii="Arial" w:eastAsia="Arial" w:hAnsi="Arial" w:cs="Arial"/>
          <w:color w:val="000000"/>
          <w:spacing w:val="0"/>
          <w:w w:val="100"/>
          <w:position w:val="0"/>
          <w:sz w:val="24"/>
          <w:szCs w:val="24"/>
        </w:rPr>
        <w:t>O</w:t>
      </w:r>
      <w:r>
        <w:rPr>
          <w:color w:val="000000"/>
          <w:spacing w:val="0"/>
          <w:w w:val="100"/>
          <w:position w:val="0"/>
          <w:sz w:val="22"/>
          <w:szCs w:val="22"/>
        </w:rPr>
        <w:t>一^年二月二十七日</w:t>
      </w:r>
    </w:p>
    <w:sectPr>
      <w:headerReference w:type="default" r:id="rId69"/>
      <w:footerReference w:type="default" r:id="rId70"/>
      <w:footnotePr>
        <w:pos w:val="pageBottom"/>
        <w:numFmt w:val="decimal"/>
        <w:numRestart w:val="continuous"/>
      </w:footnotePr>
      <w:pgSz w:w="11900" w:h="16840"/>
      <w:pgMar w:top="1455" w:right="1072" w:bottom="1733" w:left="1036"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6794500</wp:posOffset>
              </wp:positionH>
              <wp:positionV relativeFrom="page">
                <wp:posOffset>10128885</wp:posOffset>
              </wp:positionV>
              <wp:extent cx="21590" cy="76200"/>
              <wp:wrapNone/>
              <wp:docPr id="4" name="Shape 4"/>
              <a:graphic xmlns:a="http://schemas.openxmlformats.org/drawingml/2006/main">
                <a:graphicData uri="http://schemas.microsoft.com/office/word/2010/wordprocessingShape">
                  <wps:wsp>
                    <wps:cNvSpPr txBox="1"/>
                    <wps:spPr>
                      <a:xfrm>
                        <a:ext cx="21590" cy="7620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5.pt;margin-top:797.55000000000007pt;width:1.7pt;height:6.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6724015</wp:posOffset>
              </wp:positionH>
              <wp:positionV relativeFrom="page">
                <wp:posOffset>9958070</wp:posOffset>
              </wp:positionV>
              <wp:extent cx="109855" cy="79375"/>
              <wp:wrapNone/>
              <wp:docPr id="66" name="Shape 66"/>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2" type="#_x0000_t202" style="position:absolute;margin-left:529.45000000000005pt;margin-top:784.10000000000002pt;width:8.6500000000000004pt;height:6.25pt;z-index:-188744025;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9668510</wp:posOffset>
              </wp:positionH>
              <wp:positionV relativeFrom="page">
                <wp:posOffset>6837045</wp:posOffset>
              </wp:positionV>
              <wp:extent cx="100330" cy="79375"/>
              <wp:wrapNone/>
              <wp:docPr id="74" name="Shape 74"/>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0" type="#_x0000_t202" style="position:absolute;margin-left:761.30000000000007pt;margin-top:538.35000000000002pt;width:7.9000000000000004pt;height:6.25pt;z-index:-18874402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9665970</wp:posOffset>
              </wp:positionH>
              <wp:positionV relativeFrom="page">
                <wp:posOffset>6822440</wp:posOffset>
              </wp:positionV>
              <wp:extent cx="103505" cy="79375"/>
              <wp:wrapNone/>
              <wp:docPr id="81" name="Shape 81"/>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7" type="#_x0000_t202" style="position:absolute;margin-left:761.10000000000002pt;margin-top:537.20000000000005pt;width:8.1500000000000004pt;height:6.25pt;z-index:-188744017;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9668510</wp:posOffset>
              </wp:positionH>
              <wp:positionV relativeFrom="page">
                <wp:posOffset>6837045</wp:posOffset>
              </wp:positionV>
              <wp:extent cx="100330" cy="79375"/>
              <wp:wrapNone/>
              <wp:docPr id="95" name="Shape 95"/>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1" type="#_x0000_t202" style="position:absolute;margin-left:761.30000000000007pt;margin-top:538.35000000000002pt;width:7.9000000000000004pt;height:6.25pt;z-index:-18874401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6724015</wp:posOffset>
              </wp:positionH>
              <wp:positionV relativeFrom="page">
                <wp:posOffset>9958070</wp:posOffset>
              </wp:positionV>
              <wp:extent cx="109855" cy="79375"/>
              <wp:wrapNone/>
              <wp:docPr id="100" name="Shape 100"/>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6" type="#_x0000_t202" style="position:absolute;margin-left:529.45000000000005pt;margin-top:784.10000000000002pt;width:8.6500000000000004pt;height:6.25pt;z-index:-188744009;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9671685</wp:posOffset>
              </wp:positionH>
              <wp:positionV relativeFrom="page">
                <wp:posOffset>6847840</wp:posOffset>
              </wp:positionV>
              <wp:extent cx="100330" cy="79375"/>
              <wp:wrapNone/>
              <wp:docPr id="125" name="Shape 125"/>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51" type="#_x0000_t202" style="position:absolute;margin-left:761.55000000000007pt;margin-top:539.20000000000005pt;width:7.9000000000000004pt;height:6.25pt;z-index:-188744005;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6677025</wp:posOffset>
              </wp:positionH>
              <wp:positionV relativeFrom="page">
                <wp:posOffset>9958070</wp:posOffset>
              </wp:positionV>
              <wp:extent cx="155575" cy="79375"/>
              <wp:wrapNone/>
              <wp:docPr id="130" name="Shape 13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56" type="#_x0000_t202" style="position:absolute;margin-left:525.75pt;margin-top:784.10000000000002pt;width:12.25pt;height:6.25pt;z-index:-188744001;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9620250</wp:posOffset>
              </wp:positionH>
              <wp:positionV relativeFrom="page">
                <wp:posOffset>6837045</wp:posOffset>
              </wp:positionV>
              <wp:extent cx="155575" cy="79375"/>
              <wp:wrapNone/>
              <wp:docPr id="137" name="Shape 137"/>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63" type="#_x0000_t202" style="position:absolute;margin-left:757.5pt;margin-top:538.35000000000002pt;width:12.25pt;height:6.25pt;z-index:-188743997;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6677025</wp:posOffset>
              </wp:positionH>
              <wp:positionV relativeFrom="page">
                <wp:posOffset>9958070</wp:posOffset>
              </wp:positionV>
              <wp:extent cx="155575" cy="79375"/>
              <wp:wrapNone/>
              <wp:docPr id="148" name="Shape 148"/>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74" type="#_x0000_t202" style="position:absolute;margin-left:525.75pt;margin-top:784.10000000000002pt;width:12.25pt;height:6.25pt;z-index:-188743993;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9620250</wp:posOffset>
              </wp:positionH>
              <wp:positionV relativeFrom="page">
                <wp:posOffset>6837045</wp:posOffset>
              </wp:positionV>
              <wp:extent cx="155575" cy="79375"/>
              <wp:wrapNone/>
              <wp:docPr id="153" name="Shape 153"/>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79" type="#_x0000_t202" style="position:absolute;margin-left:757.5pt;margin-top:538.35000000000002pt;width:12.25pt;height:6.25pt;z-index:-188743989;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6713220</wp:posOffset>
              </wp:positionH>
              <wp:positionV relativeFrom="page">
                <wp:posOffset>9970135</wp:posOffset>
              </wp:positionV>
              <wp:extent cx="97790" cy="79375"/>
              <wp:wrapNone/>
              <wp:docPr id="9" name="Shape 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28.60000000000002pt;margin-top:785.05000000000007pt;width:7.7000000000000002pt;height:6.25pt;z-index:-1887440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6677025</wp:posOffset>
              </wp:positionH>
              <wp:positionV relativeFrom="page">
                <wp:posOffset>9958070</wp:posOffset>
              </wp:positionV>
              <wp:extent cx="155575" cy="79375"/>
              <wp:wrapNone/>
              <wp:docPr id="158" name="Shape 158"/>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84" type="#_x0000_t202" style="position:absolute;margin-left:525.75pt;margin-top:784.10000000000002pt;width:12.25pt;height:6.25pt;z-index:-188743985;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9620250</wp:posOffset>
              </wp:positionH>
              <wp:positionV relativeFrom="page">
                <wp:posOffset>6821805</wp:posOffset>
              </wp:positionV>
              <wp:extent cx="152400" cy="79375"/>
              <wp:wrapNone/>
              <wp:docPr id="165" name="Shape 165"/>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91" type="#_x0000_t202" style="position:absolute;margin-left:757.5pt;margin-top:537.14999999999998pt;width:12.pt;height:6.25pt;z-index:-188743981;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6677025</wp:posOffset>
              </wp:positionH>
              <wp:positionV relativeFrom="page">
                <wp:posOffset>9958070</wp:posOffset>
              </wp:positionV>
              <wp:extent cx="155575" cy="79375"/>
              <wp:wrapNone/>
              <wp:docPr id="170" name="Shape 17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96" type="#_x0000_t202" style="position:absolute;margin-left:525.75pt;margin-top:784.10000000000002pt;width:12.25pt;height:6.25pt;z-index:-188743977;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9620250</wp:posOffset>
              </wp:positionH>
              <wp:positionV relativeFrom="page">
                <wp:posOffset>6837045</wp:posOffset>
              </wp:positionV>
              <wp:extent cx="155575" cy="79375"/>
              <wp:wrapNone/>
              <wp:docPr id="175" name="Shape 175"/>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01" type="#_x0000_t202" style="position:absolute;margin-left:757.5pt;margin-top:538.35000000000002pt;width:12.25pt;height:6.25pt;z-index:-188743973;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6677025</wp:posOffset>
              </wp:positionH>
              <wp:positionV relativeFrom="page">
                <wp:posOffset>9958070</wp:posOffset>
              </wp:positionV>
              <wp:extent cx="155575" cy="79375"/>
              <wp:wrapNone/>
              <wp:docPr id="180" name="Shape 18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06" type="#_x0000_t202" style="position:absolute;margin-left:525.75pt;margin-top:784.10000000000002pt;width:12.25pt;height:6.25pt;z-index:-188743969;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9620250</wp:posOffset>
              </wp:positionH>
              <wp:positionV relativeFrom="page">
                <wp:posOffset>6821805</wp:posOffset>
              </wp:positionV>
              <wp:extent cx="152400" cy="79375"/>
              <wp:wrapNone/>
              <wp:docPr id="185" name="Shape 185"/>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11" type="#_x0000_t202" style="position:absolute;margin-left:757.5pt;margin-top:537.14999999999998pt;width:12.pt;height:6.25pt;z-index:-188743965;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2" behindDoc="1" locked="0" layoutInCell="1" allowOverlap="1">
              <wp:simplePos x="0" y="0"/>
              <wp:positionH relativeFrom="page">
                <wp:posOffset>6677025</wp:posOffset>
              </wp:positionH>
              <wp:positionV relativeFrom="page">
                <wp:posOffset>9958070</wp:posOffset>
              </wp:positionV>
              <wp:extent cx="155575" cy="79375"/>
              <wp:wrapNone/>
              <wp:docPr id="190" name="Shape 19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16" type="#_x0000_t202" style="position:absolute;margin-left:525.75pt;margin-top:784.10000000000002pt;width:12.25pt;height:6.25pt;z-index:-188743961;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6" behindDoc="1" locked="0" layoutInCell="1" allowOverlap="1">
              <wp:simplePos x="0" y="0"/>
              <wp:positionH relativeFrom="page">
                <wp:posOffset>9620250</wp:posOffset>
              </wp:positionH>
              <wp:positionV relativeFrom="page">
                <wp:posOffset>6822440</wp:posOffset>
              </wp:positionV>
              <wp:extent cx="152400" cy="79375"/>
              <wp:wrapNone/>
              <wp:docPr id="195" name="Shape 195"/>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21" type="#_x0000_t202" style="position:absolute;margin-left:757.5pt;margin-top:537.20000000000005pt;width:12.pt;height:6.25pt;z-index:-188743957;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0" behindDoc="1" locked="0" layoutInCell="1" allowOverlap="1">
              <wp:simplePos x="0" y="0"/>
              <wp:positionH relativeFrom="page">
                <wp:posOffset>6677025</wp:posOffset>
              </wp:positionH>
              <wp:positionV relativeFrom="page">
                <wp:posOffset>9958070</wp:posOffset>
              </wp:positionV>
              <wp:extent cx="155575" cy="79375"/>
              <wp:wrapNone/>
              <wp:docPr id="200" name="Shape 20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26" type="#_x0000_t202" style="position:absolute;margin-left:525.75pt;margin-top:784.10000000000002pt;width:12.25pt;height:6.25pt;z-index:-188743953;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4" behindDoc="1" locked="0" layoutInCell="1" allowOverlap="1">
              <wp:simplePos x="0" y="0"/>
              <wp:positionH relativeFrom="page">
                <wp:posOffset>9620250</wp:posOffset>
              </wp:positionH>
              <wp:positionV relativeFrom="page">
                <wp:posOffset>6822440</wp:posOffset>
              </wp:positionV>
              <wp:extent cx="152400" cy="79375"/>
              <wp:wrapNone/>
              <wp:docPr id="215" name="Shape 215"/>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41" type="#_x0000_t202" style="position:absolute;margin-left:757.5pt;margin-top:537.20000000000005pt;width:12.pt;height:6.25pt;z-index:-188743949;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9668510</wp:posOffset>
              </wp:positionH>
              <wp:positionV relativeFrom="page">
                <wp:posOffset>6837045</wp:posOffset>
              </wp:positionV>
              <wp:extent cx="100330" cy="79375"/>
              <wp:wrapNone/>
              <wp:docPr id="31" name="Shape 31"/>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7" type="#_x0000_t202" style="position:absolute;margin-left:761.30000000000007pt;margin-top:538.35000000000002pt;width:7.9000000000000004pt;height:6.25pt;z-index:-18874405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8" behindDoc="1" locked="0" layoutInCell="1" allowOverlap="1">
              <wp:simplePos x="0" y="0"/>
              <wp:positionH relativeFrom="page">
                <wp:posOffset>6677025</wp:posOffset>
              </wp:positionH>
              <wp:positionV relativeFrom="page">
                <wp:posOffset>9958070</wp:posOffset>
              </wp:positionV>
              <wp:extent cx="155575" cy="79375"/>
              <wp:wrapNone/>
              <wp:docPr id="220" name="Shape 22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46" type="#_x0000_t202" style="position:absolute;margin-left:525.75pt;margin-top:784.10000000000002pt;width:12.25pt;height:6.25pt;z-index:-188743945;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9665970</wp:posOffset>
              </wp:positionH>
              <wp:positionV relativeFrom="page">
                <wp:posOffset>6822440</wp:posOffset>
              </wp:positionV>
              <wp:extent cx="100330" cy="79375"/>
              <wp:wrapNone/>
              <wp:docPr id="36" name="Shape 36"/>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2" type="#_x0000_t202" style="position:absolute;margin-left:761.10000000000002pt;margin-top:537.20000000000005pt;width:7.9000000000000004pt;height:6.25pt;z-index:-18874404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9668510</wp:posOffset>
              </wp:positionH>
              <wp:positionV relativeFrom="page">
                <wp:posOffset>6837045</wp:posOffset>
              </wp:positionV>
              <wp:extent cx="100330" cy="79375"/>
              <wp:wrapNone/>
              <wp:docPr id="44" name="Shape 44"/>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0" type="#_x0000_t202" style="position:absolute;margin-left:761.30000000000007pt;margin-top:538.35000000000002pt;width:7.9000000000000004pt;height:6.25pt;z-index:-18874404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6713855</wp:posOffset>
              </wp:positionH>
              <wp:positionV relativeFrom="page">
                <wp:posOffset>9958070</wp:posOffset>
              </wp:positionV>
              <wp:extent cx="109855" cy="79375"/>
              <wp:wrapNone/>
              <wp:docPr id="50" name="Shape 50"/>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6" type="#_x0000_t202" style="position:absolute;margin-left:528.64999999999998pt;margin-top:784.10000000000002pt;width:8.6500000000000004pt;height:6.25pt;z-index:-18874403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9668510</wp:posOffset>
              </wp:positionH>
              <wp:positionV relativeFrom="page">
                <wp:posOffset>6837045</wp:posOffset>
              </wp:positionV>
              <wp:extent cx="100330" cy="79375"/>
              <wp:wrapNone/>
              <wp:docPr id="54" name="Shape 54"/>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0" type="#_x0000_t202" style="position:absolute;margin-left:761.30000000000007pt;margin-top:538.35000000000002pt;width:7.9000000000000004pt;height:6.25pt;z-index:-18874403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9668510</wp:posOffset>
              </wp:positionH>
              <wp:positionV relativeFrom="page">
                <wp:posOffset>6837045</wp:posOffset>
              </wp:positionV>
              <wp:extent cx="100330" cy="79375"/>
              <wp:wrapNone/>
              <wp:docPr id="61" name="Shape 61"/>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7" type="#_x0000_t202" style="position:absolute;margin-left:761.30000000000007pt;margin-top:538.35000000000002pt;width:7.9000000000000004pt;height:6.25pt;z-index:-18874402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756285</wp:posOffset>
              </wp:positionH>
              <wp:positionV relativeFrom="page">
                <wp:posOffset>478790</wp:posOffset>
              </wp:positionV>
              <wp:extent cx="6077585" cy="106680"/>
              <wp:wrapNone/>
              <wp:docPr id="1" name="Shape 1"/>
              <a:graphic xmlns:a="http://schemas.openxmlformats.org/drawingml/2006/main">
                <a:graphicData uri="http://schemas.microsoft.com/office/word/2010/wordprocessingShape">
                  <wps:wsp>
                    <wps:cNvSpPr txBox="1"/>
                    <wps:spPr>
                      <a:xfrm>
                        <a:ext cx="6077585" cy="106680"/>
                      </a:xfrm>
                      <a:prstGeom prst="rect"/>
                      <a:noFill/>
                    </wps:spPr>
                    <wps:txbx>
                      <w:txbxContent>
                        <w:p>
                          <w:pPr>
                            <w:pStyle w:val="Style4"/>
                            <w:keepNext w:val="0"/>
                            <w:keepLines w:val="0"/>
                            <w:widowControl w:val="0"/>
                            <w:shd w:val="clear" w:color="auto" w:fill="auto"/>
                            <w:tabs>
                              <w:tab w:pos="9571"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广东国盛金控集团股份有限公司</w:t>
                            <w:tab/>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9.550000000000004pt;margin-top:37.700000000000003pt;width:478.55000000000001pt;height:8.4000000000000004pt;z-index:-188744063;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9571"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广东国盛金控集团股份有限公司</w:t>
                      <w:tab/>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756285</wp:posOffset>
              </wp:positionH>
              <wp:positionV relativeFrom="page">
                <wp:posOffset>561340</wp:posOffset>
              </wp:positionV>
              <wp:extent cx="6077585" cy="106680"/>
              <wp:wrapNone/>
              <wp:docPr id="63" name="Shape 63"/>
              <a:graphic xmlns:a="http://schemas.openxmlformats.org/drawingml/2006/main">
                <a:graphicData uri="http://schemas.microsoft.com/office/word/2010/wordprocessingShape">
                  <wps:wsp>
                    <wps:cNvSpPr txBox="1"/>
                    <wps:spPr>
                      <a:xfrm>
                        <a:ext cx="6077585" cy="106680"/>
                      </a:xfrm>
                      <a:prstGeom prst="rect"/>
                      <a:noFill/>
                    </wps:spPr>
                    <wps:txbx>
                      <w:txbxContent>
                        <w:p>
                          <w:pPr>
                            <w:pStyle w:val="Style71"/>
                            <w:keepNext w:val="0"/>
                            <w:keepLines w:val="0"/>
                            <w:widowControl w:val="0"/>
                            <w:shd w:val="clear" w:color="auto" w:fill="auto"/>
                            <w:tabs>
                              <w:tab w:pos="9571" w:val="right"/>
                            </w:tabs>
                            <w:bidi w:val="0"/>
                            <w:spacing w:before="0" w:after="0" w:line="240" w:lineRule="auto"/>
                            <w:ind w:left="0" w:right="0" w:firstLine="0"/>
                            <w:jc w:val="left"/>
                          </w:pPr>
                          <w:r>
                            <w:rPr>
                              <w:color w:val="000000"/>
                              <w:spacing w:val="0"/>
                              <w:w w:val="100"/>
                              <w:position w:val="0"/>
                            </w:rPr>
                            <w:t>广东国盛金控集团股份有限公司</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089" type="#_x0000_t202" style="position:absolute;margin-left:59.550000000000004pt;margin-top:44.200000000000003pt;width:478.55000000000001pt;height:8.4000000000000004pt;z-index:-188744027;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tabs>
                        <w:tab w:pos="9571" w:val="right"/>
                      </w:tabs>
                      <w:bidi w:val="0"/>
                      <w:spacing w:before="0" w:after="0" w:line="240" w:lineRule="auto"/>
                      <w:ind w:left="0" w:right="0" w:firstLine="0"/>
                      <w:jc w:val="left"/>
                    </w:pPr>
                    <w:r>
                      <w:rPr>
                        <w:color w:val="000000"/>
                        <w:spacing w:val="0"/>
                        <w:w w:val="100"/>
                        <w:position w:val="0"/>
                      </w:rPr>
                      <w:t>广东国盛金控集团股份有限公司</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65" name="Shape 6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951230</wp:posOffset>
              </wp:positionH>
              <wp:positionV relativeFrom="page">
                <wp:posOffset>543560</wp:posOffset>
              </wp:positionV>
              <wp:extent cx="8820785" cy="106680"/>
              <wp:wrapNone/>
              <wp:docPr id="72" name="Shape 72"/>
              <a:graphic xmlns:a="http://schemas.openxmlformats.org/drawingml/2006/main">
                <a:graphicData uri="http://schemas.microsoft.com/office/word/2010/wordprocessingShape">
                  <wps:wsp>
                    <wps:cNvSpPr txBox="1"/>
                    <wps:spPr>
                      <a:xfrm>
                        <a:ext cx="8820785" cy="106680"/>
                      </a:xfrm>
                      <a:prstGeom prst="rect"/>
                      <a:noFill/>
                    </wps:spPr>
                    <wps:txbx>
                      <w:txbxContent>
                        <w:p>
                          <w:pPr>
                            <w:pStyle w:val="Style4"/>
                            <w:keepNext w:val="0"/>
                            <w:keepLines w:val="0"/>
                            <w:widowControl w:val="0"/>
                            <w:shd w:val="clear" w:color="auto" w:fill="auto"/>
                            <w:tabs>
                              <w:tab w:pos="13891"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广东国盛金控集团股份有限公司</w:t>
                            <w:tab/>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098" type="#_x0000_t202" style="position:absolute;margin-left:74.900000000000006pt;margin-top:42.800000000000004pt;width:694.55000000000007pt;height:8.4000000000000004pt;z-index:-188744023;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13891"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广东国盛金控集团股份有限公司</w:t>
                      <w:tab/>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954405</wp:posOffset>
              </wp:positionH>
              <wp:positionV relativeFrom="page">
                <wp:posOffset>558800</wp:posOffset>
              </wp:positionV>
              <wp:extent cx="1578610" cy="106680"/>
              <wp:wrapNone/>
              <wp:docPr id="78" name="Shape 78"/>
              <a:graphic xmlns:a="http://schemas.openxmlformats.org/drawingml/2006/main">
                <a:graphicData uri="http://schemas.microsoft.com/office/word/2010/wordprocessingShape">
                  <wps:wsp>
                    <wps:cNvSpPr txBox="1"/>
                    <wps:spPr>
                      <a:xfrm>
                        <a:ext cx="1578610" cy="10668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广东国盛金控集团股份有限公司</w:t>
                          </w:r>
                        </w:p>
                      </w:txbxContent>
                    </wps:txbx>
                    <wps:bodyPr wrap="none" lIns="0" tIns="0" rIns="0" bIns="0">
                      <a:spAutoFit/>
                    </wps:bodyPr>
                  </wps:wsp>
                </a:graphicData>
              </a:graphic>
            </wp:anchor>
          </w:drawing>
        </mc:Choice>
        <mc:Fallback>
          <w:pict>
            <v:shape id="_x0000_s1104" type="#_x0000_t202" style="position:absolute;margin-left:75.150000000000006pt;margin-top:44.pt;width:124.3pt;height:8.4000000000000004pt;z-index:-188744019;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广东国盛金控集团股份有限公司</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704215</wp:posOffset>
              </wp:positionV>
              <wp:extent cx="8906510" cy="0"/>
              <wp:wrapNone/>
              <wp:docPr id="80" name="Shape 80"/>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450000000000003pt;width:701.30000000000007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951230</wp:posOffset>
              </wp:positionH>
              <wp:positionV relativeFrom="page">
                <wp:posOffset>543560</wp:posOffset>
              </wp:positionV>
              <wp:extent cx="8820785" cy="106680"/>
              <wp:wrapNone/>
              <wp:docPr id="93" name="Shape 93"/>
              <a:graphic xmlns:a="http://schemas.openxmlformats.org/drawingml/2006/main">
                <a:graphicData uri="http://schemas.microsoft.com/office/word/2010/wordprocessingShape">
                  <wps:wsp>
                    <wps:cNvSpPr txBox="1"/>
                    <wps:spPr>
                      <a:xfrm>
                        <a:ext cx="8820785" cy="106680"/>
                      </a:xfrm>
                      <a:prstGeom prst="rect"/>
                      <a:noFill/>
                    </wps:spPr>
                    <wps:txbx>
                      <w:txbxContent>
                        <w:p>
                          <w:pPr>
                            <w:pStyle w:val="Style4"/>
                            <w:keepNext w:val="0"/>
                            <w:keepLines w:val="0"/>
                            <w:widowControl w:val="0"/>
                            <w:shd w:val="clear" w:color="auto" w:fill="auto"/>
                            <w:tabs>
                              <w:tab w:pos="13891"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广东国盛金控集团股份有限公司</w:t>
                            <w:tab/>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119" type="#_x0000_t202" style="position:absolute;margin-left:74.900000000000006pt;margin-top:42.800000000000004pt;width:694.55000000000007pt;height:8.4000000000000004pt;z-index:-188744015;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13891"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广东国盛金控集团股份有限公司</w:t>
                      <w:tab/>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756285</wp:posOffset>
              </wp:positionH>
              <wp:positionV relativeFrom="page">
                <wp:posOffset>561340</wp:posOffset>
              </wp:positionV>
              <wp:extent cx="6077585" cy="106680"/>
              <wp:wrapNone/>
              <wp:docPr id="97" name="Shape 97"/>
              <a:graphic xmlns:a="http://schemas.openxmlformats.org/drawingml/2006/main">
                <a:graphicData uri="http://schemas.microsoft.com/office/word/2010/wordprocessingShape">
                  <wps:wsp>
                    <wps:cNvSpPr txBox="1"/>
                    <wps:spPr>
                      <a:xfrm>
                        <a:ext cx="6077585" cy="106680"/>
                      </a:xfrm>
                      <a:prstGeom prst="rect"/>
                      <a:noFill/>
                    </wps:spPr>
                    <wps:txbx>
                      <w:txbxContent>
                        <w:p>
                          <w:pPr>
                            <w:pStyle w:val="Style71"/>
                            <w:keepNext w:val="0"/>
                            <w:keepLines w:val="0"/>
                            <w:widowControl w:val="0"/>
                            <w:shd w:val="clear" w:color="auto" w:fill="auto"/>
                            <w:tabs>
                              <w:tab w:pos="9571" w:val="right"/>
                            </w:tabs>
                            <w:bidi w:val="0"/>
                            <w:spacing w:before="0" w:after="0" w:line="240" w:lineRule="auto"/>
                            <w:ind w:left="0" w:right="0" w:firstLine="0"/>
                            <w:jc w:val="left"/>
                          </w:pPr>
                          <w:r>
                            <w:rPr>
                              <w:color w:val="000000"/>
                              <w:spacing w:val="0"/>
                              <w:w w:val="100"/>
                              <w:position w:val="0"/>
                            </w:rPr>
                            <w:t>广东国盛金控集团股份有限公司</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123" type="#_x0000_t202" style="position:absolute;margin-left:59.550000000000004pt;margin-top:44.200000000000003pt;width:478.55000000000001pt;height:8.4000000000000004pt;z-index:-188744011;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tabs>
                        <w:tab w:pos="9571" w:val="right"/>
                      </w:tabs>
                      <w:bidi w:val="0"/>
                      <w:spacing w:before="0" w:after="0" w:line="240" w:lineRule="auto"/>
                      <w:ind w:left="0" w:right="0" w:firstLine="0"/>
                      <w:jc w:val="left"/>
                    </w:pPr>
                    <w:r>
                      <w:rPr>
                        <w:color w:val="000000"/>
                        <w:spacing w:val="0"/>
                        <w:w w:val="100"/>
                        <w:position w:val="0"/>
                      </w:rPr>
                      <w:t>广东国盛金控集团股份有限公司</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99" name="Shape 9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920750</wp:posOffset>
              </wp:positionH>
              <wp:positionV relativeFrom="page">
                <wp:posOffset>553720</wp:posOffset>
              </wp:positionV>
              <wp:extent cx="8817610" cy="106680"/>
              <wp:wrapNone/>
              <wp:docPr id="122" name="Shape 122"/>
              <a:graphic xmlns:a="http://schemas.openxmlformats.org/drawingml/2006/main">
                <a:graphicData uri="http://schemas.microsoft.com/office/word/2010/wordprocessingShape">
                  <wps:wsp>
                    <wps:cNvSpPr txBox="1"/>
                    <wps:spPr>
                      <a:xfrm>
                        <a:ext cx="8817610" cy="106680"/>
                      </a:xfrm>
                      <a:prstGeom prst="rect"/>
                      <a:noFill/>
                    </wps:spPr>
                    <wps:txbx>
                      <w:txbxContent>
                        <w:p>
                          <w:pPr>
                            <w:pStyle w:val="Style71"/>
                            <w:keepNext w:val="0"/>
                            <w:keepLines w:val="0"/>
                            <w:widowControl w:val="0"/>
                            <w:shd w:val="clear" w:color="auto" w:fill="auto"/>
                            <w:tabs>
                              <w:tab w:pos="13886" w:val="right"/>
                            </w:tabs>
                            <w:bidi w:val="0"/>
                            <w:spacing w:before="0" w:after="0" w:line="240" w:lineRule="auto"/>
                            <w:ind w:left="0" w:right="0" w:firstLine="0"/>
                            <w:jc w:val="left"/>
                          </w:pPr>
                          <w:r>
                            <w:rPr>
                              <w:color w:val="000000"/>
                              <w:spacing w:val="0"/>
                              <w:w w:val="100"/>
                              <w:position w:val="0"/>
                              <w:u w:val="single"/>
                            </w:rPr>
                            <w:t>广东国盛金控集团股份有限公司</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148" type="#_x0000_t202" style="position:absolute;margin-left:72.5pt;margin-top:43.600000000000001pt;width:694.30000000000007pt;height:8.4000000000000004pt;z-index:-188744007;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tabs>
                        <w:tab w:pos="13886" w:val="right"/>
                      </w:tabs>
                      <w:bidi w:val="0"/>
                      <w:spacing w:before="0" w:after="0" w:line="240" w:lineRule="auto"/>
                      <w:ind w:left="0" w:right="0" w:firstLine="0"/>
                      <w:jc w:val="left"/>
                    </w:pPr>
                    <w:r>
                      <w:rPr>
                        <w:color w:val="000000"/>
                        <w:spacing w:val="0"/>
                        <w:w w:val="100"/>
                        <w:position w:val="0"/>
                        <w:u w:val="single"/>
                      </w:rPr>
                      <w:t>广东国盛金控集团股份有限公司</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699770</wp:posOffset>
              </wp:positionV>
              <wp:extent cx="8906510" cy="0"/>
              <wp:wrapNone/>
              <wp:docPr id="124" name="Shape 124"/>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100000000000001pt;width:701.30000000000007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721360</wp:posOffset>
              </wp:positionH>
              <wp:positionV relativeFrom="page">
                <wp:posOffset>561340</wp:posOffset>
              </wp:positionV>
              <wp:extent cx="6019800" cy="106680"/>
              <wp:wrapNone/>
              <wp:docPr id="127" name="Shape 127"/>
              <a:graphic xmlns:a="http://schemas.openxmlformats.org/drawingml/2006/main">
                <a:graphicData uri="http://schemas.microsoft.com/office/word/2010/wordprocessingShape">
                  <wps:wsp>
                    <wps:cNvSpPr txBox="1"/>
                    <wps:spPr>
                      <a:xfrm>
                        <a:ext cx="6019800" cy="106680"/>
                      </a:xfrm>
                      <a:prstGeom prst="rect"/>
                      <a:noFill/>
                    </wps:spPr>
                    <wps:txbx>
                      <w:txbxContent>
                        <w:p>
                          <w:pPr>
                            <w:pStyle w:val="Style71"/>
                            <w:keepNext w:val="0"/>
                            <w:keepLines w:val="0"/>
                            <w:widowControl w:val="0"/>
                            <w:shd w:val="clear" w:color="auto" w:fill="auto"/>
                            <w:tabs>
                              <w:tab w:pos="9480" w:val="right"/>
                            </w:tabs>
                            <w:bidi w:val="0"/>
                            <w:spacing w:before="0" w:after="0" w:line="240" w:lineRule="auto"/>
                            <w:ind w:left="0" w:right="0" w:firstLine="0"/>
                            <w:jc w:val="left"/>
                          </w:pPr>
                          <w:r>
                            <w:rPr>
                              <w:color w:val="000000"/>
                              <w:spacing w:val="0"/>
                              <w:w w:val="100"/>
                              <w:position w:val="0"/>
                            </w:rPr>
                            <w:t>广东国盛金控集团股份有限公司</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153" type="#_x0000_t202" style="position:absolute;margin-left:56.800000000000004pt;margin-top:44.200000000000003pt;width:474.pt;height:8.4000000000000004pt;z-index:-188744003;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tabs>
                        <w:tab w:pos="9480" w:val="right"/>
                      </w:tabs>
                      <w:bidi w:val="0"/>
                      <w:spacing w:before="0" w:after="0" w:line="240" w:lineRule="auto"/>
                      <w:ind w:left="0" w:right="0" w:firstLine="0"/>
                      <w:jc w:val="left"/>
                    </w:pPr>
                    <w:r>
                      <w:rPr>
                        <w:color w:val="000000"/>
                        <w:spacing w:val="0"/>
                        <w:w w:val="100"/>
                        <w:position w:val="0"/>
                      </w:rPr>
                      <w:t>广东国盛金控集团股份有限公司</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694055</wp:posOffset>
              </wp:positionH>
              <wp:positionV relativeFrom="page">
                <wp:posOffset>707390</wp:posOffset>
              </wp:positionV>
              <wp:extent cx="6163310" cy="0"/>
              <wp:wrapNone/>
              <wp:docPr id="129" name="Shape 12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49999999999999pt;margin-top:55.700000000000003pt;width:485.30000000000001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920750</wp:posOffset>
              </wp:positionH>
              <wp:positionV relativeFrom="page">
                <wp:posOffset>543560</wp:posOffset>
              </wp:positionV>
              <wp:extent cx="8817610" cy="106680"/>
              <wp:wrapNone/>
              <wp:docPr id="134" name="Shape 134"/>
              <a:graphic xmlns:a="http://schemas.openxmlformats.org/drawingml/2006/main">
                <a:graphicData uri="http://schemas.microsoft.com/office/word/2010/wordprocessingShape">
                  <wps:wsp>
                    <wps:cNvSpPr txBox="1"/>
                    <wps:spPr>
                      <a:xfrm>
                        <a:ext cx="8817610" cy="106680"/>
                      </a:xfrm>
                      <a:prstGeom prst="rect"/>
                      <a:noFill/>
                    </wps:spPr>
                    <wps:txbx>
                      <w:txbxContent>
                        <w:p>
                          <w:pPr>
                            <w:pStyle w:val="Style71"/>
                            <w:keepNext w:val="0"/>
                            <w:keepLines w:val="0"/>
                            <w:widowControl w:val="0"/>
                            <w:shd w:val="clear" w:color="auto" w:fill="auto"/>
                            <w:tabs>
                              <w:tab w:pos="13886" w:val="right"/>
                            </w:tabs>
                            <w:bidi w:val="0"/>
                            <w:spacing w:before="0" w:after="0" w:line="240" w:lineRule="auto"/>
                            <w:ind w:left="0" w:right="0" w:firstLine="0"/>
                            <w:jc w:val="left"/>
                          </w:pPr>
                          <w:r>
                            <w:rPr>
                              <w:color w:val="000000"/>
                              <w:spacing w:val="0"/>
                              <w:w w:val="100"/>
                              <w:position w:val="0"/>
                              <w:u w:val="single"/>
                            </w:rPr>
                            <w:t>广东国盛金控集团股份有限公司</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160" type="#_x0000_t202" style="position:absolute;margin-left:72.5pt;margin-top:42.800000000000004pt;width:694.30000000000007pt;height:8.4000000000000004pt;z-index:-188743999;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tabs>
                        <w:tab w:pos="13886" w:val="right"/>
                      </w:tabs>
                      <w:bidi w:val="0"/>
                      <w:spacing w:before="0" w:after="0" w:line="240" w:lineRule="auto"/>
                      <w:ind w:left="0" w:right="0" w:firstLine="0"/>
                      <w:jc w:val="left"/>
                    </w:pPr>
                    <w:r>
                      <w:rPr>
                        <w:color w:val="000000"/>
                        <w:spacing w:val="0"/>
                        <w:w w:val="100"/>
                        <w:position w:val="0"/>
                        <w:u w:val="single"/>
                      </w:rPr>
                      <w:t>广东国盛金控集团股份有限公司</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719455</wp:posOffset>
              </wp:positionV>
              <wp:extent cx="8906510" cy="0"/>
              <wp:wrapNone/>
              <wp:docPr id="136" name="Shape 136"/>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6.649999999999999pt;width:701.30000000000007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721360</wp:posOffset>
              </wp:positionH>
              <wp:positionV relativeFrom="page">
                <wp:posOffset>561340</wp:posOffset>
              </wp:positionV>
              <wp:extent cx="6019800" cy="106680"/>
              <wp:wrapNone/>
              <wp:docPr id="145" name="Shape 145"/>
              <a:graphic xmlns:a="http://schemas.openxmlformats.org/drawingml/2006/main">
                <a:graphicData uri="http://schemas.microsoft.com/office/word/2010/wordprocessingShape">
                  <wps:wsp>
                    <wps:cNvSpPr txBox="1"/>
                    <wps:spPr>
                      <a:xfrm>
                        <a:ext cx="6019800" cy="106680"/>
                      </a:xfrm>
                      <a:prstGeom prst="rect"/>
                      <a:noFill/>
                    </wps:spPr>
                    <wps:txbx>
                      <w:txbxContent>
                        <w:p>
                          <w:pPr>
                            <w:pStyle w:val="Style71"/>
                            <w:keepNext w:val="0"/>
                            <w:keepLines w:val="0"/>
                            <w:widowControl w:val="0"/>
                            <w:shd w:val="clear" w:color="auto" w:fill="auto"/>
                            <w:tabs>
                              <w:tab w:pos="9480" w:val="right"/>
                            </w:tabs>
                            <w:bidi w:val="0"/>
                            <w:spacing w:before="0" w:after="0" w:line="240" w:lineRule="auto"/>
                            <w:ind w:left="0" w:right="0" w:firstLine="0"/>
                            <w:jc w:val="left"/>
                          </w:pPr>
                          <w:r>
                            <w:rPr>
                              <w:color w:val="000000"/>
                              <w:spacing w:val="0"/>
                              <w:w w:val="100"/>
                              <w:position w:val="0"/>
                            </w:rPr>
                            <w:t>广东国盛金控集团股份有限公司</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171" type="#_x0000_t202" style="position:absolute;margin-left:56.800000000000004pt;margin-top:44.200000000000003pt;width:474.pt;height:8.4000000000000004pt;z-index:-188743995;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tabs>
                        <w:tab w:pos="9480" w:val="right"/>
                      </w:tabs>
                      <w:bidi w:val="0"/>
                      <w:spacing w:before="0" w:after="0" w:line="240" w:lineRule="auto"/>
                      <w:ind w:left="0" w:right="0" w:firstLine="0"/>
                      <w:jc w:val="left"/>
                    </w:pPr>
                    <w:r>
                      <w:rPr>
                        <w:color w:val="000000"/>
                        <w:spacing w:val="0"/>
                        <w:w w:val="100"/>
                        <w:position w:val="0"/>
                      </w:rPr>
                      <w:t>广东国盛金控集团股份有限公司</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694055</wp:posOffset>
              </wp:positionH>
              <wp:positionV relativeFrom="page">
                <wp:posOffset>707390</wp:posOffset>
              </wp:positionV>
              <wp:extent cx="6163310" cy="0"/>
              <wp:wrapNone/>
              <wp:docPr id="147" name="Shape 14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49999999999999pt;margin-top:55.700000000000003pt;width:485.30000000000001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920750</wp:posOffset>
              </wp:positionH>
              <wp:positionV relativeFrom="page">
                <wp:posOffset>543560</wp:posOffset>
              </wp:positionV>
              <wp:extent cx="8817610" cy="106680"/>
              <wp:wrapNone/>
              <wp:docPr id="150" name="Shape 150"/>
              <a:graphic xmlns:a="http://schemas.openxmlformats.org/drawingml/2006/main">
                <a:graphicData uri="http://schemas.microsoft.com/office/word/2010/wordprocessingShape">
                  <wps:wsp>
                    <wps:cNvSpPr txBox="1"/>
                    <wps:spPr>
                      <a:xfrm>
                        <a:ext cx="8817610" cy="106680"/>
                      </a:xfrm>
                      <a:prstGeom prst="rect"/>
                      <a:noFill/>
                    </wps:spPr>
                    <wps:txbx>
                      <w:txbxContent>
                        <w:p>
                          <w:pPr>
                            <w:pStyle w:val="Style71"/>
                            <w:keepNext w:val="0"/>
                            <w:keepLines w:val="0"/>
                            <w:widowControl w:val="0"/>
                            <w:shd w:val="clear" w:color="auto" w:fill="auto"/>
                            <w:tabs>
                              <w:tab w:pos="13886" w:val="right"/>
                            </w:tabs>
                            <w:bidi w:val="0"/>
                            <w:spacing w:before="0" w:after="0" w:line="240" w:lineRule="auto"/>
                            <w:ind w:left="0" w:right="0" w:firstLine="0"/>
                            <w:jc w:val="left"/>
                          </w:pPr>
                          <w:r>
                            <w:rPr>
                              <w:color w:val="000000"/>
                              <w:spacing w:val="0"/>
                              <w:w w:val="100"/>
                              <w:position w:val="0"/>
                              <w:u w:val="single"/>
                            </w:rPr>
                            <w:t>广东国盛金控集团股份有限公司</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176" type="#_x0000_t202" style="position:absolute;margin-left:72.5pt;margin-top:42.800000000000004pt;width:694.30000000000007pt;height:8.4000000000000004pt;z-index:-188743991;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tabs>
                        <w:tab w:pos="13886" w:val="right"/>
                      </w:tabs>
                      <w:bidi w:val="0"/>
                      <w:spacing w:before="0" w:after="0" w:line="240" w:lineRule="auto"/>
                      <w:ind w:left="0" w:right="0" w:firstLine="0"/>
                      <w:jc w:val="left"/>
                    </w:pPr>
                    <w:r>
                      <w:rPr>
                        <w:color w:val="000000"/>
                        <w:spacing w:val="0"/>
                        <w:w w:val="100"/>
                        <w:position w:val="0"/>
                        <w:u w:val="single"/>
                      </w:rPr>
                      <w:t>广东国盛金控集团股份有限公司</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719455</wp:posOffset>
              </wp:positionV>
              <wp:extent cx="8906510" cy="0"/>
              <wp:wrapNone/>
              <wp:docPr id="152" name="Shape 152"/>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6.649999999999999pt;width:701.30000000000007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732790</wp:posOffset>
              </wp:positionH>
              <wp:positionV relativeFrom="page">
                <wp:posOffset>546100</wp:posOffset>
              </wp:positionV>
              <wp:extent cx="6077585" cy="106680"/>
              <wp:wrapNone/>
              <wp:docPr id="6" name="Shape 6"/>
              <a:graphic xmlns:a="http://schemas.openxmlformats.org/drawingml/2006/main">
                <a:graphicData uri="http://schemas.microsoft.com/office/word/2010/wordprocessingShape">
                  <wps:wsp>
                    <wps:cNvSpPr txBox="1"/>
                    <wps:spPr>
                      <a:xfrm>
                        <a:ext cx="6077585" cy="106680"/>
                      </a:xfrm>
                      <a:prstGeom prst="rect"/>
                      <a:noFill/>
                    </wps:spPr>
                    <wps:txbx>
                      <w:txbxContent>
                        <w:p>
                          <w:pPr>
                            <w:pStyle w:val="Style4"/>
                            <w:keepNext w:val="0"/>
                            <w:keepLines w:val="0"/>
                            <w:widowControl w:val="0"/>
                            <w:shd w:val="clear" w:color="auto" w:fill="auto"/>
                            <w:tabs>
                              <w:tab w:pos="9571"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广东国盛金控集团股份有限公司</w:t>
                            <w:tab/>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032" type="#_x0000_t202" style="position:absolute;margin-left:57.700000000000003pt;margin-top:43.pt;width:478.55000000000001pt;height:8.4000000000000004pt;z-index:-188744059;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9571"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广东国盛金控集团股份有限公司</w:t>
                      <w:tab/>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671830</wp:posOffset>
              </wp:positionH>
              <wp:positionV relativeFrom="page">
                <wp:posOffset>707390</wp:posOffset>
              </wp:positionV>
              <wp:extent cx="6163310" cy="0"/>
              <wp:wrapNone/>
              <wp:docPr id="8" name="Shape 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899999999999999pt;margin-top:55.700000000000003pt;width:485.30000000000001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721360</wp:posOffset>
              </wp:positionH>
              <wp:positionV relativeFrom="page">
                <wp:posOffset>561340</wp:posOffset>
              </wp:positionV>
              <wp:extent cx="6019800" cy="106680"/>
              <wp:wrapNone/>
              <wp:docPr id="155" name="Shape 155"/>
              <a:graphic xmlns:a="http://schemas.openxmlformats.org/drawingml/2006/main">
                <a:graphicData uri="http://schemas.microsoft.com/office/word/2010/wordprocessingShape">
                  <wps:wsp>
                    <wps:cNvSpPr txBox="1"/>
                    <wps:spPr>
                      <a:xfrm>
                        <a:ext cx="6019800" cy="106680"/>
                      </a:xfrm>
                      <a:prstGeom prst="rect"/>
                      <a:noFill/>
                    </wps:spPr>
                    <wps:txbx>
                      <w:txbxContent>
                        <w:p>
                          <w:pPr>
                            <w:pStyle w:val="Style71"/>
                            <w:keepNext w:val="0"/>
                            <w:keepLines w:val="0"/>
                            <w:widowControl w:val="0"/>
                            <w:shd w:val="clear" w:color="auto" w:fill="auto"/>
                            <w:tabs>
                              <w:tab w:pos="9480" w:val="right"/>
                            </w:tabs>
                            <w:bidi w:val="0"/>
                            <w:spacing w:before="0" w:after="0" w:line="240" w:lineRule="auto"/>
                            <w:ind w:left="0" w:right="0" w:firstLine="0"/>
                            <w:jc w:val="left"/>
                          </w:pPr>
                          <w:r>
                            <w:rPr>
                              <w:color w:val="000000"/>
                              <w:spacing w:val="0"/>
                              <w:w w:val="100"/>
                              <w:position w:val="0"/>
                            </w:rPr>
                            <w:t>广东国盛金控集团股份有限公司</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181" type="#_x0000_t202" style="position:absolute;margin-left:56.800000000000004pt;margin-top:44.200000000000003pt;width:474.pt;height:8.4000000000000004pt;z-index:-188743987;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tabs>
                        <w:tab w:pos="9480" w:val="right"/>
                      </w:tabs>
                      <w:bidi w:val="0"/>
                      <w:spacing w:before="0" w:after="0" w:line="240" w:lineRule="auto"/>
                      <w:ind w:left="0" w:right="0" w:firstLine="0"/>
                      <w:jc w:val="left"/>
                    </w:pPr>
                    <w:r>
                      <w:rPr>
                        <w:color w:val="000000"/>
                        <w:spacing w:val="0"/>
                        <w:w w:val="100"/>
                        <w:position w:val="0"/>
                      </w:rPr>
                      <w:t>广东国盛金控集团股份有限公司</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694055</wp:posOffset>
              </wp:positionH>
              <wp:positionV relativeFrom="page">
                <wp:posOffset>707390</wp:posOffset>
              </wp:positionV>
              <wp:extent cx="6163310" cy="0"/>
              <wp:wrapNone/>
              <wp:docPr id="157" name="Shape 15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49999999999999pt;margin-top:55.700000000000003pt;width:485.30000000000001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920750</wp:posOffset>
              </wp:positionH>
              <wp:positionV relativeFrom="page">
                <wp:posOffset>558165</wp:posOffset>
              </wp:positionV>
              <wp:extent cx="8817610" cy="106680"/>
              <wp:wrapNone/>
              <wp:docPr id="162" name="Shape 162"/>
              <a:graphic xmlns:a="http://schemas.openxmlformats.org/drawingml/2006/main">
                <a:graphicData uri="http://schemas.microsoft.com/office/word/2010/wordprocessingShape">
                  <wps:wsp>
                    <wps:cNvSpPr txBox="1"/>
                    <wps:spPr>
                      <a:xfrm>
                        <a:ext cx="8817610" cy="106680"/>
                      </a:xfrm>
                      <a:prstGeom prst="rect"/>
                      <a:noFill/>
                    </wps:spPr>
                    <wps:txbx>
                      <w:txbxContent>
                        <w:p>
                          <w:pPr>
                            <w:pStyle w:val="Style71"/>
                            <w:keepNext w:val="0"/>
                            <w:keepLines w:val="0"/>
                            <w:widowControl w:val="0"/>
                            <w:shd w:val="clear" w:color="auto" w:fill="auto"/>
                            <w:tabs>
                              <w:tab w:pos="13886" w:val="right"/>
                            </w:tabs>
                            <w:bidi w:val="0"/>
                            <w:spacing w:before="0" w:after="0" w:line="240" w:lineRule="auto"/>
                            <w:ind w:left="0" w:right="0" w:firstLine="0"/>
                            <w:jc w:val="left"/>
                          </w:pPr>
                          <w:r>
                            <w:rPr>
                              <w:color w:val="000000"/>
                              <w:spacing w:val="0"/>
                              <w:w w:val="100"/>
                              <w:position w:val="0"/>
                            </w:rPr>
                            <w:t>广东国盛金控集团股份有限公司</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188" type="#_x0000_t202" style="position:absolute;margin-left:72.5pt;margin-top:43.950000000000003pt;width:694.30000000000007pt;height:8.4000000000000004pt;z-index:-188743983;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tabs>
                        <w:tab w:pos="13886" w:val="right"/>
                      </w:tabs>
                      <w:bidi w:val="0"/>
                      <w:spacing w:before="0" w:after="0" w:line="240" w:lineRule="auto"/>
                      <w:ind w:left="0" w:right="0" w:firstLine="0"/>
                      <w:jc w:val="left"/>
                    </w:pPr>
                    <w:r>
                      <w:rPr>
                        <w:color w:val="000000"/>
                        <w:spacing w:val="0"/>
                        <w:w w:val="100"/>
                        <w:position w:val="0"/>
                      </w:rPr>
                      <w:t>广东国盛金控集团股份有限公司</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704215</wp:posOffset>
              </wp:positionV>
              <wp:extent cx="8906510" cy="0"/>
              <wp:wrapNone/>
              <wp:docPr id="164" name="Shape 164"/>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450000000000003pt;width:701.30000000000007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721360</wp:posOffset>
              </wp:positionH>
              <wp:positionV relativeFrom="page">
                <wp:posOffset>561340</wp:posOffset>
              </wp:positionV>
              <wp:extent cx="6019800" cy="106680"/>
              <wp:wrapNone/>
              <wp:docPr id="167" name="Shape 167"/>
              <a:graphic xmlns:a="http://schemas.openxmlformats.org/drawingml/2006/main">
                <a:graphicData uri="http://schemas.microsoft.com/office/word/2010/wordprocessingShape">
                  <wps:wsp>
                    <wps:cNvSpPr txBox="1"/>
                    <wps:spPr>
                      <a:xfrm>
                        <a:ext cx="6019800" cy="106680"/>
                      </a:xfrm>
                      <a:prstGeom prst="rect"/>
                      <a:noFill/>
                    </wps:spPr>
                    <wps:txbx>
                      <w:txbxContent>
                        <w:p>
                          <w:pPr>
                            <w:pStyle w:val="Style71"/>
                            <w:keepNext w:val="0"/>
                            <w:keepLines w:val="0"/>
                            <w:widowControl w:val="0"/>
                            <w:shd w:val="clear" w:color="auto" w:fill="auto"/>
                            <w:tabs>
                              <w:tab w:pos="9480" w:val="right"/>
                            </w:tabs>
                            <w:bidi w:val="0"/>
                            <w:spacing w:before="0" w:after="0" w:line="240" w:lineRule="auto"/>
                            <w:ind w:left="0" w:right="0" w:firstLine="0"/>
                            <w:jc w:val="left"/>
                          </w:pPr>
                          <w:r>
                            <w:rPr>
                              <w:color w:val="000000"/>
                              <w:spacing w:val="0"/>
                              <w:w w:val="100"/>
                              <w:position w:val="0"/>
                            </w:rPr>
                            <w:t>广东国盛金控集团股份有限公司</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193" type="#_x0000_t202" style="position:absolute;margin-left:56.800000000000004pt;margin-top:44.200000000000003pt;width:474.pt;height:8.4000000000000004pt;z-index:-188743979;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tabs>
                        <w:tab w:pos="9480" w:val="right"/>
                      </w:tabs>
                      <w:bidi w:val="0"/>
                      <w:spacing w:before="0" w:after="0" w:line="240" w:lineRule="auto"/>
                      <w:ind w:left="0" w:right="0" w:firstLine="0"/>
                      <w:jc w:val="left"/>
                    </w:pPr>
                    <w:r>
                      <w:rPr>
                        <w:color w:val="000000"/>
                        <w:spacing w:val="0"/>
                        <w:w w:val="100"/>
                        <w:position w:val="0"/>
                      </w:rPr>
                      <w:t>广东国盛金控集团股份有限公司</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694055</wp:posOffset>
              </wp:positionH>
              <wp:positionV relativeFrom="page">
                <wp:posOffset>707390</wp:posOffset>
              </wp:positionV>
              <wp:extent cx="6163310" cy="0"/>
              <wp:wrapNone/>
              <wp:docPr id="169" name="Shape 16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49999999999999pt;margin-top:55.700000000000003pt;width:485.30000000000001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920750</wp:posOffset>
              </wp:positionH>
              <wp:positionV relativeFrom="page">
                <wp:posOffset>543560</wp:posOffset>
              </wp:positionV>
              <wp:extent cx="6074410" cy="106680"/>
              <wp:wrapNone/>
              <wp:docPr id="172" name="Shape 172"/>
              <a:graphic xmlns:a="http://schemas.openxmlformats.org/drawingml/2006/main">
                <a:graphicData uri="http://schemas.microsoft.com/office/word/2010/wordprocessingShape">
                  <wps:wsp>
                    <wps:cNvSpPr txBox="1"/>
                    <wps:spPr>
                      <a:xfrm>
                        <a:ext cx="6074410" cy="106680"/>
                      </a:xfrm>
                      <a:prstGeom prst="rect"/>
                      <a:noFill/>
                    </wps:spPr>
                    <wps:txbx>
                      <w:txbxContent>
                        <w:p>
                          <w:pPr>
                            <w:pStyle w:val="Style71"/>
                            <w:keepNext w:val="0"/>
                            <w:keepLines w:val="0"/>
                            <w:widowControl w:val="0"/>
                            <w:shd w:val="clear" w:color="auto" w:fill="auto"/>
                            <w:tabs>
                              <w:tab w:pos="9566" w:val="right"/>
                            </w:tabs>
                            <w:bidi w:val="0"/>
                            <w:spacing w:before="0" w:after="0" w:line="240" w:lineRule="auto"/>
                            <w:ind w:left="0" w:right="0" w:firstLine="0"/>
                            <w:jc w:val="left"/>
                          </w:pPr>
                          <w:r>
                            <w:rPr>
                              <w:color w:val="000000"/>
                              <w:spacing w:val="0"/>
                              <w:w w:val="100"/>
                              <w:position w:val="0"/>
                              <w:u w:val="single"/>
                            </w:rPr>
                            <w:t>广东国盛金控集团股份有限公司</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198" type="#_x0000_t202" style="position:absolute;margin-left:72.5pt;margin-top:42.800000000000004pt;width:478.30000000000001pt;height:8.4000000000000004pt;z-index:-188743975;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tabs>
                        <w:tab w:pos="9566" w:val="right"/>
                      </w:tabs>
                      <w:bidi w:val="0"/>
                      <w:spacing w:before="0" w:after="0" w:line="240" w:lineRule="auto"/>
                      <w:ind w:left="0" w:right="0" w:firstLine="0"/>
                      <w:jc w:val="left"/>
                    </w:pPr>
                    <w:r>
                      <w:rPr>
                        <w:color w:val="000000"/>
                        <w:spacing w:val="0"/>
                        <w:w w:val="100"/>
                        <w:position w:val="0"/>
                        <w:u w:val="single"/>
                      </w:rPr>
                      <w:t>广东国盛金控集团股份有限公司</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719455</wp:posOffset>
              </wp:positionV>
              <wp:extent cx="8906510" cy="0"/>
              <wp:wrapNone/>
              <wp:docPr id="174" name="Shape 174"/>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6.649999999999999pt;width:701.30000000000007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721360</wp:posOffset>
              </wp:positionH>
              <wp:positionV relativeFrom="page">
                <wp:posOffset>561340</wp:posOffset>
              </wp:positionV>
              <wp:extent cx="6019800" cy="106680"/>
              <wp:wrapNone/>
              <wp:docPr id="177" name="Shape 177"/>
              <a:graphic xmlns:a="http://schemas.openxmlformats.org/drawingml/2006/main">
                <a:graphicData uri="http://schemas.microsoft.com/office/word/2010/wordprocessingShape">
                  <wps:wsp>
                    <wps:cNvSpPr txBox="1"/>
                    <wps:spPr>
                      <a:xfrm>
                        <a:ext cx="6019800" cy="106680"/>
                      </a:xfrm>
                      <a:prstGeom prst="rect"/>
                      <a:noFill/>
                    </wps:spPr>
                    <wps:txbx>
                      <w:txbxContent>
                        <w:p>
                          <w:pPr>
                            <w:pStyle w:val="Style71"/>
                            <w:keepNext w:val="0"/>
                            <w:keepLines w:val="0"/>
                            <w:widowControl w:val="0"/>
                            <w:shd w:val="clear" w:color="auto" w:fill="auto"/>
                            <w:tabs>
                              <w:tab w:pos="9480" w:val="right"/>
                            </w:tabs>
                            <w:bidi w:val="0"/>
                            <w:spacing w:before="0" w:after="0" w:line="240" w:lineRule="auto"/>
                            <w:ind w:left="0" w:right="0" w:firstLine="0"/>
                            <w:jc w:val="left"/>
                          </w:pPr>
                          <w:r>
                            <w:rPr>
                              <w:color w:val="000000"/>
                              <w:spacing w:val="0"/>
                              <w:w w:val="100"/>
                              <w:position w:val="0"/>
                            </w:rPr>
                            <w:t>广东国盛金控集团股份有限公司</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203" type="#_x0000_t202" style="position:absolute;margin-left:56.800000000000004pt;margin-top:44.200000000000003pt;width:474.pt;height:8.4000000000000004pt;z-index:-188743971;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tabs>
                        <w:tab w:pos="9480" w:val="right"/>
                      </w:tabs>
                      <w:bidi w:val="0"/>
                      <w:spacing w:before="0" w:after="0" w:line="240" w:lineRule="auto"/>
                      <w:ind w:left="0" w:right="0" w:firstLine="0"/>
                      <w:jc w:val="left"/>
                    </w:pPr>
                    <w:r>
                      <w:rPr>
                        <w:color w:val="000000"/>
                        <w:spacing w:val="0"/>
                        <w:w w:val="100"/>
                        <w:position w:val="0"/>
                      </w:rPr>
                      <w:t>广东国盛金控集团股份有限公司</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694055</wp:posOffset>
              </wp:positionH>
              <wp:positionV relativeFrom="page">
                <wp:posOffset>707390</wp:posOffset>
              </wp:positionV>
              <wp:extent cx="6163310" cy="0"/>
              <wp:wrapNone/>
              <wp:docPr id="179" name="Shape 17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49999999999999pt;margin-top:55.700000000000003pt;width:485.30000000000001pt;height:0;z-index:-251658240;mso-position-horizontal-relative:page;mso-position-vertical-relative:page">
              <v:stroke weight="1.pt"/>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920750</wp:posOffset>
              </wp:positionH>
              <wp:positionV relativeFrom="page">
                <wp:posOffset>558165</wp:posOffset>
              </wp:positionV>
              <wp:extent cx="8817610" cy="106680"/>
              <wp:wrapNone/>
              <wp:docPr id="182" name="Shape 182"/>
              <a:graphic xmlns:a="http://schemas.openxmlformats.org/drawingml/2006/main">
                <a:graphicData uri="http://schemas.microsoft.com/office/word/2010/wordprocessingShape">
                  <wps:wsp>
                    <wps:cNvSpPr txBox="1"/>
                    <wps:spPr>
                      <a:xfrm>
                        <a:ext cx="8817610" cy="106680"/>
                      </a:xfrm>
                      <a:prstGeom prst="rect"/>
                      <a:noFill/>
                    </wps:spPr>
                    <wps:txbx>
                      <w:txbxContent>
                        <w:p>
                          <w:pPr>
                            <w:pStyle w:val="Style71"/>
                            <w:keepNext w:val="0"/>
                            <w:keepLines w:val="0"/>
                            <w:widowControl w:val="0"/>
                            <w:shd w:val="clear" w:color="auto" w:fill="auto"/>
                            <w:tabs>
                              <w:tab w:pos="13886" w:val="right"/>
                            </w:tabs>
                            <w:bidi w:val="0"/>
                            <w:spacing w:before="0" w:after="0" w:line="240" w:lineRule="auto"/>
                            <w:ind w:left="0" w:right="0" w:firstLine="0"/>
                            <w:jc w:val="left"/>
                          </w:pPr>
                          <w:r>
                            <w:rPr>
                              <w:color w:val="000000"/>
                              <w:spacing w:val="0"/>
                              <w:w w:val="100"/>
                              <w:position w:val="0"/>
                              <w:u w:val="single"/>
                            </w:rPr>
                            <w:t>广东国盛金控集团股份有限公司</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208" type="#_x0000_t202" style="position:absolute;margin-left:72.5pt;margin-top:43.950000000000003pt;width:694.30000000000007pt;height:8.4000000000000004pt;z-index:-188743967;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tabs>
                        <w:tab w:pos="13886" w:val="right"/>
                      </w:tabs>
                      <w:bidi w:val="0"/>
                      <w:spacing w:before="0" w:after="0" w:line="240" w:lineRule="auto"/>
                      <w:ind w:left="0" w:right="0" w:firstLine="0"/>
                      <w:jc w:val="left"/>
                    </w:pPr>
                    <w:r>
                      <w:rPr>
                        <w:color w:val="000000"/>
                        <w:spacing w:val="0"/>
                        <w:w w:val="100"/>
                        <w:position w:val="0"/>
                        <w:u w:val="single"/>
                      </w:rPr>
                      <w:t>广东国盛金控集团股份有限公司</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704215</wp:posOffset>
              </wp:positionV>
              <wp:extent cx="8906510" cy="0"/>
              <wp:wrapNone/>
              <wp:docPr id="184" name="Shape 184"/>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450000000000003pt;width:701.30000000000007pt;height:0;z-index:-251658240;mso-position-horizontal-relative:page;mso-position-vertical-relative:page">
              <v:stroke weight="1.pt"/>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721360</wp:posOffset>
              </wp:positionH>
              <wp:positionV relativeFrom="page">
                <wp:posOffset>561340</wp:posOffset>
              </wp:positionV>
              <wp:extent cx="6019800" cy="106680"/>
              <wp:wrapNone/>
              <wp:docPr id="187" name="Shape 187"/>
              <a:graphic xmlns:a="http://schemas.openxmlformats.org/drawingml/2006/main">
                <a:graphicData uri="http://schemas.microsoft.com/office/word/2010/wordprocessingShape">
                  <wps:wsp>
                    <wps:cNvSpPr txBox="1"/>
                    <wps:spPr>
                      <a:xfrm>
                        <a:ext cx="6019800" cy="106680"/>
                      </a:xfrm>
                      <a:prstGeom prst="rect"/>
                      <a:noFill/>
                    </wps:spPr>
                    <wps:txbx>
                      <w:txbxContent>
                        <w:p>
                          <w:pPr>
                            <w:pStyle w:val="Style71"/>
                            <w:keepNext w:val="0"/>
                            <w:keepLines w:val="0"/>
                            <w:widowControl w:val="0"/>
                            <w:shd w:val="clear" w:color="auto" w:fill="auto"/>
                            <w:tabs>
                              <w:tab w:pos="9480" w:val="right"/>
                            </w:tabs>
                            <w:bidi w:val="0"/>
                            <w:spacing w:before="0" w:after="0" w:line="240" w:lineRule="auto"/>
                            <w:ind w:left="0" w:right="0" w:firstLine="0"/>
                            <w:jc w:val="left"/>
                          </w:pPr>
                          <w:r>
                            <w:rPr>
                              <w:color w:val="000000"/>
                              <w:spacing w:val="0"/>
                              <w:w w:val="100"/>
                              <w:position w:val="0"/>
                            </w:rPr>
                            <w:t>广东国盛金控集团股份有限公司</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213" type="#_x0000_t202" style="position:absolute;margin-left:56.800000000000004pt;margin-top:44.200000000000003pt;width:474.pt;height:8.4000000000000004pt;z-index:-188743963;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tabs>
                        <w:tab w:pos="9480" w:val="right"/>
                      </w:tabs>
                      <w:bidi w:val="0"/>
                      <w:spacing w:before="0" w:after="0" w:line="240" w:lineRule="auto"/>
                      <w:ind w:left="0" w:right="0" w:firstLine="0"/>
                      <w:jc w:val="left"/>
                    </w:pPr>
                    <w:r>
                      <w:rPr>
                        <w:color w:val="000000"/>
                        <w:spacing w:val="0"/>
                        <w:w w:val="100"/>
                        <w:position w:val="0"/>
                      </w:rPr>
                      <w:t>广东国盛金控集团股份有限公司</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694055</wp:posOffset>
              </wp:positionH>
              <wp:positionV relativeFrom="page">
                <wp:posOffset>707390</wp:posOffset>
              </wp:positionV>
              <wp:extent cx="6163310" cy="0"/>
              <wp:wrapNone/>
              <wp:docPr id="189" name="Shape 18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49999999999999pt;margin-top:55.700000000000003pt;width:485.30000000000001pt;height:0;z-index:-251658240;mso-position-horizontal-relative:page;mso-position-vertical-relative:page">
              <v:stroke weight="1.pt"/>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4" behindDoc="1" locked="0" layoutInCell="1" allowOverlap="1">
              <wp:simplePos x="0" y="0"/>
              <wp:positionH relativeFrom="page">
                <wp:posOffset>920750</wp:posOffset>
              </wp:positionH>
              <wp:positionV relativeFrom="page">
                <wp:posOffset>557530</wp:posOffset>
              </wp:positionV>
              <wp:extent cx="8817610" cy="106680"/>
              <wp:wrapNone/>
              <wp:docPr id="192" name="Shape 192"/>
              <a:graphic xmlns:a="http://schemas.openxmlformats.org/drawingml/2006/main">
                <a:graphicData uri="http://schemas.microsoft.com/office/word/2010/wordprocessingShape">
                  <wps:wsp>
                    <wps:cNvSpPr txBox="1"/>
                    <wps:spPr>
                      <a:xfrm>
                        <a:ext cx="8817610" cy="106680"/>
                      </a:xfrm>
                      <a:prstGeom prst="rect"/>
                      <a:noFill/>
                    </wps:spPr>
                    <wps:txbx>
                      <w:txbxContent>
                        <w:p>
                          <w:pPr>
                            <w:pStyle w:val="Style71"/>
                            <w:keepNext w:val="0"/>
                            <w:keepLines w:val="0"/>
                            <w:widowControl w:val="0"/>
                            <w:shd w:val="clear" w:color="auto" w:fill="auto"/>
                            <w:tabs>
                              <w:tab w:pos="13886" w:val="right"/>
                            </w:tabs>
                            <w:bidi w:val="0"/>
                            <w:spacing w:before="0" w:after="0" w:line="240" w:lineRule="auto"/>
                            <w:ind w:left="0" w:right="0" w:firstLine="0"/>
                            <w:jc w:val="left"/>
                          </w:pPr>
                          <w:r>
                            <w:rPr>
                              <w:color w:val="000000"/>
                              <w:spacing w:val="0"/>
                              <w:w w:val="100"/>
                              <w:position w:val="0"/>
                            </w:rPr>
                            <w:t>广东国盛金控集团股份有限公司</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218" type="#_x0000_t202" style="position:absolute;margin-left:72.5pt;margin-top:43.899999999999999pt;width:694.30000000000007pt;height:8.4000000000000004pt;z-index:-188743959;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tabs>
                        <w:tab w:pos="13886" w:val="right"/>
                      </w:tabs>
                      <w:bidi w:val="0"/>
                      <w:spacing w:before="0" w:after="0" w:line="240" w:lineRule="auto"/>
                      <w:ind w:left="0" w:right="0" w:firstLine="0"/>
                      <w:jc w:val="left"/>
                    </w:pPr>
                    <w:r>
                      <w:rPr>
                        <w:color w:val="000000"/>
                        <w:spacing w:val="0"/>
                        <w:w w:val="100"/>
                        <w:position w:val="0"/>
                      </w:rPr>
                      <w:t>广东国盛金控集团股份有限公司</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704215</wp:posOffset>
              </wp:positionV>
              <wp:extent cx="8906510" cy="0"/>
              <wp:wrapNone/>
              <wp:docPr id="194" name="Shape 194"/>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450000000000003pt;width:701.30000000000007pt;height:0;z-index:-251658240;mso-position-horizontal-relative:page;mso-position-vertical-relative:page">
              <v:stroke weight="1.pt"/>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8" behindDoc="1" locked="0" layoutInCell="1" allowOverlap="1">
              <wp:simplePos x="0" y="0"/>
              <wp:positionH relativeFrom="page">
                <wp:posOffset>721360</wp:posOffset>
              </wp:positionH>
              <wp:positionV relativeFrom="page">
                <wp:posOffset>561340</wp:posOffset>
              </wp:positionV>
              <wp:extent cx="6019800" cy="106680"/>
              <wp:wrapNone/>
              <wp:docPr id="197" name="Shape 197"/>
              <a:graphic xmlns:a="http://schemas.openxmlformats.org/drawingml/2006/main">
                <a:graphicData uri="http://schemas.microsoft.com/office/word/2010/wordprocessingShape">
                  <wps:wsp>
                    <wps:cNvSpPr txBox="1"/>
                    <wps:spPr>
                      <a:xfrm>
                        <a:ext cx="6019800" cy="106680"/>
                      </a:xfrm>
                      <a:prstGeom prst="rect"/>
                      <a:noFill/>
                    </wps:spPr>
                    <wps:txbx>
                      <w:txbxContent>
                        <w:p>
                          <w:pPr>
                            <w:pStyle w:val="Style71"/>
                            <w:keepNext w:val="0"/>
                            <w:keepLines w:val="0"/>
                            <w:widowControl w:val="0"/>
                            <w:shd w:val="clear" w:color="auto" w:fill="auto"/>
                            <w:tabs>
                              <w:tab w:pos="9480" w:val="right"/>
                            </w:tabs>
                            <w:bidi w:val="0"/>
                            <w:spacing w:before="0" w:after="0" w:line="240" w:lineRule="auto"/>
                            <w:ind w:left="0" w:right="0" w:firstLine="0"/>
                            <w:jc w:val="left"/>
                          </w:pPr>
                          <w:r>
                            <w:rPr>
                              <w:color w:val="000000"/>
                              <w:spacing w:val="0"/>
                              <w:w w:val="100"/>
                              <w:position w:val="0"/>
                            </w:rPr>
                            <w:t>广东国盛金控集团股份有限公司</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223" type="#_x0000_t202" style="position:absolute;margin-left:56.800000000000004pt;margin-top:44.200000000000003pt;width:474.pt;height:8.4000000000000004pt;z-index:-188743955;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tabs>
                        <w:tab w:pos="9480" w:val="right"/>
                      </w:tabs>
                      <w:bidi w:val="0"/>
                      <w:spacing w:before="0" w:after="0" w:line="240" w:lineRule="auto"/>
                      <w:ind w:left="0" w:right="0" w:firstLine="0"/>
                      <w:jc w:val="left"/>
                    </w:pPr>
                    <w:r>
                      <w:rPr>
                        <w:color w:val="000000"/>
                        <w:spacing w:val="0"/>
                        <w:w w:val="100"/>
                        <w:position w:val="0"/>
                      </w:rPr>
                      <w:t>广东国盛金控集团股份有限公司</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694055</wp:posOffset>
              </wp:positionH>
              <wp:positionV relativeFrom="page">
                <wp:posOffset>707390</wp:posOffset>
              </wp:positionV>
              <wp:extent cx="6163310" cy="0"/>
              <wp:wrapNone/>
              <wp:docPr id="199" name="Shape 19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49999999999999pt;margin-top:55.700000000000003pt;width:485.30000000000001pt;height:0;z-index:-251658240;mso-position-horizontal-relative:page;mso-position-vertical-relative:page">
              <v:stroke weight="1.pt"/>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2" behindDoc="1" locked="0" layoutInCell="1" allowOverlap="1">
              <wp:simplePos x="0" y="0"/>
              <wp:positionH relativeFrom="page">
                <wp:posOffset>920750</wp:posOffset>
              </wp:positionH>
              <wp:positionV relativeFrom="page">
                <wp:posOffset>557530</wp:posOffset>
              </wp:positionV>
              <wp:extent cx="8817610" cy="106680"/>
              <wp:wrapNone/>
              <wp:docPr id="212" name="Shape 212"/>
              <a:graphic xmlns:a="http://schemas.openxmlformats.org/drawingml/2006/main">
                <a:graphicData uri="http://schemas.microsoft.com/office/word/2010/wordprocessingShape">
                  <wps:wsp>
                    <wps:cNvSpPr txBox="1"/>
                    <wps:spPr>
                      <a:xfrm>
                        <a:ext cx="8817610" cy="106680"/>
                      </a:xfrm>
                      <a:prstGeom prst="rect"/>
                      <a:noFill/>
                    </wps:spPr>
                    <wps:txbx>
                      <w:txbxContent>
                        <w:p>
                          <w:pPr>
                            <w:pStyle w:val="Style71"/>
                            <w:keepNext w:val="0"/>
                            <w:keepLines w:val="0"/>
                            <w:widowControl w:val="0"/>
                            <w:shd w:val="clear" w:color="auto" w:fill="auto"/>
                            <w:tabs>
                              <w:tab w:pos="13886" w:val="right"/>
                            </w:tabs>
                            <w:bidi w:val="0"/>
                            <w:spacing w:before="0" w:after="0" w:line="240" w:lineRule="auto"/>
                            <w:ind w:left="0" w:right="0" w:firstLine="0"/>
                            <w:jc w:val="left"/>
                          </w:pPr>
                          <w:r>
                            <w:rPr>
                              <w:color w:val="000000"/>
                              <w:spacing w:val="0"/>
                              <w:w w:val="100"/>
                              <w:position w:val="0"/>
                            </w:rPr>
                            <w:t>广东国盛金控集团股份有限公司</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238" type="#_x0000_t202" style="position:absolute;margin-left:72.5pt;margin-top:43.899999999999999pt;width:694.30000000000007pt;height:8.4000000000000004pt;z-index:-188743951;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tabs>
                        <w:tab w:pos="13886" w:val="right"/>
                      </w:tabs>
                      <w:bidi w:val="0"/>
                      <w:spacing w:before="0" w:after="0" w:line="240" w:lineRule="auto"/>
                      <w:ind w:left="0" w:right="0" w:firstLine="0"/>
                      <w:jc w:val="left"/>
                    </w:pPr>
                    <w:r>
                      <w:rPr>
                        <w:color w:val="000000"/>
                        <w:spacing w:val="0"/>
                        <w:w w:val="100"/>
                        <w:position w:val="0"/>
                      </w:rPr>
                      <w:t>广东国盛金控集团股份有限公司</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704215</wp:posOffset>
              </wp:positionV>
              <wp:extent cx="8906510" cy="0"/>
              <wp:wrapNone/>
              <wp:docPr id="214" name="Shape 214"/>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450000000000003pt;width:701.30000000000007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951230</wp:posOffset>
              </wp:positionH>
              <wp:positionV relativeFrom="page">
                <wp:posOffset>543560</wp:posOffset>
              </wp:positionV>
              <wp:extent cx="8820785" cy="106680"/>
              <wp:wrapNone/>
              <wp:docPr id="29" name="Shape 29"/>
              <a:graphic xmlns:a="http://schemas.openxmlformats.org/drawingml/2006/main">
                <a:graphicData uri="http://schemas.microsoft.com/office/word/2010/wordprocessingShape">
                  <wps:wsp>
                    <wps:cNvSpPr txBox="1"/>
                    <wps:spPr>
                      <a:xfrm>
                        <a:ext cx="8820785" cy="106680"/>
                      </a:xfrm>
                      <a:prstGeom prst="rect"/>
                      <a:noFill/>
                    </wps:spPr>
                    <wps:txbx>
                      <w:txbxContent>
                        <w:p>
                          <w:pPr>
                            <w:pStyle w:val="Style4"/>
                            <w:keepNext w:val="0"/>
                            <w:keepLines w:val="0"/>
                            <w:widowControl w:val="0"/>
                            <w:shd w:val="clear" w:color="auto" w:fill="auto"/>
                            <w:tabs>
                              <w:tab w:pos="13891"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广东国盛金控集团股份有限公司</w:t>
                            <w:tab/>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055" type="#_x0000_t202" style="position:absolute;margin-left:74.900000000000006pt;margin-top:42.800000000000004pt;width:694.55000000000007pt;height:8.4000000000000004pt;z-index:-188744055;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13891"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广东国盛金控集团股份有限公司</w:t>
                      <w:tab/>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6" behindDoc="1" locked="0" layoutInCell="1" allowOverlap="1">
              <wp:simplePos x="0" y="0"/>
              <wp:positionH relativeFrom="page">
                <wp:posOffset>721360</wp:posOffset>
              </wp:positionH>
              <wp:positionV relativeFrom="page">
                <wp:posOffset>561340</wp:posOffset>
              </wp:positionV>
              <wp:extent cx="6019800" cy="106680"/>
              <wp:wrapNone/>
              <wp:docPr id="217" name="Shape 217"/>
              <a:graphic xmlns:a="http://schemas.openxmlformats.org/drawingml/2006/main">
                <a:graphicData uri="http://schemas.microsoft.com/office/word/2010/wordprocessingShape">
                  <wps:wsp>
                    <wps:cNvSpPr txBox="1"/>
                    <wps:spPr>
                      <a:xfrm>
                        <a:ext cx="6019800" cy="106680"/>
                      </a:xfrm>
                      <a:prstGeom prst="rect"/>
                      <a:noFill/>
                    </wps:spPr>
                    <wps:txbx>
                      <w:txbxContent>
                        <w:p>
                          <w:pPr>
                            <w:pStyle w:val="Style71"/>
                            <w:keepNext w:val="0"/>
                            <w:keepLines w:val="0"/>
                            <w:widowControl w:val="0"/>
                            <w:shd w:val="clear" w:color="auto" w:fill="auto"/>
                            <w:tabs>
                              <w:tab w:pos="9480" w:val="right"/>
                            </w:tabs>
                            <w:bidi w:val="0"/>
                            <w:spacing w:before="0" w:after="0" w:line="240" w:lineRule="auto"/>
                            <w:ind w:left="0" w:right="0" w:firstLine="0"/>
                            <w:jc w:val="left"/>
                          </w:pPr>
                          <w:r>
                            <w:rPr>
                              <w:color w:val="000000"/>
                              <w:spacing w:val="0"/>
                              <w:w w:val="100"/>
                              <w:position w:val="0"/>
                            </w:rPr>
                            <w:t>广东国盛金控集团股份有限公司</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243" type="#_x0000_t202" style="position:absolute;margin-left:56.800000000000004pt;margin-top:44.200000000000003pt;width:474.pt;height:8.4000000000000004pt;z-index:-188743947;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tabs>
                        <w:tab w:pos="9480" w:val="right"/>
                      </w:tabs>
                      <w:bidi w:val="0"/>
                      <w:spacing w:before="0" w:after="0" w:line="240" w:lineRule="auto"/>
                      <w:ind w:left="0" w:right="0" w:firstLine="0"/>
                      <w:jc w:val="left"/>
                    </w:pPr>
                    <w:r>
                      <w:rPr>
                        <w:color w:val="000000"/>
                        <w:spacing w:val="0"/>
                        <w:w w:val="100"/>
                        <w:position w:val="0"/>
                      </w:rPr>
                      <w:t>广东国盛金控集团股份有限公司</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694055</wp:posOffset>
              </wp:positionH>
              <wp:positionV relativeFrom="page">
                <wp:posOffset>707390</wp:posOffset>
              </wp:positionV>
              <wp:extent cx="6163310" cy="0"/>
              <wp:wrapNone/>
              <wp:docPr id="219" name="Shape 21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49999999999999pt;margin-top:55.700000000000003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954405</wp:posOffset>
              </wp:positionH>
              <wp:positionV relativeFrom="page">
                <wp:posOffset>558800</wp:posOffset>
              </wp:positionV>
              <wp:extent cx="1578610" cy="106680"/>
              <wp:wrapNone/>
              <wp:docPr id="33" name="Shape 33"/>
              <a:graphic xmlns:a="http://schemas.openxmlformats.org/drawingml/2006/main">
                <a:graphicData uri="http://schemas.microsoft.com/office/word/2010/wordprocessingShape">
                  <wps:wsp>
                    <wps:cNvSpPr txBox="1"/>
                    <wps:spPr>
                      <a:xfrm>
                        <a:ext cx="157861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u w:val="single"/>
                            </w:rPr>
                            <w:t>广东国盛金控集团股份有限公司</w:t>
                          </w:r>
                        </w:p>
                      </w:txbxContent>
                    </wps:txbx>
                    <wps:bodyPr wrap="none" lIns="0" tIns="0" rIns="0" bIns="0">
                      <a:spAutoFit/>
                    </wps:bodyPr>
                  </wps:wsp>
                </a:graphicData>
              </a:graphic>
            </wp:anchor>
          </w:drawing>
        </mc:Choice>
        <mc:Fallback>
          <w:pict>
            <v:shape id="_x0000_s1059" type="#_x0000_t202" style="position:absolute;margin-left:75.150000000000006pt;margin-top:44.pt;width:124.3pt;height:8.4000000000000004pt;z-index:-18874405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u w:val="single"/>
                      </w:rPr>
                      <w:t>广东国盛金控集团股份有限公司</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704215</wp:posOffset>
              </wp:positionV>
              <wp:extent cx="8906510" cy="0"/>
              <wp:wrapNone/>
              <wp:docPr id="35" name="Shape 35"/>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450000000000003pt;width:701.30000000000007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951230</wp:posOffset>
              </wp:positionH>
              <wp:positionV relativeFrom="page">
                <wp:posOffset>543560</wp:posOffset>
              </wp:positionV>
              <wp:extent cx="8820785" cy="106680"/>
              <wp:wrapNone/>
              <wp:docPr id="42" name="Shape 42"/>
              <a:graphic xmlns:a="http://schemas.openxmlformats.org/drawingml/2006/main">
                <a:graphicData uri="http://schemas.microsoft.com/office/word/2010/wordprocessingShape">
                  <wps:wsp>
                    <wps:cNvSpPr txBox="1"/>
                    <wps:spPr>
                      <a:xfrm>
                        <a:ext cx="8820785" cy="106680"/>
                      </a:xfrm>
                      <a:prstGeom prst="rect"/>
                      <a:noFill/>
                    </wps:spPr>
                    <wps:txbx>
                      <w:txbxContent>
                        <w:p>
                          <w:pPr>
                            <w:pStyle w:val="Style4"/>
                            <w:keepNext w:val="0"/>
                            <w:keepLines w:val="0"/>
                            <w:widowControl w:val="0"/>
                            <w:shd w:val="clear" w:color="auto" w:fill="auto"/>
                            <w:tabs>
                              <w:tab w:pos="13891"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广东国盛金控集团股份有限公司</w:t>
                            <w:tab/>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068" type="#_x0000_t202" style="position:absolute;margin-left:74.900000000000006pt;margin-top:42.800000000000004pt;width:694.55000000000007pt;height:8.4000000000000004pt;z-index:-188744047;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13891"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广东国盛金控集团股份有限公司</w:t>
                      <w:tab/>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718820</wp:posOffset>
              </wp:positionH>
              <wp:positionV relativeFrom="page">
                <wp:posOffset>561340</wp:posOffset>
              </wp:positionV>
              <wp:extent cx="1576070" cy="106680"/>
              <wp:wrapNone/>
              <wp:docPr id="46" name="Shape 46"/>
              <a:graphic xmlns:a="http://schemas.openxmlformats.org/drawingml/2006/main">
                <a:graphicData uri="http://schemas.microsoft.com/office/word/2010/wordprocessingShape">
                  <wps:wsp>
                    <wps:cNvSpPr txBox="1"/>
                    <wps:spPr>
                      <a:xfrm>
                        <a:ext cx="157607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广东国盛金控集团股份有限公司</w:t>
                          </w:r>
                        </w:p>
                      </w:txbxContent>
                    </wps:txbx>
                    <wps:bodyPr wrap="none" lIns="0" tIns="0" rIns="0" bIns="0">
                      <a:spAutoFit/>
                    </wps:bodyPr>
                  </wps:wsp>
                </a:graphicData>
              </a:graphic>
            </wp:anchor>
          </w:drawing>
        </mc:Choice>
        <mc:Fallback>
          <w:pict>
            <v:shape id="_x0000_s1072" type="#_x0000_t202" style="position:absolute;margin-left:56.600000000000001pt;margin-top:44.200000000000003pt;width:124.10000000000001pt;height:8.4000000000000004pt;z-index:-18874404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广东国盛金控集团股份有限公司</w:t>
                    </w:r>
                  </w:p>
                </w:txbxContent>
              </v:textbox>
              <w10:wrap anchorx="page" anchory="page"/>
            </v:shape>
          </w:pict>
        </mc:Fallback>
      </mc:AlternateContent>
    </w:r>
    <w:r>
      <mc:AlternateContent>
        <mc:Choice Requires="wps">
          <w:drawing>
            <wp:anchor distT="0" distB="0" distL="0" distR="0" simplePos="0" relativeHeight="62914712" behindDoc="1" locked="0" layoutInCell="1" allowOverlap="1">
              <wp:simplePos x="0" y="0"/>
              <wp:positionH relativeFrom="page">
                <wp:posOffset>5772150</wp:posOffset>
              </wp:positionH>
              <wp:positionV relativeFrom="page">
                <wp:posOffset>710565</wp:posOffset>
              </wp:positionV>
              <wp:extent cx="1051560" cy="106680"/>
              <wp:wrapNone/>
              <wp:docPr id="48" name="Shape 48"/>
              <a:graphic xmlns:a="http://schemas.openxmlformats.org/drawingml/2006/main">
                <a:graphicData uri="http://schemas.microsoft.com/office/word/2010/wordprocessingShape">
                  <wps:wsp>
                    <wps:cNvSpPr txBox="1"/>
                    <wps:spPr>
                      <a:xfrm>
                        <a:ext cx="105156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74" type="#_x0000_t202" style="position:absolute;margin-left:454.5pt;margin-top:55.950000000000003pt;width:82.799999999999997pt;height:8.4000000000000004pt;z-index:-18874404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951230</wp:posOffset>
              </wp:positionH>
              <wp:positionV relativeFrom="page">
                <wp:posOffset>543560</wp:posOffset>
              </wp:positionV>
              <wp:extent cx="8820785" cy="106680"/>
              <wp:wrapNone/>
              <wp:docPr id="52" name="Shape 52"/>
              <a:graphic xmlns:a="http://schemas.openxmlformats.org/drawingml/2006/main">
                <a:graphicData uri="http://schemas.microsoft.com/office/word/2010/wordprocessingShape">
                  <wps:wsp>
                    <wps:cNvSpPr txBox="1"/>
                    <wps:spPr>
                      <a:xfrm>
                        <a:ext cx="8820785" cy="106680"/>
                      </a:xfrm>
                      <a:prstGeom prst="rect"/>
                      <a:noFill/>
                    </wps:spPr>
                    <wps:txbx>
                      <w:txbxContent>
                        <w:p>
                          <w:pPr>
                            <w:pStyle w:val="Style4"/>
                            <w:keepNext w:val="0"/>
                            <w:keepLines w:val="0"/>
                            <w:widowControl w:val="0"/>
                            <w:shd w:val="clear" w:color="auto" w:fill="auto"/>
                            <w:tabs>
                              <w:tab w:pos="13891"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广东国盛金控集团股份有限公司</w:t>
                            <w:tab/>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078" type="#_x0000_t202" style="position:absolute;margin-left:74.900000000000006pt;margin-top:42.800000000000004pt;width:694.55000000000007pt;height:8.4000000000000004pt;z-index:-188744037;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13891"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广东国盛金控集团股份有限公司</w:t>
                      <w:tab/>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954405</wp:posOffset>
              </wp:positionH>
              <wp:positionV relativeFrom="page">
                <wp:posOffset>558165</wp:posOffset>
              </wp:positionV>
              <wp:extent cx="8820785" cy="106680"/>
              <wp:wrapNone/>
              <wp:docPr id="57" name="Shape 57"/>
              <a:graphic xmlns:a="http://schemas.openxmlformats.org/drawingml/2006/main">
                <a:graphicData uri="http://schemas.microsoft.com/office/word/2010/wordprocessingShape">
                  <wps:wsp>
                    <wps:cNvSpPr txBox="1"/>
                    <wps:spPr>
                      <a:xfrm>
                        <a:ext cx="8820785" cy="106680"/>
                      </a:xfrm>
                      <a:prstGeom prst="rect"/>
                      <a:noFill/>
                    </wps:spPr>
                    <wps:txbx>
                      <w:txbxContent>
                        <w:p>
                          <w:pPr>
                            <w:pStyle w:val="Style71"/>
                            <w:keepNext w:val="0"/>
                            <w:keepLines w:val="0"/>
                            <w:widowControl w:val="0"/>
                            <w:shd w:val="clear" w:color="auto" w:fill="auto"/>
                            <w:tabs>
                              <w:tab w:pos="13891" w:val="right"/>
                            </w:tabs>
                            <w:bidi w:val="0"/>
                            <w:spacing w:before="0" w:after="0" w:line="240" w:lineRule="auto"/>
                            <w:ind w:left="0" w:right="0" w:firstLine="0"/>
                            <w:jc w:val="left"/>
                          </w:pPr>
                          <w:r>
                            <w:rPr>
                              <w:color w:val="000000"/>
                              <w:spacing w:val="0"/>
                              <w:w w:val="100"/>
                              <w:position w:val="0"/>
                            </w:rPr>
                            <w:t>广东国盛金控集团股份有限公司</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083" type="#_x0000_t202" style="position:absolute;margin-left:75.150000000000006pt;margin-top:43.950000000000003pt;width:694.55000000000007pt;height:8.4000000000000004pt;z-index:-188744033;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tabs>
                        <w:tab w:pos="13891" w:val="right"/>
                      </w:tabs>
                      <w:bidi w:val="0"/>
                      <w:spacing w:before="0" w:after="0" w:line="240" w:lineRule="auto"/>
                      <w:ind w:left="0" w:right="0" w:firstLine="0"/>
                      <w:jc w:val="left"/>
                    </w:pPr>
                    <w:r>
                      <w:rPr>
                        <w:color w:val="000000"/>
                        <w:spacing w:val="0"/>
                        <w:w w:val="100"/>
                        <w:position w:val="0"/>
                      </w:rPr>
                      <w:t>广东国盛金控集团股份有限公司</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951230</wp:posOffset>
              </wp:positionH>
              <wp:positionV relativeFrom="page">
                <wp:posOffset>543560</wp:posOffset>
              </wp:positionV>
              <wp:extent cx="8820785" cy="106680"/>
              <wp:wrapNone/>
              <wp:docPr id="59" name="Shape 59"/>
              <a:graphic xmlns:a="http://schemas.openxmlformats.org/drawingml/2006/main">
                <a:graphicData uri="http://schemas.microsoft.com/office/word/2010/wordprocessingShape">
                  <wps:wsp>
                    <wps:cNvSpPr txBox="1"/>
                    <wps:spPr>
                      <a:xfrm>
                        <a:ext cx="8820785" cy="106680"/>
                      </a:xfrm>
                      <a:prstGeom prst="rect"/>
                      <a:noFill/>
                    </wps:spPr>
                    <wps:txbx>
                      <w:txbxContent>
                        <w:p>
                          <w:pPr>
                            <w:pStyle w:val="Style4"/>
                            <w:keepNext w:val="0"/>
                            <w:keepLines w:val="0"/>
                            <w:widowControl w:val="0"/>
                            <w:shd w:val="clear" w:color="auto" w:fill="auto"/>
                            <w:tabs>
                              <w:tab w:pos="13891"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广东国盛金控集团股份有限公司</w:t>
                            <w:tab/>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085" type="#_x0000_t202" style="position:absolute;margin-left:74.900000000000006pt;margin-top:42.800000000000004pt;width:694.55000000000007pt;height:8.4000000000000004pt;z-index:-188744031;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13891"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广东国盛金控集团股份有限公司</w:t>
                      <w:tab/>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5"/>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lowerRoman"/>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4"/>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ideographDigit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5"/>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 (3)_"/>
    <w:basedOn w:val="DefaultParagraphFont"/>
    <w:link w:val="Style2"/>
    <w:rPr>
      <w:rFonts w:ascii="SimSun" w:eastAsia="SimSun" w:hAnsi="SimSun" w:cs="SimSun"/>
      <w:b/>
      <w:bCs/>
      <w:i w:val="0"/>
      <w:iCs w:val="0"/>
      <w:smallCaps w:val="0"/>
      <w:strike w:val="0"/>
      <w:sz w:val="52"/>
      <w:szCs w:val="52"/>
      <w:u w:val="none"/>
      <w:shd w:val="clear" w:color="auto" w:fill="auto"/>
    </w:rPr>
  </w:style>
  <w:style w:type="character" w:customStyle="1" w:styleId="CharStyle5">
    <w:name w:val="页眉或页脚 (2)_"/>
    <w:basedOn w:val="DefaultParagraphFont"/>
    <w:link w:val="Style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0">
    <w:name w:val="正文文本 (6)_"/>
    <w:basedOn w:val="DefaultParagraphFont"/>
    <w:link w:val="Style9"/>
    <w:rPr>
      <w:rFonts w:ascii="Times New Roman" w:eastAsia="Times New Roman" w:hAnsi="Times New Roman" w:cs="Times New Roman"/>
      <w:b/>
      <w:bCs/>
      <w:i w:val="0"/>
      <w:iCs w:val="0"/>
      <w:smallCaps w:val="0"/>
      <w:strike w:val="0"/>
      <w:sz w:val="52"/>
      <w:szCs w:val="52"/>
      <w:u w:val="none"/>
      <w:shd w:val="clear" w:color="auto" w:fill="auto"/>
    </w:rPr>
  </w:style>
  <w:style w:type="character" w:customStyle="1" w:styleId="CharStyle13">
    <w:name w:val="标题 #1_"/>
    <w:basedOn w:val="DefaultParagraphFont"/>
    <w:link w:val="Style12"/>
    <w:rPr>
      <w:rFonts w:ascii="SimSun" w:eastAsia="SimSun" w:hAnsi="SimSun" w:cs="SimSun"/>
      <w:b/>
      <w:bCs/>
      <w:i w:val="0"/>
      <w:iCs w:val="0"/>
      <w:smallCaps w:val="0"/>
      <w:strike w:val="0"/>
      <w:sz w:val="32"/>
      <w:szCs w:val="32"/>
      <w:u w:val="none"/>
      <w:shd w:val="clear" w:color="auto" w:fill="auto"/>
    </w:rPr>
  </w:style>
  <w:style w:type="character" w:customStyle="1" w:styleId="CharStyle15">
    <w:name w:val="正文文本 (2)_"/>
    <w:basedOn w:val="DefaultParagraphFont"/>
    <w:link w:val="Style14"/>
    <w:rPr>
      <w:rFonts w:ascii="SimSun" w:eastAsia="SimSun" w:hAnsi="SimSun" w:cs="SimSun"/>
      <w:b/>
      <w:bCs/>
      <w:i w:val="0"/>
      <w:iCs w:val="0"/>
      <w:smallCaps w:val="0"/>
      <w:strike w:val="0"/>
      <w:sz w:val="28"/>
      <w:szCs w:val="28"/>
      <w:u w:val="none"/>
      <w:shd w:val="clear" w:color="auto" w:fill="auto"/>
    </w:rPr>
  </w:style>
  <w:style w:type="character" w:customStyle="1" w:styleId="CharStyle18">
    <w:name w:val="目录_"/>
    <w:basedOn w:val="DefaultParagraphFont"/>
    <w:link w:val="Style17"/>
    <w:rPr>
      <w:rFonts w:ascii="SimSun" w:eastAsia="SimSun" w:hAnsi="SimSun" w:cs="SimSun"/>
      <w:b/>
      <w:bCs/>
      <w:i w:val="0"/>
      <w:iCs w:val="0"/>
      <w:smallCaps w:val="0"/>
      <w:strike w:val="0"/>
      <w:sz w:val="28"/>
      <w:szCs w:val="28"/>
      <w:u w:val="none"/>
      <w:shd w:val="clear" w:color="auto" w:fill="auto"/>
    </w:rPr>
  </w:style>
  <w:style w:type="character" w:customStyle="1" w:styleId="CharStyle21">
    <w:name w:val="其他_"/>
    <w:basedOn w:val="DefaultParagraphFont"/>
    <w:link w:val="Style20"/>
    <w:rPr>
      <w:rFonts w:ascii="SimSun" w:eastAsia="SimSun" w:hAnsi="SimSun" w:cs="SimSun"/>
      <w:b w:val="0"/>
      <w:bCs w:val="0"/>
      <w:i w:val="0"/>
      <w:iCs w:val="0"/>
      <w:smallCaps w:val="0"/>
      <w:strike w:val="0"/>
      <w:sz w:val="20"/>
      <w:szCs w:val="20"/>
      <w:u w:val="none"/>
      <w:shd w:val="clear" w:color="auto" w:fill="auto"/>
    </w:rPr>
  </w:style>
  <w:style w:type="character" w:customStyle="1" w:styleId="CharStyle24">
    <w:name w:val="标题 #2_"/>
    <w:basedOn w:val="DefaultParagraphFont"/>
    <w:link w:val="Style23"/>
    <w:rPr>
      <w:rFonts w:ascii="SimSun" w:eastAsia="SimSun" w:hAnsi="SimSun" w:cs="SimSun"/>
      <w:b w:val="0"/>
      <w:bCs w:val="0"/>
      <w:i w:val="0"/>
      <w:iCs w:val="0"/>
      <w:smallCaps w:val="0"/>
      <w:strike w:val="0"/>
      <w:sz w:val="20"/>
      <w:szCs w:val="20"/>
      <w:u w:val="none"/>
      <w:shd w:val="clear" w:color="auto" w:fill="auto"/>
    </w:rPr>
  </w:style>
  <w:style w:type="character" w:customStyle="1" w:styleId="CharStyle27">
    <w:name w:val="表格标题_"/>
    <w:basedOn w:val="DefaultParagraphFont"/>
    <w:link w:val="Style26"/>
    <w:rPr>
      <w:rFonts w:ascii="SimSun" w:eastAsia="SimSun" w:hAnsi="SimSun" w:cs="SimSun"/>
      <w:b w:val="0"/>
      <w:bCs w:val="0"/>
      <w:i w:val="0"/>
      <w:iCs w:val="0"/>
      <w:smallCaps w:val="0"/>
      <w:strike w:val="0"/>
      <w:sz w:val="20"/>
      <w:szCs w:val="20"/>
      <w:u w:val="none"/>
      <w:shd w:val="clear" w:color="auto" w:fill="auto"/>
    </w:rPr>
  </w:style>
  <w:style w:type="character" w:customStyle="1" w:styleId="CharStyle31">
    <w:name w:val="标题 #3_"/>
    <w:basedOn w:val="DefaultParagraphFont"/>
    <w:link w:val="Style30"/>
    <w:rPr>
      <w:rFonts w:ascii="SimSun" w:eastAsia="SimSun" w:hAnsi="SimSun" w:cs="SimSun"/>
      <w:b/>
      <w:bCs/>
      <w:i w:val="0"/>
      <w:iCs w:val="0"/>
      <w:smallCaps w:val="0"/>
      <w:strike w:val="0"/>
      <w:sz w:val="20"/>
      <w:szCs w:val="20"/>
      <w:u w:val="none"/>
      <w:shd w:val="clear" w:color="auto" w:fill="auto"/>
    </w:rPr>
  </w:style>
  <w:style w:type="character" w:customStyle="1" w:styleId="CharStyle34">
    <w:name w:val="正文文本_"/>
    <w:basedOn w:val="DefaultParagraphFont"/>
    <w:link w:val="Style33"/>
    <w:rPr>
      <w:rFonts w:ascii="SimSun" w:eastAsia="SimSun" w:hAnsi="SimSun" w:cs="SimSun"/>
      <w:b w:val="0"/>
      <w:bCs w:val="0"/>
      <w:i w:val="0"/>
      <w:iCs w:val="0"/>
      <w:smallCaps w:val="0"/>
      <w:strike w:val="0"/>
      <w:sz w:val="20"/>
      <w:szCs w:val="20"/>
      <w:u w:val="none"/>
      <w:shd w:val="clear" w:color="auto" w:fill="auto"/>
    </w:rPr>
  </w:style>
  <w:style w:type="character" w:customStyle="1" w:styleId="CharStyle42">
    <w:name w:val="正文文本 (5)_"/>
    <w:basedOn w:val="DefaultParagraphFont"/>
    <w:link w:val="Style41"/>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48">
    <w:name w:val="标题 #4_"/>
    <w:basedOn w:val="DefaultParagraphFont"/>
    <w:link w:val="Style47"/>
    <w:rPr>
      <w:rFonts w:ascii="SimSun" w:eastAsia="SimSun" w:hAnsi="SimSun" w:cs="SimSun"/>
      <w:b/>
      <w:bCs/>
      <w:i w:val="0"/>
      <w:iCs w:val="0"/>
      <w:smallCaps w:val="0"/>
      <w:strike w:val="0"/>
      <w:sz w:val="20"/>
      <w:szCs w:val="20"/>
      <w:u w:val="none"/>
      <w:shd w:val="clear" w:color="auto" w:fill="auto"/>
    </w:rPr>
  </w:style>
  <w:style w:type="character" w:customStyle="1" w:styleId="CharStyle61">
    <w:name w:val="正文文本 (4)_"/>
    <w:basedOn w:val="DefaultParagraphFont"/>
    <w:link w:val="Style60"/>
    <w:rPr>
      <w:rFonts w:ascii="SimSun" w:eastAsia="SimSun" w:hAnsi="SimSun" w:cs="SimSun"/>
      <w:b w:val="0"/>
      <w:bCs w:val="0"/>
      <w:i w:val="0"/>
      <w:iCs w:val="0"/>
      <w:smallCaps w:val="0"/>
      <w:strike w:val="0"/>
      <w:sz w:val="17"/>
      <w:szCs w:val="17"/>
      <w:u w:val="single"/>
      <w:shd w:val="clear" w:color="auto" w:fill="auto"/>
    </w:rPr>
  </w:style>
  <w:style w:type="character" w:customStyle="1" w:styleId="CharStyle72">
    <w:name w:val="页眉或页脚_"/>
    <w:basedOn w:val="DefaultParagraphFont"/>
    <w:link w:val="Style71"/>
    <w:rPr>
      <w:rFonts w:ascii="SimSun" w:eastAsia="SimSun" w:hAnsi="SimSun" w:cs="SimSun"/>
      <w:b w:val="0"/>
      <w:bCs w:val="0"/>
      <w:i w:val="0"/>
      <w:iCs w:val="0"/>
      <w:smallCaps w:val="0"/>
      <w:strike w:val="0"/>
      <w:sz w:val="17"/>
      <w:szCs w:val="17"/>
      <w:u w:val="none"/>
      <w:shd w:val="clear" w:color="auto" w:fill="auto"/>
    </w:rPr>
  </w:style>
  <w:style w:type="character" w:customStyle="1" w:styleId="CharStyle89">
    <w:name w:val="图片标题_"/>
    <w:basedOn w:val="DefaultParagraphFont"/>
    <w:link w:val="Style88"/>
    <w:rPr>
      <w:rFonts w:ascii="SimSun" w:eastAsia="SimSun" w:hAnsi="SimSun" w:cs="SimSun"/>
      <w:b w:val="0"/>
      <w:bCs w:val="0"/>
      <w:i w:val="0"/>
      <w:iCs w:val="0"/>
      <w:smallCaps w:val="0"/>
      <w:strike w:val="0"/>
      <w:sz w:val="20"/>
      <w:szCs w:val="20"/>
      <w:u w:val="none"/>
      <w:shd w:val="clear" w:color="auto" w:fill="auto"/>
    </w:rPr>
  </w:style>
  <w:style w:type="paragraph" w:customStyle="1" w:styleId="Style2">
    <w:name w:val="正文文本 (3)"/>
    <w:basedOn w:val="Normal"/>
    <w:link w:val="CharStyle3"/>
    <w:pPr>
      <w:widowControl w:val="0"/>
      <w:shd w:val="clear" w:color="auto" w:fill="auto"/>
      <w:spacing w:after="4240"/>
      <w:jc w:val="center"/>
    </w:pPr>
    <w:rPr>
      <w:rFonts w:ascii="SimSun" w:eastAsia="SimSun" w:hAnsi="SimSun" w:cs="SimSun"/>
      <w:b/>
      <w:bCs/>
      <w:i w:val="0"/>
      <w:iCs w:val="0"/>
      <w:smallCaps w:val="0"/>
      <w:strike w:val="0"/>
      <w:sz w:val="52"/>
      <w:szCs w:val="52"/>
      <w:u w:val="none"/>
      <w:shd w:val="clear" w:color="auto" w:fill="auto"/>
    </w:rPr>
  </w:style>
  <w:style w:type="paragraph" w:customStyle="1" w:styleId="Style4">
    <w:name w:val="页眉或页脚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9">
    <w:name w:val="正文文本 (6)"/>
    <w:basedOn w:val="Normal"/>
    <w:link w:val="CharStyle10"/>
    <w:pPr>
      <w:widowControl w:val="0"/>
      <w:shd w:val="clear" w:color="auto" w:fill="auto"/>
      <w:jc w:val="center"/>
    </w:pPr>
    <w:rPr>
      <w:rFonts w:ascii="Times New Roman" w:eastAsia="Times New Roman" w:hAnsi="Times New Roman" w:cs="Times New Roman"/>
      <w:b/>
      <w:bCs/>
      <w:i w:val="0"/>
      <w:iCs w:val="0"/>
      <w:smallCaps w:val="0"/>
      <w:strike w:val="0"/>
      <w:sz w:val="52"/>
      <w:szCs w:val="52"/>
      <w:u w:val="none"/>
      <w:shd w:val="clear" w:color="auto" w:fill="auto"/>
    </w:rPr>
  </w:style>
  <w:style w:type="paragraph" w:customStyle="1" w:styleId="Style12">
    <w:name w:val="标题 #1"/>
    <w:basedOn w:val="Normal"/>
    <w:link w:val="CharStyle13"/>
    <w:pPr>
      <w:widowControl w:val="0"/>
      <w:shd w:val="clear" w:color="auto" w:fill="auto"/>
      <w:spacing w:before="460" w:after="56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4">
    <w:name w:val="正文文本 (2)"/>
    <w:basedOn w:val="Normal"/>
    <w:link w:val="CharStyle15"/>
    <w:pPr>
      <w:widowControl w:val="0"/>
      <w:shd w:val="clear" w:color="auto" w:fill="auto"/>
      <w:spacing w:after="80" w:line="629"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7">
    <w:name w:val="目录"/>
    <w:basedOn w:val="Normal"/>
    <w:link w:val="CharStyle18"/>
    <w:pPr>
      <w:widowControl w:val="0"/>
      <w:shd w:val="clear" w:color="auto" w:fill="auto"/>
      <w:spacing w:after="460"/>
    </w:pPr>
    <w:rPr>
      <w:rFonts w:ascii="SimSun" w:eastAsia="SimSun" w:hAnsi="SimSun" w:cs="SimSun"/>
      <w:b/>
      <w:bCs/>
      <w:i w:val="0"/>
      <w:iCs w:val="0"/>
      <w:smallCaps w:val="0"/>
      <w:strike w:val="0"/>
      <w:sz w:val="28"/>
      <w:szCs w:val="28"/>
      <w:u w:val="none"/>
      <w:shd w:val="clear" w:color="auto" w:fill="auto"/>
    </w:rPr>
  </w:style>
  <w:style w:type="paragraph" w:customStyle="1" w:styleId="Style20">
    <w:name w:val="其他"/>
    <w:basedOn w:val="Normal"/>
    <w:link w:val="CharStyle21"/>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23">
    <w:name w:val="标题 #2"/>
    <w:basedOn w:val="Normal"/>
    <w:link w:val="CharStyle24"/>
    <w:pPr>
      <w:widowControl w:val="0"/>
      <w:shd w:val="clear" w:color="auto" w:fill="auto"/>
      <w:spacing w:line="274" w:lineRule="exact"/>
      <w:ind w:firstLine="440"/>
      <w:outlineLvl w:val="1"/>
    </w:pPr>
    <w:rPr>
      <w:rFonts w:ascii="SimSun" w:eastAsia="SimSun" w:hAnsi="SimSun" w:cs="SimSun"/>
      <w:b w:val="0"/>
      <w:bCs w:val="0"/>
      <w:i w:val="0"/>
      <w:iCs w:val="0"/>
      <w:smallCaps w:val="0"/>
      <w:strike w:val="0"/>
      <w:sz w:val="20"/>
      <w:szCs w:val="20"/>
      <w:u w:val="none"/>
      <w:shd w:val="clear" w:color="auto" w:fill="auto"/>
    </w:rPr>
  </w:style>
  <w:style w:type="paragraph" w:customStyle="1" w:styleId="Style26">
    <w:name w:val="表格标题"/>
    <w:basedOn w:val="Normal"/>
    <w:link w:val="CharStyle27"/>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30">
    <w:name w:val="标题 #3"/>
    <w:basedOn w:val="Normal"/>
    <w:link w:val="CharStyle31"/>
    <w:pPr>
      <w:widowControl w:val="0"/>
      <w:shd w:val="clear" w:color="auto" w:fill="auto"/>
      <w:spacing w:after="35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3">
    <w:name w:val="正文文本"/>
    <w:basedOn w:val="Normal"/>
    <w:link w:val="CharStyle34"/>
    <w:pPr>
      <w:widowControl w:val="0"/>
      <w:shd w:val="clear" w:color="auto" w:fill="auto"/>
      <w:spacing w:line="29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41">
    <w:name w:val="正文文本 (5)"/>
    <w:basedOn w:val="Normal"/>
    <w:link w:val="CharStyle42"/>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47">
    <w:name w:val="标题 #4"/>
    <w:basedOn w:val="Normal"/>
    <w:link w:val="CharStyle48"/>
    <w:pPr>
      <w:widowControl w:val="0"/>
      <w:shd w:val="clear" w:color="auto" w:fill="auto"/>
      <w:spacing w:after="360" w:line="292" w:lineRule="exact"/>
      <w:ind w:firstLine="11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60">
    <w:name w:val="正文文本 (4)"/>
    <w:basedOn w:val="Normal"/>
    <w:link w:val="CharStyle61"/>
    <w:pPr>
      <w:widowControl w:val="0"/>
      <w:shd w:val="clear" w:color="auto" w:fill="auto"/>
      <w:spacing w:line="346" w:lineRule="exact"/>
      <w:jc w:val="center"/>
    </w:pPr>
    <w:rPr>
      <w:rFonts w:ascii="SimSun" w:eastAsia="SimSun" w:hAnsi="SimSun" w:cs="SimSun"/>
      <w:b w:val="0"/>
      <w:bCs w:val="0"/>
      <w:i w:val="0"/>
      <w:iCs w:val="0"/>
      <w:smallCaps w:val="0"/>
      <w:strike w:val="0"/>
      <w:sz w:val="17"/>
      <w:szCs w:val="17"/>
      <w:u w:val="single"/>
      <w:shd w:val="clear" w:color="auto" w:fill="auto"/>
    </w:rPr>
  </w:style>
  <w:style w:type="paragraph" w:customStyle="1" w:styleId="Style71">
    <w:name w:val="页眉或页脚"/>
    <w:basedOn w:val="Normal"/>
    <w:link w:val="CharStyle72"/>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88">
    <w:name w:val="图片标题"/>
    <w:basedOn w:val="Normal"/>
    <w:link w:val="CharStyle89"/>
    <w:pPr>
      <w:widowControl w:val="0"/>
      <w:shd w:val="clear" w:color="auto" w:fill="auto"/>
      <w:jc w:val="center"/>
    </w:pPr>
    <w:rPr>
      <w:rFonts w:ascii="SimSun" w:eastAsia="SimSun" w:hAnsi="SimSun" w:cs="SimSun"/>
      <w:b w:val="0"/>
      <w:bCs w:val="0"/>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header" Target="header6.xml"/><Relationship Id="rId16" Type="http://schemas.openxmlformats.org/officeDocument/2006/relationships/footer" Target="footer6.xml"/><Relationship Id="rId17" Type="http://schemas.openxmlformats.org/officeDocument/2006/relationships/header" Target="header7.xml"/><Relationship Id="rId18" Type="http://schemas.openxmlformats.org/officeDocument/2006/relationships/footer" Target="footer7.xml"/><Relationship Id="rId19" Type="http://schemas.openxmlformats.org/officeDocument/2006/relationships/image" Target="media/image1.jpeg"/><Relationship Id="rId20" Type="http://schemas.openxmlformats.org/officeDocument/2006/relationships/image" Target="media/image1.jpeg" TargetMode="External"/><Relationship Id="rId21" Type="http://schemas.openxmlformats.org/officeDocument/2006/relationships/header" Target="header8.xml"/><Relationship Id="rId22" Type="http://schemas.openxmlformats.org/officeDocument/2006/relationships/footer" Target="footer8.xml"/><Relationship Id="rId23" Type="http://schemas.openxmlformats.org/officeDocument/2006/relationships/header" Target="header9.xml"/><Relationship Id="rId24" Type="http://schemas.openxmlformats.org/officeDocument/2006/relationships/footer" Target="footer9.xml"/><Relationship Id="rId25" Type="http://schemas.openxmlformats.org/officeDocument/2006/relationships/header" Target="header10.xml"/><Relationship Id="rId26" Type="http://schemas.openxmlformats.org/officeDocument/2006/relationships/footer" Target="footer10.xml"/><Relationship Id="rId27" Type="http://schemas.openxmlformats.org/officeDocument/2006/relationships/header" Target="header11.xml"/><Relationship Id="rId28" Type="http://schemas.openxmlformats.org/officeDocument/2006/relationships/footer" Target="footer11.xml"/><Relationship Id="rId29" Type="http://schemas.openxmlformats.org/officeDocument/2006/relationships/header" Target="header12.xml"/><Relationship Id="rId30" Type="http://schemas.openxmlformats.org/officeDocument/2006/relationships/footer" Target="footer12.xml"/><Relationship Id="rId31" Type="http://schemas.openxmlformats.org/officeDocument/2006/relationships/header" Target="header13.xml"/><Relationship Id="rId32" Type="http://schemas.openxmlformats.org/officeDocument/2006/relationships/footer" Target="footer13.xml"/><Relationship Id="rId33" Type="http://schemas.openxmlformats.org/officeDocument/2006/relationships/header" Target="header14.xml"/><Relationship Id="rId34" Type="http://schemas.openxmlformats.org/officeDocument/2006/relationships/footer" Target="footer14.xml"/><Relationship Id="rId35" Type="http://schemas.openxmlformats.org/officeDocument/2006/relationships/image" Target="media/image2.jpeg"/><Relationship Id="rId36" Type="http://schemas.openxmlformats.org/officeDocument/2006/relationships/image" Target="media/image2.jpeg" TargetMode="External"/><Relationship Id="rId37" Type="http://schemas.openxmlformats.org/officeDocument/2006/relationships/image" Target="media/image3.jpeg"/><Relationship Id="rId38" Type="http://schemas.openxmlformats.org/officeDocument/2006/relationships/image" Target="media/image3.jpeg" TargetMode="External"/><Relationship Id="rId39" Type="http://schemas.openxmlformats.org/officeDocument/2006/relationships/header" Target="header15.xml"/><Relationship Id="rId40" Type="http://schemas.openxmlformats.org/officeDocument/2006/relationships/footer" Target="footer15.xml"/><Relationship Id="rId41" Type="http://schemas.openxmlformats.org/officeDocument/2006/relationships/header" Target="header16.xml"/><Relationship Id="rId42" Type="http://schemas.openxmlformats.org/officeDocument/2006/relationships/footer" Target="footer16.xml"/><Relationship Id="rId43" Type="http://schemas.openxmlformats.org/officeDocument/2006/relationships/header" Target="header17.xml"/><Relationship Id="rId44" Type="http://schemas.openxmlformats.org/officeDocument/2006/relationships/footer" Target="footer17.xml"/><Relationship Id="rId45" Type="http://schemas.openxmlformats.org/officeDocument/2006/relationships/header" Target="header18.xml"/><Relationship Id="rId46" Type="http://schemas.openxmlformats.org/officeDocument/2006/relationships/footer" Target="footer18.xml"/><Relationship Id="rId47" Type="http://schemas.openxmlformats.org/officeDocument/2006/relationships/header" Target="header19.xml"/><Relationship Id="rId48" Type="http://schemas.openxmlformats.org/officeDocument/2006/relationships/footer" Target="footer19.xml"/><Relationship Id="rId49" Type="http://schemas.openxmlformats.org/officeDocument/2006/relationships/header" Target="header20.xml"/><Relationship Id="rId50" Type="http://schemas.openxmlformats.org/officeDocument/2006/relationships/footer" Target="footer20.xml"/><Relationship Id="rId51" Type="http://schemas.openxmlformats.org/officeDocument/2006/relationships/header" Target="header21.xml"/><Relationship Id="rId52" Type="http://schemas.openxmlformats.org/officeDocument/2006/relationships/footer" Target="footer21.xml"/><Relationship Id="rId53" Type="http://schemas.openxmlformats.org/officeDocument/2006/relationships/header" Target="header22.xml"/><Relationship Id="rId54" Type="http://schemas.openxmlformats.org/officeDocument/2006/relationships/footer" Target="footer22.xml"/><Relationship Id="rId55" Type="http://schemas.openxmlformats.org/officeDocument/2006/relationships/header" Target="header23.xml"/><Relationship Id="rId56" Type="http://schemas.openxmlformats.org/officeDocument/2006/relationships/footer" Target="footer23.xml"/><Relationship Id="rId57" Type="http://schemas.openxmlformats.org/officeDocument/2006/relationships/header" Target="header24.xml"/><Relationship Id="rId58" Type="http://schemas.openxmlformats.org/officeDocument/2006/relationships/footer" Target="footer24.xml"/><Relationship Id="rId59" Type="http://schemas.openxmlformats.org/officeDocument/2006/relationships/header" Target="header25.xml"/><Relationship Id="rId60" Type="http://schemas.openxmlformats.org/officeDocument/2006/relationships/footer" Target="footer25.xml"/><Relationship Id="rId61" Type="http://schemas.openxmlformats.org/officeDocument/2006/relationships/header" Target="header26.xml"/><Relationship Id="rId62" Type="http://schemas.openxmlformats.org/officeDocument/2006/relationships/footer" Target="footer26.xml"/><Relationship Id="rId63" Type="http://schemas.openxmlformats.org/officeDocument/2006/relationships/header" Target="header27.xml"/><Relationship Id="rId64" Type="http://schemas.openxmlformats.org/officeDocument/2006/relationships/footer" Target="footer27.xml"/><Relationship Id="rId65" Type="http://schemas.openxmlformats.org/officeDocument/2006/relationships/header" Target="header28.xml"/><Relationship Id="rId66" Type="http://schemas.openxmlformats.org/officeDocument/2006/relationships/footer" Target="footer28.xml"/><Relationship Id="rId67" Type="http://schemas.openxmlformats.org/officeDocument/2006/relationships/header" Target="header29.xml"/><Relationship Id="rId68" Type="http://schemas.openxmlformats.org/officeDocument/2006/relationships/footer" Target="footer29.xml"/><Relationship Id="rId69" Type="http://schemas.openxmlformats.org/officeDocument/2006/relationships/header" Target="header30.xml"/><Relationship Id="rId70" Type="http://schemas.openxmlformats.org/officeDocument/2006/relationships/footer" Target="footer30.xml"/></Relationships>
</file>

<file path=docProps/core.xml><?xml version="1.0" encoding="utf-8"?>
<cp:coreProperties xmlns:cp="http://schemas.openxmlformats.org/package/2006/metadata/core-properties" xmlns:dc="http://purl.org/dc/elements/1.1/">
  <dc:title>广东国盛金控集团股份有限公司2016年年度报告全文</dc:title>
  <dc:subject/>
  <dc:creator>广东国盛金控集团股份有限公司</dc:creator>
  <cp:keywords/>
</cp:coreProperties>
</file>