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header1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19.xml" ContentType="application/vnd.openxmlformats-officedocument.wordprocessingml.head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header21.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header23.xml" ContentType="application/vnd.openxmlformats-officedocument.wordprocessingml.header+xml"/>
  <Override PartName="/word/footer31.xml" ContentType="application/vnd.openxmlformats-officedocument.wordprocessingml.footer+xml"/>
  <Override PartName="/word/header24.xml" ContentType="application/vnd.openxmlformats-officedocument.wordprocessingml.header+xml"/>
  <Override PartName="/word/footer32.xml" ContentType="application/vnd.openxmlformats-officedocument.wordprocessingml.footer+xml"/>
  <Override PartName="/word/header25.xml" ContentType="application/vnd.openxmlformats-officedocument.wordprocessingml.header+xml"/>
  <Override PartName="/word/footer33.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header27.xml" ContentType="application/vnd.openxmlformats-officedocument.wordprocessingml.header+xml"/>
  <Override PartName="/word/footer35.xml" ContentType="application/vnd.openxmlformats-officedocument.wordprocessingml.footer+xml"/>
  <Override PartName="/word/header28.xml" ContentType="application/vnd.openxmlformats-officedocument.wordprocessingml.header+xml"/>
  <Override PartName="/word/footer3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26"/>
          <w:szCs w:val="26"/>
        </w:rPr>
      </w:pPr>
    </w:p>
    <w:p>
      <w:pPr>
        <w:pStyle w:val="Heading3"/>
        <w:tabs>
          <w:tab w:pos="7321" w:val="left" w:leader="none"/>
        </w:tabs>
        <w:spacing w:line="240" w:lineRule="auto" w:before="26"/>
        <w:ind w:left="0" w:right="979"/>
        <w:jc w:val="center"/>
      </w:pPr>
      <w:r>
        <w:rPr/>
        <w:pict>
          <v:group style="position:absolute;margin-left:55.200001pt;margin-top:-19.624352pt;width:484.9pt;height:.1pt;mso-position-horizontal-relative:page;mso-position-vertical-relative:paragraph;z-index:0" coordorigin="1104,-392" coordsize="9698,2">
            <v:shape style="position:absolute;left:1104;top:-392;width:9698;height:2" coordorigin="1104,-392" coordsize="9698,0" path="m1104,-392l10802,-392e" filled="false" stroked="true" strokeweight=".72pt" strokecolor="#000000">
              <v:path arrowok="t"/>
            </v:shape>
            <w10:wrap type="none"/>
          </v:group>
        </w:pict>
      </w:r>
      <w:r>
        <w:rPr/>
        <w:t>股票代码：</w:t>
      </w:r>
      <w:r>
        <w:rPr>
          <w:rFonts w:ascii="Times New Roman" w:hAnsi="Times New Roman" w:cs="Times New Roman" w:eastAsia="Times New Roman" w:hint="default"/>
        </w:rPr>
        <w:t>002670</w:t>
        <w:tab/>
      </w:r>
      <w:r>
        <w:rPr/>
        <w:t>股票简称：国盛金控</w:t>
      </w:r>
    </w:p>
    <w:p>
      <w:pPr>
        <w:pStyle w:val="Heading3"/>
        <w:tabs>
          <w:tab w:pos="7311" w:val="left" w:leader="none"/>
        </w:tabs>
        <w:spacing w:line="240" w:lineRule="auto" w:before="135"/>
        <w:ind w:left="0" w:right="978"/>
        <w:jc w:val="center"/>
      </w:pPr>
      <w:r>
        <w:rPr>
          <w:spacing w:val="-1"/>
        </w:rPr>
        <w:t>债券代码：</w:t>
      </w:r>
      <w:r>
        <w:rPr>
          <w:rFonts w:ascii="Times New Roman" w:hAnsi="Times New Roman" w:cs="Times New Roman" w:eastAsia="Times New Roman" w:hint="default"/>
          <w:spacing w:val="-1"/>
        </w:rPr>
        <w:t>112485</w:t>
        <w:tab/>
      </w:r>
      <w:r>
        <w:rPr/>
        <w:t>债券简称：</w:t>
      </w:r>
      <w:r>
        <w:rPr>
          <w:rFonts w:ascii="Times New Roman" w:hAnsi="Times New Roman" w:cs="Times New Roman" w:eastAsia="Times New Roman" w:hint="default"/>
        </w:rPr>
        <w:t>16</w:t>
      </w:r>
      <w:r>
        <w:rPr/>
        <w:t>国盛金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1155" w:lineRule="exact"/>
        <w:ind w:left="3193"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2251903" cy="7334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251903" cy="733425"/>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6"/>
        <w:rPr>
          <w:rFonts w:ascii="宋体" w:hAnsi="宋体" w:cs="宋体" w:eastAsia="宋体" w:hint="default"/>
          <w:sz w:val="34"/>
          <w:szCs w:val="34"/>
        </w:rPr>
      </w:pPr>
    </w:p>
    <w:p>
      <w:pPr>
        <w:spacing w:before="0"/>
        <w:ind w:left="0" w:right="987"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国盛金融控股集团股份有限公司</w:t>
      </w:r>
      <w:r>
        <w:rPr>
          <w:rFonts w:ascii="Microsoft JhengHei" w:hAnsi="Microsoft JhengHei" w:cs="Microsoft JhengHei" w:eastAsia="Microsoft JhengHei" w:hint="default"/>
          <w:sz w:val="48"/>
          <w:szCs w:val="48"/>
        </w:rPr>
      </w:r>
    </w:p>
    <w:p>
      <w:pPr>
        <w:spacing w:line="240" w:lineRule="auto" w:before="8"/>
        <w:rPr>
          <w:rFonts w:ascii="Microsoft JhengHei" w:hAnsi="Microsoft JhengHei" w:cs="Microsoft JhengHei" w:eastAsia="Microsoft JhengHei" w:hint="default"/>
          <w:b/>
          <w:bCs/>
          <w:sz w:val="65"/>
          <w:szCs w:val="65"/>
        </w:rPr>
      </w:pPr>
    </w:p>
    <w:p>
      <w:pPr>
        <w:spacing w:before="0"/>
        <w:ind w:left="0" w:right="978" w:firstLine="0"/>
        <w:jc w:val="center"/>
        <w:rPr>
          <w:rFonts w:ascii="Microsoft JhengHei" w:hAnsi="Microsoft JhengHei" w:cs="Microsoft JhengHei" w:eastAsia="Microsoft JhengHei" w:hint="default"/>
          <w:sz w:val="48"/>
          <w:szCs w:val="48"/>
        </w:rPr>
      </w:pPr>
      <w:r>
        <w:rPr>
          <w:rFonts w:ascii="Times New Roman" w:hAnsi="Times New Roman" w:cs="Times New Roman" w:eastAsia="Times New Roman" w:hint="default"/>
          <w:b/>
          <w:bCs/>
          <w:sz w:val="48"/>
          <w:szCs w:val="48"/>
        </w:rPr>
        <w:t>2019</w:t>
      </w:r>
      <w:r>
        <w:rPr>
          <w:rFonts w:ascii="Times New Roman" w:hAnsi="Times New Roman" w:cs="Times New Roman" w:eastAsia="Times New Roman" w:hint="default"/>
          <w:b/>
          <w:bCs/>
          <w:spacing w:val="7"/>
          <w:sz w:val="48"/>
          <w:szCs w:val="48"/>
        </w:rPr>
        <w:t> </w:t>
      </w:r>
      <w:r>
        <w:rPr>
          <w:rFonts w:ascii="Microsoft JhengHei" w:hAnsi="Microsoft JhengHei" w:cs="Microsoft JhengHei" w:eastAsia="Microsoft JhengHei" w:hint="default"/>
          <w:b/>
          <w:bCs/>
          <w:sz w:val="48"/>
          <w:szCs w:val="48"/>
        </w:rPr>
        <w:t>年度报告</w:t>
      </w:r>
      <w:r>
        <w:rPr>
          <w:rFonts w:ascii="Microsoft JhengHei" w:hAnsi="Microsoft JhengHei" w:cs="Microsoft JhengHei" w:eastAsia="Microsoft JhengHei" w:hint="default"/>
          <w:sz w:val="48"/>
          <w:szCs w:val="48"/>
        </w:rPr>
      </w:r>
    </w:p>
    <w:p>
      <w:pPr>
        <w:spacing w:line="240" w:lineRule="auto" w:before="0"/>
        <w:rPr>
          <w:rFonts w:ascii="Microsoft JhengHei" w:hAnsi="Microsoft JhengHei" w:cs="Microsoft JhengHei" w:eastAsia="Microsoft JhengHei" w:hint="default"/>
          <w:b/>
          <w:bCs/>
          <w:sz w:val="50"/>
          <w:szCs w:val="50"/>
        </w:rPr>
      </w:pPr>
    </w:p>
    <w:p>
      <w:pPr>
        <w:spacing w:line="240" w:lineRule="auto" w:before="0"/>
        <w:rPr>
          <w:rFonts w:ascii="Microsoft JhengHei" w:hAnsi="Microsoft JhengHei" w:cs="Microsoft JhengHei" w:eastAsia="Microsoft JhengHei" w:hint="default"/>
          <w:b/>
          <w:bCs/>
          <w:sz w:val="50"/>
          <w:szCs w:val="50"/>
        </w:rPr>
      </w:pPr>
    </w:p>
    <w:p>
      <w:pPr>
        <w:spacing w:line="240" w:lineRule="auto" w:before="0"/>
        <w:rPr>
          <w:rFonts w:ascii="Microsoft JhengHei" w:hAnsi="Microsoft JhengHei" w:cs="Microsoft JhengHei" w:eastAsia="Microsoft JhengHei" w:hint="default"/>
          <w:b/>
          <w:bCs/>
          <w:sz w:val="50"/>
          <w:szCs w:val="50"/>
        </w:rPr>
      </w:pPr>
    </w:p>
    <w:p>
      <w:pPr>
        <w:spacing w:line="240" w:lineRule="auto" w:before="2"/>
        <w:rPr>
          <w:rFonts w:ascii="Microsoft JhengHei" w:hAnsi="Microsoft JhengHei" w:cs="Microsoft JhengHei" w:eastAsia="Microsoft JhengHei" w:hint="default"/>
          <w:b/>
          <w:bCs/>
          <w:sz w:val="28"/>
          <w:szCs w:val="28"/>
        </w:rPr>
      </w:pPr>
    </w:p>
    <w:p>
      <w:pPr>
        <w:spacing w:before="0"/>
        <w:ind w:left="0" w:right="980" w:firstLine="0"/>
        <w:jc w:val="center"/>
        <w:rPr>
          <w:rFonts w:ascii="Microsoft JhengHei" w:hAnsi="Microsoft JhengHei" w:cs="Microsoft JhengHei" w:eastAsia="Microsoft JhengHei" w:hint="default"/>
          <w:sz w:val="36"/>
          <w:szCs w:val="36"/>
        </w:rPr>
      </w:pPr>
      <w:r>
        <w:rPr>
          <w:rFonts w:ascii="Times New Roman" w:hAnsi="Times New Roman" w:cs="Times New Roman" w:eastAsia="Times New Roman" w:hint="default"/>
          <w:b/>
          <w:bCs/>
          <w:sz w:val="36"/>
          <w:szCs w:val="36"/>
        </w:rPr>
        <w:t>2020 </w:t>
      </w:r>
      <w:r>
        <w:rPr>
          <w:rFonts w:ascii="Microsoft JhengHei" w:hAnsi="Microsoft JhengHei" w:cs="Microsoft JhengHei" w:eastAsia="Microsoft JhengHei" w:hint="default"/>
          <w:b/>
          <w:bCs/>
          <w:sz w:val="36"/>
          <w:szCs w:val="36"/>
        </w:rPr>
        <w:t>年 </w:t>
      </w:r>
      <w:r>
        <w:rPr>
          <w:rFonts w:ascii="Times New Roman" w:hAnsi="Times New Roman" w:cs="Times New Roman" w:eastAsia="Times New Roman" w:hint="default"/>
          <w:b/>
          <w:bCs/>
          <w:sz w:val="36"/>
          <w:szCs w:val="36"/>
        </w:rPr>
        <w:t>4</w:t>
      </w:r>
      <w:r>
        <w:rPr>
          <w:rFonts w:ascii="Times New Roman" w:hAnsi="Times New Roman" w:cs="Times New Roman" w:eastAsia="Times New Roman" w:hint="default"/>
          <w:b/>
          <w:bCs/>
          <w:spacing w:val="3"/>
          <w:sz w:val="36"/>
          <w:szCs w:val="36"/>
        </w:rPr>
        <w:t> </w:t>
      </w:r>
      <w:r>
        <w:rPr>
          <w:rFonts w:ascii="Microsoft JhengHei" w:hAnsi="Microsoft JhengHei" w:cs="Microsoft JhengHei" w:eastAsia="Microsoft JhengHei" w:hint="default"/>
          <w:b/>
          <w:bCs/>
          <w:sz w:val="36"/>
          <w:szCs w:val="36"/>
        </w:rPr>
        <w:t>月</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headerReference w:type="default" r:id="rId5"/>
          <w:footerReference w:type="default" r:id="rId6"/>
          <w:type w:val="continuous"/>
          <w:pgSz w:w="11910" w:h="16840"/>
          <w:pgMar w:header="745" w:footer="979" w:top="106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right="982"/>
        <w:jc w:val="center"/>
        <w:rPr>
          <w:b w:val="0"/>
          <w:bCs w:val="0"/>
        </w:rPr>
      </w:pPr>
      <w:bookmarkStart w:name="_TOC_250012" w:id="1"/>
      <w:r>
        <w:rPr/>
        <w:t>第一节 </w:t>
      </w:r>
      <w:r>
        <w:rPr>
          <w:spacing w:val="12"/>
        </w:rPr>
        <w:t> </w:t>
      </w:r>
      <w:r>
        <w:rPr/>
        <w:t>重要提示、目录和释义</w:t>
      </w:r>
      <w:bookmarkEnd w:id="1"/>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Heading3"/>
        <w:spacing w:line="312" w:lineRule="exact"/>
        <w:ind w:right="1140" w:firstLine="480"/>
        <w:jc w:val="both"/>
      </w:pPr>
      <w:r>
        <w:rPr/>
        <w:t>公司董事会、监事会及董事、监事、高级管理人员保证年度报告内容的真实、准确、完 整，不存在虚假记载、误导性陈述或重大遗漏，并承担个别和连带的法律责任。</w:t>
      </w:r>
    </w:p>
    <w:p>
      <w:pPr>
        <w:pStyle w:val="Heading3"/>
        <w:spacing w:line="312" w:lineRule="exact" w:before="101"/>
        <w:ind w:right="1136" w:firstLine="480"/>
        <w:jc w:val="both"/>
      </w:pPr>
      <w:r>
        <w:rPr/>
        <w:t>公司负责人杜力、主管会计工作负责人赵岑及会计机构负责人（会计主管人员）吴艳艳 声明：保证年度报告中财务报告的真实、准确、完整。</w:t>
      </w:r>
    </w:p>
    <w:p>
      <w:pPr>
        <w:pStyle w:val="Heading3"/>
        <w:spacing w:line="314" w:lineRule="auto" w:before="70"/>
        <w:ind w:left="633" w:right="0"/>
        <w:jc w:val="left"/>
      </w:pPr>
      <w:r>
        <w:rPr/>
        <w:t>所有董事均已出席了审议本报告的董事会会议。 </w:t>
      </w:r>
      <w:r>
        <w:rPr>
          <w:spacing w:val="-6"/>
        </w:rPr>
        <w:t>大华会计师事务所（特殊普通合伙）为本公司出具了保留意见审计报告，本公司董事会、</w:t>
      </w:r>
    </w:p>
    <w:p>
      <w:pPr>
        <w:pStyle w:val="Heading3"/>
        <w:spacing w:line="238" w:lineRule="exact"/>
        <w:ind w:right="0"/>
        <w:jc w:val="left"/>
      </w:pPr>
      <w:r>
        <w:rPr/>
        <w:t>监事会对相关事项已有详细说明，请投资者注意阅读。</w:t>
      </w:r>
    </w:p>
    <w:p>
      <w:pPr>
        <w:pStyle w:val="Heading3"/>
        <w:spacing w:line="240" w:lineRule="auto" w:before="98"/>
        <w:ind w:left="633" w:right="0"/>
        <w:jc w:val="left"/>
      </w:pPr>
      <w:r>
        <w:rPr/>
        <w:t>公司计划不派发现金红利，不送红股，不以公积金转增股本。</w:t>
      </w:r>
    </w:p>
    <w:p>
      <w:pPr>
        <w:spacing w:line="240" w:lineRule="auto" w:before="0"/>
        <w:rPr>
          <w:rFonts w:ascii="宋体" w:hAnsi="宋体" w:cs="宋体" w:eastAsia="宋体" w:hint="default"/>
          <w:sz w:val="24"/>
          <w:szCs w:val="24"/>
        </w:rPr>
      </w:pPr>
    </w:p>
    <w:p>
      <w:pPr>
        <w:pStyle w:val="Heading3"/>
        <w:spacing w:line="240" w:lineRule="auto" w:before="195"/>
        <w:ind w:left="633" w:right="0"/>
        <w:jc w:val="left"/>
      </w:pPr>
      <w:r>
        <w:rPr/>
        <w:t>以下提示，敬请投资者留意：</w:t>
      </w:r>
    </w:p>
    <w:p>
      <w:pPr>
        <w:pStyle w:val="Heading3"/>
        <w:spacing w:line="240" w:lineRule="auto" w:before="98"/>
        <w:ind w:left="633" w:right="0"/>
        <w:jc w:val="left"/>
      </w:pPr>
      <w:r>
        <w:rPr>
          <w:rFonts w:ascii="Times New Roman" w:hAnsi="Times New Roman" w:cs="Times New Roman" w:eastAsia="Times New Roman" w:hint="default"/>
        </w:rPr>
        <w:t>1</w:t>
      </w:r>
      <w:r>
        <w:rPr/>
        <w:t>、本报告所涉及的未来计划、发展战略等前瞻性描述不构成公司对投资者的实质承诺。</w:t>
      </w:r>
    </w:p>
    <w:p>
      <w:pPr>
        <w:pStyle w:val="Heading3"/>
        <w:spacing w:line="240" w:lineRule="auto" w:before="80"/>
        <w:ind w:left="633" w:right="0"/>
        <w:jc w:val="left"/>
      </w:pPr>
      <w:r>
        <w:rPr>
          <w:rFonts w:ascii="Times New Roman" w:hAnsi="Times New Roman" w:cs="Times New Roman" w:eastAsia="Times New Roman" w:hint="default"/>
        </w:rPr>
        <w:t>2</w:t>
      </w:r>
      <w:r>
        <w:rPr/>
        <w:t>、本报告第四节</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揭示了公司经营过程中可能存在的风险。</w:t>
      </w:r>
    </w:p>
    <w:p>
      <w:pPr>
        <w:pStyle w:val="Heading3"/>
        <w:spacing w:line="225" w:lineRule="auto" w:before="95"/>
        <w:ind w:right="1128" w:firstLine="480"/>
        <w:jc w:val="both"/>
      </w:pPr>
      <w:r>
        <w:rPr>
          <w:rFonts w:ascii="Times New Roman" w:hAnsi="Times New Roman" w:cs="Times New Roman" w:eastAsia="Times New Roman" w:hint="default"/>
        </w:rPr>
        <w:t>3</w:t>
      </w:r>
      <w:r>
        <w:rPr/>
        <w:t>、本集团自</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日起执行新金融工具准则。由于本集团金融资产占比较高， 新金融工具准则的执行对集团个别及合并的财务报表影响较大。具体影响详见</w:t>
      </w:r>
      <w:r>
        <w:rPr>
          <w:rFonts w:ascii="Times New Roman" w:hAnsi="Times New Roman" w:cs="Times New Roman" w:eastAsia="Times New Roman" w:hint="default"/>
        </w:rPr>
        <w:t>“</w:t>
      </w:r>
      <w:r>
        <w:rPr/>
        <w:t>第五节</w:t>
      </w:r>
      <w:r>
        <w:rPr>
          <w:spacing w:val="46"/>
        </w:rPr>
        <w:t> </w:t>
      </w:r>
      <w:r>
        <w:rPr/>
        <w:t>重要</w:t>
      </w:r>
      <w:r>
        <w:rPr>
          <w:spacing w:val="-116"/>
        </w:rPr>
        <w:t> </w:t>
      </w:r>
      <w:r>
        <w:rPr>
          <w:spacing w:val="-116"/>
        </w:rPr>
      </w:r>
      <w:r>
        <w:rPr>
          <w:spacing w:val="-2"/>
        </w:rPr>
        <w:t>事项</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w:t>
      </w:r>
      <w:r>
        <w:rPr>
          <w:spacing w:val="-2"/>
        </w:rPr>
        <w:t>六、与上年度财务报告相比，会计政策、会计估计和核算方法发生变化的情况说明</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1"/>
        </w:rPr>
        <w:t> </w:t>
      </w:r>
      <w:r>
        <w:rPr/>
        <w:t>以及</w:t>
      </w:r>
      <w:r>
        <w:rPr>
          <w:rFonts w:ascii="Times New Roman" w:hAnsi="Times New Roman" w:cs="Times New Roman" w:eastAsia="Times New Roman" w:hint="default"/>
        </w:rPr>
        <w:t>“</w:t>
      </w:r>
      <w:r>
        <w:rPr/>
        <w:t>第十二节</w:t>
      </w:r>
      <w:r>
        <w:rPr>
          <w:spacing w:val="8"/>
        </w:rPr>
        <w:t> </w:t>
      </w:r>
      <w:r>
        <w:rPr>
          <w:spacing w:val="-5"/>
        </w:rPr>
        <w:t>财务报告</w:t>
      </w:r>
      <w:r>
        <w:rPr>
          <w:rFonts w:ascii="Times New Roman" w:hAnsi="Times New Roman" w:cs="Times New Roman" w:eastAsia="Times New Roman" w:hint="default"/>
          <w:spacing w:val="-5"/>
        </w:rPr>
        <w:t>”</w:t>
      </w:r>
      <w:r>
        <w:rPr>
          <w:spacing w:val="-5"/>
        </w:rPr>
        <w:t>的财务报表附注之</w:t>
      </w:r>
      <w:r>
        <w:rPr>
          <w:rFonts w:ascii="Times New Roman" w:hAnsi="Times New Roman" w:cs="Times New Roman" w:eastAsia="Times New Roman" w:hint="default"/>
          <w:spacing w:val="-5"/>
        </w:rPr>
        <w:t>“</w:t>
      </w:r>
      <w:r>
        <w:rPr>
          <w:spacing w:val="-5"/>
        </w:rPr>
        <w:t>四、重要会计政策、会计估计（四十二）重要会</w:t>
      </w:r>
      <w:r>
        <w:rPr/>
        <w:t> 计政策、会计估计的变更</w:t>
      </w:r>
      <w:r>
        <w:rPr>
          <w:rFonts w:ascii="Times New Roman" w:hAnsi="Times New Roman" w:cs="Times New Roman" w:eastAsia="Times New Roman" w:hint="default"/>
        </w:rPr>
        <w:t>”</w:t>
      </w:r>
      <w:r>
        <w:rPr/>
        <w:t>。</w:t>
      </w:r>
    </w:p>
    <w:p>
      <w:pPr>
        <w:pStyle w:val="Heading3"/>
        <w:spacing w:line="312" w:lineRule="exact" w:before="114"/>
        <w:ind w:right="1131" w:firstLine="480"/>
        <w:jc w:val="both"/>
      </w:pPr>
      <w:r>
        <w:rPr>
          <w:rFonts w:ascii="Times New Roman" w:hAnsi="Times New Roman" w:cs="Times New Roman" w:eastAsia="Times New Roman" w:hint="default"/>
          <w:spacing w:val="-3"/>
        </w:rPr>
        <w:t>4</w:t>
      </w:r>
      <w:r>
        <w:rPr>
          <w:spacing w:val="-3"/>
        </w:rPr>
        <w:t>、本集团从事多种经营，包括证券、投资、金融科技等，本集团合并财务报表遵循一般</w:t>
      </w:r>
      <w:r>
        <w:rPr/>
        <w:t> 行业报表列报要求并兼顾证券行业报表列报要求。集团合并财务报表中，分开列示证券业务</w:t>
      </w:r>
      <w:r>
        <w:rPr>
          <w:spacing w:val="-89"/>
        </w:rPr>
        <w:t> </w:t>
      </w:r>
      <w:r>
        <w:rPr>
          <w:spacing w:val="-89"/>
        </w:rPr>
      </w:r>
      <w:r>
        <w:rPr/>
        <w:t>手续费及佣金收入和支出、证券业务利息收入和支出等项目，而不按净收入口径披露；对于</w:t>
      </w:r>
      <w:r>
        <w:rPr>
          <w:spacing w:val="-91"/>
        </w:rPr>
        <w:t> </w:t>
      </w:r>
      <w:r>
        <w:rPr>
          <w:spacing w:val="-91"/>
        </w:rPr>
      </w:r>
      <w:r>
        <w:rPr/>
        <w:t>证券公司实现的投资收益、公允价值变动收益等构成证券公司所得的重要组成项目，本集团</w:t>
      </w:r>
      <w:r>
        <w:rPr>
          <w:spacing w:val="-87"/>
        </w:rPr>
        <w:t> </w:t>
      </w:r>
      <w:r>
        <w:rPr>
          <w:spacing w:val="-87"/>
        </w:rPr>
      </w:r>
      <w:r>
        <w:rPr/>
        <w:t>合并财务报表只是作为营业利润的形成项目单列，而不纳入收入项目。如非特别说明，本报</w:t>
      </w:r>
      <w:r>
        <w:rPr>
          <w:spacing w:val="-91"/>
        </w:rPr>
        <w:t> </w:t>
      </w:r>
      <w:r>
        <w:rPr>
          <w:spacing w:val="-91"/>
        </w:rPr>
      </w:r>
      <w:r>
        <w:rPr/>
        <w:t>告涉及的财务数据按一般行业企业核算和列报。</w:t>
      </w:r>
    </w:p>
    <w:p>
      <w:pPr>
        <w:spacing w:after="0" w:line="312" w:lineRule="exact"/>
        <w:jc w:val="both"/>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tabs>
          <w:tab w:pos="643" w:val="left" w:leader="none"/>
        </w:tabs>
        <w:spacing w:line="456" w:lineRule="exact" w:before="0"/>
        <w:ind w:left="0" w:right="98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目</w:t>
        <w:tab/>
      </w:r>
      <w:r>
        <w:rPr>
          <w:rFonts w:ascii="Microsoft JhengHei" w:hAnsi="Microsoft JhengHei" w:cs="Microsoft JhengHei" w:eastAsia="Microsoft JhengHei" w:hint="default"/>
          <w:b/>
          <w:bCs/>
          <w:sz w:val="32"/>
          <w:szCs w:val="32"/>
        </w:rPr>
        <w:t>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9121" w:val="right" w:leader="dot"/>
            </w:tabs>
            <w:spacing w:line="240" w:lineRule="auto" w:before="778"/>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2">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121" w:val="right" w:leader="dot"/>
            </w:tabs>
            <w:spacing w:line="240" w:lineRule="auto"/>
            <w:ind w:right="0"/>
            <w:jc w:val="left"/>
            <w:rPr>
              <w:rFonts w:ascii="Times New Roman" w:hAnsi="Times New Roman" w:cs="Times New Roman" w:eastAsia="Times New Roman" w:hint="default"/>
            </w:rPr>
          </w:pPr>
          <w:hyperlink w:history="true" w:anchor="_TOC_250011">
            <w:r>
              <w:rPr/>
              <w:t>第二节</w:t>
            </w:r>
            <w:r>
              <w:rPr>
                <w:spacing w:val="-1"/>
              </w:rPr>
              <w:t> </w:t>
            </w:r>
            <w:r>
              <w:rPr/>
              <w:t>公司简介和主要财务指标</w:t>
            </w:r>
            <w:r>
              <w:rPr>
                <w:rFonts w:ascii="Times New Roman" w:hAnsi="Times New Roman" w:cs="Times New Roman" w:eastAsia="Times New Roman" w:hint="default"/>
              </w:rPr>
              <w:tab/>
              <w:t>6</w:t>
            </w:r>
          </w:hyperlink>
        </w:p>
        <w:p>
          <w:pPr>
            <w:pStyle w:val="TOC1"/>
            <w:tabs>
              <w:tab w:pos="9121" w:val="right" w:leader="dot"/>
            </w:tabs>
            <w:spacing w:line="240" w:lineRule="auto" w:before="135"/>
            <w:ind w:right="0"/>
            <w:jc w:val="left"/>
            <w:rPr>
              <w:rFonts w:ascii="Times New Roman" w:hAnsi="Times New Roman" w:cs="Times New Roman" w:eastAsia="Times New Roman" w:hint="default"/>
            </w:rPr>
          </w:pPr>
          <w:hyperlink w:history="true" w:anchor="_TOC_250010">
            <w:r>
              <w:rPr/>
              <w:t>第三节</w:t>
            </w:r>
            <w:r>
              <w:rPr>
                <w:spacing w:val="-1"/>
              </w:rPr>
              <w:t> </w:t>
            </w:r>
            <w:r>
              <w:rPr/>
              <w:t>集团业务概要</w:t>
            </w:r>
            <w:r>
              <w:rPr>
                <w:rFonts w:ascii="Times New Roman" w:hAnsi="Times New Roman" w:cs="Times New Roman" w:eastAsia="Times New Roman" w:hint="default"/>
              </w:rPr>
              <w:tab/>
              <w:t>10</w:t>
            </w:r>
          </w:hyperlink>
        </w:p>
        <w:p>
          <w:pPr>
            <w:pStyle w:val="TOC1"/>
            <w:tabs>
              <w:tab w:pos="9121" w:val="right" w:leader="dot"/>
            </w:tabs>
            <w:spacing w:line="240" w:lineRule="auto" w:before="134"/>
            <w:ind w:right="0"/>
            <w:jc w:val="left"/>
            <w:rPr>
              <w:rFonts w:ascii="Times New Roman" w:hAnsi="Times New Roman" w:cs="Times New Roman" w:eastAsia="Times New Roman" w:hint="default"/>
            </w:rPr>
          </w:pPr>
          <w:hyperlink w:history="true" w:anchor="_TOC_250009">
            <w:r>
              <w:rPr/>
              <w:t>第四节</w:t>
            </w:r>
            <w:r>
              <w:rPr>
                <w:spacing w:val="-1"/>
              </w:rPr>
              <w:t> </w:t>
            </w:r>
            <w:r>
              <w:rPr/>
              <w:t>经营情况讨论与分析</w:t>
            </w:r>
            <w:r>
              <w:rPr>
                <w:rFonts w:ascii="Times New Roman" w:hAnsi="Times New Roman" w:cs="Times New Roman" w:eastAsia="Times New Roman" w:hint="default"/>
              </w:rPr>
              <w:tab/>
              <w:t>14</w:t>
            </w:r>
          </w:hyperlink>
        </w:p>
        <w:p>
          <w:pPr>
            <w:pStyle w:val="TOC1"/>
            <w:tabs>
              <w:tab w:pos="9121" w:val="right" w:leader="dot"/>
            </w:tabs>
            <w:spacing w:line="240" w:lineRule="auto" w:before="135"/>
            <w:ind w:right="0"/>
            <w:jc w:val="left"/>
            <w:rPr>
              <w:rFonts w:ascii="Times New Roman" w:hAnsi="Times New Roman" w:cs="Times New Roman" w:eastAsia="Times New Roman" w:hint="default"/>
            </w:rPr>
          </w:pPr>
          <w:hyperlink w:history="true" w:anchor="_TOC_250008">
            <w:r>
              <w:rPr/>
              <w:t>第五节</w:t>
            </w:r>
            <w:r>
              <w:rPr>
                <w:spacing w:val="-1"/>
              </w:rPr>
              <w:t> </w:t>
            </w:r>
            <w:r>
              <w:rPr/>
              <w:t>重要事项</w:t>
            </w:r>
            <w:r>
              <w:rPr>
                <w:rFonts w:ascii="Times New Roman" w:hAnsi="Times New Roman" w:cs="Times New Roman" w:eastAsia="Times New Roman" w:hint="default"/>
              </w:rPr>
              <w:tab/>
              <w:t>34</w:t>
            </w:r>
          </w:hyperlink>
        </w:p>
        <w:p>
          <w:pPr>
            <w:pStyle w:val="TOC1"/>
            <w:tabs>
              <w:tab w:pos="9121" w:val="right" w:leader="dot"/>
            </w:tabs>
            <w:spacing w:line="240" w:lineRule="auto"/>
            <w:ind w:right="0"/>
            <w:jc w:val="left"/>
            <w:rPr>
              <w:rFonts w:ascii="Times New Roman" w:hAnsi="Times New Roman" w:cs="Times New Roman" w:eastAsia="Times New Roman" w:hint="default"/>
            </w:rPr>
          </w:pPr>
          <w:hyperlink w:history="true" w:anchor="_TOC_250007">
            <w:r>
              <w:rPr/>
              <w:t>第六节</w:t>
            </w:r>
            <w:r>
              <w:rPr>
                <w:spacing w:val="-1"/>
              </w:rPr>
              <w:t> </w:t>
            </w:r>
            <w:r>
              <w:rPr/>
              <w:t>股份变动及股东情况</w:t>
            </w:r>
            <w:r>
              <w:rPr>
                <w:rFonts w:ascii="Times New Roman" w:hAnsi="Times New Roman" w:cs="Times New Roman" w:eastAsia="Times New Roman" w:hint="default"/>
              </w:rPr>
              <w:tab/>
              <w:t>59</w:t>
            </w:r>
          </w:hyperlink>
        </w:p>
        <w:p>
          <w:pPr>
            <w:pStyle w:val="TOC1"/>
            <w:tabs>
              <w:tab w:pos="9121" w:val="right" w:leader="dot"/>
            </w:tabs>
            <w:spacing w:line="240" w:lineRule="auto" w:before="135"/>
            <w:ind w:right="0"/>
            <w:jc w:val="left"/>
            <w:rPr>
              <w:rFonts w:ascii="Times New Roman" w:hAnsi="Times New Roman" w:cs="Times New Roman" w:eastAsia="Times New Roman" w:hint="default"/>
            </w:rPr>
          </w:pPr>
          <w:hyperlink w:history="true" w:anchor="_TOC_250006">
            <w:r>
              <w:rPr/>
              <w:t>第七节</w:t>
            </w:r>
            <w:r>
              <w:rPr>
                <w:spacing w:val="-1"/>
              </w:rPr>
              <w:t> </w:t>
            </w:r>
            <w:r>
              <w:rPr/>
              <w:t>优先股相关情况</w:t>
            </w:r>
            <w:r>
              <w:rPr>
                <w:rFonts w:ascii="Times New Roman" w:hAnsi="Times New Roman" w:cs="Times New Roman" w:eastAsia="Times New Roman" w:hint="default"/>
              </w:rPr>
              <w:tab/>
              <w:t>65</w:t>
            </w:r>
          </w:hyperlink>
        </w:p>
        <w:p>
          <w:pPr>
            <w:pStyle w:val="TOC1"/>
            <w:tabs>
              <w:tab w:pos="9121" w:val="right" w:leader="dot"/>
            </w:tabs>
            <w:spacing w:line="240" w:lineRule="auto"/>
            <w:ind w:right="0"/>
            <w:jc w:val="left"/>
            <w:rPr>
              <w:rFonts w:ascii="Times New Roman" w:hAnsi="Times New Roman" w:cs="Times New Roman" w:eastAsia="Times New Roman" w:hint="default"/>
            </w:rPr>
          </w:pPr>
          <w:hyperlink w:history="true" w:anchor="_TOC_250005">
            <w:r>
              <w:rPr/>
              <w:t>第八节</w:t>
            </w:r>
            <w:r>
              <w:rPr>
                <w:spacing w:val="-1"/>
              </w:rPr>
              <w:t> </w:t>
            </w:r>
            <w:r>
              <w:rPr/>
              <w:t>可转换公司债券相关情况</w:t>
            </w:r>
            <w:r>
              <w:rPr>
                <w:rFonts w:ascii="Times New Roman" w:hAnsi="Times New Roman" w:cs="Times New Roman" w:eastAsia="Times New Roman" w:hint="default"/>
              </w:rPr>
              <w:tab/>
              <w:t>66</w:t>
            </w:r>
          </w:hyperlink>
        </w:p>
        <w:p>
          <w:pPr>
            <w:pStyle w:val="TOC1"/>
            <w:tabs>
              <w:tab w:pos="9121" w:val="right" w:leader="dot"/>
            </w:tabs>
            <w:spacing w:line="240" w:lineRule="auto" w:before="135"/>
            <w:ind w:right="0"/>
            <w:jc w:val="left"/>
            <w:rPr>
              <w:rFonts w:ascii="Times New Roman" w:hAnsi="Times New Roman" w:cs="Times New Roman" w:eastAsia="Times New Roman" w:hint="default"/>
            </w:rPr>
          </w:pPr>
          <w:hyperlink w:history="true" w:anchor="_TOC_250004">
            <w:r>
              <w:rPr/>
              <w:t>第九节</w:t>
            </w:r>
            <w:r>
              <w:rPr>
                <w:spacing w:val="-1"/>
              </w:rPr>
              <w:t> </w:t>
            </w:r>
            <w:r>
              <w:rPr/>
              <w:t>董事、监事、高级管理人员和员工情况</w:t>
            </w:r>
            <w:r>
              <w:rPr>
                <w:rFonts w:ascii="Times New Roman" w:hAnsi="Times New Roman" w:cs="Times New Roman" w:eastAsia="Times New Roman" w:hint="default"/>
              </w:rPr>
              <w:tab/>
              <w:t>67</w:t>
            </w:r>
          </w:hyperlink>
        </w:p>
        <w:p>
          <w:pPr>
            <w:pStyle w:val="TOC1"/>
            <w:tabs>
              <w:tab w:pos="9121" w:val="right" w:leader="dot"/>
            </w:tabs>
            <w:spacing w:line="240" w:lineRule="auto"/>
            <w:ind w:right="0"/>
            <w:jc w:val="left"/>
            <w:rPr>
              <w:rFonts w:ascii="Times New Roman" w:hAnsi="Times New Roman" w:cs="Times New Roman" w:eastAsia="Times New Roman" w:hint="default"/>
            </w:rPr>
          </w:pPr>
          <w:hyperlink w:history="true" w:anchor="_TOC_250003">
            <w:r>
              <w:rPr/>
              <w:t>第十节</w:t>
            </w:r>
            <w:r>
              <w:rPr>
                <w:spacing w:val="-1"/>
              </w:rPr>
              <w:t> </w:t>
            </w:r>
            <w:r>
              <w:rPr/>
              <w:t>公司治理</w:t>
            </w:r>
            <w:r>
              <w:rPr>
                <w:rFonts w:ascii="Times New Roman" w:hAnsi="Times New Roman" w:cs="Times New Roman" w:eastAsia="Times New Roman" w:hint="default"/>
              </w:rPr>
              <w:tab/>
              <w:t>76</w:t>
            </w:r>
          </w:hyperlink>
        </w:p>
        <w:p>
          <w:pPr>
            <w:pStyle w:val="TOC1"/>
            <w:tabs>
              <w:tab w:pos="9121" w:val="right" w:leader="dot"/>
            </w:tabs>
            <w:spacing w:line="240" w:lineRule="auto" w:before="136"/>
            <w:ind w:right="0"/>
            <w:jc w:val="left"/>
            <w:rPr>
              <w:rFonts w:ascii="Times New Roman" w:hAnsi="Times New Roman" w:cs="Times New Roman" w:eastAsia="Times New Roman" w:hint="default"/>
            </w:rPr>
          </w:pPr>
          <w:hyperlink w:history="true" w:anchor="_TOC_250002">
            <w:r>
              <w:rPr/>
              <w:t>第十一节</w:t>
            </w:r>
            <w:r>
              <w:rPr>
                <w:spacing w:val="-1"/>
              </w:rPr>
              <w:t> </w:t>
            </w:r>
            <w:r>
              <w:rPr/>
              <w:t>公司债券相关情况</w:t>
            </w:r>
            <w:r>
              <w:rPr>
                <w:rFonts w:ascii="Times New Roman" w:hAnsi="Times New Roman" w:cs="Times New Roman" w:eastAsia="Times New Roman" w:hint="default"/>
              </w:rPr>
              <w:tab/>
              <w:t>80</w:t>
            </w:r>
          </w:hyperlink>
        </w:p>
        <w:p>
          <w:pPr>
            <w:pStyle w:val="TOC1"/>
            <w:tabs>
              <w:tab w:pos="9121" w:val="right" w:leader="dot"/>
            </w:tabs>
            <w:spacing w:line="240" w:lineRule="auto" w:before="135"/>
            <w:ind w:right="0"/>
            <w:jc w:val="left"/>
            <w:rPr>
              <w:rFonts w:ascii="Times New Roman" w:hAnsi="Times New Roman" w:cs="Times New Roman" w:eastAsia="Times New Roman" w:hint="default"/>
            </w:rPr>
          </w:pPr>
          <w:hyperlink w:history="true" w:anchor="_TOC_250001">
            <w:r>
              <w:rPr/>
              <w:t>第十二节</w:t>
            </w:r>
            <w:r>
              <w:rPr>
                <w:spacing w:val="-1"/>
              </w:rPr>
              <w:t> </w:t>
            </w:r>
            <w:r>
              <w:rPr/>
              <w:t>财务报告</w:t>
            </w:r>
            <w:r>
              <w:rPr>
                <w:rFonts w:ascii="Times New Roman" w:hAnsi="Times New Roman" w:cs="Times New Roman" w:eastAsia="Times New Roman" w:hint="default"/>
              </w:rPr>
              <w:tab/>
              <w:t>85</w:t>
            </w:r>
          </w:hyperlink>
        </w:p>
        <w:p>
          <w:pPr>
            <w:pStyle w:val="TOC1"/>
            <w:tabs>
              <w:tab w:pos="9121" w:val="right" w:leader="dot"/>
            </w:tabs>
            <w:spacing w:line="240" w:lineRule="auto"/>
            <w:ind w:right="0"/>
            <w:jc w:val="left"/>
            <w:rPr>
              <w:rFonts w:ascii="Times New Roman" w:hAnsi="Times New Roman" w:cs="Times New Roman" w:eastAsia="Times New Roman" w:hint="default"/>
            </w:rPr>
          </w:pPr>
          <w:hyperlink w:history="true" w:anchor="_TOC_250000">
            <w:r>
              <w:rPr/>
              <w:t>第十三节</w:t>
            </w:r>
            <w:r>
              <w:rPr>
                <w:spacing w:val="-1"/>
              </w:rPr>
              <w:t> </w:t>
            </w:r>
            <w:r>
              <w:rPr/>
              <w:t>备查文件目录</w:t>
            </w:r>
            <w:r>
              <w:rPr>
                <w:rFonts w:ascii="Times New Roman" w:hAnsi="Times New Roman" w:cs="Times New Roman" w:eastAsia="Times New Roman" w:hint="default"/>
              </w:rPr>
              <w:tab/>
              <w:t>262</w:t>
            </w:r>
          </w:hyperlink>
        </w:p>
        <w:p>
          <w:pPr/>
          <w:r>
            <w:fldChar w:fldCharType="end"/>
          </w:r>
        </w:p>
      </w:sdtContent>
    </w:sdt>
    <w:p>
      <w:pPr>
        <w:spacing w:after="0"/>
        <w:sectPr>
          <w:pgSz w:w="11910" w:h="16840"/>
          <w:pgMar w:header="745" w:footer="979" w:top="1060" w:bottom="1160" w:left="980" w:right="0"/>
        </w:sectPr>
      </w:pPr>
    </w:p>
    <w:p>
      <w:pPr>
        <w:tabs>
          <w:tab w:pos="643" w:val="left" w:leader="none"/>
        </w:tabs>
        <w:spacing w:before="843"/>
        <w:ind w:left="0" w:right="98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5"/>
          <w:sz w:val="32"/>
          <w:szCs w:val="32"/>
        </w:rPr>
        <w:t>释</w:t>
        <w:tab/>
      </w:r>
      <w:r>
        <w:rPr>
          <w:rFonts w:ascii="Microsoft JhengHei" w:hAnsi="Microsoft JhengHei" w:cs="Microsoft JhengHei" w:eastAsia="Microsoft JhengHei" w:hint="default"/>
          <w:b/>
          <w:bCs/>
          <w:sz w:val="32"/>
          <w:szCs w:val="32"/>
        </w:rPr>
        <w:t>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3524"/>
        <w:gridCol w:w="622"/>
        <w:gridCol w:w="5425"/>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释义项</w:t>
            </w:r>
            <w:r>
              <w:rPr>
                <w:rFonts w:ascii="Microsoft JhengHei" w:hAnsi="Microsoft JhengHei" w:cs="Microsoft JhengHei" w:eastAsia="Microsoft JhengHei" w:hint="default"/>
                <w:sz w:val="21"/>
                <w:szCs w:val="21"/>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指</w:t>
            </w:r>
            <w:r>
              <w:rPr>
                <w:rFonts w:ascii="Microsoft JhengHei" w:hAnsi="Microsoft JhengHei" w:cs="Microsoft JhengHei" w:eastAsia="Microsoft JhengHei" w:hint="default"/>
                <w:w w:val="100"/>
                <w:sz w:val="21"/>
                <w:szCs w:val="21"/>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释义内容</w:t>
            </w:r>
            <w:r>
              <w:rPr>
                <w:rFonts w:ascii="Microsoft JhengHei" w:hAnsi="Microsoft JhengHei" w:cs="Microsoft JhengHei" w:eastAsia="Microsoft JhengHei" w:hint="default"/>
                <w:sz w:val="21"/>
                <w:szCs w:val="21"/>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公司、母公司、国盛金控</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国盛金融控股集团股份有限公司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集团、本集团</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公司及纳入合并范围的子公司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前海发展</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深圳前海财智发展投资中心（有限合伙）</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前海远大</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深圳前海财智远大投资中心（有限合伙）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凤凰财鑫</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北京凤凰财鑫股权投资中心（有限合伙）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凤凰财智</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北京凤凰财智创新投资中心（有限合伙）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雪松信托</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雪松国际信托股份有限公司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西藏迅杰</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西藏迅杰新科科技有限公司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赣粤高速</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江西赣粤高速公路股份有限公司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江西财投</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江西省财政投资管理公司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江西省投资集团公司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江西能源</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江西省能源集团有限公司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江西地矿</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江西省地质矿产勘查开发局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江西地勘</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江西有色地质勘查局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锦峰投资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江西省锦峰投资管理有限责任公司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江西医药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江西省医药集团有限公司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西藏迅杰</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西藏迅杰新科科技有限公司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北京岫晞</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北京岫晞股权投资中心（有限合伙）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国盛证券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国盛证券有限责任公司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国盛期货</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国盛期货有限责任公司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国盛资管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国盛证券资产管理有限公司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国盛弘远</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国盛弘远（上海）投资有限公司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深圳国盛前海投资有限公司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香港投资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627"/>
              <w:jc w:val="left"/>
              <w:rPr>
                <w:rFonts w:ascii="宋体" w:hAnsi="宋体" w:cs="宋体" w:eastAsia="宋体" w:hint="default"/>
                <w:sz w:val="21"/>
                <w:szCs w:val="21"/>
              </w:rPr>
            </w:pPr>
            <w:r>
              <w:rPr>
                <w:rFonts w:ascii="宋体" w:hAnsi="宋体" w:cs="宋体" w:eastAsia="宋体" w:hint="default"/>
                <w:sz w:val="21"/>
                <w:szCs w:val="21"/>
              </w:rPr>
              <w:t>国盛（香港）投资有限公司（</w:t>
            </w:r>
            <w:r>
              <w:rPr>
                <w:rFonts w:ascii="Times New Roman" w:hAnsi="Times New Roman" w:cs="Times New Roman" w:eastAsia="Times New Roman" w:hint="default"/>
                <w:sz w:val="21"/>
                <w:szCs w:val="21"/>
              </w:rPr>
              <w:t>Guosheng (Hong</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Kong)</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Investment</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国盛环球</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617"/>
              <w:jc w:val="left"/>
              <w:rPr>
                <w:rFonts w:ascii="宋体" w:hAnsi="宋体" w:cs="宋体" w:eastAsia="宋体" w:hint="default"/>
                <w:sz w:val="21"/>
                <w:szCs w:val="21"/>
              </w:rPr>
            </w:pPr>
            <w:r>
              <w:rPr>
                <w:rFonts w:ascii="宋体" w:hAnsi="宋体" w:cs="宋体" w:eastAsia="宋体" w:hint="default"/>
                <w:sz w:val="21"/>
                <w:szCs w:val="21"/>
              </w:rPr>
              <w:t>国盛环球投资有限公司（</w:t>
            </w:r>
            <w:r>
              <w:rPr>
                <w:rFonts w:ascii="Times New Roman" w:hAnsi="Times New Roman" w:cs="Times New Roman" w:eastAsia="Times New Roman" w:hint="default"/>
                <w:sz w:val="21"/>
                <w:szCs w:val="21"/>
              </w:rPr>
              <w:t>Guosheng Global</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Investment</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极盛科技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珠海横琴极盛科技有限公司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多专科技</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上海多专科技有限公司</w:t>
            </w:r>
          </w:p>
        </w:tc>
      </w:tr>
    </w:tbl>
    <w:p>
      <w:pPr>
        <w:spacing w:after="0" w:line="240"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弘大嘉豪</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深圳前海弘大嘉豪投资管理有限公司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北京快乐时代</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北京快乐时代科技发展有限公司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QD</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Qudian</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Inc.</w:t>
            </w:r>
            <w:r>
              <w:rPr>
                <w:rFonts w:ascii="宋体" w:hAnsi="宋体" w:cs="宋体" w:eastAsia="宋体" w:hint="default"/>
                <w:sz w:val="21"/>
                <w:szCs w:val="21"/>
              </w:rPr>
              <w:t>，北京快乐时代的境外协议控制主体</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赣州趣分期</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32"/>
              <w:jc w:val="left"/>
              <w:rPr>
                <w:rFonts w:ascii="宋体" w:hAnsi="宋体" w:cs="宋体" w:eastAsia="宋体" w:hint="default"/>
                <w:sz w:val="21"/>
                <w:szCs w:val="21"/>
              </w:rPr>
            </w:pPr>
            <w:r>
              <w:rPr>
                <w:rFonts w:ascii="宋体" w:hAnsi="宋体" w:cs="宋体" w:eastAsia="宋体" w:hint="default"/>
                <w:spacing w:val="-2"/>
                <w:sz w:val="21"/>
                <w:szCs w:val="21"/>
              </w:rPr>
              <w:t>趣分期（赣州）信息技术有限公司，北京快乐时代的境内</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协议控制主体</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渤海信托</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渤海国际信托股份有限公司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四川信托</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四川信托有限公司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大华、年审机构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立信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证券业务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国盛证券及其下属子公司所从事的业务</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32"/>
              <w:jc w:val="left"/>
              <w:rPr>
                <w:rFonts w:ascii="宋体" w:hAnsi="宋体" w:cs="宋体" w:eastAsia="宋体" w:hint="default"/>
                <w:sz w:val="21"/>
                <w:szCs w:val="21"/>
              </w:rPr>
            </w:pPr>
            <w:r>
              <w:rPr>
                <w:rFonts w:ascii="宋体" w:hAnsi="宋体" w:cs="宋体" w:eastAsia="宋体" w:hint="default"/>
                <w:spacing w:val="-2"/>
                <w:sz w:val="21"/>
                <w:szCs w:val="21"/>
              </w:rPr>
              <w:t>除证券业务板块外集团内各主体对集团外企业股权投资及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投资管理业务</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0"/>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年修订并发布的第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23 </w:t>
            </w:r>
            <w:r>
              <w:rPr>
                <w:rFonts w:ascii="宋体" w:hAnsi="宋体" w:cs="宋体" w:eastAsia="宋体" w:hint="default"/>
                <w:sz w:val="21"/>
                <w:szCs w:val="21"/>
              </w:rPr>
              <w:t>号、</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号和</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37</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6"/>
                <w:w w:val="100"/>
                <w:sz w:val="21"/>
                <w:szCs w:val="21"/>
              </w:rPr>
              <w:t>号企业会计准则（分别为《金融工具确认和计量》《金</w:t>
            </w:r>
            <w:r>
              <w:rPr>
                <w:rFonts w:ascii="宋体" w:hAnsi="宋体" w:cs="宋体" w:eastAsia="宋体" w:hint="default"/>
                <w:w w:val="100"/>
                <w:sz w:val="21"/>
                <w:szCs w:val="21"/>
              </w:rPr>
              <w:t> </w:t>
            </w:r>
            <w:r>
              <w:rPr>
                <w:rFonts w:ascii="宋体" w:hAnsi="宋体" w:cs="宋体" w:eastAsia="宋体" w:hint="default"/>
                <w:spacing w:val="-14"/>
                <w:w w:val="100"/>
                <w:sz w:val="21"/>
                <w:szCs w:val="21"/>
              </w:rPr>
              <w:t>融资产转移》《套期会计》《金融工具列报》）的合称。</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642" w:right="0"/>
        <w:jc w:val="left"/>
        <w:rPr>
          <w:b w:val="0"/>
          <w:bCs w:val="0"/>
        </w:rPr>
      </w:pPr>
      <w:bookmarkStart w:name="_TOC_250011" w:id="2"/>
      <w:r>
        <w:rPr/>
        <w:t>第二节 </w:t>
      </w:r>
      <w:r>
        <w:rPr>
          <w:spacing w:val="13"/>
        </w:rPr>
        <w:t> </w:t>
      </w:r>
      <w:r>
        <w:rPr/>
        <w:t>公司简介和主要财务指标</w:t>
      </w:r>
      <w:bookmarkEnd w:id="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2694"/>
        <w:gridCol w:w="2544"/>
        <w:gridCol w:w="2155"/>
        <w:gridCol w:w="2177"/>
      </w:tblGrid>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国盛金控</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002670</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国盛金融控股集团股份有限公司</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国盛金控</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Guosheng Financial Holding</w:t>
            </w:r>
            <w:r>
              <w:rPr>
                <w:rFonts w:ascii="Times New Roman"/>
                <w:spacing w:val="-10"/>
                <w:sz w:val="21"/>
              </w:rPr>
              <w:t> </w:t>
            </w:r>
            <w:r>
              <w:rPr>
                <w:rFonts w:ascii="Times New Roman"/>
                <w:sz w:val="21"/>
              </w:rPr>
              <w:t>Inc.</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Guosheng</w:t>
            </w:r>
            <w:r>
              <w:rPr>
                <w:rFonts w:ascii="Times New Roman"/>
                <w:spacing w:val="-2"/>
                <w:sz w:val="21"/>
              </w:rPr>
              <w:t> </w:t>
            </w:r>
            <w:r>
              <w:rPr>
                <w:rFonts w:ascii="Times New Roman"/>
                <w:sz w:val="21"/>
              </w:rPr>
              <w:t>Finance</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杜力</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佛山市顺德区容桂街道华口昌宝东路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528306</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主要办公地址</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深圳市福田区益田路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号平安金融中心</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518000</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9">
              <w:r>
                <w:rPr>
                  <w:rFonts w:ascii="Times New Roman"/>
                  <w:sz w:val="21"/>
                </w:rPr>
                <w:t>www.gsfins.com</w:t>
              </w:r>
            </w:hyperlink>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8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0">
              <w:r>
                <w:rPr>
                  <w:rFonts w:ascii="Times New Roman"/>
                  <w:sz w:val="21"/>
                </w:rPr>
                <w:t>zqb@gsfins.com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2694"/>
        <w:gridCol w:w="3437"/>
        <w:gridCol w:w="3440"/>
      </w:tblGrid>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董事会秘书</w:t>
            </w:r>
            <w:r>
              <w:rPr>
                <w:rFonts w:ascii="Microsoft JhengHei" w:hAnsi="Microsoft JhengHei" w:cs="Microsoft JhengHei" w:eastAsia="Microsoft JhengHei" w:hint="default"/>
                <w:sz w:val="21"/>
                <w:szCs w:val="21"/>
              </w:rPr>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0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证券事务代表</w:t>
            </w:r>
            <w:r>
              <w:rPr>
                <w:rFonts w:ascii="Microsoft JhengHei" w:hAnsi="Microsoft JhengHei" w:cs="Microsoft JhengHei" w:eastAsia="Microsoft JhengHei" w:hint="default"/>
                <w:sz w:val="21"/>
                <w:szCs w:val="21"/>
              </w:rPr>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方胜玲</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深圳市福田区益田路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号平安金</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融中心</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深圳市福田区益田路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号平安金</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融中心</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0755-88259805</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0755-88259805</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0755-88259805</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0755-88259805</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0">
              <w:r>
                <w:rPr>
                  <w:rFonts w:ascii="Times New Roman"/>
                  <w:sz w:val="21"/>
                </w:rPr>
                <w:t>zqb@gsfins.com</w:t>
              </w:r>
            </w:hyperlink>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0">
              <w:r>
                <w:rPr>
                  <w:rFonts w:ascii="Times New Roman"/>
                  <w:sz w:val="21"/>
                </w:rPr>
                <w:t>zqb@gsfins.com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543"/>
        <w:gridCol w:w="6025"/>
      </w:tblGrid>
      <w:tr>
        <w:trPr>
          <w:trHeight w:val="40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日</w:t>
            </w:r>
            <w:r>
              <w:rPr>
                <w:rFonts w:ascii="宋体" w:hAnsi="宋体" w:cs="宋体" w:eastAsia="宋体" w:hint="default"/>
                <w:w w:val="100"/>
                <w:sz w:val="21"/>
                <w:szCs w:val="21"/>
              </w:rPr>
              <w:t>报》</w:t>
            </w:r>
          </w:p>
        </w:tc>
      </w:tr>
      <w:tr>
        <w:trPr>
          <w:trHeight w:val="401"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登载年度报告的指定网站的网址</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Times New Roman" w:hAnsi="Times New Roman" w:cs="Times New Roman" w:eastAsia="Times New Roman" w:hint="default"/>
                <w:sz w:val="21"/>
                <w:szCs w:val="21"/>
              </w:rPr>
            </w:pPr>
            <w:hyperlink r:id="rId11">
              <w:r>
                <w:rPr>
                  <w:rFonts w:ascii="Times New Roman" w:hAnsi="Times New Roman" w:cs="Times New Roman" w:eastAsia="Times New Roman" w:hint="default"/>
                  <w:sz w:val="21"/>
                  <w:szCs w:val="21"/>
                </w:rPr>
                <w:t>www.szse.cn</w:t>
              </w:r>
            </w:hyperlink>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www.cninfo.com.cn</w:t>
              </w:r>
            </w:hyperlink>
          </w:p>
        </w:tc>
      </w:tr>
      <w:tr>
        <w:trPr>
          <w:trHeight w:val="40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8"/>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四、注册变更情况</w:t>
      </w:r>
      <w:r>
        <w:rPr>
          <w:b w:val="0"/>
          <w:bCs w:val="0"/>
        </w:rPr>
      </w:r>
    </w:p>
    <w:p>
      <w:pPr>
        <w:spacing w:after="0" w:line="367" w:lineRule="exact"/>
        <w:jc w:val="left"/>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2410"/>
        <w:gridCol w:w="7158"/>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61765561-3</w:t>
            </w:r>
          </w:p>
        </w:tc>
      </w:tr>
      <w:tr>
        <w:trPr>
          <w:trHeight w:val="102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71" w:lineRule="auto"/>
              <w:ind w:left="24" w:right="19"/>
              <w:jc w:val="left"/>
              <w:rPr>
                <w:rFonts w:ascii="宋体" w:hAnsi="宋体" w:cs="宋体" w:eastAsia="宋体" w:hint="default"/>
                <w:sz w:val="21"/>
                <w:szCs w:val="21"/>
              </w:rPr>
            </w:pPr>
            <w:r>
              <w:rPr>
                <w:rFonts w:ascii="宋体" w:hAnsi="宋体" w:cs="宋体" w:eastAsia="宋体" w:hint="default"/>
                <w:spacing w:val="2"/>
                <w:sz w:val="21"/>
                <w:szCs w:val="21"/>
              </w:rPr>
              <w:t>公司上市以来主营业务的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变化情况</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5"/>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年实施发行股份及支付现金购买资产方案，取得国盛证券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w:t>
            </w:r>
            <w:r>
              <w:rPr>
                <w:rFonts w:ascii="宋体" w:hAnsi="宋体" w:cs="宋体" w:eastAsia="宋体" w:hint="default"/>
                <w:spacing w:val="-97"/>
                <w:sz w:val="21"/>
                <w:szCs w:val="21"/>
              </w:rPr>
              <w:t> </w:t>
            </w:r>
            <w:r>
              <w:rPr>
                <w:rFonts w:ascii="宋体" w:hAnsi="宋体" w:cs="宋体" w:eastAsia="宋体" w:hint="default"/>
                <w:spacing w:val="-2"/>
                <w:w w:val="100"/>
                <w:sz w:val="21"/>
                <w:szCs w:val="21"/>
              </w:rPr>
              <w:t>权。根据中国证监会发布的《</w:t>
            </w:r>
            <w:r>
              <w:rPr>
                <w:rFonts w:ascii="Times New Roman" w:hAnsi="Times New Roman" w:cs="Times New Roman" w:eastAsia="Times New Roman" w:hint="default"/>
                <w:spacing w:val="-2"/>
                <w:w w:val="100"/>
                <w:sz w:val="21"/>
                <w:szCs w:val="21"/>
              </w:rPr>
              <w:t>2017</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年</w:t>
            </w:r>
            <w:r>
              <w:rPr>
                <w:rFonts w:ascii="宋体" w:hAnsi="宋体" w:cs="宋体" w:eastAsia="宋体" w:hint="default"/>
                <w:spacing w:val="-43"/>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8"/>
                <w:w w:val="100"/>
                <w:sz w:val="21"/>
                <w:szCs w:val="21"/>
              </w:rPr>
              <w:t>季度上市公司行业分类结果》，公司行</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2"/>
                <w:sz w:val="21"/>
                <w:szCs w:val="21"/>
              </w:rPr>
              <w:t>业类别由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制造业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电气机械及器材制造业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变更为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金融业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资本市场服务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106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历次控股股东的变更情况</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月，公司控股股东变更为凤凰财智。</w:t>
            </w:r>
          </w:p>
          <w:p>
            <w:pPr>
              <w:pStyle w:val="TableParagraph"/>
              <w:spacing w:line="256" w:lineRule="auto" w:before="59"/>
              <w:ind w:left="23" w:right="2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月，公司控股股东变更为前海发展及其一致行动人前海远大、凤</w:t>
            </w:r>
            <w:r>
              <w:rPr>
                <w:rFonts w:ascii="宋体" w:hAnsi="宋体" w:cs="宋体" w:eastAsia="宋体" w:hint="default"/>
                <w:w w:val="100"/>
                <w:sz w:val="21"/>
                <w:szCs w:val="21"/>
              </w:rPr>
              <w:t> </w:t>
            </w:r>
            <w:r>
              <w:rPr>
                <w:rFonts w:ascii="宋体" w:hAnsi="宋体" w:cs="宋体" w:eastAsia="宋体" w:hint="default"/>
                <w:sz w:val="21"/>
                <w:szCs w:val="21"/>
              </w:rPr>
              <w:t>凰财智、凤凰财鑫。</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五、其他有关资料</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right="0"/>
        <w:jc w:val="left"/>
      </w:pPr>
      <w:r>
        <w:rPr/>
        <w:t>公司聘请的会计师事务所</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2410"/>
        <w:gridCol w:w="7158"/>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北京市海淀区西四环中路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号楼</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1101</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朱娟、孙彤</w:t>
            </w:r>
          </w:p>
        </w:tc>
      </w:tr>
    </w:tbl>
    <w:p>
      <w:pPr>
        <w:pStyle w:val="BodyText"/>
        <w:tabs>
          <w:tab w:pos="8137" w:val="left" w:leader="none"/>
        </w:tabs>
        <w:spacing w:line="240" w:lineRule="auto" w:before="28"/>
        <w:ind w:right="0"/>
        <w:jc w:val="left"/>
      </w:pPr>
      <w:r>
        <w:rPr>
          <w:spacing w:val="-2"/>
        </w:rPr>
        <w:t>公司聘请的报告期内履行持续督导职责的保荐机构</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8137" w:val="left" w:leader="none"/>
        </w:tabs>
        <w:spacing w:line="240" w:lineRule="auto" w:before="62"/>
        <w:ind w:right="0"/>
        <w:jc w:val="left"/>
      </w:pPr>
      <w:r>
        <w:rPr>
          <w:spacing w:val="-2"/>
        </w:rPr>
        <w:t>公司聘请的报告期内履行持续督导职责的财务顾问</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r>
        <w:rPr/>
        <w:t>六、主要会计数据和财务指标</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tabs>
          <w:tab w:pos="8765" w:val="left" w:leader="none"/>
        </w:tabs>
        <w:spacing w:line="240" w:lineRule="auto"/>
        <w:ind w:right="0"/>
        <w:jc w:val="left"/>
      </w:pPr>
      <w:r>
        <w:rPr>
          <w:spacing w:val="-2"/>
        </w:rPr>
        <w:t>公司是否需追溯调整或重述以前年度会计数据</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71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1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2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2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本年比上年增减</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2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2017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1,669,714,290.97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1,211,742,177.72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37.79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1,873,363,010.20</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95,206,095.24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-544,272,818.63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3"/>
                <w:sz w:val="21"/>
              </w:rPr>
              <w:t>117.49</w:t>
            </w:r>
            <w:r>
              <w:rPr>
                <w:rFonts w:ascii="Times New Roman"/>
                <w:sz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580,642,470.28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非经常性损益的净利润（元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175" w:lineRule="exact"/>
              <w:ind w:left="331" w:right="0"/>
              <w:jc w:val="left"/>
              <w:rPr>
                <w:rFonts w:ascii="Times New Roman" w:hAnsi="Times New Roman" w:cs="Times New Roman" w:eastAsia="Times New Roman" w:hint="default"/>
                <w:sz w:val="21"/>
                <w:szCs w:val="21"/>
              </w:rPr>
            </w:pPr>
            <w:r>
              <w:rPr>
                <w:rFonts w:ascii="Times New Roman"/>
                <w:sz w:val="21"/>
              </w:rPr>
              <w:t>-114,340,458.63</w:t>
            </w:r>
          </w:p>
          <w:p>
            <w:pPr>
              <w:pStyle w:val="TableParagraph"/>
              <w:spacing w:line="209"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-543,436,233.63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78.96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611,704,948.33</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2,421,798,497.37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1,671,452,980.25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-3,840,551,826.38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-0.2807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2"/>
                <w:sz w:val="21"/>
              </w:rPr>
              <w:t>117.53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0.2985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-0.2807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2"/>
                <w:sz w:val="21"/>
              </w:rPr>
              <w:t>117.53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0.2985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sz w:val="21"/>
                <w:szCs w:val="21"/>
              </w:rPr>
              <w:t>上升</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5.32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4.85%</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1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1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15"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4"/>
              <w:ind w:left="335" w:right="123"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本年末比上年末</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增减（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15"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33,730,601,085.13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32,770,482,398.04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27,953,515,141.49</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2"/>
                <w:sz w:val="21"/>
              </w:rPr>
              <w:t>11,576,618,119.25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11,402,371,152.67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12,874,069,912.62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七、境内外会计准则下会计数据差异</w:t>
      </w:r>
      <w:r>
        <w:rPr>
          <w:b w:val="0"/>
          <w:bCs w:val="0"/>
        </w:rPr>
      </w:r>
    </w:p>
    <w:p>
      <w:pPr>
        <w:spacing w:after="0" w:line="367" w:lineRule="exact"/>
        <w:jc w:val="left"/>
        <w:sectPr>
          <w:pgSz w:w="11910" w:h="16840"/>
          <w:pgMar w:header="745" w:footer="979" w:top="1060" w:bottom="1160" w:left="980" w:right="0"/>
        </w:sectPr>
      </w:pPr>
    </w:p>
    <w:p>
      <w:pPr>
        <w:spacing w:line="240" w:lineRule="auto" w:before="11"/>
        <w:rPr>
          <w:rFonts w:ascii="Microsoft JhengHei" w:hAnsi="Microsoft JhengHei" w:cs="Microsoft JhengHei" w:eastAsia="Microsoft JhengHei" w:hint="default"/>
          <w:b/>
          <w:bCs/>
          <w:sz w:val="18"/>
          <w:szCs w:val="18"/>
        </w:rPr>
      </w:pPr>
    </w:p>
    <w:p>
      <w:pPr>
        <w:pStyle w:val="Heading4"/>
        <w:spacing w:line="335" w:lineRule="exact"/>
        <w:ind w:left="152"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90" w:lineRule="auto"/>
        <w:ind w:left="573" w:right="1150"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公司报告期不存在按照国际会计准则与按照中国会计准则披露的财务报告中净利润和净资产差异情</w:t>
      </w:r>
    </w:p>
    <w:p>
      <w:pPr>
        <w:pStyle w:val="BodyText"/>
        <w:spacing w:line="268" w:lineRule="exact"/>
        <w:ind w:right="0"/>
        <w:jc w:val="left"/>
      </w:pPr>
      <w:r>
        <w:rPr/>
        <w:t>况。</w:t>
      </w:r>
    </w:p>
    <w:p>
      <w:pPr>
        <w:spacing w:line="240" w:lineRule="auto" w:before="9"/>
        <w:rPr>
          <w:rFonts w:ascii="宋体" w:hAnsi="宋体" w:cs="宋体" w:eastAsia="宋体" w:hint="default"/>
          <w:sz w:val="20"/>
          <w:szCs w:val="20"/>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90" w:lineRule="auto"/>
        <w:ind w:left="573" w:right="1150"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w:t>
      </w:r>
    </w:p>
    <w:p>
      <w:pPr>
        <w:pStyle w:val="BodyText"/>
        <w:spacing w:line="268" w:lineRule="exact"/>
        <w:ind w:right="0"/>
        <w:jc w:val="left"/>
      </w:pPr>
      <w:r>
        <w:rPr/>
        <w:t>况。</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0" w:right="1339"/>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2835"/>
        <w:gridCol w:w="1682"/>
        <w:gridCol w:w="1685"/>
        <w:gridCol w:w="1683"/>
        <w:gridCol w:w="168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第一季度</w:t>
            </w:r>
            <w:r>
              <w:rPr>
                <w:rFonts w:ascii="Microsoft JhengHei" w:hAnsi="Microsoft JhengHei" w:cs="Microsoft JhengHei" w:eastAsia="Microsoft JhengHei"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第二季度</w:t>
            </w:r>
            <w:r>
              <w:rPr>
                <w:rFonts w:ascii="Microsoft JhengHei" w:hAnsi="Microsoft JhengHei" w:cs="Microsoft JhengHei" w:eastAsia="Microsoft JhengHei" w:hint="default"/>
                <w:sz w:val="21"/>
                <w:szCs w:val="21"/>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第三季度</w:t>
            </w:r>
            <w:r>
              <w:rPr>
                <w:rFonts w:ascii="Microsoft JhengHei" w:hAnsi="Microsoft JhengHei" w:cs="Microsoft JhengHei" w:eastAsia="Microsoft JhengHei"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第四季度</w:t>
            </w:r>
            <w:r>
              <w:rPr>
                <w:rFonts w:ascii="Microsoft JhengHei" w:hAnsi="Microsoft JhengHei" w:cs="Microsoft JhengHei" w:eastAsia="Microsoft JhengHei" w:hint="default"/>
                <w:sz w:val="21"/>
                <w:szCs w:val="21"/>
              </w:rPr>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324,083,264.97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445,901,015.89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409,174,784.90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490,555,225.21</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441,944,870.97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-162,030,683.82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-187,331,499.52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2,623,407.61</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经常性损益的净利润</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430,659,028.19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-155,735,730.02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-190,268,332.31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-198,995,424.49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1,697,495,539.05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-154,058,412.34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-692,900,659.49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1,571,262,030.15</w:t>
            </w:r>
          </w:p>
        </w:tc>
      </w:tr>
    </w:tbl>
    <w:p>
      <w:pPr>
        <w:pStyle w:val="BodyText"/>
        <w:spacing w:line="240" w:lineRule="auto" w:before="28"/>
        <w:ind w:right="0"/>
        <w:jc w:val="left"/>
      </w:pPr>
      <w:r>
        <w:rPr>
          <w:spacing w:val="-3"/>
        </w:rPr>
        <w:t>上述财务指标或其加总数是否与公司已披露季度报告、半年度报告相关财务指标存在重大差异 </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t>否</w:t>
      </w:r>
    </w:p>
    <w:p>
      <w:pPr>
        <w:spacing w:line="240" w:lineRule="auto" w:before="10"/>
        <w:rPr>
          <w:rFonts w:ascii="宋体" w:hAnsi="宋体" w:cs="宋体" w:eastAsia="宋体" w:hint="default"/>
          <w:sz w:val="16"/>
          <w:szCs w:val="16"/>
        </w:rPr>
      </w:pPr>
    </w:p>
    <w:p>
      <w:pPr>
        <w:tabs>
          <w:tab w:pos="8187"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4"/>
          <w:szCs w:val="24"/>
        </w:rPr>
        <w:t>九、非经常性损益项目及金额</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2"/>
          <w:szCs w:val="22"/>
        </w:rPr>
      </w:pPr>
    </w:p>
    <w:p>
      <w:pPr>
        <w:pStyle w:val="BodyText"/>
        <w:spacing w:line="240" w:lineRule="auto"/>
        <w:ind w:left="0" w:right="1339"/>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4503"/>
        <w:gridCol w:w="1560"/>
        <w:gridCol w:w="1416"/>
        <w:gridCol w:w="1419"/>
        <w:gridCol w:w="670"/>
      </w:tblGrid>
      <w:tr>
        <w:trPr>
          <w:trHeight w:val="40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2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51"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5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71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53"/>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非流动资产处置损益（包括已计提资产减值准备</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的冲销部分）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-335,122.18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-739,066.28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-33,576,968.24</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45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w:t>
            </w:r>
          </w:p>
        </w:tc>
        <w:tc>
          <w:tcPr>
            <w:tcW w:w="1560"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r>
      <w:tr>
        <w:trPr>
          <w:trHeight w:val="317" w:hRule="exact"/>
        </w:trPr>
        <w:tc>
          <w:tcPr>
            <w:tcW w:w="4503"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关，按照国家统一标准定额或定量享受的政府补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14,182,174.69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4,207,083.96</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3,477,376.15</w:t>
            </w:r>
          </w:p>
        </w:tc>
        <w:tc>
          <w:tcPr>
            <w:tcW w:w="670" w:type="dxa"/>
            <w:vMerge/>
            <w:tcBorders>
              <w:left w:val="single" w:sz="4" w:space="0" w:color="000000"/>
              <w:right w:val="single" w:sz="4" w:space="0" w:color="000000"/>
            </w:tcBorders>
          </w:tcPr>
          <w:p>
            <w:pPr/>
          </w:p>
        </w:tc>
      </w:tr>
      <w:tr>
        <w:trPr>
          <w:trHeight w:val="351" w:hRule="exact"/>
        </w:trPr>
        <w:tc>
          <w:tcPr>
            <w:tcW w:w="450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助除外）</w:t>
            </w:r>
          </w:p>
        </w:tc>
        <w:tc>
          <w:tcPr>
            <w:tcW w:w="1560"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45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w:t>
            </w:r>
          </w:p>
        </w:tc>
        <w:tc>
          <w:tcPr>
            <w:tcW w:w="1560" w:type="dxa"/>
            <w:tcBorders>
              <w:top w:val="single" w:sz="4" w:space="0" w:color="000000"/>
              <w:left w:val="single" w:sz="4" w:space="0" w:color="000000"/>
              <w:bottom w:val="nil" w:sz="6" w:space="0" w:color="auto"/>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4503"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本小于取得投资时应享有被投资单位可辨认净资</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200,565,802.38</w:t>
            </w:r>
          </w:p>
        </w:tc>
        <w:tc>
          <w:tcPr>
            <w:tcW w:w="1416"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51" w:hRule="exact"/>
        </w:trPr>
        <w:tc>
          <w:tcPr>
            <w:tcW w:w="4503"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产公允价值产生的收益</w:t>
            </w:r>
          </w:p>
        </w:tc>
        <w:tc>
          <w:tcPr>
            <w:tcW w:w="1560" w:type="dxa"/>
            <w:tcBorders>
              <w:top w:val="nil" w:sz="6" w:space="0" w:color="auto"/>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4503"/>
        <w:gridCol w:w="1560"/>
        <w:gridCol w:w="1416"/>
        <w:gridCol w:w="1419"/>
        <w:gridCol w:w="670"/>
      </w:tblGrid>
      <w:tr>
        <w:trPr>
          <w:trHeight w:val="71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因不可抗力因素，如遭受自然灾害而计提的各项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资产减值准备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53"/>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分的损益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的当期净损益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5"/>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10"/>
                <w:sz w:val="21"/>
                <w:szCs w:val="21"/>
              </w:rPr>
              <w:t>外，持有交易性金融资产、衍生金融资产、交易性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金融负债、衍生金融负债产生的公允价值变动损</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10"/>
                <w:sz w:val="21"/>
                <w:szCs w:val="21"/>
              </w:rPr>
              <w:t>益，以及处置交易性金融资产、衍生金融资产、交</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易性金融负债、衍生金融负债和其他债权投资取</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得的投资收益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-10,686.94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1,939,499.97</w:t>
            </w: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53"/>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单独进行减值测试的应收款项、合同资产减值准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备转回</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53"/>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公允价值变动产生的损益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进行一次性调整对当期损益的影响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-7,231,445.56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-5,957,242.75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-3,434,878.94</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6,310,184.46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3,936,982.14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289,713.93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-2,470,733.25</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-2,629.16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-2,854.03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-1,259.73</w:t>
            </w:r>
          </w:p>
        </w:tc>
        <w:tc>
          <w:tcPr>
            <w:tcW w:w="67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209,546,553.87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-836,585.00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-31,062,478.05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1" w:lineRule="auto" w:before="28"/>
        <w:ind w:right="0"/>
        <w:jc w:val="left"/>
      </w:pPr>
      <w:r>
        <w:rPr>
          <w:spacing w:val="-6"/>
        </w:rPr>
        <w:t>注：详见“第五节</w:t>
      </w:r>
      <w:r>
        <w:rPr>
          <w:spacing w:val="48"/>
        </w:rPr>
        <w:t> </w:t>
      </w:r>
      <w:r>
        <w:rPr>
          <w:spacing w:val="-4"/>
        </w:rPr>
        <w:t>重要事项”之“六、与上年度财务报告相比，会计政策、会计估计和核算方法发生变化</w:t>
      </w:r>
      <w:r>
        <w:rPr>
          <w:spacing w:val="-94"/>
        </w:rPr>
        <w:t> </w:t>
      </w:r>
      <w:r>
        <w:rPr>
          <w:spacing w:val="-94"/>
        </w:rPr>
      </w:r>
      <w:r>
        <w:rPr>
          <w:spacing w:val="-16"/>
          <w:w w:val="100"/>
        </w:rPr>
        <w:t>的情况说明”。</w:t>
      </w:r>
    </w:p>
    <w:p>
      <w:pPr>
        <w:spacing w:line="240" w:lineRule="auto" w:before="0"/>
        <w:rPr>
          <w:rFonts w:ascii="宋体" w:hAnsi="宋体" w:cs="宋体" w:eastAsia="宋体" w:hint="default"/>
          <w:sz w:val="20"/>
          <w:szCs w:val="20"/>
        </w:rPr>
      </w:pPr>
    </w:p>
    <w:p>
      <w:pPr>
        <w:pStyle w:val="BodyText"/>
        <w:spacing w:line="240" w:lineRule="auto" w:before="141"/>
        <w:ind w:left="0" w:right="1126"/>
        <w:jc w:val="righ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tabs>
          <w:tab w:pos="8137" w:val="left" w:leader="none"/>
        </w:tabs>
        <w:spacing w:line="273" w:lineRule="auto" w:before="21"/>
        <w:ind w:right="1126"/>
        <w:jc w:val="right"/>
      </w:pPr>
      <w:r>
        <w:rPr>
          <w:spacing w:val="-2"/>
        </w:rPr>
        <w:t>益项目，以及把《公开发行证券的公司信息披露解释性公告第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号</w:t>
      </w:r>
      <w:r>
        <w:rPr>
          <w:rFonts w:ascii="Times New Roman" w:hAnsi="Times New Roman" w:cs="Times New Roman" w:eastAsia="Times New Roman" w:hint="default"/>
          <w:spacing w:val="-2"/>
        </w:rPr>
        <w:t>——</w:t>
      </w:r>
      <w:r>
        <w:rPr>
          <w:spacing w:val="-2"/>
        </w:rPr>
        <w:t>非经常性损益》中列举的非经常性</w:t>
      </w:r>
      <w:r>
        <w:rPr>
          <w:w w:val="100"/>
        </w:rPr>
        <w:t> </w:t>
      </w:r>
      <w:r>
        <w:rPr>
          <w:spacing w:val="-2"/>
        </w:rPr>
        <w:t>损益项目界定为经常性损益的项目，应说明原因</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r>
        <w:rPr>
          <w:w w:val="100"/>
        </w:rPr>
        <w:t> </w:t>
      </w:r>
      <w:r>
        <w:rPr>
          <w:spacing w:val="-2"/>
        </w:rPr>
        <w:t>母公司存在因管理暂时闲置资金需要委托银行、信托机构管理资产而实现的收益。未计入非经常性损</w:t>
      </w:r>
      <w:r>
        <w:rPr>
          <w:w w:val="100"/>
        </w:rPr>
        <w:t> </w:t>
      </w:r>
      <w:r>
        <w:rPr>
          <w:spacing w:val="-2"/>
        </w:rPr>
        <w:t>益原因如下：非经常性损益是指与公司正常经营业务无直接关系，以及虽与正常经营业务相关，但由于其</w:t>
      </w:r>
      <w:r>
        <w:rPr>
          <w:spacing w:val="-65"/>
        </w:rPr>
        <w:t> </w:t>
      </w:r>
      <w:r>
        <w:rPr>
          <w:spacing w:val="-65"/>
        </w:rPr>
      </w:r>
      <w:r>
        <w:rPr>
          <w:spacing w:val="-2"/>
        </w:rPr>
        <w:t>性质特殊和偶发性，影响报表使用人对公司经营业绩和盈利能力做出正常判断的各项交易和事项产生的损</w:t>
      </w:r>
      <w:r>
        <w:rPr>
          <w:spacing w:val="-65"/>
        </w:rPr>
        <w:t> </w:t>
      </w:r>
      <w:r>
        <w:rPr>
          <w:spacing w:val="-65"/>
        </w:rPr>
      </w:r>
      <w:r>
        <w:rPr>
          <w:spacing w:val="-7"/>
        </w:rPr>
        <w:t>益。母公司作为集团的筹融资平台，现金管理是正常经营业务，该行为具有持续性而非偶发性。基于上述，</w:t>
      </w:r>
    </w:p>
    <w:p>
      <w:pPr>
        <w:pStyle w:val="BodyText"/>
        <w:spacing w:line="240" w:lineRule="auto" w:before="7"/>
        <w:ind w:right="0"/>
        <w:jc w:val="left"/>
      </w:pPr>
      <w:r>
        <w:rPr>
          <w:spacing w:val="-1"/>
        </w:rPr>
        <w:t>公司将该行为产生的收益合计</w:t>
      </w:r>
      <w:r>
        <w:rPr>
          <w:rFonts w:ascii="Times New Roman" w:hAnsi="Times New Roman" w:cs="Times New Roman" w:eastAsia="Times New Roman" w:hint="default"/>
          <w:spacing w:val="-1"/>
        </w:rPr>
        <w:t>-1,675.78</w:t>
      </w:r>
      <w:r>
        <w:rPr>
          <w:rFonts w:ascii="Times New Roman" w:hAnsi="Times New Roman" w:cs="Times New Roman" w:eastAsia="Times New Roman" w:hint="default"/>
          <w:spacing w:val="40"/>
        </w:rPr>
        <w:t> </w:t>
      </w:r>
      <w:r>
        <w:rPr>
          <w:spacing w:val="-2"/>
        </w:rPr>
        <w:t>万元确认为经常性损益。</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46" w:right="0"/>
        <w:jc w:val="left"/>
        <w:rPr>
          <w:b w:val="0"/>
          <w:bCs w:val="0"/>
        </w:rPr>
      </w:pPr>
      <w:bookmarkStart w:name="_TOC_250010" w:id="3"/>
      <w:r>
        <w:rPr/>
        <w:t>第三节 </w:t>
      </w:r>
      <w:r>
        <w:rPr>
          <w:spacing w:val="7"/>
        </w:rPr>
        <w:t> </w:t>
      </w:r>
      <w:r>
        <w:rPr/>
        <w:t>集团业务概要</w:t>
      </w:r>
      <w:bookmarkEnd w:id="3"/>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一、报告期集团从事的主要业务</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61" w:lineRule="auto"/>
        <w:ind w:right="1126" w:firstLine="420"/>
        <w:jc w:val="both"/>
      </w:pPr>
      <w:r>
        <w:rPr>
          <w:spacing w:val="-2"/>
        </w:rPr>
        <w:t>本集团通过内生式与外延式双向发展，以</w:t>
      </w:r>
      <w:r>
        <w:rPr>
          <w:rFonts w:ascii="Times New Roman" w:hAnsi="Times New Roman" w:cs="Times New Roman" w:eastAsia="Times New Roman" w:hint="default"/>
          <w:spacing w:val="-2"/>
        </w:rPr>
        <w:t>“</w:t>
      </w:r>
      <w:r>
        <w:rPr>
          <w:spacing w:val="-2"/>
        </w:rPr>
        <w:t>资本</w:t>
      </w:r>
      <w:r>
        <w:rPr>
          <w:rFonts w:ascii="Times New Roman" w:hAnsi="Times New Roman" w:cs="Times New Roman" w:eastAsia="Times New Roman" w:hint="default"/>
          <w:spacing w:val="-2"/>
        </w:rPr>
        <w:t>+</w:t>
      </w:r>
      <w:r>
        <w:rPr>
          <w:spacing w:val="-2"/>
        </w:rPr>
        <w:t>创新</w:t>
      </w:r>
      <w:r>
        <w:rPr>
          <w:rFonts w:ascii="Times New Roman" w:hAnsi="Times New Roman" w:cs="Times New Roman" w:eastAsia="Times New Roman" w:hint="default"/>
          <w:spacing w:val="-2"/>
        </w:rPr>
        <w:t>”</w:t>
      </w:r>
      <w:r>
        <w:rPr>
          <w:spacing w:val="-2"/>
        </w:rPr>
        <w:t>为双轮驱动，逐步构建以</w:t>
      </w:r>
      <w:r>
        <w:rPr>
          <w:rFonts w:ascii="Times New Roman" w:hAnsi="Times New Roman" w:cs="Times New Roman" w:eastAsia="Times New Roman" w:hint="default"/>
          <w:spacing w:val="-2"/>
        </w:rPr>
        <w:t>“</w:t>
      </w:r>
      <w:r>
        <w:rPr>
          <w:spacing w:val="-2"/>
        </w:rPr>
        <w:t>证券为核心，投资为</w:t>
      </w:r>
      <w:r>
        <w:rPr>
          <w:w w:val="100"/>
        </w:rPr>
        <w:t> </w:t>
      </w:r>
      <w:r>
        <w:rPr>
          <w:spacing w:val="-4"/>
        </w:rPr>
        <w:t>纽带，科技为支撑</w:t>
      </w:r>
      <w:r>
        <w:rPr>
          <w:rFonts w:ascii="Times New Roman" w:hAnsi="Times New Roman" w:cs="Times New Roman" w:eastAsia="Times New Roman" w:hint="default"/>
          <w:spacing w:val="-4"/>
        </w:rPr>
        <w:t>”</w:t>
      </w:r>
      <w:r>
        <w:rPr>
          <w:spacing w:val="-4"/>
        </w:rPr>
        <w:t>的多元化金融服务体系，充分发挥各业务板块在金融领域的作用，实现资金、技术与资</w:t>
      </w:r>
      <w:r>
        <w:rPr>
          <w:spacing w:val="-40"/>
        </w:rPr>
        <w:t> </w:t>
      </w:r>
      <w:r>
        <w:rPr>
          <w:spacing w:val="-40"/>
        </w:rPr>
      </w:r>
      <w:r>
        <w:rPr>
          <w:spacing w:val="-2"/>
        </w:rPr>
        <w:t>产的有效链接。本集团着力打造</w:t>
      </w:r>
      <w:r>
        <w:rPr>
          <w:rFonts w:ascii="Times New Roman" w:hAnsi="Times New Roman" w:cs="Times New Roman" w:eastAsia="Times New Roman" w:hint="default"/>
          <w:spacing w:val="-2"/>
        </w:rPr>
        <w:t>“</w:t>
      </w:r>
      <w:r>
        <w:rPr>
          <w:spacing w:val="-2"/>
        </w:rPr>
        <w:t>赋能实体经济、助力科技创新</w:t>
      </w:r>
      <w:r>
        <w:rPr>
          <w:rFonts w:ascii="Times New Roman" w:hAnsi="Times New Roman" w:cs="Times New Roman" w:eastAsia="Times New Roman" w:hint="default"/>
          <w:spacing w:val="-2"/>
        </w:rPr>
        <w:t>”</w:t>
      </w:r>
      <w:r>
        <w:rPr>
          <w:spacing w:val="-2"/>
        </w:rPr>
        <w:t>的核心能力，将本集团建设成为专业、创</w:t>
      </w:r>
      <w:r>
        <w:rPr>
          <w:spacing w:val="-20"/>
        </w:rPr>
        <w:t> </w:t>
      </w:r>
      <w:r>
        <w:rPr>
          <w:spacing w:val="-20"/>
        </w:rPr>
      </w:r>
      <w:r>
        <w:rPr>
          <w:spacing w:val="-2"/>
        </w:rPr>
        <w:t>新、开放的综合性金融服务平台。报告期，本集团从事的主要业务包括证券业务、投资业务、金融科技业</w:t>
      </w:r>
      <w:r>
        <w:rPr>
          <w:spacing w:val="-43"/>
        </w:rPr>
        <w:t> </w:t>
      </w:r>
      <w:r>
        <w:rPr>
          <w:spacing w:val="-43"/>
        </w:rPr>
      </w:r>
      <w:r>
        <w:rPr/>
        <w:t>务。</w:t>
      </w:r>
    </w:p>
    <w:p>
      <w:pPr>
        <w:spacing w:line="240" w:lineRule="auto" w:before="3"/>
        <w:rPr>
          <w:rFonts w:ascii="宋体" w:hAnsi="宋体" w:cs="宋体" w:eastAsia="宋体" w:hint="default"/>
          <w:sz w:val="25"/>
          <w:szCs w:val="25"/>
        </w:rPr>
      </w:pPr>
    </w:p>
    <w:p>
      <w:pPr>
        <w:pStyle w:val="BodyText"/>
        <w:spacing w:line="240" w:lineRule="auto"/>
        <w:ind w:left="573" w:right="0"/>
        <w:jc w:val="left"/>
      </w:pPr>
      <w:r>
        <w:rPr/>
        <w:t>（一）证券业务</w:t>
      </w:r>
    </w:p>
    <w:p>
      <w:pPr>
        <w:pStyle w:val="BodyText"/>
        <w:spacing w:line="256" w:lineRule="auto" w:before="37"/>
        <w:ind w:left="573" w:right="0"/>
        <w:jc w:val="left"/>
      </w:pPr>
      <w:r>
        <w:rPr>
          <w:rFonts w:ascii="Times New Roman" w:hAnsi="Times New Roman" w:cs="Times New Roman" w:eastAsia="Times New Roman" w:hint="default"/>
        </w:rPr>
        <w:t>1</w:t>
      </w:r>
      <w:r>
        <w:rPr/>
        <w:t>、业务类型及经营模式</w:t>
      </w:r>
      <w:r>
        <w:rPr>
          <w:w w:val="100"/>
        </w:rPr>
        <w:t> </w:t>
      </w:r>
      <w:r>
        <w:rPr>
          <w:spacing w:val="-2"/>
        </w:rPr>
        <w:t>本集团证券业务运营实体为全资子公司国盛证券及其下属企业国盛期货、国盛资管、国盛弘远。本集</w:t>
      </w:r>
    </w:p>
    <w:p>
      <w:pPr>
        <w:pStyle w:val="BodyText"/>
        <w:spacing w:line="240" w:lineRule="auto" w:before="22"/>
        <w:ind w:right="0"/>
        <w:jc w:val="left"/>
      </w:pPr>
      <w:r>
        <w:rPr/>
        <w:t>团证券业务类型涉及经纪与财富管理、投资银行、投资与交易、资产管理、资本中介等，其中：</w:t>
      </w:r>
    </w:p>
    <w:p>
      <w:pPr>
        <w:pStyle w:val="BodyText"/>
        <w:spacing w:line="256" w:lineRule="auto" w:before="37"/>
        <w:ind w:right="1126" w:firstLine="420"/>
        <w:jc w:val="both"/>
      </w:pPr>
      <w:r>
        <w:rPr>
          <w:spacing w:val="-5"/>
        </w:rPr>
        <w:t>（</w:t>
      </w:r>
      <w:r>
        <w:rPr>
          <w:rFonts w:ascii="Times New Roman" w:hAnsi="Times New Roman" w:cs="Times New Roman" w:eastAsia="Times New Roman" w:hint="default"/>
          <w:spacing w:val="-5"/>
        </w:rPr>
        <w:t>1</w:t>
      </w:r>
      <w:r>
        <w:rPr>
          <w:spacing w:val="-5"/>
        </w:rPr>
        <w:t>）经纪与财富管理业务，即为个人和机构客户提供证券经纪和期货经纪服务，推广和销售证券及金</w:t>
      </w:r>
      <w:r>
        <w:rPr>
          <w:w w:val="100"/>
        </w:rPr>
        <w:t> </w:t>
      </w:r>
      <w:r>
        <w:rPr/>
        <w:t>融产品，提供专业化研究和咨询等服务，赚取手续费、佣金及相关收入；</w:t>
      </w:r>
    </w:p>
    <w:p>
      <w:pPr>
        <w:pStyle w:val="BodyText"/>
        <w:spacing w:line="256" w:lineRule="auto" w:before="22"/>
        <w:ind w:right="1128" w:firstLine="420"/>
        <w:jc w:val="both"/>
      </w:pPr>
      <w:r>
        <w:rPr>
          <w:spacing w:val="-5"/>
        </w:rPr>
        <w:t>（</w:t>
      </w:r>
      <w:r>
        <w:rPr>
          <w:rFonts w:ascii="Times New Roman" w:hAnsi="Times New Roman" w:cs="Times New Roman" w:eastAsia="Times New Roman" w:hint="default"/>
          <w:spacing w:val="-5"/>
        </w:rPr>
        <w:t>2</w:t>
      </w:r>
      <w:r>
        <w:rPr>
          <w:spacing w:val="-5"/>
        </w:rPr>
        <w:t>）投资银行业务，即为机构客户提供包括股票承销保荐、债券承销、并购重组财务顾问、新三板推</w:t>
      </w:r>
      <w:r>
        <w:rPr>
          <w:w w:val="100"/>
        </w:rPr>
        <w:t> </w:t>
      </w:r>
      <w:r>
        <w:rPr/>
        <w:t>荐等金融服务，赚取承销费、保荐费、财务顾问费及相关收入；</w:t>
      </w:r>
    </w:p>
    <w:p>
      <w:pPr>
        <w:pStyle w:val="BodyText"/>
        <w:spacing w:line="256" w:lineRule="auto" w:before="22"/>
        <w:ind w:right="1128" w:firstLine="420"/>
        <w:jc w:val="both"/>
      </w:pPr>
      <w:r>
        <w:rPr>
          <w:spacing w:val="-5"/>
        </w:rPr>
        <w:t>（</w:t>
      </w:r>
      <w:r>
        <w:rPr>
          <w:rFonts w:ascii="Times New Roman" w:hAnsi="Times New Roman" w:cs="Times New Roman" w:eastAsia="Times New Roman" w:hint="default"/>
          <w:spacing w:val="-5"/>
        </w:rPr>
        <w:t>3</w:t>
      </w:r>
      <w:r>
        <w:rPr>
          <w:spacing w:val="-5"/>
        </w:rPr>
        <w:t>）投资与交易业务，即从事权益类、固定收益类、直接投资类、衍生类产品及其他金融产品的交易</w:t>
      </w:r>
      <w:r>
        <w:rPr>
          <w:w w:val="100"/>
        </w:rPr>
        <w:t> </w:t>
      </w:r>
      <w:r>
        <w:rPr/>
        <w:t>和做市业务，赚取投资收益；</w:t>
      </w:r>
    </w:p>
    <w:p>
      <w:pPr>
        <w:pStyle w:val="BodyText"/>
        <w:spacing w:line="256" w:lineRule="auto" w:before="22"/>
        <w:ind w:right="1128" w:firstLine="420"/>
        <w:jc w:val="both"/>
      </w:pPr>
      <w:r>
        <w:rPr>
          <w:spacing w:val="-5"/>
        </w:rPr>
        <w:t>（</w:t>
      </w:r>
      <w:r>
        <w:rPr>
          <w:rFonts w:ascii="Times New Roman" w:hAnsi="Times New Roman" w:cs="Times New Roman" w:eastAsia="Times New Roman" w:hint="default"/>
          <w:spacing w:val="-5"/>
        </w:rPr>
        <w:t>4</w:t>
      </w:r>
      <w:r>
        <w:rPr>
          <w:spacing w:val="-5"/>
        </w:rPr>
        <w:t>）资产管理业务，即根据客户需求开发资产管理产品并提供相关服务，包括集合资产管理业务、定</w:t>
      </w:r>
      <w:r>
        <w:rPr>
          <w:w w:val="100"/>
        </w:rPr>
        <w:t> </w:t>
      </w:r>
      <w:r>
        <w:rPr/>
        <w:t>向资产管理业务、专项资产管理业务以及基金管理业务等，赚取管理费、业绩报酬及相关收入；</w:t>
      </w:r>
    </w:p>
    <w:p>
      <w:pPr>
        <w:pStyle w:val="BodyText"/>
        <w:spacing w:line="256" w:lineRule="auto" w:before="22"/>
        <w:ind w:right="1128" w:firstLine="420"/>
        <w:jc w:val="both"/>
      </w:pPr>
      <w:r>
        <w:rPr>
          <w:spacing w:val="-9"/>
        </w:rPr>
        <w:t>（</w:t>
      </w:r>
      <w:r>
        <w:rPr>
          <w:rFonts w:ascii="Times New Roman" w:hAnsi="Times New Roman" w:cs="Times New Roman" w:eastAsia="Times New Roman" w:hint="default"/>
          <w:spacing w:val="-9"/>
        </w:rPr>
        <w:t>5</w:t>
      </w:r>
      <w:r>
        <w:rPr>
          <w:spacing w:val="-9"/>
        </w:rPr>
        <w:t>）资本中介业务，即为客户提供融资融券、股票质押式回购、约定购回、行权融资等资本中介服务，</w:t>
      </w:r>
      <w:r>
        <w:rPr>
          <w:w w:val="100"/>
        </w:rPr>
        <w:t> </w:t>
      </w:r>
      <w:r>
        <w:rPr/>
        <w:t>赚取利息及相关收入。</w:t>
      </w:r>
    </w:p>
    <w:p>
      <w:pPr>
        <w:pStyle w:val="BodyText"/>
        <w:spacing w:line="240" w:lineRule="auto" w:before="22"/>
        <w:ind w:left="573" w:right="0"/>
        <w:jc w:val="left"/>
      </w:pPr>
      <w:r>
        <w:rPr/>
        <w:t>报告期，本集团证券业务的业务类型和经营模式没有发生重大变化。</w:t>
      </w:r>
    </w:p>
    <w:p>
      <w:pPr>
        <w:spacing w:line="240" w:lineRule="auto" w:before="9"/>
        <w:rPr>
          <w:rFonts w:ascii="宋体" w:hAnsi="宋体" w:cs="宋体" w:eastAsia="宋体" w:hint="default"/>
          <w:sz w:val="26"/>
          <w:szCs w:val="26"/>
        </w:rPr>
      </w:pPr>
    </w:p>
    <w:p>
      <w:pPr>
        <w:pStyle w:val="BodyText"/>
        <w:spacing w:line="256" w:lineRule="auto"/>
        <w:ind w:left="573" w:right="1150"/>
        <w:jc w:val="left"/>
      </w:pPr>
      <w:r>
        <w:rPr>
          <w:rFonts w:ascii="Times New Roman" w:hAnsi="Times New Roman" w:cs="Times New Roman" w:eastAsia="Times New Roman" w:hint="default"/>
        </w:rPr>
        <w:t>2</w:t>
      </w:r>
      <w:r>
        <w:rPr/>
        <w:t>、行业发展情况及本集团所处行业地位</w:t>
      </w:r>
      <w:r>
        <w:rPr>
          <w:w w:val="100"/>
        </w:rPr>
        <w:t> </w:t>
      </w:r>
      <w:r>
        <w:rPr>
          <w:spacing w:val="-2"/>
        </w:rPr>
        <w:t>我国证券行业在多个驱动因素下稳步发展，驱动因素主要包括：</w:t>
      </w:r>
    </w:p>
    <w:p>
      <w:pPr>
        <w:pStyle w:val="BodyText"/>
        <w:spacing w:line="268" w:lineRule="auto" w:before="22"/>
        <w:ind w:right="1126" w:firstLine="420"/>
        <w:jc w:val="both"/>
      </w:pPr>
      <w:r>
        <w:rPr>
          <w:spacing w:val="-5"/>
        </w:rPr>
        <w:t>（</w:t>
      </w:r>
      <w:r>
        <w:rPr>
          <w:rFonts w:ascii="Times New Roman" w:hAnsi="Times New Roman" w:cs="Times New Roman" w:eastAsia="Times New Roman" w:hint="default"/>
          <w:spacing w:val="-5"/>
        </w:rPr>
        <w:t>1</w:t>
      </w:r>
      <w:r>
        <w:rPr>
          <w:spacing w:val="-5"/>
        </w:rPr>
        <w:t>）资本市场日益完善，融资功能提升。中国资本市场的规模增长及结构优化是中国证券业发展的基</w:t>
      </w:r>
      <w:r>
        <w:rPr>
          <w:w w:val="100"/>
        </w:rPr>
        <w:t> </w:t>
      </w:r>
      <w:r>
        <w:rPr>
          <w:spacing w:val="-2"/>
        </w:rPr>
        <w:t>本驱动力。中国资本市场整体发展，尤其是直接融资的增长，为中国证券业带来了重要发展机遇。十九大</w:t>
      </w:r>
      <w:r>
        <w:rPr>
          <w:spacing w:val="-49"/>
        </w:rPr>
        <w:t> </w:t>
      </w:r>
      <w:r>
        <w:rPr>
          <w:spacing w:val="-49"/>
        </w:rPr>
      </w:r>
      <w:r>
        <w:rPr>
          <w:spacing w:val="-2"/>
        </w:rPr>
        <w:t>报告明确提出要增强金融服务实体经济的能力，提高直接融资比重，促进多层次资本市场健康发展，体现</w:t>
      </w:r>
      <w:r>
        <w:rPr>
          <w:spacing w:val="-44"/>
        </w:rPr>
        <w:t> </w:t>
      </w:r>
      <w:r>
        <w:rPr>
          <w:spacing w:val="-44"/>
        </w:rPr>
      </w:r>
      <w:r>
        <w:rPr/>
        <w:t>了国家对资本市场以及证券行业发展的重视。</w:t>
      </w:r>
    </w:p>
    <w:p>
      <w:pPr>
        <w:pStyle w:val="BodyText"/>
        <w:spacing w:line="256" w:lineRule="auto" w:before="12"/>
        <w:ind w:right="1128" w:firstLine="420"/>
        <w:jc w:val="both"/>
      </w:pPr>
      <w:r>
        <w:rPr>
          <w:spacing w:val="-5"/>
        </w:rPr>
        <w:t>（</w:t>
      </w:r>
      <w:r>
        <w:rPr>
          <w:rFonts w:ascii="Times New Roman" w:hAnsi="Times New Roman" w:cs="Times New Roman" w:eastAsia="Times New Roman" w:hint="default"/>
          <w:spacing w:val="-5"/>
        </w:rPr>
        <w:t>2</w:t>
      </w:r>
      <w:r>
        <w:rPr>
          <w:spacing w:val="-5"/>
        </w:rPr>
        <w:t>）居民财富规模扩大，财富管理需求快速增加。在过去三十年中国经济高速增长的驱动下，中国居</w:t>
      </w:r>
      <w:r>
        <w:rPr>
          <w:w w:val="100"/>
        </w:rPr>
        <w:t> </w:t>
      </w:r>
      <w:r>
        <w:rPr>
          <w:spacing w:val="-1"/>
        </w:rPr>
        <w:t>民财富规模不断扩大。</w:t>
      </w:r>
      <w:r>
        <w:rPr>
          <w:rFonts w:ascii="Times New Roman" w:hAnsi="Times New Roman" w:cs="Times New Roman" w:eastAsia="Times New Roman" w:hint="default"/>
          <w:spacing w:val="-1"/>
        </w:rPr>
        <w:t>2019</w:t>
      </w:r>
      <w:r>
        <w:rPr>
          <w:spacing w:val="-1"/>
        </w:rPr>
        <w:t>年，中国居民人均可支配收入为</w:t>
      </w:r>
      <w:r>
        <w:rPr>
          <w:rFonts w:ascii="Times New Roman" w:hAnsi="Times New Roman" w:cs="Times New Roman" w:eastAsia="Times New Roman" w:hint="default"/>
          <w:spacing w:val="-1"/>
        </w:rPr>
        <w:t>30,733</w:t>
      </w:r>
      <w:r>
        <w:rPr>
          <w:spacing w:val="-1"/>
        </w:rPr>
        <w:t>元，同比增长</w:t>
      </w:r>
      <w:r>
        <w:rPr>
          <w:rFonts w:ascii="Times New Roman" w:hAnsi="Times New Roman" w:cs="Times New Roman" w:eastAsia="Times New Roman" w:hint="default"/>
          <w:spacing w:val="-1"/>
        </w:rPr>
        <w:t>8.9%</w:t>
      </w:r>
      <w:r>
        <w:rPr>
          <w:spacing w:val="-1"/>
        </w:rPr>
        <w:t>；其中城镇居民人均</w:t>
      </w:r>
      <w:r>
        <w:rPr>
          <w:spacing w:val="-47"/>
        </w:rPr>
        <w:t> </w:t>
      </w:r>
      <w:r>
        <w:rPr>
          <w:spacing w:val="-47"/>
        </w:rPr>
      </w:r>
      <w:r>
        <w:rPr>
          <w:spacing w:val="-2"/>
        </w:rPr>
        <w:t>可支配收入为</w:t>
      </w:r>
      <w:r>
        <w:rPr>
          <w:rFonts w:ascii="Times New Roman" w:hAnsi="Times New Roman" w:cs="Times New Roman" w:eastAsia="Times New Roman" w:hint="default"/>
          <w:spacing w:val="-2"/>
        </w:rPr>
        <w:t>42,359</w:t>
      </w:r>
      <w:r>
        <w:rPr>
          <w:spacing w:val="-2"/>
        </w:rPr>
        <w:t>元，同比增长</w:t>
      </w:r>
      <w:r>
        <w:rPr>
          <w:rFonts w:ascii="Times New Roman" w:hAnsi="Times New Roman" w:cs="Times New Roman" w:eastAsia="Times New Roman" w:hint="default"/>
          <w:spacing w:val="-2"/>
        </w:rPr>
        <w:t>7.9%</w:t>
      </w:r>
      <w:r>
        <w:rPr>
          <w:spacing w:val="-2"/>
        </w:rPr>
        <w:t>。人均收入的提高带来了对财富管理及其他金融服务需求的上升。</w:t>
      </w:r>
    </w:p>
    <w:p>
      <w:pPr>
        <w:pStyle w:val="BodyText"/>
        <w:spacing w:line="256" w:lineRule="auto" w:before="5"/>
        <w:ind w:right="1129" w:firstLine="420"/>
        <w:jc w:val="both"/>
      </w:pPr>
      <w:r>
        <w:rPr>
          <w:spacing w:val="-5"/>
        </w:rPr>
        <w:t>（</w:t>
      </w:r>
      <w:r>
        <w:rPr>
          <w:rFonts w:ascii="Times New Roman" w:hAnsi="Times New Roman" w:cs="Times New Roman" w:eastAsia="Times New Roman" w:hint="default"/>
          <w:spacing w:val="-5"/>
        </w:rPr>
        <w:t>3</w:t>
      </w:r>
      <w:r>
        <w:rPr>
          <w:spacing w:val="-5"/>
        </w:rPr>
        <w:t>）资本市场改革政策陆续落地。设立科创板并试点注册制，施行新《证券法》，创业板、新三板、</w:t>
      </w:r>
      <w:r>
        <w:rPr>
          <w:w w:val="100"/>
        </w:rPr>
        <w:t> </w:t>
      </w:r>
      <w:r>
        <w:rPr/>
        <w:t>股指期货、再融资、并购重组、分拆上市等领域新规陆续发布，为券商业务发展提供政策支持。</w:t>
      </w:r>
    </w:p>
    <w:p>
      <w:pPr>
        <w:pStyle w:val="BodyText"/>
        <w:spacing w:line="264" w:lineRule="auto" w:before="22"/>
        <w:ind w:right="0" w:firstLine="420"/>
        <w:jc w:val="left"/>
      </w:pPr>
      <w:r>
        <w:rPr>
          <w:spacing w:val="-5"/>
        </w:rPr>
        <w:t>（</w:t>
      </w:r>
      <w:r>
        <w:rPr>
          <w:rFonts w:ascii="Times New Roman" w:hAnsi="Times New Roman" w:cs="Times New Roman" w:eastAsia="Times New Roman" w:hint="default"/>
          <w:spacing w:val="-5"/>
        </w:rPr>
        <w:t>4</w:t>
      </w:r>
      <w:r>
        <w:rPr>
          <w:spacing w:val="-5"/>
        </w:rPr>
        <w:t>）资本市场对外开放与国际化进程加快。外资评级机构获准进入中国市场、在华外资证券公司业务</w:t>
      </w:r>
      <w:r>
        <w:rPr>
          <w:w w:val="100"/>
        </w:rPr>
        <w:t> </w:t>
      </w:r>
      <w:r>
        <w:rPr/>
        <w:t>范围限制全面取消，海外投行先进商业模式和业务经验加速引入，将打破国内现有的资本市场竞争格局，</w:t>
      </w:r>
      <w:r>
        <w:rPr>
          <w:spacing w:val="-24"/>
        </w:rPr>
        <w:t> </w:t>
      </w:r>
      <w:r>
        <w:rPr>
          <w:spacing w:val="-24"/>
        </w:rPr>
      </w:r>
      <w:r>
        <w:rPr/>
        <w:t>为本土证券公司发展带来新的机遇和挑战。</w:t>
      </w:r>
    </w:p>
    <w:p>
      <w:pPr>
        <w:pStyle w:val="BodyText"/>
        <w:spacing w:line="273" w:lineRule="auto" w:before="16"/>
        <w:ind w:right="0" w:firstLine="420"/>
        <w:jc w:val="left"/>
      </w:pPr>
      <w:r>
        <w:rPr/>
        <w:t>本集团证券业务依赖于中国经济增长、居民财富积累及资本市场的发展及表现，如，股票、债券和理</w:t>
      </w:r>
      <w:r>
        <w:rPr>
          <w:w w:val="100"/>
        </w:rPr>
        <w:t> </w:t>
      </w:r>
      <w:r>
        <w:rPr>
          <w:spacing w:val="-5"/>
        </w:rPr>
        <w:t>财产品等金融产品的发行规模、投资规模及交易规模等重要因素的发展与表现。这些重要因素受经济环境、</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0" w:hanging="421"/>
        <w:jc w:val="left"/>
      </w:pPr>
      <w:r>
        <w:rPr/>
        <w:t>监管环境、投资者情绪以及国际市场等多方面影响，整体趋势呈现出螺旋式上升态势。</w:t>
      </w:r>
      <w:r>
        <w:rPr>
          <w:w w:val="100"/>
        </w:rPr>
        <w:t> </w:t>
      </w:r>
      <w:r>
        <w:rPr>
          <w:spacing w:val="-2"/>
        </w:rPr>
        <w:t>根据中国证券业协会下发的证券公司经营数据排名（未经审计），国盛证券</w:t>
      </w:r>
      <w:r>
        <w:rPr>
          <w:rFonts w:ascii="Times New Roman" w:hAnsi="Times New Roman" w:cs="Times New Roman" w:eastAsia="Times New Roman" w:hint="default"/>
          <w:spacing w:val="-2"/>
        </w:rPr>
        <w:t>2019</w:t>
      </w:r>
      <w:r>
        <w:rPr>
          <w:spacing w:val="-2"/>
        </w:rPr>
        <w:t>年度营业收入、净利</w:t>
      </w:r>
    </w:p>
    <w:p>
      <w:pPr>
        <w:pStyle w:val="BodyText"/>
        <w:spacing w:line="256" w:lineRule="auto"/>
        <w:ind w:right="1128"/>
        <w:jc w:val="both"/>
      </w:pPr>
      <w:r>
        <w:rPr>
          <w:spacing w:val="-4"/>
        </w:rPr>
        <w:t>润及</w:t>
      </w:r>
      <w:r>
        <w:rPr>
          <w:rFonts w:ascii="Times New Roman" w:hAnsi="Times New Roman" w:cs="Times New Roman" w:eastAsia="Times New Roman" w:hint="default"/>
          <w:spacing w:val="-4"/>
        </w:rPr>
        <w:t>2019</w:t>
      </w:r>
      <w:r>
        <w:rPr>
          <w:spacing w:val="-4"/>
        </w:rPr>
        <w:t>年末总资产、净资产行业排名分别为第</w:t>
      </w:r>
      <w:r>
        <w:rPr>
          <w:rFonts w:ascii="Times New Roman" w:hAnsi="Times New Roman" w:cs="Times New Roman" w:eastAsia="Times New Roman" w:hint="default"/>
          <w:spacing w:val="-4"/>
        </w:rPr>
        <w:t>50</w:t>
      </w:r>
      <w:r>
        <w:rPr>
          <w:spacing w:val="-4"/>
        </w:rPr>
        <w:t>位、</w:t>
      </w:r>
      <w:r>
        <w:rPr>
          <w:rFonts w:ascii="Times New Roman" w:hAnsi="Times New Roman" w:cs="Times New Roman" w:eastAsia="Times New Roman" w:hint="default"/>
          <w:spacing w:val="-4"/>
        </w:rPr>
        <w:t>59</w:t>
      </w:r>
      <w:r>
        <w:rPr>
          <w:spacing w:val="-4"/>
        </w:rPr>
        <w:t>位、</w:t>
      </w:r>
      <w:r>
        <w:rPr>
          <w:rFonts w:ascii="Times New Roman" w:hAnsi="Times New Roman" w:cs="Times New Roman" w:eastAsia="Times New Roman" w:hint="default"/>
          <w:spacing w:val="-4"/>
        </w:rPr>
        <w:t>51</w:t>
      </w:r>
      <w:r>
        <w:rPr>
          <w:spacing w:val="-4"/>
        </w:rPr>
        <w:t>位、</w:t>
      </w:r>
      <w:r>
        <w:rPr>
          <w:rFonts w:ascii="Times New Roman" w:hAnsi="Times New Roman" w:cs="Times New Roman" w:eastAsia="Times New Roman" w:hint="default"/>
          <w:spacing w:val="-4"/>
        </w:rPr>
        <w:t>55</w:t>
      </w:r>
      <w:r>
        <w:rPr>
          <w:spacing w:val="-4"/>
        </w:rPr>
        <w:t>位，在全部</w:t>
      </w:r>
      <w:r>
        <w:rPr>
          <w:rFonts w:ascii="Times New Roman" w:hAnsi="Times New Roman" w:cs="Times New Roman" w:eastAsia="Times New Roman" w:hint="default"/>
          <w:spacing w:val="-4"/>
        </w:rPr>
        <w:t>133</w:t>
      </w:r>
      <w:r>
        <w:rPr>
          <w:spacing w:val="-4"/>
        </w:rPr>
        <w:t>家券商中处于中上游</w:t>
      </w:r>
      <w:r>
        <w:rPr>
          <w:spacing w:val="-30"/>
        </w:rPr>
        <w:t> </w:t>
      </w:r>
      <w:r>
        <w:rPr>
          <w:spacing w:val="-30"/>
        </w:rPr>
      </w:r>
      <w:r>
        <w:rPr/>
        <w:t>水平。</w:t>
      </w:r>
    </w:p>
    <w:p>
      <w:pPr>
        <w:spacing w:line="240" w:lineRule="auto" w:before="7"/>
        <w:rPr>
          <w:rFonts w:ascii="宋体" w:hAnsi="宋体" w:cs="宋体" w:eastAsia="宋体" w:hint="default"/>
          <w:sz w:val="25"/>
          <w:szCs w:val="25"/>
        </w:rPr>
      </w:pPr>
    </w:p>
    <w:p>
      <w:pPr>
        <w:pStyle w:val="BodyText"/>
        <w:spacing w:line="240" w:lineRule="auto"/>
        <w:ind w:left="573" w:right="0"/>
        <w:jc w:val="left"/>
      </w:pPr>
      <w:r>
        <w:rPr/>
        <w:t>（二）投资业务</w:t>
      </w:r>
    </w:p>
    <w:p>
      <w:pPr>
        <w:pStyle w:val="BodyText"/>
        <w:spacing w:line="256" w:lineRule="auto" w:before="37"/>
        <w:ind w:left="573" w:right="0"/>
        <w:jc w:val="left"/>
      </w:pPr>
      <w:r>
        <w:rPr>
          <w:rFonts w:ascii="Times New Roman" w:hAnsi="Times New Roman" w:cs="Times New Roman" w:eastAsia="Times New Roman" w:hint="default"/>
        </w:rPr>
        <w:t>1</w:t>
      </w:r>
      <w:r>
        <w:rPr/>
        <w:t>、业务类型及经营模式</w:t>
      </w:r>
      <w:r>
        <w:rPr>
          <w:w w:val="100"/>
        </w:rPr>
        <w:t> </w:t>
      </w:r>
      <w:r>
        <w:rPr>
          <w:spacing w:val="-2"/>
        </w:rPr>
        <w:t>本集团投资业务指的是除证券业务板块外集团内各主体对集团外企业股权投资及投资管理业务。本集</w:t>
      </w:r>
    </w:p>
    <w:p>
      <w:pPr>
        <w:pStyle w:val="BodyText"/>
        <w:spacing w:line="273" w:lineRule="auto" w:before="22"/>
        <w:ind w:right="1126"/>
        <w:jc w:val="both"/>
      </w:pPr>
      <w:r>
        <w:rPr>
          <w:spacing w:val="-2"/>
        </w:rPr>
        <w:t>团投资业务投资领域包括新一代信息技术、智能制造、新能源、医疗健康、消费升级等，投资区域涵盖境</w:t>
      </w:r>
      <w:r>
        <w:rPr>
          <w:spacing w:val="-42"/>
        </w:rPr>
        <w:t> </w:t>
      </w:r>
      <w:r>
        <w:rPr>
          <w:spacing w:val="-42"/>
        </w:rPr>
      </w:r>
      <w:r>
        <w:rPr/>
        <w:t>内、境外。</w:t>
      </w:r>
    </w:p>
    <w:p>
      <w:pPr>
        <w:pStyle w:val="BodyText"/>
        <w:spacing w:line="273" w:lineRule="auto" w:before="7"/>
        <w:ind w:right="1126" w:firstLine="420"/>
        <w:jc w:val="both"/>
      </w:pPr>
      <w:r>
        <w:rPr>
          <w:spacing w:val="-2"/>
        </w:rPr>
        <w:t>股权投资指通过投资取得被投资单位的股权，即企业（或者个人）购买的其他企业（准备上市、未上</w:t>
      </w:r>
      <w:r>
        <w:rPr>
          <w:w w:val="100"/>
        </w:rPr>
        <w:t> </w:t>
      </w:r>
      <w:r>
        <w:rPr>
          <w:spacing w:val="-2"/>
        </w:rPr>
        <w:t>市公司）的股权或以货币资金、无形资产和其他实物资产直接投资于其他单位，最终目的是为了获得较大</w:t>
      </w:r>
      <w:r>
        <w:rPr>
          <w:spacing w:val="-43"/>
        </w:rPr>
        <w:t> </w:t>
      </w:r>
      <w:r>
        <w:rPr>
          <w:spacing w:val="-43"/>
        </w:rPr>
      </w:r>
      <w:r>
        <w:rPr>
          <w:spacing w:val="-2"/>
        </w:rPr>
        <w:t>的经济利益，这种经济利益可以通过分得利润或股利获取，也可以通过其他方式取得。公司全资子公司深</w:t>
      </w:r>
      <w:r>
        <w:rPr>
          <w:spacing w:val="-42"/>
        </w:rPr>
        <w:t> </w:t>
      </w:r>
      <w:r>
        <w:rPr>
          <w:spacing w:val="-42"/>
        </w:rPr>
      </w:r>
      <w:r>
        <w:rPr/>
        <w:t>圳投资是境内股权投资平台，全资子公司香港投资、国盛环球是境外投资平台。</w:t>
      </w:r>
    </w:p>
    <w:p>
      <w:pPr>
        <w:pStyle w:val="BodyText"/>
        <w:spacing w:line="273" w:lineRule="auto" w:before="7"/>
        <w:ind w:right="1128" w:firstLine="420"/>
        <w:jc w:val="both"/>
      </w:pPr>
      <w:r>
        <w:rPr>
          <w:spacing w:val="-2"/>
        </w:rPr>
        <w:t>投资管理指下属运营实体通过担任管理人参与投资项目并取得投资管理收益。公司全资子公司弘大嘉</w:t>
      </w:r>
      <w:r>
        <w:rPr>
          <w:spacing w:val="-3"/>
          <w:w w:val="100"/>
        </w:rPr>
        <w:t> </w:t>
      </w:r>
      <w:r>
        <w:rPr/>
        <w:t>豪在报告期登记为私募基金管理人，为公司境内投资管理业务运营实体，负责管理其发行的基金产品。</w:t>
      </w:r>
    </w:p>
    <w:p>
      <w:pPr>
        <w:pStyle w:val="BodyText"/>
        <w:spacing w:line="273" w:lineRule="auto" w:before="7"/>
        <w:ind w:right="1126" w:firstLine="420"/>
        <w:jc w:val="both"/>
      </w:pPr>
      <w:r>
        <w:rPr>
          <w:spacing w:val="-2"/>
        </w:rPr>
        <w:t>本集团开展对外投资的目的，一是取得股权投资收益或者投资管理收益，二是从被投资单位以及合作</w:t>
      </w:r>
      <w:r>
        <w:rPr>
          <w:w w:val="100"/>
        </w:rPr>
        <w:t> </w:t>
      </w:r>
      <w:r>
        <w:rPr>
          <w:spacing w:val="-2"/>
        </w:rPr>
        <w:t>投资单位之间寻求协同效应，扩展本集团资本、服务以及创新能力的延伸与覆盖范围，为以外延方式将本</w:t>
      </w:r>
      <w:r>
        <w:rPr>
          <w:spacing w:val="-43"/>
        </w:rPr>
        <w:t> </w:t>
      </w:r>
      <w:r>
        <w:rPr>
          <w:spacing w:val="-43"/>
        </w:rPr>
      </w:r>
      <w:r>
        <w:rPr/>
        <w:t>集团建设成为综合性金融服务平台创造条件。</w:t>
      </w:r>
    </w:p>
    <w:p>
      <w:pPr>
        <w:spacing w:line="240" w:lineRule="auto" w:before="6"/>
        <w:rPr>
          <w:rFonts w:ascii="宋体" w:hAnsi="宋体" w:cs="宋体" w:eastAsia="宋体" w:hint="default"/>
          <w:sz w:val="24"/>
          <w:szCs w:val="24"/>
        </w:rPr>
      </w:pPr>
    </w:p>
    <w:p>
      <w:pPr>
        <w:pStyle w:val="BodyText"/>
        <w:spacing w:line="256" w:lineRule="auto"/>
        <w:ind w:left="573" w:right="0"/>
        <w:jc w:val="left"/>
      </w:pPr>
      <w:r>
        <w:rPr>
          <w:rFonts w:ascii="Times New Roman" w:hAnsi="Times New Roman" w:cs="Times New Roman" w:eastAsia="Times New Roman" w:hint="default"/>
        </w:rPr>
        <w:t>2</w:t>
      </w:r>
      <w:r>
        <w:rPr/>
        <w:t>、行业发展情况及本集团所处行业地位</w:t>
      </w:r>
      <w:r>
        <w:rPr>
          <w:w w:val="100"/>
        </w:rPr>
        <w:t> </w:t>
      </w:r>
      <w:r>
        <w:rPr>
          <w:spacing w:val="-3"/>
        </w:rPr>
        <w:t>近年来，由于国内金融行业去杠杆、银行等募资通道受阻、加强风控等各项政策推动，机构募资难度</w:t>
      </w:r>
    </w:p>
    <w:p>
      <w:pPr>
        <w:pStyle w:val="BodyText"/>
        <w:spacing w:line="273" w:lineRule="auto" w:before="22"/>
        <w:ind w:right="1128"/>
        <w:jc w:val="both"/>
      </w:pPr>
      <w:r>
        <w:rPr>
          <w:spacing w:val="-2"/>
        </w:rPr>
        <w:t>加大。资本寒冬背景下，投资者进一步提高甄选和风险控制要求，倾向于流入大型知名的头部机构，中小</w:t>
      </w:r>
      <w:r>
        <w:rPr>
          <w:spacing w:val="-46"/>
        </w:rPr>
        <w:t> </w:t>
      </w:r>
      <w:r>
        <w:rPr>
          <w:spacing w:val="-46"/>
        </w:rPr>
      </w:r>
      <w:r>
        <w:rPr>
          <w:spacing w:val="-2"/>
        </w:rPr>
        <w:t>机构募资难度加大，募资两极分化日益严峻。政策方面，财政部、税务总局推广税收抵扣优惠政策全国范</w:t>
      </w:r>
      <w:r>
        <w:rPr>
          <w:spacing w:val="-47"/>
        </w:rPr>
        <w:t> </w:t>
      </w:r>
      <w:r>
        <w:rPr>
          <w:spacing w:val="-47"/>
        </w:rPr>
      </w:r>
      <w:r>
        <w:rPr/>
        <w:t>围实施，同时也推动了早期科技项目和创业投资市场的发展。</w:t>
      </w:r>
    </w:p>
    <w:p>
      <w:pPr>
        <w:pStyle w:val="BodyText"/>
        <w:spacing w:line="273" w:lineRule="auto" w:before="7"/>
        <w:ind w:right="1126" w:firstLine="420"/>
        <w:jc w:val="both"/>
      </w:pPr>
      <w:r>
        <w:rPr>
          <w:spacing w:val="-2"/>
        </w:rPr>
        <w:t>随着行业优胜劣汰进程的推进，利好政策逐渐发挥效力，监管力度不断加强，未来市场将会不断规范</w:t>
      </w:r>
      <w:r>
        <w:rPr>
          <w:w w:val="100"/>
        </w:rPr>
        <w:t> </w:t>
      </w:r>
      <w:r>
        <w:rPr/>
        <w:t>健全，机构和企业将迎来较好的发展机遇和挑战。</w:t>
      </w:r>
    </w:p>
    <w:p>
      <w:pPr>
        <w:pStyle w:val="BodyText"/>
        <w:spacing w:line="256" w:lineRule="auto" w:before="7"/>
        <w:ind w:right="1126" w:firstLine="420"/>
        <w:jc w:val="both"/>
      </w:pPr>
      <w:r>
        <w:rPr>
          <w:spacing w:val="-2"/>
        </w:rPr>
        <w:t>本集团于</w:t>
      </w:r>
      <w:r>
        <w:rPr>
          <w:rFonts w:ascii="Times New Roman" w:hAnsi="Times New Roman" w:cs="Times New Roman" w:eastAsia="Times New Roman" w:hint="default"/>
          <w:spacing w:val="-2"/>
        </w:rPr>
        <w:t>2015</w:t>
      </w:r>
      <w:r>
        <w:rPr>
          <w:spacing w:val="-2"/>
        </w:rPr>
        <w:t>年启动股权投资业务，目前部分项目已陆续进入投资回报期；本集团于</w:t>
      </w:r>
      <w:r>
        <w:rPr>
          <w:rFonts w:ascii="Times New Roman" w:hAnsi="Times New Roman" w:cs="Times New Roman" w:eastAsia="Times New Roman" w:hint="default"/>
          <w:spacing w:val="-2"/>
        </w:rPr>
        <w:t>2019</w:t>
      </w:r>
      <w:r>
        <w:rPr>
          <w:spacing w:val="-2"/>
        </w:rPr>
        <w:t>年获得私募</w:t>
      </w:r>
      <w:r>
        <w:rPr>
          <w:w w:val="100"/>
        </w:rPr>
        <w:t> </w:t>
      </w:r>
      <w:r>
        <w:rPr/>
        <w:t>基金管理人资格，投资管理业务将稳步推进。</w:t>
      </w:r>
    </w:p>
    <w:p>
      <w:pPr>
        <w:spacing w:line="240" w:lineRule="auto" w:before="7"/>
        <w:rPr>
          <w:rFonts w:ascii="宋体" w:hAnsi="宋体" w:cs="宋体" w:eastAsia="宋体" w:hint="default"/>
          <w:sz w:val="25"/>
          <w:szCs w:val="25"/>
        </w:rPr>
      </w:pPr>
    </w:p>
    <w:p>
      <w:pPr>
        <w:pStyle w:val="BodyText"/>
        <w:spacing w:line="240" w:lineRule="auto"/>
        <w:ind w:left="573" w:right="0"/>
        <w:jc w:val="left"/>
      </w:pPr>
      <w:r>
        <w:rPr/>
        <w:t>（三）金融科技业务</w:t>
      </w:r>
    </w:p>
    <w:p>
      <w:pPr>
        <w:pStyle w:val="BodyText"/>
        <w:spacing w:line="259" w:lineRule="auto" w:before="37"/>
        <w:ind w:left="573" w:right="0"/>
        <w:jc w:val="left"/>
      </w:pPr>
      <w:r>
        <w:rPr>
          <w:rFonts w:ascii="Times New Roman" w:hAnsi="Times New Roman" w:cs="Times New Roman" w:eastAsia="Times New Roman" w:hint="default"/>
        </w:rPr>
        <w:t>1</w:t>
      </w:r>
      <w:r>
        <w:rPr/>
        <w:t>、业务类型及经营模式</w:t>
      </w:r>
      <w:r>
        <w:rPr>
          <w:w w:val="100"/>
        </w:rPr>
        <w:t> </w:t>
      </w:r>
      <w:r>
        <w:rPr>
          <w:spacing w:val="-2"/>
        </w:rPr>
        <w:t>本集团金融科技业务运营实体为全资子公司极盛科技。极盛科技紧密围绕集团各主体业务需求，支持</w:t>
      </w:r>
    </w:p>
    <w:p>
      <w:pPr>
        <w:pStyle w:val="BodyText"/>
        <w:spacing w:line="240" w:lineRule="auto" w:before="20"/>
        <w:ind w:right="0"/>
        <w:jc w:val="both"/>
      </w:pPr>
      <w:r>
        <w:rPr/>
        <w:t>集团金融科技格局的规划、搭建与发展。</w:t>
      </w:r>
    </w:p>
    <w:p>
      <w:pPr>
        <w:spacing w:line="240" w:lineRule="auto" w:before="9"/>
        <w:rPr>
          <w:rFonts w:ascii="宋体" w:hAnsi="宋体" w:cs="宋体" w:eastAsia="宋体" w:hint="default"/>
          <w:sz w:val="26"/>
          <w:szCs w:val="26"/>
        </w:rPr>
      </w:pPr>
    </w:p>
    <w:p>
      <w:pPr>
        <w:pStyle w:val="BodyText"/>
        <w:spacing w:line="256" w:lineRule="auto"/>
        <w:ind w:left="573" w:right="0"/>
        <w:jc w:val="left"/>
      </w:pPr>
      <w:r>
        <w:rPr>
          <w:rFonts w:ascii="Times New Roman" w:hAnsi="Times New Roman" w:cs="Times New Roman" w:eastAsia="Times New Roman" w:hint="default"/>
        </w:rPr>
        <w:t>2</w:t>
      </w:r>
      <w:r>
        <w:rPr/>
        <w:t>、行业发展情况及本集团所处行业地位</w:t>
      </w:r>
      <w:r>
        <w:rPr>
          <w:w w:val="100"/>
        </w:rPr>
        <w:t> </w:t>
      </w:r>
      <w:r>
        <w:rPr>
          <w:spacing w:val="-2"/>
        </w:rPr>
        <w:t>金融科技是以数字化、网络化、智能化为特征的信息化技术和金融的深层融合，通过各类科技手段革</w:t>
      </w:r>
    </w:p>
    <w:p>
      <w:pPr>
        <w:pStyle w:val="BodyText"/>
        <w:spacing w:line="266" w:lineRule="auto" w:before="22"/>
        <w:ind w:right="1126"/>
        <w:jc w:val="both"/>
      </w:pPr>
      <w:r>
        <w:rPr>
          <w:spacing w:val="-2"/>
        </w:rPr>
        <w:t>新传统金融所提供的产品和服务，改变金融服务的运作方式，解决金融行业的本质问题——即资金在短缺</w:t>
      </w:r>
      <w:r>
        <w:rPr>
          <w:spacing w:val="-42"/>
        </w:rPr>
        <w:t> </w:t>
      </w:r>
      <w:r>
        <w:rPr>
          <w:spacing w:val="-42"/>
        </w:rPr>
      </w:r>
      <w:r>
        <w:rPr>
          <w:spacing w:val="-2"/>
        </w:rPr>
        <w:t>方与盈余方的高效流通。近年来，随着人工智能、大数据、云计算、区块链等新兴技术的加速发展，科技</w:t>
      </w:r>
      <w:r>
        <w:rPr>
          <w:spacing w:val="-42"/>
        </w:rPr>
        <w:t> </w:t>
      </w:r>
      <w:r>
        <w:rPr>
          <w:spacing w:val="-42"/>
        </w:rPr>
      </w:r>
      <w:r>
        <w:rPr>
          <w:spacing w:val="-2"/>
        </w:rPr>
        <w:t>创新成为引领经济新常态的</w:t>
      </w:r>
      <w:r>
        <w:rPr>
          <w:rFonts w:ascii="Times New Roman" w:hAnsi="Times New Roman" w:cs="Times New Roman" w:eastAsia="Times New Roman" w:hint="default"/>
          <w:spacing w:val="-2"/>
        </w:rPr>
        <w:t>“</w:t>
      </w:r>
      <w:r>
        <w:rPr>
          <w:spacing w:val="-2"/>
        </w:rPr>
        <w:t>第一动力</w:t>
      </w:r>
      <w:r>
        <w:rPr>
          <w:rFonts w:ascii="Times New Roman" w:hAnsi="Times New Roman" w:cs="Times New Roman" w:eastAsia="Times New Roman" w:hint="default"/>
          <w:spacing w:val="-2"/>
        </w:rPr>
        <w:t>”</w:t>
      </w:r>
      <w:r>
        <w:rPr>
          <w:spacing w:val="-2"/>
        </w:rPr>
        <w:t>。金融科技蓬勃兴起，不断催生新产品、新业态、新模式，成为推</w:t>
      </w:r>
      <w:r>
        <w:rPr>
          <w:spacing w:val="-18"/>
        </w:rPr>
        <w:t> </w:t>
      </w:r>
      <w:r>
        <w:rPr>
          <w:spacing w:val="-18"/>
        </w:rPr>
      </w:r>
      <w:r>
        <w:rPr/>
        <w:t>动我国金融业转型升级和高质量发展的新引擎，为金融发展提供源源不断的创新活力。</w:t>
      </w:r>
    </w:p>
    <w:p>
      <w:pPr>
        <w:pStyle w:val="BodyText"/>
        <w:spacing w:line="240" w:lineRule="auto" w:before="14"/>
        <w:ind w:left="573" w:right="0"/>
        <w:jc w:val="left"/>
      </w:pPr>
      <w:r>
        <w:rPr/>
        <w:t>本集团于</w:t>
      </w:r>
      <w:r>
        <w:rPr>
          <w:rFonts w:ascii="Times New Roman" w:hAnsi="Times New Roman" w:cs="Times New Roman" w:eastAsia="Times New Roman" w:hint="default"/>
        </w:rPr>
        <w:t>2017</w:t>
      </w:r>
      <w:r>
        <w:rPr/>
        <w:t>年启动金融科技业务。</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52" w:type="dxa"/>
        <w:tblLayout w:type="fixed"/>
        <w:tblCellMar>
          <w:top w:w="0" w:type="dxa"/>
          <w:left w:w="0" w:type="dxa"/>
          <w:bottom w:w="0" w:type="dxa"/>
          <w:right w:w="0" w:type="dxa"/>
        </w:tblCellMar>
        <w:tblLook w:val="01E0"/>
      </w:tblPr>
      <w:tblGrid>
        <w:gridCol w:w="1839"/>
        <w:gridCol w:w="7732"/>
      </w:tblGrid>
      <w:tr>
        <w:trPr>
          <w:trHeight w:val="76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9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主要资产</w:t>
            </w:r>
            <w:r>
              <w:rPr>
                <w:rFonts w:ascii="Microsoft JhengHei" w:hAnsi="Microsoft JhengHei" w:cs="Microsoft JhengHei" w:eastAsia="Microsoft JhengHei" w:hint="default"/>
                <w:sz w:val="21"/>
                <w:szCs w:val="21"/>
              </w:rPr>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重大变化说明</w:t>
            </w:r>
            <w:r>
              <w:rPr>
                <w:rFonts w:ascii="Microsoft JhengHei" w:hAnsi="Microsoft JhengHei" w:cs="Microsoft JhengHei" w:eastAsia="Microsoft JhengHei" w:hint="default"/>
                <w:sz w:val="21"/>
                <w:szCs w:val="21"/>
              </w:rPr>
            </w:r>
          </w:p>
        </w:tc>
      </w:tr>
      <w:tr>
        <w:trPr>
          <w:trHeight w:val="71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期末货币资金 </w:t>
            </w:r>
            <w:r>
              <w:rPr>
                <w:rFonts w:ascii="Times New Roman" w:hAnsi="Times New Roman" w:cs="Times New Roman" w:eastAsia="Times New Roman" w:hint="default"/>
                <w:sz w:val="21"/>
                <w:szCs w:val="21"/>
              </w:rPr>
              <w:t>733,038.82 </w:t>
            </w:r>
            <w:r>
              <w:rPr>
                <w:rFonts w:ascii="宋体" w:hAnsi="宋体" w:cs="宋体" w:eastAsia="宋体" w:hint="default"/>
                <w:sz w:val="21"/>
                <w:szCs w:val="21"/>
              </w:rPr>
              <w:t>万元，较期初增长</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38.81%</w:t>
            </w:r>
            <w:r>
              <w:rPr>
                <w:rFonts w:ascii="宋体" w:hAnsi="宋体" w:cs="宋体" w:eastAsia="宋体" w:hint="default"/>
                <w:sz w:val="21"/>
                <w:szCs w:val="21"/>
              </w:rPr>
              <w:t>，主要系客户存入代理买卖证券</w:t>
            </w:r>
            <w:r>
              <w:rPr>
                <w:rFonts w:ascii="宋体" w:hAnsi="宋体" w:cs="宋体" w:eastAsia="宋体" w:hint="default"/>
                <w:w w:val="100"/>
                <w:sz w:val="21"/>
                <w:szCs w:val="21"/>
              </w:rPr>
              <w:t> </w:t>
            </w:r>
            <w:r>
              <w:rPr>
                <w:rFonts w:ascii="宋体" w:hAnsi="宋体" w:cs="宋体" w:eastAsia="宋体" w:hint="default"/>
                <w:sz w:val="21"/>
                <w:szCs w:val="21"/>
              </w:rPr>
              <w:t>款增加导致。</w:t>
            </w:r>
          </w:p>
        </w:tc>
      </w:tr>
      <w:tr>
        <w:trPr>
          <w:trHeight w:val="71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融出资金</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期末融出资金</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403,894.42</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万元，较期初增长</w:t>
            </w:r>
            <w:r>
              <w:rPr>
                <w:rFonts w:ascii="宋体" w:hAnsi="宋体" w:cs="宋体" w:eastAsia="宋体" w:hint="default"/>
                <w:spacing w:val="-39"/>
                <w:sz w:val="21"/>
                <w:szCs w:val="21"/>
              </w:rPr>
              <w:t> </w:t>
            </w:r>
            <w:r>
              <w:rPr>
                <w:rFonts w:ascii="Times New Roman" w:hAnsi="Times New Roman" w:cs="Times New Roman" w:eastAsia="Times New Roman" w:hint="default"/>
                <w:spacing w:val="-4"/>
                <w:sz w:val="21"/>
                <w:szCs w:val="21"/>
              </w:rPr>
              <w:t>133.42%</w:t>
            </w:r>
            <w:r>
              <w:rPr>
                <w:rFonts w:ascii="宋体" w:hAnsi="宋体" w:cs="宋体" w:eastAsia="宋体" w:hint="default"/>
                <w:spacing w:val="-4"/>
                <w:sz w:val="21"/>
                <w:szCs w:val="21"/>
              </w:rPr>
              <w:t>，主要系客户融资意愿提升，融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资融券业务规模扩大导致。</w:t>
            </w:r>
          </w:p>
        </w:tc>
      </w:tr>
      <w:tr>
        <w:trPr>
          <w:trHeight w:val="71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1"/>
              <w:ind w:left="23" w:right="17"/>
              <w:jc w:val="left"/>
              <w:rPr>
                <w:rFonts w:ascii="宋体" w:hAnsi="宋体" w:cs="宋体" w:eastAsia="宋体" w:hint="default"/>
                <w:sz w:val="21"/>
                <w:szCs w:val="21"/>
              </w:rPr>
            </w:pPr>
            <w:r>
              <w:rPr>
                <w:rFonts w:ascii="宋体" w:hAnsi="宋体" w:cs="宋体" w:eastAsia="宋体" w:hint="default"/>
                <w:sz w:val="21"/>
                <w:szCs w:val="21"/>
              </w:rPr>
              <w:t>期末存出保证金 </w:t>
            </w:r>
            <w:r>
              <w:rPr>
                <w:rFonts w:ascii="Times New Roman" w:hAnsi="Times New Roman" w:cs="Times New Roman" w:eastAsia="Times New Roman" w:hint="default"/>
                <w:sz w:val="21"/>
                <w:szCs w:val="21"/>
              </w:rPr>
              <w:t>65,423.72 </w:t>
            </w:r>
            <w:r>
              <w:rPr>
                <w:rFonts w:ascii="宋体" w:hAnsi="宋体" w:cs="宋体" w:eastAsia="宋体" w:hint="default"/>
                <w:sz w:val="21"/>
                <w:szCs w:val="21"/>
              </w:rPr>
              <w:t>万元，较期初增长</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295.09%</w:t>
            </w:r>
            <w:r>
              <w:rPr>
                <w:rFonts w:ascii="宋体" w:hAnsi="宋体" w:cs="宋体" w:eastAsia="宋体" w:hint="default"/>
                <w:sz w:val="21"/>
                <w:szCs w:val="21"/>
              </w:rPr>
              <w:t>，主要系证券业务融入资金规</w:t>
            </w:r>
            <w:r>
              <w:rPr>
                <w:rFonts w:ascii="宋体" w:hAnsi="宋体" w:cs="宋体" w:eastAsia="宋体" w:hint="default"/>
                <w:w w:val="100"/>
                <w:sz w:val="21"/>
                <w:szCs w:val="21"/>
              </w:rPr>
              <w:t> </w:t>
            </w:r>
            <w:r>
              <w:rPr>
                <w:rFonts w:ascii="宋体" w:hAnsi="宋体" w:cs="宋体" w:eastAsia="宋体" w:hint="default"/>
                <w:sz w:val="21"/>
                <w:szCs w:val="21"/>
              </w:rPr>
              <w:t>模增大以及业务策略调整，导致信用保证金增加。</w:t>
            </w:r>
          </w:p>
        </w:tc>
      </w:tr>
      <w:tr>
        <w:trPr>
          <w:trHeight w:val="71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期末其他应收款 </w:t>
            </w:r>
            <w:r>
              <w:rPr>
                <w:rFonts w:ascii="Times New Roman" w:hAnsi="Times New Roman" w:cs="Times New Roman" w:eastAsia="Times New Roman" w:hint="default"/>
                <w:sz w:val="21"/>
                <w:szCs w:val="21"/>
              </w:rPr>
              <w:t>11,704.14 </w:t>
            </w:r>
            <w:r>
              <w:rPr>
                <w:rFonts w:ascii="宋体" w:hAnsi="宋体" w:cs="宋体" w:eastAsia="宋体" w:hint="default"/>
                <w:sz w:val="21"/>
                <w:szCs w:val="21"/>
              </w:rPr>
              <w:t>万元，较期初增长</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213.86%</w:t>
            </w:r>
            <w:r>
              <w:rPr>
                <w:rFonts w:ascii="宋体" w:hAnsi="宋体" w:cs="宋体" w:eastAsia="宋体" w:hint="default"/>
                <w:sz w:val="21"/>
                <w:szCs w:val="21"/>
              </w:rPr>
              <w:t>，主要系证券业务收益凭证保</w:t>
            </w:r>
            <w:r>
              <w:rPr>
                <w:rFonts w:ascii="宋体" w:hAnsi="宋体" w:cs="宋体" w:eastAsia="宋体" w:hint="default"/>
                <w:w w:val="100"/>
                <w:sz w:val="21"/>
                <w:szCs w:val="21"/>
              </w:rPr>
              <w:t> </w:t>
            </w:r>
            <w:r>
              <w:rPr>
                <w:rFonts w:ascii="宋体" w:hAnsi="宋体" w:cs="宋体" w:eastAsia="宋体" w:hint="default"/>
                <w:sz w:val="21"/>
                <w:szCs w:val="21"/>
              </w:rPr>
              <w:t>证金增加、代付融资款导致。</w:t>
            </w:r>
          </w:p>
        </w:tc>
      </w:tr>
      <w:tr>
        <w:trPr>
          <w:trHeight w:val="71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期末其他流动资产 </w:t>
            </w:r>
            <w:r>
              <w:rPr>
                <w:rFonts w:ascii="Times New Roman" w:hAnsi="Times New Roman" w:cs="Times New Roman" w:eastAsia="Times New Roman" w:hint="default"/>
                <w:sz w:val="21"/>
                <w:szCs w:val="21"/>
              </w:rPr>
              <w:t>7,013.53 </w:t>
            </w:r>
            <w:r>
              <w:rPr>
                <w:rFonts w:ascii="宋体" w:hAnsi="宋体" w:cs="宋体" w:eastAsia="宋体" w:hint="default"/>
                <w:sz w:val="21"/>
                <w:szCs w:val="21"/>
              </w:rPr>
              <w:t>万元，较期初减少</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93.73%</w:t>
            </w:r>
            <w:r>
              <w:rPr>
                <w:rFonts w:ascii="宋体" w:hAnsi="宋体" w:cs="宋体" w:eastAsia="宋体" w:hint="default"/>
                <w:sz w:val="21"/>
                <w:szCs w:val="21"/>
              </w:rPr>
              <w:t>，主要系本期赎回单一资金信</w:t>
            </w:r>
            <w:r>
              <w:rPr>
                <w:rFonts w:ascii="宋体" w:hAnsi="宋体" w:cs="宋体" w:eastAsia="宋体" w:hint="default"/>
                <w:w w:val="100"/>
                <w:sz w:val="21"/>
                <w:szCs w:val="21"/>
              </w:rPr>
              <w:t> </w:t>
            </w:r>
            <w:r>
              <w:rPr>
                <w:rFonts w:ascii="宋体" w:hAnsi="宋体" w:cs="宋体" w:eastAsia="宋体" w:hint="default"/>
                <w:sz w:val="21"/>
                <w:szCs w:val="21"/>
              </w:rPr>
              <w:t>托计划导致。</w:t>
            </w:r>
          </w:p>
        </w:tc>
      </w:tr>
      <w:tr>
        <w:trPr>
          <w:trHeight w:val="71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期末其他债权投资</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36,035.03</w:t>
            </w:r>
            <w:r>
              <w:rPr>
                <w:rFonts w:ascii="Times New Roman" w:hAnsi="Times New Roman" w:cs="Times New Roman" w:eastAsia="Times New Roman" w:hint="default"/>
                <w:spacing w:val="11"/>
                <w:sz w:val="21"/>
                <w:szCs w:val="21"/>
              </w:rPr>
              <w:t> </w:t>
            </w:r>
            <w:r>
              <w:rPr>
                <w:rFonts w:ascii="宋体" w:hAnsi="宋体" w:cs="宋体" w:eastAsia="宋体" w:hint="default"/>
                <w:spacing w:val="-6"/>
                <w:sz w:val="21"/>
                <w:szCs w:val="21"/>
              </w:rPr>
              <w:t>万元，较期初减少</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47.52%</w:t>
            </w:r>
            <w:r>
              <w:rPr>
                <w:rFonts w:ascii="宋体" w:hAnsi="宋体" w:cs="宋体" w:eastAsia="宋体" w:hint="default"/>
                <w:spacing w:val="-3"/>
                <w:sz w:val="21"/>
                <w:szCs w:val="21"/>
              </w:rPr>
              <w:t>，主要系本期债券投资规模下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降导致。</w:t>
            </w:r>
          </w:p>
        </w:tc>
      </w:tr>
      <w:tr>
        <w:trPr>
          <w:trHeight w:val="71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0"/>
              <w:jc w:val="left"/>
              <w:rPr>
                <w:rFonts w:ascii="宋体" w:hAnsi="宋体" w:cs="宋体" w:eastAsia="宋体" w:hint="default"/>
                <w:sz w:val="21"/>
                <w:szCs w:val="21"/>
              </w:rPr>
            </w:pPr>
            <w:r>
              <w:rPr>
                <w:rFonts w:ascii="宋体" w:hAnsi="宋体" w:cs="宋体" w:eastAsia="宋体" w:hint="default"/>
                <w:sz w:val="21"/>
                <w:szCs w:val="21"/>
              </w:rPr>
              <w:t>其他非流动金融资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期末其他非流动金融资产</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36,824.44</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万元，较期初减少</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32.29%</w:t>
            </w:r>
            <w:r>
              <w:rPr>
                <w:rFonts w:ascii="宋体" w:hAnsi="宋体" w:cs="宋体" w:eastAsia="宋体" w:hint="default"/>
                <w:spacing w:val="-3"/>
                <w:sz w:val="21"/>
                <w:szCs w:val="21"/>
              </w:rPr>
              <w:t>，主要系集合资金信托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计划重分类及相关股权投资公允价值变动导致。</w:t>
            </w:r>
          </w:p>
        </w:tc>
      </w:tr>
      <w:tr>
        <w:trPr>
          <w:trHeight w:val="71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期末长期股权投资 </w:t>
            </w:r>
            <w:r>
              <w:rPr>
                <w:rFonts w:ascii="Times New Roman" w:hAnsi="Times New Roman" w:cs="Times New Roman" w:eastAsia="Times New Roman" w:hint="default"/>
                <w:sz w:val="21"/>
                <w:szCs w:val="21"/>
              </w:rPr>
              <w:t>85,653.32 </w:t>
            </w:r>
            <w:r>
              <w:rPr>
                <w:rFonts w:ascii="宋体" w:hAnsi="宋体" w:cs="宋体" w:eastAsia="宋体" w:hint="default"/>
                <w:sz w:val="21"/>
                <w:szCs w:val="21"/>
              </w:rPr>
              <w:t>万元，较期初增长</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708.36%</w:t>
            </w:r>
            <w:r>
              <w:rPr>
                <w:rFonts w:ascii="宋体" w:hAnsi="宋体" w:cs="宋体" w:eastAsia="宋体" w:hint="default"/>
                <w:sz w:val="21"/>
                <w:szCs w:val="21"/>
              </w:rPr>
              <w:t>，主要系本期新增对联营企</w:t>
            </w:r>
            <w:r>
              <w:rPr>
                <w:rFonts w:ascii="宋体" w:hAnsi="宋体" w:cs="宋体" w:eastAsia="宋体" w:hint="default"/>
                <w:w w:val="100"/>
                <w:sz w:val="21"/>
                <w:szCs w:val="21"/>
              </w:rPr>
              <w:t> </w:t>
            </w:r>
            <w:r>
              <w:rPr>
                <w:rFonts w:ascii="宋体" w:hAnsi="宋体" w:cs="宋体" w:eastAsia="宋体" w:hint="default"/>
                <w:sz w:val="21"/>
                <w:szCs w:val="21"/>
              </w:rPr>
              <w:t>业投资以及转换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QD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项目核算方法导致。</w:t>
            </w:r>
          </w:p>
        </w:tc>
      </w:tr>
      <w:tr>
        <w:trPr>
          <w:trHeight w:val="71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58"/>
              <w:jc w:val="left"/>
              <w:rPr>
                <w:rFonts w:ascii="宋体" w:hAnsi="宋体" w:cs="宋体" w:eastAsia="宋体" w:hint="default"/>
                <w:sz w:val="21"/>
                <w:szCs w:val="21"/>
              </w:rPr>
            </w:pPr>
            <w:r>
              <w:rPr>
                <w:rFonts w:ascii="宋体" w:hAnsi="宋体" w:cs="宋体" w:eastAsia="宋体" w:hint="default"/>
                <w:sz w:val="21"/>
                <w:szCs w:val="21"/>
              </w:rPr>
              <w:t>期末无形资产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6,621.69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万元，较期初增长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43.08%</w:t>
            </w:r>
            <w:r>
              <w:rPr>
                <w:rFonts w:ascii="宋体" w:hAnsi="宋体" w:cs="宋体" w:eastAsia="宋体" w:hint="default"/>
                <w:sz w:val="21"/>
                <w:szCs w:val="21"/>
              </w:rPr>
              <w:t>，主要系证券业务购进软件及软件</w:t>
            </w:r>
            <w:r>
              <w:rPr>
                <w:rFonts w:ascii="宋体" w:hAnsi="宋体" w:cs="宋体" w:eastAsia="宋体" w:hint="default"/>
                <w:w w:val="100"/>
                <w:sz w:val="21"/>
                <w:szCs w:val="21"/>
              </w:rPr>
              <w:t> </w:t>
            </w:r>
            <w:r>
              <w:rPr>
                <w:rFonts w:ascii="宋体" w:hAnsi="宋体" w:cs="宋体" w:eastAsia="宋体" w:hint="default"/>
                <w:sz w:val="21"/>
                <w:szCs w:val="21"/>
              </w:rPr>
              <w:t>著作权等无形资产导致。</w:t>
            </w:r>
          </w:p>
        </w:tc>
      </w:tr>
      <w:tr>
        <w:trPr>
          <w:trHeight w:val="71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63"/>
              <w:jc w:val="left"/>
              <w:rPr>
                <w:rFonts w:ascii="宋体" w:hAnsi="宋体" w:cs="宋体" w:eastAsia="宋体" w:hint="default"/>
                <w:sz w:val="21"/>
                <w:szCs w:val="21"/>
              </w:rPr>
            </w:pPr>
            <w:r>
              <w:rPr>
                <w:rFonts w:ascii="宋体" w:hAnsi="宋体" w:cs="宋体" w:eastAsia="宋体" w:hint="default"/>
                <w:sz w:val="21"/>
                <w:szCs w:val="21"/>
              </w:rPr>
              <w:t>期末递延所得税资产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4,072.82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万元，较期初减少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67.77%</w:t>
            </w:r>
            <w:r>
              <w:rPr>
                <w:rFonts w:ascii="宋体" w:hAnsi="宋体" w:cs="宋体" w:eastAsia="宋体" w:hint="default"/>
                <w:sz w:val="21"/>
                <w:szCs w:val="21"/>
              </w:rPr>
              <w:t>，主要系证券业务持有的交</w:t>
            </w:r>
            <w:r>
              <w:rPr>
                <w:rFonts w:ascii="宋体" w:hAnsi="宋体" w:cs="宋体" w:eastAsia="宋体" w:hint="default"/>
                <w:w w:val="100"/>
                <w:sz w:val="21"/>
                <w:szCs w:val="21"/>
              </w:rPr>
              <w:t> </w:t>
            </w:r>
            <w:r>
              <w:rPr>
                <w:rFonts w:ascii="宋体" w:hAnsi="宋体" w:cs="宋体" w:eastAsia="宋体" w:hint="default"/>
                <w:sz w:val="21"/>
                <w:szCs w:val="21"/>
              </w:rPr>
              <w:t>易性金融资产所形成的递延所得税资产减少导致。</w:t>
            </w:r>
          </w:p>
        </w:tc>
      </w:tr>
      <w:tr>
        <w:trPr>
          <w:trHeight w:val="71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73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60"/>
              <w:jc w:val="left"/>
              <w:rPr>
                <w:rFonts w:ascii="宋体" w:hAnsi="宋体" w:cs="宋体" w:eastAsia="宋体" w:hint="default"/>
                <w:sz w:val="21"/>
                <w:szCs w:val="21"/>
              </w:rPr>
            </w:pPr>
            <w:r>
              <w:rPr>
                <w:rFonts w:ascii="宋体" w:hAnsi="宋体" w:cs="宋体" w:eastAsia="宋体" w:hint="default"/>
                <w:sz w:val="21"/>
                <w:szCs w:val="21"/>
              </w:rPr>
              <w:t>期末非流动资产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18,518.29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万元，较期初增加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141.99%</w:t>
            </w:r>
            <w:r>
              <w:rPr>
                <w:rFonts w:ascii="宋体" w:hAnsi="宋体" w:cs="宋体" w:eastAsia="宋体" w:hint="default"/>
                <w:sz w:val="21"/>
                <w:szCs w:val="21"/>
              </w:rPr>
              <w:t>，主要系预付长期资产购置款</w:t>
            </w:r>
            <w:r>
              <w:rPr>
                <w:rFonts w:ascii="宋体" w:hAnsi="宋体" w:cs="宋体" w:eastAsia="宋体" w:hint="default"/>
                <w:w w:val="100"/>
                <w:sz w:val="21"/>
                <w:szCs w:val="21"/>
              </w:rPr>
              <w:t> </w:t>
            </w:r>
            <w:r>
              <w:rPr>
                <w:rFonts w:ascii="宋体" w:hAnsi="宋体" w:cs="宋体" w:eastAsia="宋体" w:hint="default"/>
                <w:sz w:val="21"/>
                <w:szCs w:val="21"/>
              </w:rPr>
              <w:t>增加导致。</w:t>
            </w:r>
          </w:p>
        </w:tc>
      </w:tr>
    </w:tbl>
    <w:p>
      <w:pPr>
        <w:spacing w:line="240" w:lineRule="auto" w:before="8"/>
        <w:rPr>
          <w:rFonts w:ascii="Microsoft JhengHei" w:hAnsi="Microsoft JhengHei" w:cs="Microsoft JhengHei" w:eastAsia="Microsoft JhengHei" w:hint="default"/>
          <w:b/>
          <w:bCs/>
          <w:sz w:val="14"/>
          <w:szCs w:val="14"/>
        </w:rPr>
      </w:pPr>
    </w:p>
    <w:p>
      <w:pPr>
        <w:tabs>
          <w:tab w:pos="8141" w:val="left" w:leader="none"/>
        </w:tabs>
        <w:spacing w:line="335"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、主要境外资产情况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三、核心竞争力分析</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t>（一）证券业务核心竞争力</w:t>
      </w:r>
    </w:p>
    <w:p>
      <w:pPr>
        <w:pStyle w:val="BodyText"/>
        <w:spacing w:line="256" w:lineRule="auto" w:before="37"/>
        <w:ind w:left="573" w:right="0"/>
        <w:jc w:val="left"/>
      </w:pPr>
      <w:r>
        <w:rPr>
          <w:rFonts w:ascii="Times New Roman" w:hAnsi="Times New Roman" w:cs="Times New Roman" w:eastAsia="Times New Roman" w:hint="default"/>
        </w:rPr>
        <w:t>1</w:t>
      </w:r>
      <w:r>
        <w:rPr/>
        <w:t>、全国性布局和区域网点优势</w:t>
      </w:r>
      <w:r>
        <w:rPr>
          <w:w w:val="100"/>
        </w:rPr>
        <w:t> </w:t>
      </w:r>
      <w:r>
        <w:rPr>
          <w:spacing w:val="-4"/>
        </w:rPr>
        <w:t>截至报告期末，国盛证券共拥有</w:t>
      </w:r>
      <w:r>
        <w:rPr>
          <w:rFonts w:ascii="Times New Roman" w:hAnsi="Times New Roman" w:cs="Times New Roman" w:eastAsia="Times New Roman" w:hint="default"/>
          <w:spacing w:val="-4"/>
        </w:rPr>
        <w:t>21</w:t>
      </w:r>
      <w:r>
        <w:rPr>
          <w:spacing w:val="-4"/>
        </w:rPr>
        <w:t>家分公司、</w:t>
      </w:r>
      <w:r>
        <w:rPr>
          <w:rFonts w:ascii="Times New Roman" w:hAnsi="Times New Roman" w:cs="Times New Roman" w:eastAsia="Times New Roman" w:hint="default"/>
          <w:spacing w:val="-4"/>
        </w:rPr>
        <w:t>242</w:t>
      </w:r>
      <w:r>
        <w:rPr>
          <w:spacing w:val="-4"/>
        </w:rPr>
        <w:t>家营业网点，在全国</w:t>
      </w:r>
      <w:r>
        <w:rPr>
          <w:rFonts w:ascii="Times New Roman" w:hAnsi="Times New Roman" w:cs="Times New Roman" w:eastAsia="Times New Roman" w:hint="default"/>
          <w:spacing w:val="-4"/>
        </w:rPr>
        <w:t>30</w:t>
      </w:r>
      <w:r>
        <w:rPr>
          <w:spacing w:val="-4"/>
        </w:rPr>
        <w:t>个省级行政区设有分支机构，</w:t>
      </w:r>
    </w:p>
    <w:p>
      <w:pPr>
        <w:pStyle w:val="BodyText"/>
        <w:spacing w:line="273" w:lineRule="auto" w:before="5"/>
        <w:ind w:right="0"/>
        <w:jc w:val="left"/>
      </w:pPr>
      <w:r>
        <w:rPr/>
        <w:t>分支机构数量在行业中居于较前位次。国盛证券在北京、上海、深圳等全国重点城市设立业务管理总部，</w:t>
      </w:r>
      <w:r>
        <w:rPr>
          <w:spacing w:val="-24"/>
        </w:rPr>
        <w:t> </w:t>
      </w:r>
      <w:r>
        <w:rPr>
          <w:spacing w:val="-24"/>
        </w:rPr>
      </w:r>
      <w:r>
        <w:rPr/>
        <w:t>基本形成</w:t>
      </w:r>
      <w:r>
        <w:rPr>
          <w:rFonts w:ascii="Times New Roman" w:hAnsi="Times New Roman" w:cs="Times New Roman" w:eastAsia="Times New Roman" w:hint="default"/>
        </w:rPr>
        <w:t>“</w:t>
      </w:r>
      <w:r>
        <w:rPr/>
        <w:t>立足江西，辐射全国</w:t>
      </w:r>
      <w:r>
        <w:rPr>
          <w:rFonts w:ascii="Times New Roman" w:hAnsi="Times New Roman" w:cs="Times New Roman" w:eastAsia="Times New Roman" w:hint="default"/>
        </w:rPr>
        <w:t>”</w:t>
      </w:r>
      <w:r>
        <w:rPr/>
        <w:t>的业务格局，全国性服务与营销渠道基础良好。</w:t>
      </w:r>
    </w:p>
    <w:p>
      <w:pPr>
        <w:pStyle w:val="BodyText"/>
        <w:spacing w:line="256" w:lineRule="auto"/>
        <w:ind w:left="573" w:right="0"/>
        <w:jc w:val="left"/>
      </w:pPr>
      <w:r>
        <w:rPr>
          <w:rFonts w:ascii="Times New Roman" w:hAnsi="Times New Roman" w:cs="Times New Roman" w:eastAsia="Times New Roman" w:hint="default"/>
        </w:rPr>
        <w:t>2</w:t>
      </w:r>
      <w:r>
        <w:rPr/>
        <w:t>、服务江西区域经济具有比较竞争优势</w:t>
      </w:r>
      <w:r>
        <w:rPr>
          <w:w w:val="100"/>
        </w:rPr>
        <w:t> </w:t>
      </w:r>
      <w:r>
        <w:rPr>
          <w:spacing w:val="-5"/>
        </w:rPr>
        <w:t>截至报告期末，国盛证券在江西省内设有</w:t>
      </w:r>
      <w:r>
        <w:rPr>
          <w:rFonts w:ascii="Times New Roman" w:hAnsi="Times New Roman" w:cs="Times New Roman" w:eastAsia="Times New Roman" w:hint="default"/>
          <w:spacing w:val="-5"/>
        </w:rPr>
        <w:t>105</w:t>
      </w:r>
      <w:r>
        <w:rPr>
          <w:spacing w:val="-5"/>
        </w:rPr>
        <w:t>家分支机构，覆盖全省所有县级行政区，江西省内分支机</w:t>
      </w:r>
    </w:p>
    <w:p>
      <w:pPr>
        <w:pStyle w:val="BodyText"/>
        <w:spacing w:line="240" w:lineRule="auto" w:before="5"/>
        <w:ind w:right="0"/>
        <w:jc w:val="left"/>
      </w:pPr>
      <w:r>
        <w:rPr/>
        <w:t>构数排名第一，区域竞争优势明显。国盛证券以服务实体经济为己任，发挥研究优势，为省内各级政府提</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6" w:lineRule="auto" w:before="36"/>
        <w:ind w:right="1126"/>
        <w:jc w:val="both"/>
      </w:pPr>
      <w:r>
        <w:rPr>
          <w:spacing w:val="-2"/>
        </w:rPr>
        <w:t>供了大量地方发展研究报告，提升省内实体经济发展水平；通过设立江西投行部、委派专业投行人员在金</w:t>
      </w:r>
      <w:r>
        <w:rPr>
          <w:spacing w:val="-43"/>
        </w:rPr>
        <w:t> </w:t>
      </w:r>
      <w:r>
        <w:rPr>
          <w:spacing w:val="-43"/>
        </w:rPr>
      </w:r>
      <w:r>
        <w:rPr>
          <w:spacing w:val="-2"/>
        </w:rPr>
        <w:t>融局挂职、资本市场宣讲、科创板摸查培育等多种方式，不断提升江西省内资本市场发展水平和企业治理</w:t>
      </w:r>
      <w:r>
        <w:rPr>
          <w:spacing w:val="-44"/>
        </w:rPr>
        <w:t> </w:t>
      </w:r>
      <w:r>
        <w:rPr>
          <w:spacing w:val="-44"/>
        </w:rPr>
      </w:r>
      <w:r>
        <w:rPr/>
        <w:t>能力，为后续省内企业更快地通过</w:t>
      </w:r>
      <w:r>
        <w:rPr>
          <w:rFonts w:ascii="Times New Roman" w:hAnsi="Times New Roman" w:cs="Times New Roman" w:eastAsia="Times New Roman" w:hint="default"/>
        </w:rPr>
        <w:t>IPO</w:t>
      </w:r>
      <w:r>
        <w:rPr/>
        <w:t>、并购重组等方式走向资本市场打下坚实的基础，得到省内地方政</w:t>
      </w:r>
      <w:r>
        <w:rPr>
          <w:spacing w:val="-45"/>
        </w:rPr>
        <w:t> </w:t>
      </w:r>
      <w:r>
        <w:rPr>
          <w:spacing w:val="-45"/>
        </w:rPr>
      </w:r>
      <w:r>
        <w:rPr/>
        <w:t>府及企业客户的高度认可。国盛证券在服务江西区域经济方面具有明显的比较竞争优势。</w:t>
      </w:r>
    </w:p>
    <w:p>
      <w:pPr>
        <w:pStyle w:val="BodyText"/>
        <w:spacing w:line="256" w:lineRule="auto" w:before="14"/>
        <w:ind w:left="573" w:right="0"/>
        <w:jc w:val="left"/>
      </w:pPr>
      <w:r>
        <w:rPr>
          <w:rFonts w:ascii="Times New Roman" w:hAnsi="Times New Roman" w:cs="Times New Roman" w:eastAsia="Times New Roman" w:hint="default"/>
        </w:rPr>
        <w:t>3</w:t>
      </w:r>
      <w:r>
        <w:rPr/>
        <w:t>、金融科技具备后发优势</w:t>
      </w:r>
      <w:r>
        <w:rPr>
          <w:w w:val="100"/>
        </w:rPr>
        <w:t> </w:t>
      </w:r>
      <w:r>
        <w:rPr>
          <w:spacing w:val="-2"/>
        </w:rPr>
        <w:t>当前，证券行业金融科技产品已经比较成熟，但技术壁垒还未形成。国盛证券通过持续加大金融科技</w:t>
      </w:r>
    </w:p>
    <w:p>
      <w:pPr>
        <w:pStyle w:val="BodyText"/>
        <w:spacing w:line="273" w:lineRule="auto" w:before="22"/>
        <w:ind w:right="1127"/>
        <w:jc w:val="both"/>
      </w:pPr>
      <w:r>
        <w:rPr>
          <w:spacing w:val="-2"/>
        </w:rPr>
        <w:t>投入，抓住后发优势，完成了多个信息系统和金融科技产品的上线，并同步开展智慧网点、大数据、人工</w:t>
      </w:r>
      <w:r>
        <w:rPr>
          <w:spacing w:val="-43"/>
        </w:rPr>
        <w:t> </w:t>
      </w:r>
      <w:r>
        <w:rPr>
          <w:spacing w:val="-43"/>
        </w:rPr>
      </w:r>
      <w:r>
        <w:rPr/>
        <w:t>智能等业务领域的探索。</w:t>
      </w:r>
    </w:p>
    <w:p>
      <w:pPr>
        <w:pStyle w:val="BodyText"/>
        <w:spacing w:line="256" w:lineRule="auto" w:before="7"/>
        <w:ind w:right="1128" w:firstLine="420"/>
        <w:jc w:val="both"/>
      </w:pPr>
      <w:r>
        <w:rPr>
          <w:spacing w:val="-3"/>
        </w:rPr>
        <w:t>报告期，国盛证券完成智能审核平台一期建设，集成</w:t>
      </w:r>
      <w:r>
        <w:rPr>
          <w:rFonts w:ascii="Times New Roman" w:hAnsi="Times New Roman" w:cs="Times New Roman" w:eastAsia="Times New Roman" w:hint="default"/>
          <w:spacing w:val="-3"/>
        </w:rPr>
        <w:t>OCR</w:t>
      </w:r>
      <w:r>
        <w:rPr>
          <w:spacing w:val="-3"/>
        </w:rPr>
        <w:t>识别、人脸识别、语音识别等金融科技关键</w:t>
      </w:r>
      <w:r>
        <w:rPr>
          <w:w w:val="100"/>
        </w:rPr>
        <w:t> </w:t>
      </w:r>
      <w:r>
        <w:rPr>
          <w:spacing w:val="-2"/>
        </w:rPr>
        <w:t>技术，成为行业内首家实现非现场开户实时智能见证审核的公司。国盛证券</w:t>
      </w:r>
      <w:r>
        <w:rPr>
          <w:rFonts w:ascii="Times New Roman" w:hAnsi="Times New Roman" w:cs="Times New Roman" w:eastAsia="Times New Roman" w:hint="default"/>
          <w:spacing w:val="-2"/>
        </w:rPr>
        <w:t>“</w:t>
      </w:r>
      <w:r>
        <w:rPr>
          <w:spacing w:val="-2"/>
        </w:rPr>
        <w:t>全渠道智能客服平台</w:t>
      </w:r>
      <w:r>
        <w:rPr>
          <w:rFonts w:ascii="Times New Roman" w:hAnsi="Times New Roman" w:cs="Times New Roman" w:eastAsia="Times New Roman" w:hint="default"/>
          <w:spacing w:val="-2"/>
        </w:rPr>
        <w:t>”</w:t>
      </w:r>
      <w:r>
        <w:rPr>
          <w:spacing w:val="-2"/>
        </w:rPr>
        <w:t>获得中</w:t>
      </w:r>
      <w:r>
        <w:rPr>
          <w:spacing w:val="-22"/>
        </w:rPr>
        <w:t> </w:t>
      </w:r>
      <w:r>
        <w:rPr>
          <w:spacing w:val="-4"/>
        </w:rPr>
        <w:t>国人民银行《金融电子化》杂志社</w:t>
      </w:r>
      <w:r>
        <w:rPr>
          <w:rFonts w:ascii="Times New Roman" w:hAnsi="Times New Roman" w:cs="Times New Roman" w:eastAsia="Times New Roman" w:hint="default"/>
          <w:spacing w:val="-4"/>
        </w:rPr>
        <w:t>“</w:t>
      </w:r>
      <w:r>
        <w:rPr>
          <w:spacing w:val="-4"/>
        </w:rPr>
        <w:t>金融科技渠道创新突出贡献奖</w:t>
      </w:r>
      <w:r>
        <w:rPr>
          <w:rFonts w:ascii="Times New Roman" w:hAnsi="Times New Roman" w:cs="Times New Roman" w:eastAsia="Times New Roman" w:hint="default"/>
          <w:spacing w:val="-4"/>
        </w:rPr>
        <w:t>”</w:t>
      </w:r>
      <w:r>
        <w:rPr>
          <w:spacing w:val="-4"/>
        </w:rPr>
        <w:t>，并在相关评选活动中获得</w:t>
      </w:r>
      <w:r>
        <w:rPr>
          <w:rFonts w:ascii="Times New Roman" w:hAnsi="Times New Roman" w:cs="Times New Roman" w:eastAsia="Times New Roman" w:hint="default"/>
          <w:spacing w:val="-4"/>
        </w:rPr>
        <w:t>“</w:t>
      </w:r>
      <w:r>
        <w:rPr>
          <w:spacing w:val="-4"/>
        </w:rPr>
        <w:t>金融科技赋</w:t>
      </w:r>
      <w:r>
        <w:rPr>
          <w:spacing w:val="-19"/>
        </w:rPr>
        <w:t> </w:t>
      </w:r>
      <w:r>
        <w:rPr>
          <w:spacing w:val="-19"/>
        </w:rPr>
      </w:r>
      <w:r>
        <w:rPr/>
        <w:t>能先锋奖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中国证券公司杰出金融科技奖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年度最具科技创新力券商</w:t>
      </w:r>
      <w:r>
        <w:rPr>
          <w:rFonts w:ascii="Times New Roman" w:hAnsi="Times New Roman" w:cs="Times New Roman" w:eastAsia="Times New Roman" w:hint="default"/>
        </w:rPr>
        <w:t>”</w:t>
      </w:r>
      <w:r>
        <w:rPr/>
        <w:t>等称号。</w:t>
      </w:r>
    </w:p>
    <w:p>
      <w:pPr>
        <w:pStyle w:val="BodyText"/>
        <w:spacing w:line="256" w:lineRule="auto" w:before="5"/>
        <w:ind w:left="573" w:right="0"/>
        <w:jc w:val="left"/>
      </w:pPr>
      <w:r>
        <w:rPr>
          <w:rFonts w:ascii="Times New Roman" w:hAnsi="Times New Roman" w:cs="Times New Roman" w:eastAsia="Times New Roman" w:hint="default"/>
        </w:rPr>
        <w:t>4</w:t>
      </w:r>
      <w:r>
        <w:rPr/>
        <w:t>、灵活的机制体制优势</w:t>
      </w:r>
      <w:r>
        <w:rPr>
          <w:w w:val="100"/>
        </w:rPr>
        <w:t> </w:t>
      </w:r>
      <w:r>
        <w:rPr>
          <w:spacing w:val="-2"/>
        </w:rPr>
        <w:t>国盛证券经营机制体制灵活，激励机制具有市场竞争力，业务转型迅速、改革效率高，能够及时调整</w:t>
      </w:r>
    </w:p>
    <w:p>
      <w:pPr>
        <w:pStyle w:val="BodyText"/>
        <w:spacing w:line="273" w:lineRule="auto" w:before="22"/>
        <w:ind w:right="1126"/>
        <w:jc w:val="both"/>
      </w:pPr>
      <w:r>
        <w:rPr>
          <w:spacing w:val="-2"/>
        </w:rPr>
        <w:t>战略方向应对市场变化，在当前市场不断变化、行业面临转型的时期，具有市场适应能力和应变能力强的</w:t>
      </w:r>
      <w:r>
        <w:rPr>
          <w:spacing w:val="-43"/>
        </w:rPr>
        <w:t> </w:t>
      </w:r>
      <w:r>
        <w:rPr>
          <w:spacing w:val="-43"/>
        </w:rPr>
      </w:r>
      <w:r>
        <w:rPr/>
        <w:t>优势。</w:t>
      </w:r>
    </w:p>
    <w:p>
      <w:pPr>
        <w:pStyle w:val="BodyText"/>
        <w:spacing w:line="256" w:lineRule="auto" w:before="7"/>
        <w:ind w:left="573" w:right="0"/>
        <w:jc w:val="left"/>
      </w:pPr>
      <w:r>
        <w:rPr>
          <w:rFonts w:ascii="Times New Roman" w:hAnsi="Times New Roman" w:cs="Times New Roman" w:eastAsia="Times New Roman" w:hint="default"/>
        </w:rPr>
        <w:t>5</w:t>
      </w:r>
      <w:r>
        <w:rPr/>
        <w:t>、证券研究业务良好的品牌口碑</w:t>
      </w:r>
      <w:r>
        <w:rPr>
          <w:w w:val="100"/>
        </w:rPr>
        <w:t> </w:t>
      </w:r>
      <w:r>
        <w:rPr/>
        <w:t>证券研究业务是国盛证券现在和未来的重点战略业务，研究所自</w:t>
      </w:r>
      <w:r>
        <w:rPr>
          <w:rFonts w:ascii="Times New Roman" w:hAnsi="Times New Roman" w:cs="Times New Roman" w:eastAsia="Times New Roman" w:hint="default"/>
        </w:rPr>
        <w:t>2018</w:t>
      </w:r>
      <w:r>
        <w:rPr/>
        <w:t>年初成立以来实现了快速发展。</w:t>
      </w:r>
    </w:p>
    <w:p>
      <w:pPr>
        <w:pStyle w:val="BodyText"/>
        <w:spacing w:line="264" w:lineRule="auto" w:before="5"/>
        <w:ind w:right="0"/>
        <w:jc w:val="left"/>
      </w:pPr>
      <w:r>
        <w:rPr>
          <w:rFonts w:ascii="Times New Roman" w:hAnsi="Times New Roman" w:cs="Times New Roman" w:eastAsia="Times New Roman" w:hint="default"/>
          <w:spacing w:val="-4"/>
        </w:rPr>
        <w:t>2018</w:t>
      </w:r>
      <w:r>
        <w:rPr>
          <w:spacing w:val="-4"/>
        </w:rPr>
        <w:t>年研究所分仓收入排名大幅提升</w:t>
      </w:r>
      <w:r>
        <w:rPr>
          <w:rFonts w:ascii="Times New Roman" w:hAnsi="Times New Roman" w:cs="Times New Roman" w:eastAsia="Times New Roman" w:hint="default"/>
          <w:spacing w:val="-4"/>
        </w:rPr>
        <w:t>50</w:t>
      </w:r>
      <w:r>
        <w:rPr>
          <w:spacing w:val="-4"/>
        </w:rPr>
        <w:t>名、增速行业第一；</w:t>
      </w:r>
      <w:r>
        <w:rPr>
          <w:rFonts w:ascii="Times New Roman" w:hAnsi="Times New Roman" w:cs="Times New Roman" w:eastAsia="Times New Roman" w:hint="default"/>
          <w:spacing w:val="-4"/>
        </w:rPr>
        <w:t>2019</w:t>
      </w:r>
      <w:r>
        <w:rPr>
          <w:spacing w:val="-4"/>
        </w:rPr>
        <w:t>年研究所月均分仓收入跻身行业第一梯队。</w:t>
      </w:r>
      <w:r>
        <w:rPr>
          <w:spacing w:val="-31"/>
        </w:rPr>
        <w:t> </w:t>
      </w:r>
      <w:r>
        <w:rPr>
          <w:spacing w:val="-31"/>
        </w:rPr>
      </w:r>
      <w:r>
        <w:rPr>
          <w:spacing w:val="-2"/>
        </w:rPr>
        <w:t>国盛研究所研究方向实现全产业覆盖，报告期组织的资本市场年会、峰会等系列策略会参会机构投资人数</w:t>
      </w:r>
      <w:r>
        <w:rPr>
          <w:spacing w:val="-44"/>
        </w:rPr>
        <w:t> </w:t>
      </w:r>
      <w:r>
        <w:rPr>
          <w:spacing w:val="-44"/>
        </w:rPr>
      </w:r>
      <w:r>
        <w:rPr/>
        <w:t>量和上市公司数量众多。报告期研究所首次参加新财富评选，获得</w:t>
      </w:r>
      <w:r>
        <w:rPr>
          <w:rFonts w:ascii="Times New Roman" w:hAnsi="Times New Roman" w:cs="Times New Roman" w:eastAsia="Times New Roman" w:hint="default"/>
        </w:rPr>
        <w:t>“</w:t>
      </w:r>
      <w:r>
        <w:rPr/>
        <w:t>本土最佳研究团队</w:t>
      </w:r>
      <w:r>
        <w:rPr>
          <w:rFonts w:ascii="Times New Roman" w:hAnsi="Times New Roman" w:cs="Times New Roman" w:eastAsia="Times New Roman" w:hint="default"/>
        </w:rPr>
        <w:t>”</w:t>
      </w:r>
      <w:r>
        <w:rPr/>
        <w:t>第</w:t>
      </w:r>
      <w:r>
        <w:rPr>
          <w:rFonts w:ascii="Times New Roman" w:hAnsi="Times New Roman" w:cs="Times New Roman" w:eastAsia="Times New Roman" w:hint="default"/>
        </w:rPr>
        <w:t>7</w:t>
      </w:r>
      <w:r>
        <w:rPr/>
        <w:t>名、</w:t>
      </w:r>
      <w:r>
        <w:rPr>
          <w:rFonts w:ascii="Times New Roman" w:hAnsi="Times New Roman" w:cs="Times New Roman" w:eastAsia="Times New Roman" w:hint="default"/>
        </w:rPr>
        <w:t>“</w:t>
      </w:r>
      <w:r>
        <w:rPr/>
        <w:t>最具影响</w:t>
      </w:r>
      <w:r>
        <w:rPr>
          <w:spacing w:val="-100"/>
        </w:rPr>
        <w:t> </w:t>
      </w:r>
      <w:r>
        <w:rPr>
          <w:spacing w:val="-100"/>
        </w:rPr>
      </w:r>
      <w:r>
        <w:rPr>
          <w:spacing w:val="-4"/>
        </w:rPr>
        <w:t>力研究机构</w:t>
      </w:r>
      <w:r>
        <w:rPr>
          <w:rFonts w:ascii="Times New Roman" w:hAnsi="Times New Roman" w:cs="Times New Roman" w:eastAsia="Times New Roman" w:hint="default"/>
          <w:spacing w:val="-4"/>
        </w:rPr>
        <w:t>”</w:t>
      </w:r>
      <w:r>
        <w:rPr>
          <w:spacing w:val="-4"/>
        </w:rPr>
        <w:t>第</w:t>
      </w:r>
      <w:r>
        <w:rPr>
          <w:rFonts w:ascii="Times New Roman" w:hAnsi="Times New Roman" w:cs="Times New Roman" w:eastAsia="Times New Roman" w:hint="default"/>
          <w:spacing w:val="-4"/>
        </w:rPr>
        <w:t>7</w:t>
      </w:r>
      <w:r>
        <w:rPr>
          <w:spacing w:val="-4"/>
        </w:rPr>
        <w:t>名等团体奖项，并有</w:t>
      </w:r>
      <w:r>
        <w:rPr>
          <w:rFonts w:ascii="Times New Roman" w:hAnsi="Times New Roman" w:cs="Times New Roman" w:eastAsia="Times New Roman" w:hint="default"/>
          <w:spacing w:val="-4"/>
        </w:rPr>
        <w:t>13</w:t>
      </w:r>
      <w:r>
        <w:rPr>
          <w:spacing w:val="-4"/>
        </w:rPr>
        <w:t>个研究团队、</w:t>
      </w:r>
      <w:r>
        <w:rPr>
          <w:rFonts w:ascii="Times New Roman" w:hAnsi="Times New Roman" w:cs="Times New Roman" w:eastAsia="Times New Roman" w:hint="default"/>
          <w:spacing w:val="-4"/>
        </w:rPr>
        <w:t>3</w:t>
      </w:r>
      <w:r>
        <w:rPr>
          <w:spacing w:val="-4"/>
        </w:rPr>
        <w:t>个销售团队入围。建筑和工程、金融工程、电子、计</w:t>
      </w:r>
      <w:r>
        <w:rPr>
          <w:spacing w:val="-35"/>
        </w:rPr>
        <w:t> </w:t>
      </w:r>
      <w:r>
        <w:rPr>
          <w:spacing w:val="-35"/>
        </w:rPr>
      </w:r>
      <w:r>
        <w:rPr>
          <w:spacing w:val="-7"/>
        </w:rPr>
        <w:t>算机、医药研究团队和华北、华南销售团队更是取得了前三的成绩。国盛研究所成立不足两年，从无到有，</w:t>
      </w:r>
      <w:r>
        <w:rPr>
          <w:spacing w:val="-22"/>
        </w:rPr>
        <w:t> </w:t>
      </w:r>
      <w:r>
        <w:rPr>
          <w:spacing w:val="-22"/>
        </w:rPr>
      </w:r>
      <w:r>
        <w:rPr/>
        <w:t>现已跻身行业前列，在业界逐渐形成良好的品牌声誉。</w:t>
      </w:r>
    </w:p>
    <w:p>
      <w:pPr>
        <w:spacing w:line="240" w:lineRule="auto" w:before="1"/>
        <w:rPr>
          <w:rFonts w:ascii="宋体" w:hAnsi="宋体" w:cs="宋体" w:eastAsia="宋体" w:hint="default"/>
          <w:sz w:val="25"/>
          <w:szCs w:val="25"/>
        </w:rPr>
      </w:pPr>
    </w:p>
    <w:p>
      <w:pPr>
        <w:pStyle w:val="BodyText"/>
        <w:spacing w:line="273" w:lineRule="auto"/>
        <w:ind w:left="573" w:right="0"/>
        <w:jc w:val="left"/>
      </w:pPr>
      <w:r>
        <w:rPr/>
        <w:t>（二）投资业务核心竞争力</w:t>
      </w:r>
      <w:r>
        <w:rPr>
          <w:w w:val="100"/>
        </w:rPr>
        <w:t> </w:t>
      </w:r>
      <w:r>
        <w:rPr>
          <w:spacing w:val="-2"/>
        </w:rPr>
        <w:t>本集团管理层具有丰富的股权投资和投资管理经验，积累了广泛的市场资源；投资团队长期坚持行业</w:t>
      </w:r>
    </w:p>
    <w:p>
      <w:pPr>
        <w:pStyle w:val="BodyText"/>
        <w:spacing w:line="273" w:lineRule="auto" w:before="7"/>
        <w:ind w:right="1126"/>
        <w:jc w:val="both"/>
      </w:pPr>
      <w:r>
        <w:rPr>
          <w:spacing w:val="-2"/>
        </w:rPr>
        <w:t>研究，时刻跟踪行业变化，投资专业化程度较高，同时投资团队持续跟踪项目投后经营情况，为已投资企</w:t>
      </w:r>
      <w:r>
        <w:rPr>
          <w:spacing w:val="-47"/>
        </w:rPr>
        <w:t> </w:t>
      </w:r>
      <w:r>
        <w:rPr>
          <w:spacing w:val="-47"/>
        </w:rPr>
      </w:r>
      <w:r>
        <w:rPr>
          <w:spacing w:val="-2"/>
        </w:rPr>
        <w:t>业提供增值服务，有效控制投后风险；集团目前已经搭建了人民币、外币股权投资平台，完成多个项目的</w:t>
      </w:r>
      <w:r>
        <w:rPr>
          <w:spacing w:val="-50"/>
        </w:rPr>
        <w:t> </w:t>
      </w:r>
      <w:r>
        <w:rPr>
          <w:spacing w:val="-50"/>
        </w:rPr>
      </w:r>
      <w:r>
        <w:rPr>
          <w:spacing w:val="-2"/>
        </w:rPr>
        <w:t>投资并取得较好的投资回报，为未来业务对接或配合打下良好基础；期内新增私募基金管理人资格，为开</w:t>
      </w:r>
      <w:r>
        <w:rPr>
          <w:spacing w:val="-42"/>
        </w:rPr>
        <w:t> </w:t>
      </w:r>
      <w:r>
        <w:rPr>
          <w:spacing w:val="-42"/>
        </w:rPr>
      </w:r>
      <w:r>
        <w:rPr/>
        <w:t>展私募股权投资管理业务创造条件。</w:t>
      </w:r>
    </w:p>
    <w:p>
      <w:pPr>
        <w:spacing w:line="240" w:lineRule="auto" w:before="6"/>
        <w:rPr>
          <w:rFonts w:ascii="宋体" w:hAnsi="宋体" w:cs="宋体" w:eastAsia="宋体" w:hint="default"/>
          <w:sz w:val="24"/>
          <w:szCs w:val="24"/>
        </w:rPr>
      </w:pPr>
    </w:p>
    <w:p>
      <w:pPr>
        <w:pStyle w:val="BodyText"/>
        <w:spacing w:line="273" w:lineRule="auto"/>
        <w:ind w:left="573" w:right="0"/>
        <w:jc w:val="left"/>
      </w:pPr>
      <w:r>
        <w:rPr/>
        <w:t>（三）金融科技业务核心竞争力</w:t>
      </w:r>
      <w:r>
        <w:rPr>
          <w:w w:val="100"/>
        </w:rPr>
        <w:t> </w:t>
      </w:r>
      <w:r>
        <w:rPr>
          <w:spacing w:val="-2"/>
        </w:rPr>
        <w:t>极盛科技的核心管理及业务团队具有丰富的海内外证券、互联网、计算机方面工作经验，具有专业化</w:t>
      </w:r>
    </w:p>
    <w:p>
      <w:pPr>
        <w:pStyle w:val="BodyText"/>
        <w:spacing w:line="264" w:lineRule="auto" w:before="7"/>
        <w:ind w:right="1126"/>
        <w:jc w:val="both"/>
      </w:pPr>
      <w:r>
        <w:rPr>
          <w:spacing w:val="-2"/>
        </w:rPr>
        <w:t>的竞争优势。本集团拥有证券、投资等多种业务，可以为极盛科技提供丰富的业务场景。极盛科技通过整</w:t>
      </w:r>
      <w:r>
        <w:rPr>
          <w:spacing w:val="-47"/>
        </w:rPr>
        <w:t> </w:t>
      </w:r>
      <w:r>
        <w:rPr>
          <w:spacing w:val="-47"/>
        </w:rPr>
      </w:r>
      <w:r>
        <w:rPr>
          <w:spacing w:val="-2"/>
        </w:rPr>
        <w:t>合集团旗下的科技力量，围绕集团各主体业务需求，利用</w:t>
      </w:r>
      <w:r>
        <w:rPr>
          <w:rFonts w:ascii="Times New Roman" w:hAnsi="Times New Roman" w:cs="Times New Roman" w:eastAsia="Times New Roman" w:hint="default"/>
          <w:spacing w:val="-2"/>
        </w:rPr>
        <w:t>“</w:t>
      </w:r>
      <w:r>
        <w:rPr>
          <w:spacing w:val="-2"/>
        </w:rPr>
        <w:t>金融＋科技</w:t>
      </w:r>
      <w:r>
        <w:rPr>
          <w:rFonts w:ascii="Times New Roman" w:hAnsi="Times New Roman" w:cs="Times New Roman" w:eastAsia="Times New Roman" w:hint="default"/>
          <w:spacing w:val="-2"/>
        </w:rPr>
        <w:t>”</w:t>
      </w:r>
      <w:r>
        <w:rPr>
          <w:spacing w:val="-2"/>
        </w:rPr>
        <w:t>双轮驱动，坚持专注赋能，可以形</w:t>
      </w:r>
      <w:r>
        <w:rPr>
          <w:spacing w:val="-17"/>
        </w:rPr>
        <w:t> </w:t>
      </w:r>
      <w:r>
        <w:rPr>
          <w:spacing w:val="-17"/>
        </w:rPr>
      </w:r>
      <w:r>
        <w:rPr/>
        <w:t>成较强的技术生产力。</w:t>
      </w:r>
    </w:p>
    <w:p>
      <w:pPr>
        <w:spacing w:after="0" w:line="264"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0"/>
        <w:jc w:val="left"/>
        <w:rPr>
          <w:b w:val="0"/>
          <w:bCs w:val="0"/>
        </w:rPr>
      </w:pPr>
      <w:bookmarkStart w:name="_TOC_250009" w:id="4"/>
      <w:r>
        <w:rPr/>
        <w:t>第四节 </w:t>
      </w:r>
      <w:r>
        <w:rPr>
          <w:spacing w:val="11"/>
        </w:rPr>
        <w:t> </w:t>
      </w:r>
      <w:r>
        <w:rPr/>
        <w:t>经营情况讨论与分析</w:t>
      </w:r>
      <w:bookmarkEnd w:id="4"/>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一、概述</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61" w:lineRule="auto"/>
        <w:ind w:right="1128" w:firstLine="420"/>
        <w:jc w:val="both"/>
      </w:pPr>
      <w:r>
        <w:rPr>
          <w:rFonts w:ascii="Times New Roman" w:hAnsi="Times New Roman" w:cs="Times New Roman" w:eastAsia="Times New Roman" w:hint="default"/>
          <w:spacing w:val="-2"/>
        </w:rPr>
        <w:t>2019</w:t>
      </w:r>
      <w:r>
        <w:rPr>
          <w:spacing w:val="-2"/>
        </w:rPr>
        <w:t>年，全球经济增长持续放缓，创</w:t>
      </w:r>
      <w:r>
        <w:rPr>
          <w:rFonts w:ascii="Times New Roman" w:hAnsi="Times New Roman" w:cs="Times New Roman" w:eastAsia="Times New Roman" w:hint="default"/>
          <w:spacing w:val="-2"/>
        </w:rPr>
        <w:t>2008</w:t>
      </w:r>
      <w:r>
        <w:rPr>
          <w:spacing w:val="-2"/>
        </w:rPr>
        <w:t>年国际金融危机以来新低。中国经济下行压力显著增加，全</w:t>
      </w:r>
      <w:r>
        <w:rPr>
          <w:w w:val="100"/>
        </w:rPr>
        <w:t> </w:t>
      </w:r>
      <w:r>
        <w:rPr>
          <w:spacing w:val="-4"/>
        </w:rPr>
        <w:t>年</w:t>
      </w:r>
      <w:r>
        <w:rPr>
          <w:rFonts w:ascii="Times New Roman" w:hAnsi="Times New Roman" w:cs="Times New Roman" w:eastAsia="Times New Roman" w:hint="default"/>
          <w:spacing w:val="-4"/>
        </w:rPr>
        <w:t>GDP</w:t>
      </w:r>
      <w:r>
        <w:rPr>
          <w:spacing w:val="-4"/>
        </w:rPr>
        <w:t>增速</w:t>
      </w:r>
      <w:r>
        <w:rPr>
          <w:rFonts w:ascii="Times New Roman" w:hAnsi="Times New Roman" w:cs="Times New Roman" w:eastAsia="Times New Roman" w:hint="default"/>
          <w:spacing w:val="-4"/>
        </w:rPr>
        <w:t>6.1%</w:t>
      </w:r>
      <w:r>
        <w:rPr>
          <w:spacing w:val="-4"/>
        </w:rPr>
        <w:t>，较上年回落</w:t>
      </w:r>
      <w:r>
        <w:rPr>
          <w:rFonts w:ascii="Times New Roman" w:hAnsi="Times New Roman" w:cs="Times New Roman" w:eastAsia="Times New Roman" w:hint="default"/>
          <w:spacing w:val="-4"/>
        </w:rPr>
        <w:t>0.5</w:t>
      </w:r>
      <w:r>
        <w:rPr>
          <w:spacing w:val="-4"/>
        </w:rPr>
        <w:t>个百分点，但仍明显高于全球经济增速。报告期本集团坚持战略引领，布</w:t>
      </w:r>
      <w:r>
        <w:rPr>
          <w:spacing w:val="-8"/>
        </w:rPr>
        <w:t> </w:t>
      </w:r>
      <w:r>
        <w:rPr>
          <w:spacing w:val="-8"/>
        </w:rPr>
      </w:r>
      <w:r>
        <w:rPr>
          <w:spacing w:val="-2"/>
        </w:rPr>
        <w:t>局长远发展，着力打造“以证券为核心，投资为纽带，科技为支撑”的多元化金融服务体系。期内（合并</w:t>
      </w:r>
      <w:r>
        <w:rPr>
          <w:spacing w:val="-46"/>
        </w:rPr>
        <w:t> </w:t>
      </w:r>
      <w:r>
        <w:rPr>
          <w:spacing w:val="-46"/>
        </w:rPr>
      </w:r>
      <w:r>
        <w:rPr>
          <w:spacing w:val="-2"/>
        </w:rPr>
        <w:t>口径）实现营业总收入约</w:t>
      </w:r>
      <w:r>
        <w:rPr>
          <w:rFonts w:ascii="Times New Roman" w:hAnsi="Times New Roman" w:cs="Times New Roman" w:eastAsia="Times New Roman" w:hint="default"/>
          <w:spacing w:val="-2"/>
        </w:rPr>
        <w:t>16.70</w:t>
      </w:r>
      <w:r>
        <w:rPr>
          <w:spacing w:val="-2"/>
        </w:rPr>
        <w:t>亿元、同比增长</w:t>
      </w:r>
      <w:r>
        <w:rPr>
          <w:rFonts w:ascii="Times New Roman" w:hAnsi="Times New Roman" w:cs="Times New Roman" w:eastAsia="Times New Roman" w:hint="default"/>
          <w:spacing w:val="-2"/>
        </w:rPr>
        <w:t>37.79%</w:t>
      </w:r>
      <w:r>
        <w:rPr>
          <w:spacing w:val="-2"/>
        </w:rPr>
        <w:t>，实现归属于上市公司股东的净利润约</w:t>
      </w:r>
      <w:r>
        <w:rPr>
          <w:rFonts w:ascii="Times New Roman" w:hAnsi="Times New Roman" w:cs="Times New Roman" w:eastAsia="Times New Roman" w:hint="default"/>
          <w:spacing w:val="-2"/>
        </w:rPr>
        <w:t>0.95</w:t>
      </w:r>
      <w:r>
        <w:rPr>
          <w:spacing w:val="-2"/>
        </w:rPr>
        <w:t>亿元、同</w:t>
      </w:r>
      <w:r>
        <w:rPr>
          <w:spacing w:val="-50"/>
        </w:rPr>
        <w:t> </w:t>
      </w:r>
      <w:r>
        <w:rPr>
          <w:spacing w:val="-50"/>
        </w:rPr>
      </w:r>
      <w:r>
        <w:rPr>
          <w:spacing w:val="-1"/>
        </w:rPr>
        <w:t>比增长</w:t>
      </w:r>
      <w:r>
        <w:rPr>
          <w:rFonts w:ascii="Times New Roman" w:hAnsi="Times New Roman" w:cs="Times New Roman" w:eastAsia="Times New Roman" w:hint="default"/>
          <w:spacing w:val="-1"/>
        </w:rPr>
        <w:t>117.49%</w:t>
      </w:r>
      <w:r>
        <w:rPr>
          <w:spacing w:val="-1"/>
        </w:rPr>
        <w:t>；期末总资产</w:t>
      </w:r>
      <w:r>
        <w:rPr>
          <w:rFonts w:ascii="Times New Roman" w:hAnsi="Times New Roman" w:cs="Times New Roman" w:eastAsia="Times New Roman" w:hint="default"/>
          <w:spacing w:val="-1"/>
        </w:rPr>
        <w:t>337.31</w:t>
      </w:r>
      <w:r>
        <w:rPr>
          <w:spacing w:val="-1"/>
        </w:rPr>
        <w:t>亿元，总负债</w:t>
      </w:r>
      <w:r>
        <w:rPr>
          <w:rFonts w:ascii="Times New Roman" w:hAnsi="Times New Roman" w:cs="Times New Roman" w:eastAsia="Times New Roman" w:hint="default"/>
          <w:spacing w:val="-1"/>
        </w:rPr>
        <w:t>221.51</w:t>
      </w:r>
      <w:r>
        <w:rPr>
          <w:spacing w:val="-1"/>
        </w:rPr>
        <w:t>亿元，归属于上市公司股东的所有者权益</w:t>
      </w:r>
      <w:r>
        <w:rPr>
          <w:rFonts w:ascii="Times New Roman" w:hAnsi="Times New Roman" w:cs="Times New Roman" w:eastAsia="Times New Roman" w:hint="default"/>
          <w:spacing w:val="-1"/>
        </w:rPr>
        <w:t>115.77</w:t>
      </w:r>
      <w:r>
        <w:rPr>
          <w:spacing w:val="-1"/>
        </w:rPr>
        <w:t>亿</w:t>
      </w:r>
      <w:r>
        <w:rPr>
          <w:spacing w:val="-44"/>
        </w:rPr>
        <w:t> </w:t>
      </w:r>
      <w:r>
        <w:rPr/>
        <w:t>元，资产负债率</w:t>
      </w:r>
      <w:r>
        <w:rPr>
          <w:rFonts w:ascii="Times New Roman" w:hAnsi="Times New Roman" w:cs="Times New Roman" w:eastAsia="Times New Roman" w:hint="default"/>
        </w:rPr>
        <w:t>65.67%</w:t>
      </w:r>
      <w:r>
        <w:rPr/>
        <w:t>。</w:t>
      </w:r>
      <w:r>
        <w:rPr>
          <w:rFonts w:ascii="Times New Roman" w:hAnsi="Times New Roman" w:cs="Times New Roman" w:eastAsia="Times New Roman" w:hint="default"/>
        </w:rPr>
        <w:t>2019</w:t>
      </w:r>
      <w:r>
        <w:rPr/>
        <w:t>年主要工作和经营情况总结如下：</w:t>
      </w:r>
    </w:p>
    <w:p>
      <w:pPr>
        <w:spacing w:line="240" w:lineRule="auto" w:before="10"/>
        <w:rPr>
          <w:rFonts w:ascii="宋体" w:hAnsi="宋体" w:cs="宋体" w:eastAsia="宋体" w:hint="default"/>
          <w:sz w:val="18"/>
          <w:szCs w:val="18"/>
        </w:rPr>
      </w:pPr>
    </w:p>
    <w:p>
      <w:pPr>
        <w:pStyle w:val="Heading4"/>
        <w:spacing w:line="240" w:lineRule="auto"/>
        <w:ind w:left="575" w:right="0"/>
        <w:jc w:val="left"/>
        <w:rPr>
          <w:b w:val="0"/>
          <w:bCs w:val="0"/>
        </w:rPr>
      </w:pPr>
      <w:r>
        <w:rPr/>
        <w:t>（一）证券业务</w:t>
      </w:r>
      <w:r>
        <w:rPr>
          <w:b w:val="0"/>
          <w:bCs w:val="0"/>
        </w:rPr>
      </w:r>
    </w:p>
    <w:p>
      <w:pPr>
        <w:pStyle w:val="BodyText"/>
        <w:spacing w:line="256" w:lineRule="auto" w:before="13"/>
        <w:ind w:right="0" w:firstLine="422"/>
        <w:jc w:val="left"/>
      </w:pPr>
      <w:r>
        <w:rPr>
          <w:rFonts w:ascii="Times New Roman" w:hAnsi="Times New Roman" w:cs="Times New Roman" w:eastAsia="Times New Roman" w:hint="default"/>
          <w:spacing w:val="-3"/>
        </w:rPr>
        <w:t>2019</w:t>
      </w:r>
      <w:r>
        <w:rPr>
          <w:spacing w:val="-3"/>
        </w:rPr>
        <w:t>年国内证券市场整体活跃度较上年有所提升。根据</w:t>
      </w:r>
      <w:r>
        <w:rPr>
          <w:rFonts w:ascii="Times New Roman" w:hAnsi="Times New Roman" w:cs="Times New Roman" w:eastAsia="Times New Roman" w:hint="default"/>
          <w:spacing w:val="-3"/>
        </w:rPr>
        <w:t>Wind</w:t>
      </w:r>
      <w:r>
        <w:rPr>
          <w:spacing w:val="-3"/>
        </w:rPr>
        <w:t>数据，截至</w:t>
      </w:r>
      <w:r>
        <w:rPr>
          <w:rFonts w:ascii="Times New Roman" w:hAnsi="Times New Roman" w:cs="Times New Roman" w:eastAsia="Times New Roman" w:hint="default"/>
          <w:spacing w:val="-3"/>
        </w:rPr>
        <w:t>2019</w:t>
      </w:r>
      <w:r>
        <w:rPr>
          <w:spacing w:val="-3"/>
        </w:rPr>
        <w:t>年末，上证综指、深证成</w:t>
      </w:r>
      <w:r>
        <w:rPr>
          <w:w w:val="100"/>
        </w:rPr>
        <w:t> </w:t>
      </w:r>
      <w:r>
        <w:rPr>
          <w:spacing w:val="-3"/>
        </w:rPr>
        <w:t>指、中小板指和创业板指较</w:t>
      </w:r>
      <w:r>
        <w:rPr>
          <w:rFonts w:ascii="Times New Roman" w:hAnsi="Times New Roman" w:cs="Times New Roman" w:eastAsia="Times New Roman" w:hint="default"/>
          <w:spacing w:val="-3"/>
        </w:rPr>
        <w:t>2018</w:t>
      </w:r>
      <w:r>
        <w:rPr>
          <w:spacing w:val="-3"/>
        </w:rPr>
        <w:t>年末分别上涨</w:t>
      </w:r>
      <w:r>
        <w:rPr>
          <w:rFonts w:ascii="Times New Roman" w:hAnsi="Times New Roman" w:cs="Times New Roman" w:eastAsia="Times New Roman" w:hint="default"/>
          <w:spacing w:val="-3"/>
        </w:rPr>
        <w:t>22.30%</w:t>
      </w:r>
      <w:r>
        <w:rPr>
          <w:spacing w:val="-3"/>
        </w:rPr>
        <w:t>、</w:t>
      </w:r>
      <w:r>
        <w:rPr>
          <w:rFonts w:ascii="Times New Roman" w:hAnsi="Times New Roman" w:cs="Times New Roman" w:eastAsia="Times New Roman" w:hint="default"/>
          <w:spacing w:val="-3"/>
        </w:rPr>
        <w:t>44.08%</w:t>
      </w:r>
      <w:r>
        <w:rPr>
          <w:spacing w:val="-3"/>
        </w:rPr>
        <w:t>、</w:t>
      </w:r>
      <w:r>
        <w:rPr>
          <w:rFonts w:ascii="Times New Roman" w:hAnsi="Times New Roman" w:cs="Times New Roman" w:eastAsia="Times New Roman" w:hint="default"/>
          <w:spacing w:val="-3"/>
        </w:rPr>
        <w:t>41.03%</w:t>
      </w:r>
      <w:r>
        <w:rPr>
          <w:spacing w:val="-3"/>
        </w:rPr>
        <w:t>、</w:t>
      </w:r>
      <w:r>
        <w:rPr>
          <w:rFonts w:ascii="Times New Roman" w:hAnsi="Times New Roman" w:cs="Times New Roman" w:eastAsia="Times New Roman" w:hint="default"/>
          <w:spacing w:val="-3"/>
        </w:rPr>
        <w:t>43.79%</w:t>
      </w:r>
      <w:r>
        <w:rPr>
          <w:spacing w:val="-3"/>
        </w:rPr>
        <w:t>；年内沪深两市股基成交</w:t>
      </w:r>
      <w:r>
        <w:rPr>
          <w:spacing w:val="-32"/>
        </w:rPr>
        <w:t> </w:t>
      </w:r>
      <w:r>
        <w:rPr>
          <w:spacing w:val="-32"/>
        </w:rPr>
      </w:r>
      <w:r>
        <w:rPr>
          <w:spacing w:val="-4"/>
        </w:rPr>
        <w:t>额</w:t>
      </w:r>
      <w:r>
        <w:rPr>
          <w:rFonts w:ascii="Times New Roman" w:hAnsi="Times New Roman" w:cs="Times New Roman" w:eastAsia="Times New Roman" w:hint="default"/>
          <w:spacing w:val="-4"/>
        </w:rPr>
        <w:t>136.58</w:t>
      </w:r>
      <w:r>
        <w:rPr>
          <w:spacing w:val="-4"/>
        </w:rPr>
        <w:t>万亿元，同比增长</w:t>
      </w:r>
      <w:r>
        <w:rPr>
          <w:rFonts w:ascii="Times New Roman" w:hAnsi="Times New Roman" w:cs="Times New Roman" w:eastAsia="Times New Roman" w:hint="default"/>
          <w:spacing w:val="-4"/>
        </w:rPr>
        <w:t>35.98%</w:t>
      </w:r>
      <w:r>
        <w:rPr>
          <w:spacing w:val="-4"/>
        </w:rPr>
        <w:t>；年末两市融资融券余额</w:t>
      </w:r>
      <w:r>
        <w:rPr>
          <w:rFonts w:ascii="Times New Roman" w:hAnsi="Times New Roman" w:cs="Times New Roman" w:eastAsia="Times New Roman" w:hint="default"/>
          <w:spacing w:val="-4"/>
        </w:rPr>
        <w:t>1.02</w:t>
      </w:r>
      <w:r>
        <w:rPr>
          <w:spacing w:val="-4"/>
        </w:rPr>
        <w:t>万亿元，较上年末增长</w:t>
      </w:r>
      <w:r>
        <w:rPr>
          <w:rFonts w:ascii="Times New Roman" w:hAnsi="Times New Roman" w:cs="Times New Roman" w:eastAsia="Times New Roman" w:hint="default"/>
          <w:spacing w:val="-4"/>
        </w:rPr>
        <w:t>34.88%</w:t>
      </w:r>
      <w:r>
        <w:rPr>
          <w:spacing w:val="-4"/>
        </w:rPr>
        <w:t>。根据中国证</w:t>
      </w:r>
      <w:r>
        <w:rPr>
          <w:spacing w:val="-48"/>
        </w:rPr>
        <w:t> </w:t>
      </w:r>
      <w:r>
        <w:rPr>
          <w:spacing w:val="-48"/>
        </w:rPr>
      </w:r>
      <w:r>
        <w:rPr/>
        <w:t>券业协会发布的证券公司</w:t>
      </w:r>
      <w:r>
        <w:rPr>
          <w:rFonts w:ascii="Times New Roman" w:hAnsi="Times New Roman" w:cs="Times New Roman" w:eastAsia="Times New Roman" w:hint="default"/>
        </w:rPr>
        <w:t>2019</w:t>
      </w:r>
      <w:r>
        <w:rPr/>
        <w:t>年度经营数据（未经审计），</w:t>
      </w:r>
      <w:r>
        <w:rPr>
          <w:rFonts w:ascii="Times New Roman" w:hAnsi="Times New Roman" w:cs="Times New Roman" w:eastAsia="Times New Roman" w:hint="default"/>
        </w:rPr>
        <w:t>2019</w:t>
      </w:r>
      <w:r>
        <w:rPr/>
        <w:t>年度证券行业营业收入同比增长</w:t>
      </w:r>
      <w:r>
        <w:rPr>
          <w:rFonts w:ascii="Times New Roman" w:hAnsi="Times New Roman" w:cs="Times New Roman" w:eastAsia="Times New Roman" w:hint="default"/>
        </w:rPr>
        <w:t>35.37%</w:t>
      </w:r>
      <w:r>
        <w:rPr/>
        <w:t>、</w:t>
      </w:r>
      <w:r>
        <w:rPr>
          <w:spacing w:val="-38"/>
        </w:rPr>
        <w:t> </w:t>
      </w:r>
      <w:r>
        <w:rPr/>
        <w:t>净利润同比增长</w:t>
      </w:r>
      <w:r>
        <w:rPr>
          <w:rFonts w:ascii="Times New Roman" w:hAnsi="Times New Roman" w:cs="Times New Roman" w:eastAsia="Times New Roman" w:hint="default"/>
        </w:rPr>
        <w:t>84.77%</w:t>
      </w:r>
      <w:r>
        <w:rPr/>
        <w:t>。</w:t>
      </w:r>
      <w:r>
        <w:rPr>
          <w:rFonts w:ascii="Times New Roman" w:hAnsi="Times New Roman" w:cs="Times New Roman" w:eastAsia="Times New Roman" w:hint="default"/>
        </w:rPr>
        <w:t>2019</w:t>
      </w:r>
      <w:r>
        <w:rPr/>
        <w:t>年度，国盛证券实现营业收入</w:t>
      </w:r>
      <w:r>
        <w:rPr>
          <w:rFonts w:ascii="Times New Roman" w:hAnsi="Times New Roman" w:cs="Times New Roman" w:eastAsia="Times New Roman" w:hint="default"/>
        </w:rPr>
        <w:t>18.59</w:t>
      </w:r>
      <w:r>
        <w:rPr/>
        <w:t>亿元、同比增长</w:t>
      </w:r>
      <w:r>
        <w:rPr>
          <w:rFonts w:ascii="Times New Roman" w:hAnsi="Times New Roman" w:cs="Times New Roman" w:eastAsia="Times New Roman" w:hint="default"/>
        </w:rPr>
        <w:t>203.15%</w:t>
      </w:r>
      <w:r>
        <w:rPr/>
        <w:t>，实现归属于母</w:t>
      </w:r>
      <w:r>
        <w:rPr>
          <w:w w:val="100"/>
        </w:rPr>
        <w:t> </w:t>
      </w:r>
      <w:r>
        <w:rPr/>
        <w:t>公司所有者的净利润</w:t>
      </w:r>
      <w:r>
        <w:rPr>
          <w:rFonts w:ascii="Times New Roman" w:hAnsi="Times New Roman" w:cs="Times New Roman" w:eastAsia="Times New Roman" w:hint="default"/>
        </w:rPr>
        <w:t>3.08</w:t>
      </w:r>
      <w:r>
        <w:rPr/>
        <w:t>亿元、同比增长</w:t>
      </w:r>
      <w:r>
        <w:rPr>
          <w:rFonts w:ascii="Times New Roman" w:hAnsi="Times New Roman" w:cs="Times New Roman" w:eastAsia="Times New Roman" w:hint="default"/>
        </w:rPr>
        <w:t>262.30%</w:t>
      </w:r>
      <w:r>
        <w:rPr/>
        <w:t>（合并、证券行业报表口径）。</w:t>
      </w:r>
    </w:p>
    <w:p>
      <w:pPr>
        <w:pStyle w:val="BodyText"/>
        <w:spacing w:line="256" w:lineRule="auto" w:before="5"/>
        <w:ind w:left="573" w:right="0"/>
        <w:jc w:val="left"/>
      </w:pPr>
      <w:r>
        <w:rPr>
          <w:rFonts w:ascii="Times New Roman" w:hAnsi="Times New Roman" w:cs="Times New Roman" w:eastAsia="Times New Roman" w:hint="default"/>
        </w:rPr>
        <w:t>1</w:t>
      </w:r>
      <w:r>
        <w:rPr/>
        <w:t>、投资研究业务</w:t>
      </w:r>
      <w:r>
        <w:rPr>
          <w:w w:val="100"/>
        </w:rPr>
        <w:t> </w:t>
      </w:r>
      <w:r>
        <w:rPr>
          <w:spacing w:val="-2"/>
        </w:rPr>
        <w:t>在强调专业投行能力的背景下，</w:t>
      </w:r>
      <w:r>
        <w:rPr>
          <w:rFonts w:ascii="Times New Roman" w:hAnsi="Times New Roman" w:cs="Times New Roman" w:eastAsia="Times New Roman" w:hint="default"/>
          <w:spacing w:val="-2"/>
        </w:rPr>
        <w:t>“</w:t>
      </w:r>
      <w:r>
        <w:rPr>
          <w:spacing w:val="-2"/>
        </w:rPr>
        <w:t>研究力</w:t>
      </w:r>
      <w:r>
        <w:rPr>
          <w:rFonts w:ascii="Times New Roman" w:hAnsi="Times New Roman" w:cs="Times New Roman" w:eastAsia="Times New Roman" w:hint="default"/>
          <w:spacing w:val="-2"/>
        </w:rPr>
        <w:t>”</w:t>
      </w:r>
      <w:r>
        <w:rPr>
          <w:spacing w:val="-2"/>
        </w:rPr>
        <w:t>逐渐成为证券公司的核心竞争力之一。报告期，国盛证券投</w:t>
      </w:r>
    </w:p>
    <w:p>
      <w:pPr>
        <w:pStyle w:val="BodyText"/>
        <w:spacing w:line="261" w:lineRule="auto" w:before="5"/>
        <w:ind w:right="1126"/>
        <w:jc w:val="both"/>
      </w:pPr>
      <w:r>
        <w:rPr>
          <w:spacing w:val="-4"/>
        </w:rPr>
        <w:t>资研究业务延续高速发展势头，全年签约机构客户</w:t>
      </w:r>
      <w:r>
        <w:rPr>
          <w:rFonts w:ascii="Times New Roman" w:hAnsi="Times New Roman" w:cs="Times New Roman" w:eastAsia="Times New Roman" w:hint="default"/>
          <w:spacing w:val="-4"/>
        </w:rPr>
        <w:t>108</w:t>
      </w:r>
      <w:r>
        <w:rPr>
          <w:spacing w:val="-4"/>
        </w:rPr>
        <w:t>家，公募佣金分仓收入跻身第一梯队；海外客户开发</w:t>
      </w:r>
      <w:r>
        <w:rPr>
          <w:spacing w:val="-47"/>
        </w:rPr>
        <w:t> </w:t>
      </w:r>
      <w:r>
        <w:rPr>
          <w:spacing w:val="-47"/>
        </w:rPr>
      </w:r>
      <w:r>
        <w:rPr>
          <w:spacing w:val="-2"/>
        </w:rPr>
        <w:t>取得实质进展，成为贝莱德、富达等数十家全球著名投资管理机构的长期合作伙伴；研究领域实现全产业</w:t>
      </w:r>
      <w:r>
        <w:rPr>
          <w:spacing w:val="-43"/>
        </w:rPr>
        <w:t> </w:t>
      </w:r>
      <w:r>
        <w:rPr>
          <w:spacing w:val="-43"/>
        </w:rPr>
      </w:r>
      <w:r>
        <w:rPr>
          <w:spacing w:val="-2"/>
        </w:rPr>
        <w:t>覆盖，全年发布研报约</w:t>
      </w:r>
      <w:r>
        <w:rPr>
          <w:rFonts w:ascii="Times New Roman" w:hAnsi="Times New Roman" w:cs="Times New Roman" w:eastAsia="Times New Roman" w:hint="default"/>
          <w:spacing w:val="-2"/>
        </w:rPr>
        <w:t>3,800</w:t>
      </w:r>
      <w:r>
        <w:rPr>
          <w:spacing w:val="-2"/>
        </w:rPr>
        <w:t>篇，路演</w:t>
      </w:r>
      <w:r>
        <w:rPr>
          <w:rFonts w:ascii="Times New Roman" w:hAnsi="Times New Roman" w:cs="Times New Roman" w:eastAsia="Times New Roman" w:hint="default"/>
          <w:spacing w:val="-2"/>
        </w:rPr>
        <w:t>13,000</w:t>
      </w:r>
      <w:r>
        <w:rPr>
          <w:spacing w:val="-2"/>
        </w:rPr>
        <w:t>余场；在杭州、珠海、苏州等地举办的大型策略会参会投资人</w:t>
      </w:r>
      <w:r>
        <w:rPr>
          <w:spacing w:val="-32"/>
        </w:rPr>
        <w:t> </w:t>
      </w:r>
      <w:r>
        <w:rPr>
          <w:spacing w:val="-32"/>
        </w:rPr>
      </w:r>
      <w:r>
        <w:rPr>
          <w:spacing w:val="-2"/>
        </w:rPr>
        <w:t>及上市公司数量刷新行业记录。</w:t>
      </w:r>
      <w:r>
        <w:rPr>
          <w:rFonts w:ascii="Times New Roman" w:hAnsi="Times New Roman" w:cs="Times New Roman" w:eastAsia="Times New Roman" w:hint="default"/>
          <w:spacing w:val="-2"/>
        </w:rPr>
        <w:t>2019</w:t>
      </w:r>
      <w:r>
        <w:rPr>
          <w:spacing w:val="-2"/>
        </w:rPr>
        <w:t>年研究所首次参加新财富评选，获得</w:t>
      </w:r>
      <w:r>
        <w:rPr>
          <w:rFonts w:ascii="Times New Roman" w:hAnsi="Times New Roman" w:cs="Times New Roman" w:eastAsia="Times New Roman" w:hint="default"/>
          <w:spacing w:val="-2"/>
        </w:rPr>
        <w:t>“</w:t>
      </w:r>
      <w:r>
        <w:rPr>
          <w:spacing w:val="-2"/>
        </w:rPr>
        <w:t>本土最佳研究团队</w:t>
      </w:r>
      <w:r>
        <w:rPr>
          <w:rFonts w:ascii="Times New Roman" w:hAnsi="Times New Roman" w:cs="Times New Roman" w:eastAsia="Times New Roman" w:hint="default"/>
          <w:spacing w:val="-2"/>
        </w:rPr>
        <w:t>”</w:t>
      </w:r>
      <w:r>
        <w:rPr>
          <w:spacing w:val="-2"/>
        </w:rPr>
        <w:t>第</w:t>
      </w:r>
      <w:r>
        <w:rPr>
          <w:rFonts w:ascii="Times New Roman" w:hAnsi="Times New Roman" w:cs="Times New Roman" w:eastAsia="Times New Roman" w:hint="default"/>
          <w:spacing w:val="-2"/>
        </w:rPr>
        <w:t>7</w:t>
      </w:r>
      <w:r>
        <w:rPr>
          <w:spacing w:val="-2"/>
        </w:rPr>
        <w:t>名、</w:t>
      </w:r>
      <w:r>
        <w:rPr>
          <w:rFonts w:ascii="Times New Roman" w:hAnsi="Times New Roman" w:cs="Times New Roman" w:eastAsia="Times New Roman" w:hint="default"/>
          <w:spacing w:val="-2"/>
        </w:rPr>
        <w:t>“</w:t>
      </w:r>
      <w:r>
        <w:rPr>
          <w:spacing w:val="-2"/>
        </w:rPr>
        <w:t>最 </w:t>
      </w:r>
      <w:r>
        <w:rPr/>
        <w:t>具影响力研究机构</w:t>
      </w:r>
      <w:r>
        <w:rPr>
          <w:rFonts w:ascii="Times New Roman" w:hAnsi="Times New Roman" w:cs="Times New Roman" w:eastAsia="Times New Roman" w:hint="default"/>
        </w:rPr>
        <w:t>”</w:t>
      </w:r>
      <w:r>
        <w:rPr/>
        <w:t>第</w:t>
      </w:r>
      <w:r>
        <w:rPr>
          <w:rFonts w:ascii="Times New Roman" w:hAnsi="Times New Roman" w:cs="Times New Roman" w:eastAsia="Times New Roman" w:hint="default"/>
        </w:rPr>
        <w:t>7</w:t>
      </w:r>
      <w:r>
        <w:rPr/>
        <w:t>名、</w:t>
      </w:r>
      <w:r>
        <w:rPr>
          <w:rFonts w:ascii="Times New Roman" w:hAnsi="Times New Roman" w:cs="Times New Roman" w:eastAsia="Times New Roman" w:hint="default"/>
        </w:rPr>
        <w:t>“</w:t>
      </w:r>
      <w:r>
        <w:rPr/>
        <w:t>最佳销售服务团队</w:t>
      </w:r>
      <w:r>
        <w:rPr>
          <w:rFonts w:ascii="Times New Roman" w:hAnsi="Times New Roman" w:cs="Times New Roman" w:eastAsia="Times New Roman" w:hint="default"/>
        </w:rPr>
        <w:t>”</w:t>
      </w:r>
      <w:r>
        <w:rPr/>
        <w:t>第</w:t>
      </w:r>
      <w:r>
        <w:rPr>
          <w:rFonts w:ascii="Times New Roman" w:hAnsi="Times New Roman" w:cs="Times New Roman" w:eastAsia="Times New Roman" w:hint="default"/>
        </w:rPr>
        <w:t>2</w:t>
      </w:r>
      <w:r>
        <w:rPr/>
        <w:t>名等</w:t>
      </w:r>
      <w:r>
        <w:rPr>
          <w:rFonts w:ascii="Times New Roman" w:hAnsi="Times New Roman" w:cs="Times New Roman" w:eastAsia="Times New Roman" w:hint="default"/>
        </w:rPr>
        <w:t>3</w:t>
      </w:r>
      <w:r>
        <w:rPr/>
        <w:t>个团体奖项，以及多个最佳分析师奖项。</w:t>
      </w:r>
    </w:p>
    <w:p>
      <w:pPr>
        <w:pStyle w:val="BodyText"/>
        <w:spacing w:line="273" w:lineRule="auto"/>
        <w:ind w:right="0" w:firstLine="420"/>
        <w:jc w:val="left"/>
      </w:pPr>
      <w:r>
        <w:rPr/>
        <w:t>研究业务的快速发展有效提升了国盛品牌知名度和企业影响力，为经纪业务带来发展红利，对行业市</w:t>
      </w:r>
      <w:r>
        <w:rPr>
          <w:w w:val="100"/>
        </w:rPr>
        <w:t> </w:t>
      </w:r>
      <w:r>
        <w:rPr>
          <w:spacing w:val="-5"/>
        </w:rPr>
        <w:t>场排名提升起到关键性作用，为公司向财富管理转型提供有力支撑，并有效促进投资银行等业务协同发展。</w:t>
      </w:r>
    </w:p>
    <w:p>
      <w:pPr>
        <w:pStyle w:val="BodyText"/>
        <w:spacing w:line="256" w:lineRule="auto" w:before="7"/>
        <w:ind w:left="573" w:right="0"/>
        <w:jc w:val="left"/>
      </w:pPr>
      <w:r>
        <w:rPr>
          <w:rFonts w:ascii="Times New Roman" w:hAnsi="Times New Roman" w:cs="Times New Roman" w:eastAsia="Times New Roman" w:hint="default"/>
        </w:rPr>
        <w:t>2</w:t>
      </w:r>
      <w:r>
        <w:rPr/>
        <w:t>、证券经纪与财富管理业务</w:t>
      </w:r>
      <w:r>
        <w:rPr>
          <w:w w:val="100"/>
        </w:rPr>
        <w:t> </w:t>
      </w:r>
      <w:r>
        <w:rPr>
          <w:spacing w:val="-2"/>
        </w:rPr>
        <w:t>围绕向财富管理转型的战略和业务目标，报告期通过加强团队建设、优化分支机构建设、强化业务培</w:t>
      </w:r>
    </w:p>
    <w:p>
      <w:pPr>
        <w:pStyle w:val="BodyText"/>
        <w:spacing w:line="273" w:lineRule="auto" w:before="23"/>
        <w:ind w:left="573" w:right="0" w:hanging="421"/>
        <w:jc w:val="left"/>
      </w:pPr>
      <w:r>
        <w:rPr/>
        <w:t>训、推进部门协作与业务协同等开展工作。</w:t>
      </w:r>
      <w:r>
        <w:rPr>
          <w:w w:val="100"/>
        </w:rPr>
        <w:t> </w:t>
      </w:r>
      <w:r>
        <w:rPr>
          <w:spacing w:val="-6"/>
        </w:rPr>
        <w:t>期内经纪业务条线坚持</w:t>
      </w:r>
      <w:r>
        <w:rPr>
          <w:rFonts w:ascii="Times New Roman" w:hAnsi="Times New Roman" w:cs="Times New Roman" w:eastAsia="Times New Roman" w:hint="default"/>
          <w:spacing w:val="-6"/>
        </w:rPr>
        <w:t>“</w:t>
      </w:r>
      <w:r>
        <w:rPr>
          <w:spacing w:val="-6"/>
        </w:rPr>
        <w:t>线上优化、线下强攻</w:t>
      </w:r>
      <w:r>
        <w:rPr>
          <w:rFonts w:ascii="Times New Roman" w:hAnsi="Times New Roman" w:cs="Times New Roman" w:eastAsia="Times New Roman" w:hint="default"/>
          <w:spacing w:val="-6"/>
        </w:rPr>
        <w:t>”</w:t>
      </w:r>
      <w:r>
        <w:rPr>
          <w:spacing w:val="-6"/>
        </w:rPr>
        <w:t>的策略，加强销售团队和投顾团队建设，打造</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6"/>
        </w:rPr>
        <w:t>U</w:t>
      </w:r>
      <w:r>
        <w:rPr>
          <w:spacing w:val="-6"/>
        </w:rPr>
        <w:t>投顾</w:t>
      </w:r>
      <w:r>
        <w:rPr>
          <w:rFonts w:ascii="Times New Roman" w:hAnsi="Times New Roman" w:cs="Times New Roman" w:eastAsia="Times New Roman" w:hint="default"/>
          <w:spacing w:val="-6"/>
        </w:rPr>
        <w:t>”“</w:t>
      </w:r>
      <w:r>
        <w:rPr>
          <w:spacing w:val="-6"/>
        </w:rPr>
        <w:t>投</w:t>
      </w:r>
    </w:p>
    <w:p>
      <w:pPr>
        <w:pStyle w:val="BodyText"/>
        <w:spacing w:line="256" w:lineRule="auto"/>
        <w:ind w:right="1129"/>
        <w:jc w:val="both"/>
      </w:pPr>
      <w:r>
        <w:rPr>
          <w:spacing w:val="-4"/>
        </w:rPr>
        <w:t>研直通车</w:t>
      </w:r>
      <w:r>
        <w:rPr>
          <w:rFonts w:ascii="Times New Roman" w:hAnsi="Times New Roman" w:cs="Times New Roman" w:eastAsia="Times New Roman" w:hint="default"/>
          <w:spacing w:val="-4"/>
        </w:rPr>
        <w:t>”</w:t>
      </w:r>
      <w:r>
        <w:rPr>
          <w:spacing w:val="-4"/>
        </w:rPr>
        <w:t>等服务，加大揽客力度；启用全国统一客服电话，统一标准化话务，实现柜面业务、非现场开户</w:t>
      </w:r>
      <w:r>
        <w:rPr>
          <w:spacing w:val="-45"/>
        </w:rPr>
        <w:t> </w:t>
      </w:r>
      <w:r>
        <w:rPr>
          <w:spacing w:val="-45"/>
        </w:rPr>
      </w:r>
      <w:r>
        <w:rPr/>
        <w:t>业务、线上受理等业务统一纳入集中审核。</w:t>
      </w:r>
    </w:p>
    <w:p>
      <w:pPr>
        <w:pStyle w:val="BodyText"/>
        <w:spacing w:line="264" w:lineRule="auto" w:before="22"/>
        <w:ind w:right="1126" w:firstLine="420"/>
        <w:jc w:val="both"/>
      </w:pPr>
      <w:r>
        <w:rPr>
          <w:spacing w:val="-2"/>
        </w:rPr>
        <w:t>分支机构建设方面，持续推进</w:t>
      </w:r>
      <w:r>
        <w:rPr>
          <w:rFonts w:ascii="Times New Roman" w:hAnsi="Times New Roman" w:cs="Times New Roman" w:eastAsia="Times New Roman" w:hint="default"/>
          <w:spacing w:val="-2"/>
        </w:rPr>
        <w:t>“</w:t>
      </w:r>
      <w:r>
        <w:rPr>
          <w:spacing w:val="-2"/>
        </w:rPr>
        <w:t>把营业部建设成为拓展综合业务终端</w:t>
      </w:r>
      <w:r>
        <w:rPr>
          <w:rFonts w:ascii="Times New Roman" w:hAnsi="Times New Roman" w:cs="Times New Roman" w:eastAsia="Times New Roman" w:hint="default"/>
          <w:spacing w:val="-2"/>
        </w:rPr>
        <w:t>”</w:t>
      </w:r>
      <w:r>
        <w:rPr>
          <w:spacing w:val="-2"/>
        </w:rPr>
        <w:t>战略实施，提升分支机构的获客</w:t>
      </w:r>
      <w:r>
        <w:rPr>
          <w:w w:val="100"/>
        </w:rPr>
        <w:t> </w:t>
      </w:r>
      <w:r>
        <w:rPr>
          <w:spacing w:val="-2"/>
        </w:rPr>
        <w:t>能力和服务水平。</w:t>
      </w:r>
      <w:r>
        <w:rPr>
          <w:rFonts w:ascii="Times New Roman" w:hAnsi="Times New Roman" w:cs="Times New Roman" w:eastAsia="Times New Roman" w:hint="default"/>
          <w:spacing w:val="-2"/>
        </w:rPr>
        <w:t>2019</w:t>
      </w:r>
      <w:r>
        <w:rPr>
          <w:spacing w:val="-2"/>
        </w:rPr>
        <w:t>年基本完成分公司的区域布局，对经营指标优异的分支机构进一步授权，大力引进</w:t>
      </w:r>
      <w:r>
        <w:rPr>
          <w:spacing w:val="-40"/>
        </w:rPr>
        <w:t> </w:t>
      </w:r>
      <w:r>
        <w:rPr>
          <w:spacing w:val="-40"/>
        </w:rPr>
      </w:r>
      <w:r>
        <w:rPr>
          <w:spacing w:val="-2"/>
        </w:rPr>
        <w:t>及更换分支机构负责人、增加营销人员，围绕新员工引导培训、员工专业培训以及干部管理与领导力培训</w:t>
      </w:r>
      <w:r>
        <w:rPr>
          <w:spacing w:val="-43"/>
        </w:rPr>
        <w:t> </w:t>
      </w:r>
      <w:r>
        <w:rPr>
          <w:spacing w:val="-43"/>
        </w:rPr>
      </w:r>
      <w:r>
        <w:rPr>
          <w:spacing w:val="-2"/>
        </w:rPr>
        <w:t>三条主线开展培训工作，努力补充各方面知识、政策，实现机构业务实质性突破。分支机构全年完成承揽</w:t>
      </w:r>
      <w:r>
        <w:rPr>
          <w:spacing w:val="-50"/>
        </w:rPr>
        <w:t> </w:t>
      </w:r>
      <w:r>
        <w:rPr>
          <w:spacing w:val="-50"/>
        </w:rPr>
      </w:r>
      <w:r>
        <w:rPr/>
        <w:t>债权类、财务顾问类、资管类项目合计</w:t>
      </w:r>
      <w:r>
        <w:rPr>
          <w:rFonts w:ascii="Times New Roman" w:hAnsi="Times New Roman" w:cs="Times New Roman" w:eastAsia="Times New Roman" w:hint="default"/>
        </w:rPr>
        <w:t>14</w:t>
      </w:r>
      <w:r>
        <w:rPr/>
        <w:t>个，收入结构逐步多元化。</w:t>
      </w:r>
    </w:p>
    <w:p>
      <w:pPr>
        <w:pStyle w:val="BodyText"/>
        <w:spacing w:line="256" w:lineRule="auto"/>
        <w:ind w:right="1126" w:firstLine="420"/>
        <w:jc w:val="both"/>
      </w:pPr>
      <w:r>
        <w:rPr>
          <w:spacing w:val="-4"/>
        </w:rPr>
        <w:t>截至年末，国盛证券客户托管总资产</w:t>
      </w:r>
      <w:r>
        <w:rPr>
          <w:rFonts w:ascii="Times New Roman" w:hAnsi="Times New Roman" w:cs="Times New Roman" w:eastAsia="Times New Roman" w:hint="default"/>
          <w:spacing w:val="-4"/>
        </w:rPr>
        <w:t>1,140.59</w:t>
      </w:r>
      <w:r>
        <w:rPr>
          <w:spacing w:val="-4"/>
        </w:rPr>
        <w:t>亿元，较上年末增长</w:t>
      </w:r>
      <w:r>
        <w:rPr>
          <w:rFonts w:ascii="Times New Roman" w:hAnsi="Times New Roman" w:cs="Times New Roman" w:eastAsia="Times New Roman" w:hint="default"/>
          <w:spacing w:val="-4"/>
        </w:rPr>
        <w:t>40.24%</w:t>
      </w:r>
      <w:r>
        <w:rPr>
          <w:spacing w:val="-4"/>
        </w:rPr>
        <w:t>，其中</w:t>
      </w:r>
      <w:r>
        <w:rPr>
          <w:rFonts w:ascii="Times New Roman" w:hAnsi="Times New Roman" w:cs="Times New Roman" w:eastAsia="Times New Roman" w:hint="default"/>
          <w:spacing w:val="-4"/>
        </w:rPr>
        <w:t>2019</w:t>
      </w:r>
      <w:r>
        <w:rPr>
          <w:spacing w:val="-4"/>
        </w:rPr>
        <w:t>年新开户新增资产</w:t>
      </w:r>
      <w:r>
        <w:rPr>
          <w:w w:val="100"/>
        </w:rPr>
        <w:t> </w:t>
      </w:r>
      <w:r>
        <w:rPr>
          <w:rFonts w:ascii="Times New Roman" w:hAnsi="Times New Roman" w:cs="Times New Roman" w:eastAsia="Times New Roman" w:hint="default"/>
          <w:spacing w:val="-3"/>
        </w:rPr>
        <w:t>187.88</w:t>
      </w:r>
      <w:r>
        <w:rPr>
          <w:spacing w:val="-3"/>
        </w:rPr>
        <w:t>亿元，较上年增长</w:t>
      </w:r>
      <w:r>
        <w:rPr>
          <w:rFonts w:ascii="Times New Roman" w:hAnsi="Times New Roman" w:cs="Times New Roman" w:eastAsia="Times New Roman" w:hint="default"/>
          <w:spacing w:val="-3"/>
        </w:rPr>
        <w:t>83.17%</w:t>
      </w:r>
      <w:r>
        <w:rPr>
          <w:spacing w:val="-3"/>
        </w:rPr>
        <w:t>；</w:t>
      </w:r>
      <w:r>
        <w:rPr>
          <w:rFonts w:ascii="Times New Roman" w:hAnsi="Times New Roman" w:cs="Times New Roman" w:eastAsia="Times New Roman" w:hint="default"/>
          <w:spacing w:val="-3"/>
        </w:rPr>
        <w:t>2019</w:t>
      </w:r>
      <w:r>
        <w:rPr>
          <w:spacing w:val="-3"/>
        </w:rPr>
        <w:t>年度日均股基成交额</w:t>
      </w:r>
      <w:r>
        <w:rPr>
          <w:rFonts w:ascii="Times New Roman" w:hAnsi="Times New Roman" w:cs="Times New Roman" w:eastAsia="Times New Roman" w:hint="default"/>
          <w:spacing w:val="-3"/>
        </w:rPr>
        <w:t>45.73</w:t>
      </w:r>
      <w:r>
        <w:rPr>
          <w:spacing w:val="-3"/>
        </w:rPr>
        <w:t>亿元，较上年增长</w:t>
      </w:r>
      <w:r>
        <w:rPr>
          <w:rFonts w:ascii="Times New Roman" w:hAnsi="Times New Roman" w:cs="Times New Roman" w:eastAsia="Times New Roman" w:hint="default"/>
          <w:spacing w:val="-3"/>
        </w:rPr>
        <w:t>47.80%</w:t>
      </w:r>
      <w:r>
        <w:rPr>
          <w:spacing w:val="-3"/>
        </w:rPr>
        <w:t>，全年平均股基</w:t>
      </w:r>
      <w:r>
        <w:rPr>
          <w:spacing w:val="4"/>
        </w:rPr>
        <w:t> </w:t>
      </w:r>
      <w:r>
        <w:rPr>
          <w:spacing w:val="4"/>
        </w:rPr>
      </w:r>
      <w:r>
        <w:rPr>
          <w:spacing w:val="-4"/>
        </w:rPr>
        <w:t>市场份额</w:t>
      </w:r>
      <w:r>
        <w:rPr>
          <w:rFonts w:ascii="Times New Roman" w:hAnsi="Times New Roman" w:cs="Times New Roman" w:eastAsia="Times New Roman" w:hint="default"/>
          <w:spacing w:val="-4"/>
        </w:rPr>
        <w:t>4.0857</w:t>
      </w:r>
      <w:r>
        <w:rPr>
          <w:rFonts w:ascii="Times New Roman" w:hAnsi="Times New Roman" w:cs="Times New Roman" w:eastAsia="Times New Roman" w:hint="default"/>
          <w:spacing w:val="-4"/>
        </w:rPr>
        <w:t>‰</w:t>
      </w:r>
      <w:r>
        <w:rPr>
          <w:spacing w:val="-4"/>
        </w:rPr>
        <w:t>，首次扭转下滑势头，较上年增加</w:t>
      </w:r>
      <w:r>
        <w:rPr>
          <w:rFonts w:ascii="Times New Roman" w:hAnsi="Times New Roman" w:cs="Times New Roman" w:eastAsia="Times New Roman" w:hint="default"/>
          <w:spacing w:val="-4"/>
        </w:rPr>
        <w:t>0.3422</w:t>
      </w:r>
      <w:r>
        <w:rPr>
          <w:spacing w:val="-4"/>
        </w:rPr>
        <w:t>个千分点。根据中国证券业协会下发的证券公司</w:t>
      </w:r>
      <w:r>
        <w:rPr>
          <w:spacing w:val="-31"/>
        </w:rPr>
        <w:t> </w:t>
      </w:r>
      <w:r>
        <w:rPr>
          <w:spacing w:val="-31"/>
        </w:rPr>
      </w:r>
      <w:r>
        <w:rPr/>
        <w:t>经营数据排名（未经审计），国盛证券</w:t>
      </w:r>
      <w:r>
        <w:rPr>
          <w:rFonts w:ascii="Times New Roman" w:hAnsi="Times New Roman" w:cs="Times New Roman" w:eastAsia="Times New Roman" w:hint="default"/>
        </w:rPr>
        <w:t>2019</w:t>
      </w:r>
      <w:r>
        <w:rPr/>
        <w:t>年度经纪业务净收入行业排名第</w:t>
      </w:r>
      <w:r>
        <w:rPr>
          <w:rFonts w:ascii="Times New Roman" w:hAnsi="Times New Roman" w:cs="Times New Roman" w:eastAsia="Times New Roman" w:hint="default"/>
        </w:rPr>
        <w:t>42</w:t>
      </w:r>
      <w:r>
        <w:rPr/>
        <w:t>位，较上年上升</w:t>
      </w:r>
      <w:r>
        <w:rPr>
          <w:rFonts w:ascii="Times New Roman" w:hAnsi="Times New Roman" w:cs="Times New Roman" w:eastAsia="Times New Roman" w:hint="default"/>
        </w:rPr>
        <w:t>14</w:t>
      </w:r>
      <w:r>
        <w:rPr/>
        <w:t>位。</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left="573" w:right="3233"/>
        <w:jc w:val="left"/>
      </w:pPr>
      <w:r>
        <w:rPr>
          <w:rFonts w:ascii="Times New Roman" w:hAnsi="Times New Roman" w:cs="Times New Roman" w:eastAsia="Times New Roman" w:hint="default"/>
        </w:rPr>
        <w:t>3</w:t>
      </w:r>
      <w:r>
        <w:rPr/>
        <w:t>、投资银行业务</w:t>
      </w:r>
      <w:r>
        <w:rPr>
          <w:w w:val="100"/>
        </w:rPr>
        <w:t> </w:t>
      </w:r>
      <w:r>
        <w:rPr>
          <w:spacing w:val="-2"/>
        </w:rPr>
        <w:t>公司以固定收益作为盈利突破口，并逐步构建并购重组为特色的投行业务。</w:t>
      </w:r>
    </w:p>
    <w:p>
      <w:pPr>
        <w:pStyle w:val="BodyText"/>
        <w:spacing w:line="261" w:lineRule="auto" w:before="22"/>
        <w:ind w:right="1126" w:firstLine="420"/>
        <w:jc w:val="both"/>
      </w:pPr>
      <w:r>
        <w:rPr>
          <w:spacing w:val="-2"/>
        </w:rPr>
        <w:t>期内固定收益业务积极寻找适合现状的业务品种，将金融债和财务顾问作为重点培育，全年债券承销</w:t>
      </w:r>
      <w:r>
        <w:rPr>
          <w:w w:val="100"/>
        </w:rPr>
        <w:t> </w:t>
      </w:r>
      <w:r>
        <w:rPr>
          <w:spacing w:val="-3"/>
        </w:rPr>
        <w:t>规模超过</w:t>
      </w:r>
      <w:r>
        <w:rPr>
          <w:rFonts w:ascii="Times New Roman" w:hAnsi="Times New Roman" w:cs="Times New Roman" w:eastAsia="Times New Roman" w:hint="default"/>
          <w:spacing w:val="-3"/>
        </w:rPr>
        <w:t>130</w:t>
      </w:r>
      <w:r>
        <w:rPr>
          <w:spacing w:val="-3"/>
        </w:rPr>
        <w:t>亿元，同比增长</w:t>
      </w:r>
      <w:r>
        <w:rPr>
          <w:rFonts w:ascii="Times New Roman" w:hAnsi="Times New Roman" w:cs="Times New Roman" w:eastAsia="Times New Roman" w:hint="default"/>
          <w:spacing w:val="-3"/>
        </w:rPr>
        <w:t>545.78%</w:t>
      </w:r>
      <w:r>
        <w:rPr>
          <w:spacing w:val="-3"/>
        </w:rPr>
        <w:t>。报告期完成历史首单绿色金融债、信贷资产支持证券、永续绿色金</w:t>
      </w:r>
      <w:r>
        <w:rPr>
          <w:spacing w:val="-11"/>
        </w:rPr>
        <w:t> </w:t>
      </w:r>
      <w:r>
        <w:rPr>
          <w:spacing w:val="-11"/>
        </w:rPr>
      </w:r>
      <w:r>
        <w:rPr>
          <w:spacing w:val="-3"/>
        </w:rPr>
        <w:t>融债等创新项目，实现金融债产品全覆盖，金融债承销规模</w:t>
      </w:r>
      <w:r>
        <w:rPr>
          <w:rFonts w:ascii="Times New Roman" w:hAnsi="Times New Roman" w:cs="Times New Roman" w:eastAsia="Times New Roman" w:hint="default"/>
          <w:spacing w:val="-3"/>
        </w:rPr>
        <w:t>59.93</w:t>
      </w:r>
      <w:r>
        <w:rPr>
          <w:spacing w:val="-3"/>
        </w:rPr>
        <w:t>亿元，实现</w:t>
      </w:r>
      <w:r>
        <w:rPr>
          <w:rFonts w:ascii="Times New Roman" w:hAnsi="Times New Roman" w:cs="Times New Roman" w:eastAsia="Times New Roman" w:hint="default"/>
          <w:spacing w:val="-3"/>
        </w:rPr>
        <w:t>16</w:t>
      </w:r>
      <w:r>
        <w:rPr>
          <w:spacing w:val="-3"/>
        </w:rPr>
        <w:t>笔财务顾问费收入，收入结</w:t>
      </w:r>
      <w:r>
        <w:rPr>
          <w:spacing w:val="-41"/>
        </w:rPr>
        <w:t> </w:t>
      </w:r>
      <w:r>
        <w:rPr>
          <w:spacing w:val="-41"/>
        </w:rPr>
      </w:r>
      <w:r>
        <w:rPr/>
        <w:t>构进一步多元化，形成公司</w:t>
      </w:r>
      <w:r>
        <w:rPr>
          <w:rFonts w:ascii="Times New Roman" w:hAnsi="Times New Roman" w:cs="Times New Roman" w:eastAsia="Times New Roman" w:hint="default"/>
        </w:rPr>
        <w:t>/</w:t>
      </w:r>
      <w:r>
        <w:rPr/>
        <w:t>企业债券、金融债券承销业务、财务顾问业务协同并进的经营态势。</w:t>
      </w:r>
    </w:p>
    <w:p>
      <w:pPr>
        <w:pStyle w:val="BodyText"/>
        <w:spacing w:line="256" w:lineRule="auto"/>
        <w:ind w:right="1126" w:firstLine="420"/>
        <w:jc w:val="both"/>
      </w:pPr>
      <w:r>
        <w:rPr>
          <w:spacing w:val="-5"/>
        </w:rPr>
        <w:t>期内权益类投行业务储备数量继续提升，涵盖</w:t>
      </w:r>
      <w:r>
        <w:rPr>
          <w:rFonts w:ascii="Times New Roman" w:hAnsi="Times New Roman" w:cs="Times New Roman" w:eastAsia="Times New Roman" w:hint="default"/>
          <w:spacing w:val="-5"/>
        </w:rPr>
        <w:t>IPO</w:t>
      </w:r>
      <w:r>
        <w:rPr>
          <w:spacing w:val="-5"/>
        </w:rPr>
        <w:t>、科创板、再融资、新三板精选层及其他非通道类业</w:t>
      </w:r>
      <w:r>
        <w:rPr>
          <w:w w:val="100"/>
        </w:rPr>
        <w:t> </w:t>
      </w:r>
      <w:r>
        <w:rPr/>
        <w:t>务。</w:t>
      </w:r>
    </w:p>
    <w:p>
      <w:pPr>
        <w:pStyle w:val="BodyText"/>
        <w:spacing w:line="256" w:lineRule="auto" w:before="22"/>
        <w:ind w:left="573" w:right="0"/>
        <w:jc w:val="left"/>
      </w:pPr>
      <w:r>
        <w:rPr>
          <w:rFonts w:ascii="Times New Roman" w:hAnsi="Times New Roman" w:cs="Times New Roman" w:eastAsia="Times New Roman" w:hint="default"/>
        </w:rPr>
        <w:t>4</w:t>
      </w:r>
      <w:r>
        <w:rPr/>
        <w:t>、资本中介和证券投资业务</w:t>
      </w:r>
      <w:r>
        <w:rPr>
          <w:w w:val="100"/>
        </w:rPr>
        <w:t> </w:t>
      </w:r>
      <w:r>
        <w:rPr>
          <w:spacing w:val="-2"/>
        </w:rPr>
        <w:t>资本业务对证券公司的资产获取、风险定价和主动管理能力具有较高要求。报告期国盛证券抓住政策</w:t>
      </w:r>
    </w:p>
    <w:p>
      <w:pPr>
        <w:pStyle w:val="BodyText"/>
        <w:spacing w:line="268" w:lineRule="auto" w:before="22"/>
        <w:ind w:right="1126"/>
        <w:jc w:val="both"/>
      </w:pPr>
      <w:r>
        <w:rPr>
          <w:spacing w:val="-2"/>
        </w:rPr>
        <w:t>和市场机会，开辟、丰富融资渠道，通过发行收益凭证、新增银行授信、积极争取转融资和回购拆入等方</w:t>
      </w:r>
      <w:r>
        <w:rPr>
          <w:spacing w:val="-42"/>
        </w:rPr>
        <w:t> </w:t>
      </w:r>
      <w:r>
        <w:rPr>
          <w:spacing w:val="-42"/>
        </w:rPr>
      </w:r>
      <w:r>
        <w:rPr>
          <w:spacing w:val="-3"/>
        </w:rPr>
        <w:t>式，年末融资增长</w:t>
      </w:r>
      <w:r>
        <w:rPr>
          <w:rFonts w:ascii="Times New Roman" w:hAnsi="Times New Roman" w:cs="Times New Roman" w:eastAsia="Times New Roman" w:hint="default"/>
          <w:spacing w:val="-3"/>
        </w:rPr>
        <w:t>17.82%</w:t>
      </w:r>
      <w:r>
        <w:rPr>
          <w:spacing w:val="-3"/>
        </w:rPr>
        <w:t>。同时坚持稳健的风险偏好和经营策略，提高重资本业务的准入门槛，优化证券</w:t>
      </w:r>
      <w:r>
        <w:rPr>
          <w:spacing w:val="-13"/>
        </w:rPr>
        <w:t> </w:t>
      </w:r>
      <w:r>
        <w:rPr>
          <w:spacing w:val="-13"/>
        </w:rPr>
      </w:r>
      <w:r>
        <w:rPr>
          <w:spacing w:val="-2"/>
        </w:rPr>
        <w:t>持仓、担保比率、集中度，资产抗风险能力稳步提升。在确保资产质量的前提下，资本中介和证券投资业</w:t>
      </w:r>
      <w:r>
        <w:rPr>
          <w:spacing w:val="-43"/>
        </w:rPr>
        <w:t> </w:t>
      </w:r>
      <w:r>
        <w:rPr>
          <w:spacing w:val="-43"/>
        </w:rPr>
      </w:r>
      <w:r>
        <w:rPr/>
        <w:t>务收入均大幅增长。</w:t>
      </w:r>
    </w:p>
    <w:p>
      <w:pPr>
        <w:pStyle w:val="BodyText"/>
        <w:spacing w:line="256" w:lineRule="auto" w:before="12"/>
        <w:ind w:right="1127" w:firstLine="420"/>
        <w:jc w:val="both"/>
      </w:pPr>
      <w:r>
        <w:rPr>
          <w:rFonts w:ascii="Times New Roman" w:hAnsi="Times New Roman" w:cs="Times New Roman" w:eastAsia="Times New Roman" w:hint="default"/>
          <w:spacing w:val="-1"/>
        </w:rPr>
        <w:t>2019</w:t>
      </w:r>
      <w:r>
        <w:rPr>
          <w:spacing w:val="-1"/>
        </w:rPr>
        <w:t>年度新开融资融券账户</w:t>
      </w:r>
      <w:r>
        <w:rPr>
          <w:rFonts w:ascii="Times New Roman" w:hAnsi="Times New Roman" w:cs="Times New Roman" w:eastAsia="Times New Roman" w:hint="default"/>
          <w:spacing w:val="-1"/>
        </w:rPr>
        <w:t>3,190</w:t>
      </w:r>
      <w:r>
        <w:rPr>
          <w:spacing w:val="-1"/>
        </w:rPr>
        <w:t>户，较上年增长</w:t>
      </w:r>
      <w:r>
        <w:rPr>
          <w:rFonts w:ascii="Times New Roman" w:hAnsi="Times New Roman" w:cs="Times New Roman" w:eastAsia="Times New Roman" w:hint="default"/>
          <w:spacing w:val="-1"/>
        </w:rPr>
        <w:t>243.75%</w:t>
      </w:r>
      <w:r>
        <w:rPr>
          <w:spacing w:val="-1"/>
        </w:rPr>
        <w:t>；受益于全国性布局，江西省外分支机构增</w:t>
      </w:r>
      <w:r>
        <w:rPr>
          <w:w w:val="100"/>
        </w:rPr>
        <w:t> </w:t>
      </w:r>
      <w:r>
        <w:rPr/>
        <w:t>势迅猛，规模占比由</w:t>
      </w:r>
      <w:r>
        <w:rPr>
          <w:rFonts w:ascii="Times New Roman" w:hAnsi="Times New Roman" w:cs="Times New Roman" w:eastAsia="Times New Roman" w:hint="default"/>
        </w:rPr>
        <w:t>41%</w:t>
      </w:r>
      <w:r>
        <w:rPr/>
        <w:t>增长至</w:t>
      </w:r>
      <w:r>
        <w:rPr>
          <w:rFonts w:ascii="Times New Roman" w:hAnsi="Times New Roman" w:cs="Times New Roman" w:eastAsia="Times New Roman" w:hint="default"/>
        </w:rPr>
        <w:t>63%</w:t>
      </w:r>
      <w:r>
        <w:rPr/>
        <w:t>；运用投资业务的协同效应，实现融券业务的首单突破。报告期资本</w:t>
      </w:r>
      <w:r>
        <w:rPr>
          <w:spacing w:val="-53"/>
        </w:rPr>
        <w:t> </w:t>
      </w:r>
      <w:r>
        <w:rPr/>
        <w:t>中介业务日均总规模</w:t>
      </w:r>
      <w:r>
        <w:rPr>
          <w:rFonts w:ascii="Times New Roman" w:hAnsi="Times New Roman" w:cs="Times New Roman" w:eastAsia="Times New Roman" w:hint="default"/>
        </w:rPr>
        <w:t>65.86</w:t>
      </w:r>
      <w:r>
        <w:rPr/>
        <w:t>亿元，较上年增长</w:t>
      </w:r>
      <w:r>
        <w:rPr>
          <w:rFonts w:ascii="Times New Roman" w:hAnsi="Times New Roman" w:cs="Times New Roman" w:eastAsia="Times New Roman" w:hint="default"/>
        </w:rPr>
        <w:t>35.79%</w:t>
      </w:r>
      <w:r>
        <w:rPr/>
        <w:t>。</w:t>
      </w:r>
    </w:p>
    <w:p>
      <w:pPr>
        <w:pStyle w:val="BodyText"/>
        <w:spacing w:line="273" w:lineRule="auto" w:before="5"/>
        <w:ind w:right="1126" w:firstLine="420"/>
        <w:jc w:val="both"/>
      </w:pPr>
      <w:r>
        <w:rPr>
          <w:spacing w:val="-2"/>
        </w:rPr>
        <w:t>权益和债券投资业务把握阶段性行情机会，适时调整投资组合品种和投资组合总规模，加强套利变现</w:t>
      </w:r>
      <w:r>
        <w:rPr>
          <w:w w:val="100"/>
        </w:rPr>
        <w:t> </w:t>
      </w:r>
      <w:r>
        <w:rPr>
          <w:spacing w:val="-7"/>
        </w:rPr>
        <w:t>能力，择时择市进行多次减仓套利，加强波段操作，提高投资组合盈利能力；同时努力探索多种交易策略，</w:t>
      </w:r>
      <w:r>
        <w:rPr>
          <w:spacing w:val="-19"/>
        </w:rPr>
        <w:t> </w:t>
      </w:r>
      <w:r>
        <w:rPr>
          <w:spacing w:val="-19"/>
        </w:rPr>
      </w:r>
      <w:r>
        <w:rPr/>
        <w:t>降低业绩波动，稳定资本收益率。</w:t>
      </w:r>
    </w:p>
    <w:p>
      <w:pPr>
        <w:pStyle w:val="BodyText"/>
        <w:spacing w:line="256" w:lineRule="auto" w:before="7"/>
        <w:ind w:left="573" w:right="0"/>
        <w:jc w:val="left"/>
      </w:pPr>
      <w:r>
        <w:rPr>
          <w:rFonts w:ascii="Times New Roman" w:hAnsi="Times New Roman" w:cs="Times New Roman" w:eastAsia="Times New Roman" w:hint="default"/>
        </w:rPr>
        <w:t>5</w:t>
      </w:r>
      <w:r>
        <w:rPr/>
        <w:t>、资产管理业务</w:t>
      </w:r>
      <w:r>
        <w:rPr>
          <w:w w:val="100"/>
        </w:rPr>
        <w:t> </w:t>
      </w:r>
      <w:r>
        <w:rPr>
          <w:spacing w:val="-2"/>
        </w:rPr>
        <w:t>逐步落实资管新规，应对行业变革做好调整发展，报告期国盛资管努力提升主动管理业务比重，提高</w:t>
      </w:r>
    </w:p>
    <w:p>
      <w:pPr>
        <w:pStyle w:val="BodyText"/>
        <w:spacing w:line="261" w:lineRule="auto" w:before="22"/>
        <w:ind w:right="1129"/>
        <w:jc w:val="both"/>
      </w:pPr>
      <w:r>
        <w:rPr>
          <w:spacing w:val="-2"/>
        </w:rPr>
        <w:t>固定收益产品管理规模，进一步丰富主动管理产品类型，推出量化</w:t>
      </w:r>
      <w:r>
        <w:rPr>
          <w:rFonts w:ascii="Times New Roman" w:hAnsi="Times New Roman" w:cs="Times New Roman" w:eastAsia="Times New Roman" w:hint="default"/>
          <w:spacing w:val="-2"/>
        </w:rPr>
        <w:t>FOF</w:t>
      </w:r>
      <w:r>
        <w:rPr>
          <w:spacing w:val="-2"/>
        </w:rPr>
        <w:t>、股票多头管理、资产证券化等产</w:t>
      </w:r>
      <w:r>
        <w:rPr>
          <w:spacing w:val="-5"/>
        </w:rPr>
        <w:t> </w:t>
      </w:r>
      <w:r>
        <w:rPr>
          <w:spacing w:val="-5"/>
        </w:rPr>
      </w:r>
      <w:r>
        <w:rPr>
          <w:spacing w:val="-2"/>
        </w:rPr>
        <w:t>品，争取到银行、企业和社团的委托投资业务，成功进入一家股份制银行代销准入白名单。报告期标准化</w:t>
      </w:r>
      <w:r>
        <w:rPr>
          <w:spacing w:val="-47"/>
        </w:rPr>
        <w:t> </w:t>
      </w:r>
      <w:r>
        <w:rPr>
          <w:spacing w:val="-47"/>
        </w:rPr>
      </w:r>
      <w:r>
        <w:rPr/>
        <w:t>资产管理计划存续规模增长</w:t>
      </w:r>
      <w:r>
        <w:rPr>
          <w:rFonts w:ascii="Times New Roman" w:hAnsi="Times New Roman" w:cs="Times New Roman" w:eastAsia="Times New Roman" w:hint="default"/>
        </w:rPr>
        <w:t>243.33%</w:t>
      </w:r>
      <w:r>
        <w:rPr/>
        <w:t>，非标准化资产管理计划存续规模下降</w:t>
      </w:r>
      <w:r>
        <w:rPr>
          <w:rFonts w:ascii="Times New Roman" w:hAnsi="Times New Roman" w:cs="Times New Roman" w:eastAsia="Times New Roman" w:hint="default"/>
        </w:rPr>
        <w:t>24.45%</w:t>
      </w:r>
      <w:r>
        <w:rPr/>
        <w:t>。主动管理产品规模提</w:t>
      </w:r>
      <w:r>
        <w:rPr>
          <w:spacing w:val="-57"/>
        </w:rPr>
        <w:t> </w:t>
      </w:r>
      <w:r>
        <w:rPr>
          <w:spacing w:val="-4"/>
        </w:rPr>
        <w:t>升超过</w:t>
      </w:r>
      <w:r>
        <w:rPr>
          <w:rFonts w:ascii="Times New Roman" w:hAnsi="Times New Roman" w:cs="Times New Roman" w:eastAsia="Times New Roman" w:hint="default"/>
          <w:spacing w:val="-4"/>
        </w:rPr>
        <w:t>300%</w:t>
      </w:r>
      <w:r>
        <w:rPr>
          <w:spacing w:val="-4"/>
        </w:rPr>
        <w:t>，占比达到</w:t>
      </w:r>
      <w:r>
        <w:rPr>
          <w:rFonts w:ascii="Times New Roman" w:hAnsi="Times New Roman" w:cs="Times New Roman" w:eastAsia="Times New Roman" w:hint="default"/>
          <w:spacing w:val="-4"/>
        </w:rPr>
        <w:t>43.50%</w:t>
      </w:r>
      <w:r>
        <w:rPr>
          <w:spacing w:val="-4"/>
        </w:rPr>
        <w:t>。智臻和智馨两只固定收益类主动管理产品在</w:t>
      </w:r>
      <w:r>
        <w:rPr>
          <w:rFonts w:ascii="Times New Roman" w:hAnsi="Times New Roman" w:cs="Times New Roman" w:eastAsia="Times New Roman" w:hint="default"/>
          <w:spacing w:val="-4"/>
        </w:rPr>
        <w:t>2019</w:t>
      </w:r>
      <w:r>
        <w:rPr>
          <w:spacing w:val="-4"/>
        </w:rPr>
        <w:t>年度券商固收类资管产品</w:t>
      </w:r>
      <w:r>
        <w:rPr>
          <w:spacing w:val="-17"/>
        </w:rPr>
        <w:t> </w:t>
      </w:r>
      <w:r>
        <w:rPr>
          <w:spacing w:val="-17"/>
        </w:rPr>
      </w:r>
      <w:r>
        <w:rPr/>
        <w:t>中收益率位居前列，为公司赢得良好口碑。</w:t>
      </w:r>
    </w:p>
    <w:p>
      <w:pPr>
        <w:pStyle w:val="BodyText"/>
        <w:spacing w:line="240" w:lineRule="auto" w:before="18"/>
        <w:ind w:left="573" w:right="0"/>
        <w:jc w:val="left"/>
      </w:pPr>
      <w:r>
        <w:rPr>
          <w:rFonts w:ascii="Times New Roman" w:hAnsi="Times New Roman" w:cs="Times New Roman" w:eastAsia="Times New Roman" w:hint="default"/>
        </w:rPr>
        <w:t>6</w:t>
      </w:r>
      <w:r>
        <w:rPr/>
        <w:t>、期货经纪业务</w:t>
      </w:r>
    </w:p>
    <w:p>
      <w:pPr>
        <w:pStyle w:val="BodyText"/>
        <w:spacing w:line="261" w:lineRule="auto" w:before="21"/>
        <w:ind w:right="1126" w:firstLine="420"/>
        <w:jc w:val="both"/>
      </w:pPr>
      <w:r>
        <w:rPr>
          <w:rFonts w:ascii="Times New Roman" w:hAnsi="Times New Roman" w:cs="Times New Roman" w:eastAsia="Times New Roman" w:hint="default"/>
          <w:spacing w:val="-2"/>
        </w:rPr>
        <w:t>2019</w:t>
      </w:r>
      <w:r>
        <w:rPr>
          <w:spacing w:val="-2"/>
        </w:rPr>
        <w:t>年是期货业务全面转型升级元年。国盛期货成建制引进优秀团队和行业专才，短时间内在规范经</w:t>
      </w:r>
      <w:r>
        <w:rPr>
          <w:w w:val="100"/>
        </w:rPr>
        <w:t> </w:t>
      </w:r>
      <w:r>
        <w:rPr>
          <w:spacing w:val="-2"/>
        </w:rPr>
        <w:t>营、业务开拓、人才引进等方面有了重大改观。报告期完成总部由鞍山迁址到上海、上线行业一流</w:t>
      </w:r>
      <w:r>
        <w:rPr>
          <w:rFonts w:ascii="Times New Roman" w:hAnsi="Times New Roman" w:cs="Times New Roman" w:eastAsia="Times New Roman" w:hint="default"/>
          <w:spacing w:val="-2"/>
        </w:rPr>
        <w:t>CTP</w:t>
      </w:r>
      <w:r>
        <w:rPr>
          <w:spacing w:val="-2"/>
        </w:rPr>
        <w:t>主</w:t>
      </w:r>
      <w:r>
        <w:rPr>
          <w:spacing w:val="-5"/>
        </w:rPr>
        <w:t> </w:t>
      </w:r>
      <w:r>
        <w:rPr>
          <w:spacing w:val="-2"/>
        </w:rPr>
        <w:t>系统等工作，在创新结构化产品、股票互换融资、场内融券、做市业务、期权对冲等多个创新业务方面进</w:t>
      </w:r>
      <w:r>
        <w:rPr>
          <w:spacing w:val="-43"/>
        </w:rPr>
        <w:t> </w:t>
      </w:r>
      <w:r>
        <w:rPr>
          <w:spacing w:val="-43"/>
        </w:rPr>
      </w:r>
      <w:r>
        <w:rPr/>
        <w:t>行布局，河南分公司成立仅</w:t>
      </w:r>
      <w:r>
        <w:rPr>
          <w:rFonts w:ascii="Times New Roman" w:hAnsi="Times New Roman" w:cs="Times New Roman" w:eastAsia="Times New Roman" w:hint="default"/>
        </w:rPr>
        <w:t>3</w:t>
      </w:r>
      <w:r>
        <w:rPr/>
        <w:t>个月，引进权益保证金超</w:t>
      </w:r>
      <w:r>
        <w:rPr>
          <w:rFonts w:ascii="Times New Roman" w:hAnsi="Times New Roman" w:cs="Times New Roman" w:eastAsia="Times New Roman" w:hint="default"/>
        </w:rPr>
        <w:t>1</w:t>
      </w:r>
      <w:r>
        <w:rPr/>
        <w:t>亿元，超过国盛期货历年总和。</w:t>
      </w:r>
    </w:p>
    <w:p>
      <w:pPr>
        <w:pStyle w:val="BodyText"/>
        <w:spacing w:line="256" w:lineRule="auto" w:before="1"/>
        <w:ind w:left="573" w:right="0"/>
        <w:jc w:val="left"/>
      </w:pPr>
      <w:r>
        <w:rPr>
          <w:rFonts w:ascii="Times New Roman" w:hAnsi="Times New Roman" w:cs="Times New Roman" w:eastAsia="Times New Roman" w:hint="default"/>
        </w:rPr>
        <w:t>7</w:t>
      </w:r>
      <w:r>
        <w:rPr/>
        <w:t>、运营大中台建设</w:t>
      </w:r>
      <w:r>
        <w:rPr>
          <w:w w:val="100"/>
        </w:rPr>
        <w:t> </w:t>
      </w:r>
      <w:r>
        <w:rPr/>
        <w:t>坚持科技赋能促发展，报告期持续建设运营大中台，优化业务保障系统，实现审核办理业务全集中。</w:t>
      </w:r>
    </w:p>
    <w:p>
      <w:pPr>
        <w:pStyle w:val="BodyText"/>
        <w:spacing w:line="256" w:lineRule="auto" w:before="22"/>
        <w:ind w:right="0"/>
        <w:jc w:val="left"/>
      </w:pPr>
      <w:r>
        <w:rPr/>
        <w:t>期内建设和持续优化</w:t>
      </w:r>
      <w:r>
        <w:rPr>
          <w:rFonts w:ascii="Times New Roman" w:hAnsi="Times New Roman" w:cs="Times New Roman" w:eastAsia="Times New Roman" w:hint="default"/>
        </w:rPr>
        <w:t>BOP</w:t>
      </w:r>
      <w:r>
        <w:rPr/>
        <w:t>集中运营平台，覆盖账户类、权限开通类等各类高频业务类型；通过网厅改造，</w:t>
      </w:r>
      <w:r>
        <w:rPr>
          <w:spacing w:val="-18"/>
        </w:rPr>
        <w:t> </w:t>
      </w:r>
      <w:r>
        <w:rPr>
          <w:spacing w:val="-18"/>
        </w:rPr>
      </w:r>
      <w:r>
        <w:rPr>
          <w:spacing w:val="-3"/>
        </w:rPr>
        <w:t>实现非现场审核类和现场办理类平台的集中和统一；完成智能审核平台一期建设，集成</w:t>
      </w:r>
      <w:r>
        <w:rPr>
          <w:rFonts w:ascii="Times New Roman" w:hAnsi="Times New Roman" w:cs="Times New Roman" w:eastAsia="Times New Roman" w:hint="default"/>
          <w:spacing w:val="-3"/>
        </w:rPr>
        <w:t>OCR</w:t>
      </w:r>
      <w:r>
        <w:rPr>
          <w:spacing w:val="-3"/>
        </w:rPr>
        <w:t>识别、人脸识</w:t>
      </w:r>
      <w:r>
        <w:rPr>
          <w:spacing w:val="-6"/>
        </w:rPr>
        <w:t> </w:t>
      </w:r>
      <w:r>
        <w:rPr>
          <w:spacing w:val="-6"/>
        </w:rPr>
      </w:r>
      <w:r>
        <w:rPr>
          <w:spacing w:val="-4"/>
        </w:rPr>
        <w:t>别、语音识别等金融科技关键技术，成为业内首家实现非现场开户实时智能见证审核的公司。报告期，</w:t>
      </w:r>
      <w:r>
        <w:rPr>
          <w:rFonts w:ascii="Times New Roman" w:hAnsi="Times New Roman" w:cs="Times New Roman" w:eastAsia="Times New Roman" w:hint="default"/>
          <w:spacing w:val="-4"/>
        </w:rPr>
        <w:t>“</w:t>
      </w:r>
      <w:r>
        <w:rPr>
          <w:spacing w:val="-4"/>
        </w:rPr>
        <w:t>全</w:t>
      </w:r>
      <w:r>
        <w:rPr>
          <w:spacing w:val="-40"/>
        </w:rPr>
        <w:t> </w:t>
      </w:r>
      <w:r>
        <w:rPr>
          <w:spacing w:val="-4"/>
        </w:rPr>
        <w:t>渠道智能客服平台</w:t>
      </w:r>
      <w:r>
        <w:rPr>
          <w:rFonts w:ascii="Times New Roman" w:hAnsi="Times New Roman" w:cs="Times New Roman" w:eastAsia="Times New Roman" w:hint="default"/>
          <w:spacing w:val="-4"/>
        </w:rPr>
        <w:t>”</w:t>
      </w:r>
      <w:r>
        <w:rPr>
          <w:spacing w:val="-4"/>
        </w:rPr>
        <w:t>荣获中国人民银行《金融电子化》杂志社</w:t>
      </w:r>
      <w:r>
        <w:rPr>
          <w:rFonts w:ascii="Times New Roman" w:hAnsi="Times New Roman" w:cs="Times New Roman" w:eastAsia="Times New Roman" w:hint="default"/>
          <w:spacing w:val="-4"/>
        </w:rPr>
        <w:t>2019</w:t>
      </w:r>
      <w:r>
        <w:rPr>
          <w:spacing w:val="-4"/>
        </w:rPr>
        <w:t>年度</w:t>
      </w:r>
      <w:r>
        <w:rPr>
          <w:rFonts w:ascii="Times New Roman" w:hAnsi="Times New Roman" w:cs="Times New Roman" w:eastAsia="Times New Roman" w:hint="default"/>
          <w:spacing w:val="-4"/>
        </w:rPr>
        <w:t>“</w:t>
      </w:r>
      <w:r>
        <w:rPr>
          <w:spacing w:val="-4"/>
        </w:rPr>
        <w:t>金融科技渠道创新突出贡献奖</w:t>
      </w:r>
      <w:r>
        <w:rPr>
          <w:rFonts w:ascii="Times New Roman" w:hAnsi="Times New Roman" w:cs="Times New Roman" w:eastAsia="Times New Roman" w:hint="default"/>
          <w:spacing w:val="-4"/>
        </w:rPr>
        <w:t>”</w:t>
      </w:r>
      <w:r>
        <w:rPr>
          <w:spacing w:val="-4"/>
        </w:rPr>
        <w:t>，国</w:t>
      </w:r>
      <w:r>
        <w:rPr>
          <w:spacing w:val="-44"/>
        </w:rPr>
        <w:t> </w:t>
      </w:r>
      <w:r>
        <w:rPr/>
        <w:t>盛证券荣获金融界领航中国</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中国证券公司杰出金融科技奖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年度东方财富风云榜</w:t>
      </w:r>
      <w:r>
        <w:rPr>
          <w:rFonts w:ascii="Times New Roman" w:hAnsi="Times New Roman" w:cs="Times New Roman" w:eastAsia="Times New Roman" w:hint="default"/>
        </w:rPr>
        <w:t>“</w:t>
      </w:r>
      <w:r>
        <w:rPr/>
        <w:t>年度最具</w:t>
      </w:r>
      <w:r>
        <w:rPr>
          <w:spacing w:val="12"/>
        </w:rPr>
        <w:t> </w:t>
      </w:r>
      <w:r>
        <w:rPr>
          <w:spacing w:val="12"/>
        </w:rPr>
      </w:r>
      <w:r>
        <w:rPr/>
        <w:t>科技创新力券商</w:t>
      </w:r>
      <w:r>
        <w:rPr>
          <w:rFonts w:ascii="Times New Roman" w:hAnsi="Times New Roman" w:cs="Times New Roman" w:eastAsia="Times New Roman" w:hint="default"/>
        </w:rPr>
        <w:t>”</w:t>
      </w:r>
      <w:r>
        <w:rPr/>
        <w:t>等荣誉。国盛通</w:t>
      </w:r>
      <w:r>
        <w:rPr>
          <w:rFonts w:ascii="Times New Roman" w:hAnsi="Times New Roman" w:cs="Times New Roman" w:eastAsia="Times New Roman" w:hint="default"/>
        </w:rPr>
        <w:t>APP</w:t>
      </w:r>
      <w:r>
        <w:rPr/>
        <w:t>荣获券商中国</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券商</w:t>
      </w:r>
      <w:r>
        <w:rPr>
          <w:rFonts w:ascii="Times New Roman" w:hAnsi="Times New Roman" w:cs="Times New Roman" w:eastAsia="Times New Roman" w:hint="default"/>
        </w:rPr>
        <w:t>APP</w:t>
      </w:r>
      <w:r>
        <w:rPr/>
        <w:t>综合服务满意奖</w:t>
      </w:r>
      <w:r>
        <w:rPr>
          <w:rFonts w:ascii="Times New Roman" w:hAnsi="Times New Roman" w:cs="Times New Roman" w:eastAsia="Times New Roman" w:hint="default"/>
        </w:rPr>
        <w:t>”</w:t>
      </w:r>
      <w:r>
        <w:rPr/>
        <w:t>、金融界领航中国</w:t>
      </w:r>
      <w:r>
        <w:rPr>
          <w:spacing w:val="69"/>
        </w:rPr>
        <w:t> </w:t>
      </w:r>
      <w:r>
        <w:rPr>
          <w:spacing w:val="69"/>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中国证券公司杰出</w:t>
      </w:r>
      <w:r>
        <w:rPr>
          <w:rFonts w:ascii="Times New Roman" w:hAnsi="Times New Roman" w:cs="Times New Roman" w:eastAsia="Times New Roman" w:hint="default"/>
        </w:rPr>
        <w:t>APP</w:t>
      </w:r>
      <w:r>
        <w:rPr/>
        <w:t>奖</w:t>
      </w:r>
      <w:r>
        <w:rPr>
          <w:rFonts w:ascii="Times New Roman" w:hAnsi="Times New Roman" w:cs="Times New Roman" w:eastAsia="Times New Roman" w:hint="default"/>
        </w:rPr>
        <w:t>”</w:t>
      </w:r>
      <w:r>
        <w:rPr/>
        <w:t>等奖项。</w:t>
      </w:r>
    </w:p>
    <w:p>
      <w:pPr>
        <w:spacing w:line="240" w:lineRule="auto" w:before="2"/>
        <w:rPr>
          <w:rFonts w:ascii="宋体" w:hAnsi="宋体" w:cs="宋体" w:eastAsia="宋体" w:hint="default"/>
          <w:sz w:val="19"/>
          <w:szCs w:val="19"/>
        </w:rPr>
      </w:pPr>
    </w:p>
    <w:p>
      <w:pPr>
        <w:pStyle w:val="BodyText"/>
        <w:spacing w:line="249" w:lineRule="auto"/>
        <w:ind w:left="573" w:right="0" w:firstLine="2"/>
        <w:jc w:val="left"/>
      </w:pPr>
      <w:r>
        <w:rPr>
          <w:rFonts w:ascii="Microsoft JhengHei" w:hAnsi="Microsoft JhengHei" w:cs="Microsoft JhengHei" w:eastAsia="Microsoft JhengHei" w:hint="default"/>
          <w:b/>
          <w:bCs/>
        </w:rPr>
        <w:t>（二）投资业务</w:t>
      </w:r>
      <w:r>
        <w:rPr>
          <w:rFonts w:ascii="Microsoft JhengHei" w:hAnsi="Microsoft JhengHei" w:cs="Microsoft JhengHei" w:eastAsia="Microsoft JhengHei" w:hint="default"/>
          <w:b/>
          <w:bCs/>
          <w:spacing w:val="-48"/>
        </w:rPr>
        <w:t> </w:t>
      </w:r>
      <w:r>
        <w:rPr>
          <w:rFonts w:ascii="Microsoft JhengHei" w:hAnsi="Microsoft JhengHei" w:cs="Microsoft JhengHei" w:eastAsia="Microsoft JhengHei" w:hint="default"/>
          <w:b/>
          <w:bCs/>
          <w:spacing w:val="-48"/>
        </w:rPr>
      </w:r>
      <w:r>
        <w:rPr>
          <w:spacing w:val="-2"/>
        </w:rPr>
        <w:t>受宏观经济金融环境以及监管政策影响，</w:t>
      </w:r>
      <w:r>
        <w:rPr>
          <w:rFonts w:ascii="Times New Roman" w:hAnsi="Times New Roman" w:cs="Times New Roman" w:eastAsia="Times New Roman" w:hint="default"/>
          <w:spacing w:val="-2"/>
        </w:rPr>
        <w:t>2019</w:t>
      </w:r>
      <w:r>
        <w:rPr>
          <w:spacing w:val="-2"/>
        </w:rPr>
        <w:t>年中国股权投资市场活跃度继续下降。报告期，公司更</w:t>
      </w:r>
    </w:p>
    <w:p>
      <w:pPr>
        <w:spacing w:after="0" w:line="249"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为审慎地选择投资标的并主动适度放缓投资节奏、降低单个项目的投资规模；在投资项目管理模式上，公</w:t>
      </w:r>
      <w:r>
        <w:rPr>
          <w:spacing w:val="-43"/>
        </w:rPr>
        <w:t> </w:t>
      </w:r>
      <w:r>
        <w:rPr>
          <w:spacing w:val="-43"/>
        </w:rPr>
      </w:r>
      <w:r>
        <w:rPr>
          <w:spacing w:val="-5"/>
        </w:rPr>
        <w:t>司更加积极地参与被投单位经营决策，通过委派董事参与被投单位经营管理，持续深化与被投企业的合作， </w:t>
      </w:r>
      <w:r>
        <w:rPr>
          <w:spacing w:val="-5"/>
        </w:rPr>
      </w:r>
      <w:r>
        <w:rPr/>
        <w:t>帮助被投企业做大做强。</w:t>
      </w:r>
    </w:p>
    <w:p>
      <w:pPr>
        <w:pStyle w:val="BodyText"/>
        <w:spacing w:line="261" w:lineRule="auto" w:before="7"/>
        <w:ind w:right="1126" w:firstLine="420"/>
        <w:jc w:val="both"/>
      </w:pPr>
      <w:r>
        <w:rPr>
          <w:spacing w:val="-5"/>
        </w:rPr>
        <w:t>报告期，公司在传统战略投资和财务投资的基础上，通过“资本</w:t>
      </w:r>
      <w:r>
        <w:rPr>
          <w:rFonts w:ascii="Times New Roman" w:hAnsi="Times New Roman" w:cs="Times New Roman" w:eastAsia="Times New Roman" w:hint="default"/>
          <w:spacing w:val="-5"/>
        </w:rPr>
        <w:t>+</w:t>
      </w:r>
      <w:r>
        <w:rPr>
          <w:spacing w:val="-5"/>
        </w:rPr>
        <w:t>科技”赋能科技创新类企业，与证券</w:t>
      </w:r>
      <w:r>
        <w:rPr>
          <w:w w:val="100"/>
        </w:rPr>
        <w:t> </w:t>
      </w:r>
      <w:r>
        <w:rPr>
          <w:spacing w:val="-2"/>
        </w:rPr>
        <w:t>业务投行部协作拓展项目资源，开展多个拟投资项目的尽职调查并完成部分项目的股权投资，取得苏州梧</w:t>
      </w:r>
      <w:r>
        <w:rPr>
          <w:spacing w:val="-43"/>
        </w:rPr>
        <w:t> </w:t>
      </w:r>
      <w:r>
        <w:rPr>
          <w:spacing w:val="-43"/>
        </w:rPr>
      </w:r>
      <w:r>
        <w:rPr>
          <w:spacing w:val="-4"/>
        </w:rPr>
        <w:t>桐汇智软件科技有限责任公司（下称梧桐汇智）</w:t>
      </w:r>
      <w:r>
        <w:rPr>
          <w:rFonts w:ascii="Times New Roman" w:hAnsi="Times New Roman" w:cs="Times New Roman" w:eastAsia="Times New Roman" w:hint="default"/>
          <w:spacing w:val="-4"/>
        </w:rPr>
        <w:t>20%</w:t>
      </w:r>
      <w:r>
        <w:rPr>
          <w:spacing w:val="-4"/>
        </w:rPr>
        <w:t>股权、至本医疗科技（上海）有限公司</w:t>
      </w:r>
      <w:r>
        <w:rPr>
          <w:rFonts w:ascii="Times New Roman" w:hAnsi="Times New Roman" w:cs="Times New Roman" w:eastAsia="Times New Roman" w:hint="default"/>
          <w:spacing w:val="-4"/>
        </w:rPr>
        <w:t>2.56%</w:t>
      </w:r>
      <w:r>
        <w:rPr>
          <w:spacing w:val="-4"/>
        </w:rPr>
        <w:t>股权、沿</w:t>
      </w:r>
      <w:r>
        <w:rPr>
          <w:spacing w:val="-29"/>
        </w:rPr>
        <w:t> </w:t>
      </w:r>
      <w:r>
        <w:rPr>
          <w:spacing w:val="-29"/>
        </w:rPr>
      </w:r>
      <w:r>
        <w:rPr>
          <w:spacing w:val="-2"/>
        </w:rPr>
        <w:t>海惠融科技（北京）有限公司（下称惠融科技）</w:t>
      </w:r>
      <w:r>
        <w:rPr>
          <w:rFonts w:ascii="Times New Roman" w:hAnsi="Times New Roman" w:cs="Times New Roman" w:eastAsia="Times New Roman" w:hint="default"/>
          <w:spacing w:val="-2"/>
        </w:rPr>
        <w:t>10%</w:t>
      </w:r>
      <w:r>
        <w:rPr>
          <w:spacing w:val="-2"/>
        </w:rPr>
        <w:t>股权以及宁波梅花天使投资管理有限公司（下称梅花</w:t>
      </w:r>
      <w:r>
        <w:rPr>
          <w:spacing w:val="-5"/>
        </w:rPr>
        <w:t> </w:t>
      </w:r>
      <w:r>
        <w:rPr>
          <w:spacing w:val="-5"/>
        </w:rPr>
      </w:r>
      <w:r>
        <w:rPr/>
        <w:t>天使）</w:t>
      </w:r>
      <w:r>
        <w:rPr>
          <w:rFonts w:ascii="Times New Roman" w:hAnsi="Times New Roman" w:cs="Times New Roman" w:eastAsia="Times New Roman" w:hint="default"/>
        </w:rPr>
        <w:t>12.5%</w:t>
      </w:r>
      <w:r>
        <w:rPr/>
        <w:t>股权，公司分别向梧桐汇智、惠融科技、梅花天使委派董事参与经营管理。</w:t>
      </w:r>
    </w:p>
    <w:p>
      <w:pPr>
        <w:pStyle w:val="BodyText"/>
        <w:spacing w:line="264" w:lineRule="auto"/>
        <w:ind w:right="0" w:firstLine="420"/>
        <w:jc w:val="left"/>
      </w:pPr>
      <w:r>
        <w:rPr>
          <w:spacing w:val="-2"/>
        </w:rPr>
        <w:t>随着投资业务的持续开展，公司更加深入地总结、梳理投资业务发展模式，确立逐步由自有资金投资</w:t>
      </w:r>
      <w:r>
        <w:rPr>
          <w:w w:val="100"/>
        </w:rPr>
        <w:t> </w:t>
      </w:r>
      <w:r>
        <w:rPr>
          <w:spacing w:val="-2"/>
        </w:rPr>
        <w:t>转向投资管理的发展策略，同时加强风控管理，确保投资业务稳步推进。报告期公司投资管理业务平台弘</w:t>
      </w:r>
      <w:r>
        <w:rPr>
          <w:spacing w:val="-44"/>
        </w:rPr>
        <w:t> </w:t>
      </w:r>
      <w:r>
        <w:rPr>
          <w:spacing w:val="-44"/>
        </w:rPr>
      </w:r>
      <w:r>
        <w:rPr>
          <w:spacing w:val="-2"/>
        </w:rPr>
        <w:t>大嘉豪在中国证券投资基金业协会登记为私募基金管理人，登记编号为</w:t>
      </w:r>
      <w:r>
        <w:rPr>
          <w:rFonts w:ascii="Times New Roman" w:hAnsi="Times New Roman" w:cs="Times New Roman" w:eastAsia="Times New Roman" w:hint="default"/>
          <w:spacing w:val="-2"/>
        </w:rPr>
        <w:t>P1070187</w:t>
      </w:r>
      <w:r>
        <w:rPr>
          <w:spacing w:val="-2"/>
        </w:rPr>
        <w:t>。其担任管理人的首支基</w:t>
      </w:r>
      <w:r>
        <w:rPr>
          <w:spacing w:val="-49"/>
        </w:rPr>
        <w:t> </w:t>
      </w:r>
      <w:r>
        <w:rPr>
          <w:spacing w:val="-49"/>
        </w:rPr>
      </w:r>
      <w:r>
        <w:rPr>
          <w:spacing w:val="-6"/>
        </w:rPr>
        <w:t>金产品深圳弘大智合投资合伙企业（有限合伙）已于</w:t>
      </w:r>
      <w:r>
        <w:rPr>
          <w:rFonts w:ascii="Times New Roman" w:hAnsi="Times New Roman" w:cs="Times New Roman" w:eastAsia="Times New Roman" w:hint="default"/>
          <w:spacing w:val="-6"/>
        </w:rPr>
        <w:t>2020</w:t>
      </w:r>
      <w:r>
        <w:rPr>
          <w:spacing w:val="-6"/>
        </w:rPr>
        <w:t>年</w:t>
      </w:r>
      <w:r>
        <w:rPr>
          <w:rFonts w:ascii="Times New Roman" w:hAnsi="Times New Roman" w:cs="Times New Roman" w:eastAsia="Times New Roman" w:hint="default"/>
          <w:spacing w:val="-6"/>
        </w:rPr>
        <w:t>3</w:t>
      </w:r>
      <w:r>
        <w:rPr>
          <w:spacing w:val="-6"/>
        </w:rPr>
        <w:t>月完成私募投资基金备案，备案编码为</w:t>
      </w:r>
      <w:r>
        <w:rPr>
          <w:rFonts w:ascii="Times New Roman" w:hAnsi="Times New Roman" w:cs="Times New Roman" w:eastAsia="Times New Roman" w:hint="default"/>
          <w:spacing w:val="-6"/>
        </w:rPr>
        <w:t>SJT772</w:t>
      </w:r>
      <w:r>
        <w:rPr>
          <w:spacing w:val="-6"/>
        </w:rPr>
        <w:t>；</w:t>
      </w:r>
      <w:r>
        <w:rPr>
          <w:spacing w:val="-45"/>
        </w:rPr>
        <w:t> </w:t>
      </w:r>
      <w:r>
        <w:rPr/>
        <w:t>其担任管理人的第二支基金产品张家港弘大创合股权投资合伙企业（有限合伙）于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月完成工商登</w:t>
      </w:r>
      <w:r>
        <w:rPr>
          <w:spacing w:val="-24"/>
        </w:rPr>
        <w:t> </w:t>
      </w:r>
      <w:r>
        <w:rPr>
          <w:spacing w:val="-24"/>
        </w:rPr>
      </w:r>
      <w:r>
        <w:rPr>
          <w:spacing w:val="-2"/>
        </w:rPr>
        <w:t>记。本次弘大嘉豪获得私募基金管理人资格以及两支基金产品相继设立，为公司发展投资管理业务，逐步</w:t>
      </w:r>
      <w:r>
        <w:rPr>
          <w:spacing w:val="-43"/>
        </w:rPr>
        <w:t> </w:t>
      </w:r>
      <w:r>
        <w:rPr>
          <w:spacing w:val="-43"/>
        </w:rPr>
      </w:r>
      <w:r>
        <w:rPr/>
        <w:t>形成以私募股权投资为主、自有资金投资为辅的投资格局创造了条件。</w:t>
      </w:r>
    </w:p>
    <w:p>
      <w:pPr>
        <w:pStyle w:val="BodyText"/>
        <w:spacing w:line="264" w:lineRule="auto" w:before="16"/>
        <w:ind w:right="1128" w:firstLine="420"/>
        <w:jc w:val="both"/>
      </w:pPr>
      <w:r>
        <w:rPr>
          <w:spacing w:val="-3"/>
        </w:rPr>
        <w:t>投后管理方面，投资团队重新梳理投后管理流程，优化投后档案资料管理，提高投后管理效率；持续</w:t>
      </w:r>
      <w:r>
        <w:rPr>
          <w:w w:val="100"/>
        </w:rPr>
        <w:t> </w:t>
      </w:r>
      <w:r>
        <w:rPr>
          <w:spacing w:val="-2"/>
        </w:rPr>
        <w:t>跟进</w:t>
      </w:r>
      <w:r>
        <w:rPr>
          <w:rFonts w:ascii="Times New Roman" w:hAnsi="Times New Roman" w:cs="Times New Roman" w:eastAsia="Times New Roman" w:hint="default"/>
          <w:spacing w:val="-2"/>
        </w:rPr>
        <w:t>QD</w:t>
      </w:r>
      <w:r>
        <w:rPr>
          <w:spacing w:val="-2"/>
        </w:rPr>
        <w:t>等项目投后管理工作，在获悉</w:t>
      </w:r>
      <w:r>
        <w:rPr>
          <w:rFonts w:ascii="Times New Roman" w:hAnsi="Times New Roman" w:cs="Times New Roman" w:eastAsia="Times New Roman" w:hint="default"/>
          <w:spacing w:val="-2"/>
        </w:rPr>
        <w:t>QD</w:t>
      </w:r>
      <w:r>
        <w:rPr>
          <w:spacing w:val="-2"/>
        </w:rPr>
        <w:t>股权结构、公司股东地位发生重大变化后及时与该公司沟通委派</w:t>
      </w:r>
      <w:r>
        <w:rPr>
          <w:spacing w:val="-20"/>
        </w:rPr>
        <w:t> </w:t>
      </w:r>
      <w:r>
        <w:rPr>
          <w:spacing w:val="-20"/>
        </w:rPr>
      </w:r>
      <w:r>
        <w:rPr/>
        <w:t>董事事宜并于年内完成委派，实现直接参与</w:t>
      </w:r>
      <w:r>
        <w:rPr>
          <w:rFonts w:ascii="Times New Roman" w:hAnsi="Times New Roman" w:cs="Times New Roman" w:eastAsia="Times New Roman" w:hint="default"/>
        </w:rPr>
        <w:t>QD</w:t>
      </w:r>
      <w:r>
        <w:rPr/>
        <w:t>经营管理，为后续深化合作打下基础。</w:t>
      </w:r>
    </w:p>
    <w:p>
      <w:pPr>
        <w:spacing w:line="240" w:lineRule="auto" w:before="8"/>
        <w:rPr>
          <w:rFonts w:ascii="宋体" w:hAnsi="宋体" w:cs="宋体" w:eastAsia="宋体" w:hint="default"/>
          <w:sz w:val="18"/>
          <w:szCs w:val="18"/>
        </w:rPr>
      </w:pPr>
    </w:p>
    <w:p>
      <w:pPr>
        <w:pStyle w:val="BodyText"/>
        <w:spacing w:line="249" w:lineRule="auto"/>
        <w:ind w:left="573" w:right="0" w:firstLine="2"/>
        <w:jc w:val="left"/>
      </w:pPr>
      <w:r>
        <w:rPr>
          <w:rFonts w:ascii="Microsoft JhengHei" w:hAnsi="Microsoft JhengHei" w:cs="Microsoft JhengHei" w:eastAsia="Microsoft JhengHei" w:hint="default"/>
          <w:b/>
          <w:bCs/>
        </w:rPr>
        <w:t>（三）金融科技业务</w:t>
      </w:r>
      <w:r>
        <w:rPr>
          <w:rFonts w:ascii="Microsoft JhengHei" w:hAnsi="Microsoft JhengHei" w:cs="Microsoft JhengHei" w:eastAsia="Microsoft JhengHei" w:hint="default"/>
          <w:b/>
          <w:bCs/>
          <w:spacing w:val="-44"/>
        </w:rPr>
        <w:t> </w:t>
      </w:r>
      <w:r>
        <w:rPr>
          <w:spacing w:val="-2"/>
        </w:rPr>
        <w:t>报告期极盛科技继续围绕证券业务需求开展信息技术服务，提升证券业务信息化水平和风险管理能力，</w:t>
      </w:r>
    </w:p>
    <w:p>
      <w:pPr>
        <w:pStyle w:val="BodyText"/>
        <w:spacing w:line="264" w:lineRule="auto" w:before="29"/>
        <w:ind w:right="1126"/>
        <w:jc w:val="both"/>
      </w:pPr>
      <w:r>
        <w:rPr/>
        <w:t>期内重点推进国盛研究所</w:t>
      </w:r>
      <w:r>
        <w:rPr>
          <w:rFonts w:ascii="Times New Roman" w:hAnsi="Times New Roman" w:cs="Times New Roman" w:eastAsia="Times New Roman" w:hint="default"/>
        </w:rPr>
        <w:t>APP</w:t>
      </w:r>
      <w:r>
        <w:rPr/>
        <w:t>研发、国盛通</w:t>
      </w:r>
      <w:r>
        <w:rPr>
          <w:rFonts w:ascii="Times New Roman" w:hAnsi="Times New Roman" w:cs="Times New Roman" w:eastAsia="Times New Roman" w:hint="default"/>
        </w:rPr>
        <w:t>APP</w:t>
      </w:r>
      <w:r>
        <w:rPr/>
        <w:t>二期研发、国盛证券全年品牌运营与</w:t>
      </w:r>
      <w:r>
        <w:rPr>
          <w:rFonts w:ascii="Times New Roman" w:hAnsi="Times New Roman" w:cs="Times New Roman" w:eastAsia="Times New Roman" w:hint="default"/>
        </w:rPr>
        <w:t>APP</w:t>
      </w:r>
      <w:r>
        <w:rPr/>
        <w:t>运营活动的定制</w:t>
      </w:r>
      <w:r>
        <w:rPr>
          <w:spacing w:val="-23"/>
        </w:rPr>
        <w:t> </w:t>
      </w:r>
      <w:r>
        <w:rPr>
          <w:spacing w:val="-23"/>
        </w:rPr>
      </w:r>
      <w:r>
        <w:rPr>
          <w:spacing w:val="-2"/>
        </w:rPr>
        <w:t>化设计与开发、行情大数据等项目。在服务证券业务的同时，极盛科技也积极开展其他自主研发项目，期</w:t>
      </w:r>
      <w:r>
        <w:rPr>
          <w:spacing w:val="-47"/>
        </w:rPr>
        <w:t> </w:t>
      </w:r>
      <w:r>
        <w:rPr>
          <w:spacing w:val="-47"/>
        </w:rPr>
      </w:r>
      <w:r>
        <w:rPr/>
        <w:t>内与香港华港财富集团共同研发高端私人银行业务数字化平台。</w:t>
      </w:r>
    </w:p>
    <w:p>
      <w:pPr>
        <w:pStyle w:val="BodyText"/>
        <w:spacing w:line="264" w:lineRule="auto" w:before="16"/>
        <w:ind w:right="0" w:firstLine="420"/>
        <w:jc w:val="left"/>
      </w:pPr>
      <w:r>
        <w:rPr/>
        <w:t>极盛科技定位为一家金融科技公司，重视知识产权体系构建。年内获得“国家高新技术企业”资质，</w:t>
      </w:r>
      <w:r>
        <w:rPr>
          <w:w w:val="100"/>
        </w:rPr>
        <w:t> </w:t>
      </w:r>
      <w:r>
        <w:rPr/>
        <w:t>通过</w:t>
      </w:r>
      <w:r>
        <w:rPr>
          <w:rFonts w:ascii="Times New Roman" w:hAnsi="Times New Roman" w:cs="Times New Roman" w:eastAsia="Times New Roman" w:hint="default"/>
        </w:rPr>
        <w:t>ISO27001:2013</w:t>
      </w:r>
      <w:r>
        <w:rPr/>
        <w:t>信息安全管理体系和</w:t>
      </w:r>
      <w:r>
        <w:rPr>
          <w:rFonts w:ascii="Times New Roman" w:hAnsi="Times New Roman" w:cs="Times New Roman" w:eastAsia="Times New Roman" w:hint="default"/>
        </w:rPr>
        <w:t>ISO20000:2018</w:t>
      </w:r>
      <w:r>
        <w:rPr/>
        <w:t>信息技术服务管理体系认证；截至年底共获软件著</w:t>
      </w:r>
      <w:r>
        <w:rPr>
          <w:spacing w:val="-91"/>
        </w:rPr>
        <w:t> </w:t>
      </w:r>
      <w:r>
        <w:rPr>
          <w:spacing w:val="-91"/>
        </w:rPr>
      </w:r>
      <w:r>
        <w:rPr/>
        <w:t>作权证书</w:t>
      </w:r>
      <w:r>
        <w:rPr>
          <w:rFonts w:ascii="Times New Roman" w:hAnsi="Times New Roman" w:cs="Times New Roman" w:eastAsia="Times New Roman" w:hint="default"/>
        </w:rPr>
        <w:t>30</w:t>
      </w:r>
      <w:r>
        <w:rPr/>
        <w:t>项，申报中软件著作权</w:t>
      </w:r>
      <w:r>
        <w:rPr>
          <w:rFonts w:ascii="Times New Roman" w:hAnsi="Times New Roman" w:cs="Times New Roman" w:eastAsia="Times New Roman" w:hint="default"/>
        </w:rPr>
        <w:t>2</w:t>
      </w:r>
      <w:r>
        <w:rPr/>
        <w:t>项，申报中专利</w:t>
      </w:r>
      <w:r>
        <w:rPr>
          <w:rFonts w:ascii="Times New Roman" w:hAnsi="Times New Roman" w:cs="Times New Roman" w:eastAsia="Times New Roman" w:hint="default"/>
        </w:rPr>
        <w:t>1</w:t>
      </w:r>
      <w:r>
        <w:rPr/>
        <w:t>项。</w:t>
      </w:r>
    </w:p>
    <w:p>
      <w:pPr>
        <w:pStyle w:val="BodyText"/>
        <w:spacing w:line="256" w:lineRule="auto"/>
        <w:ind w:right="1126" w:firstLine="420"/>
        <w:jc w:val="both"/>
      </w:pPr>
      <w:r>
        <w:rPr>
          <w:spacing w:val="-4"/>
        </w:rPr>
        <w:t>报告期极盛科技（合并口径）实现营业收入</w:t>
      </w:r>
      <w:r>
        <w:rPr>
          <w:rFonts w:ascii="Times New Roman" w:hAnsi="Times New Roman" w:cs="Times New Roman" w:eastAsia="Times New Roman" w:hint="default"/>
          <w:spacing w:val="-4"/>
        </w:rPr>
        <w:t>3,714.48</w:t>
      </w:r>
      <w:r>
        <w:rPr>
          <w:spacing w:val="-4"/>
        </w:rPr>
        <w:t>万元，均为向集团内企业提供技术服务收取的服务</w:t>
      </w:r>
      <w:r>
        <w:rPr>
          <w:w w:val="100"/>
        </w:rPr>
        <w:t> </w:t>
      </w:r>
      <w:r>
        <w:rPr/>
        <w:t>费；实现净利润</w:t>
      </w:r>
      <w:r>
        <w:rPr>
          <w:rFonts w:ascii="Times New Roman" w:hAnsi="Times New Roman" w:cs="Times New Roman" w:eastAsia="Times New Roman" w:hint="default"/>
        </w:rPr>
        <w:t>-5,363.14</w:t>
      </w:r>
      <w:r>
        <w:rPr/>
        <w:t>万元。</w:t>
      </w:r>
    </w:p>
    <w:p>
      <w:pPr>
        <w:spacing w:line="240" w:lineRule="auto" w:before="3"/>
        <w:rPr>
          <w:rFonts w:ascii="宋体" w:hAnsi="宋体" w:cs="宋体" w:eastAsia="宋体" w:hint="default"/>
          <w:sz w:val="24"/>
          <w:szCs w:val="24"/>
        </w:rPr>
      </w:pPr>
    </w:p>
    <w:p>
      <w:pPr>
        <w:pStyle w:val="BodyText"/>
        <w:spacing w:line="256" w:lineRule="auto"/>
        <w:ind w:right="1126" w:firstLine="420"/>
        <w:jc w:val="both"/>
      </w:pPr>
      <w:r>
        <w:rPr>
          <w:spacing w:val="-5"/>
        </w:rPr>
        <w:t>报告期，公司积极推进业绩承诺补偿诉讼事项解决。公司聘请专业法律团队积极应诉，于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2</w:t>
      </w:r>
      <w:r>
        <w:rPr>
          <w:spacing w:val="-5"/>
        </w:rPr>
        <w:t>月向</w:t>
      </w:r>
      <w:r>
        <w:rPr>
          <w:w w:val="100"/>
        </w:rPr>
        <w:t> </w:t>
      </w:r>
      <w:r>
        <w:rPr>
          <w:spacing w:val="-2"/>
        </w:rPr>
        <w:t>江西省高级人民法院提起反诉，请求法院判令雪松信托按业绩承诺补偿协议履行差额补偿义务。在</w:t>
      </w:r>
      <w:r>
        <w:rPr>
          <w:rFonts w:ascii="Times New Roman" w:hAnsi="Times New Roman" w:cs="Times New Roman" w:eastAsia="Times New Roman" w:hint="default"/>
          <w:spacing w:val="-2"/>
        </w:rPr>
        <w:t>2019</w:t>
      </w:r>
      <w:r>
        <w:rPr>
          <w:spacing w:val="-2"/>
        </w:rPr>
        <w:t>年</w:t>
      </w:r>
      <w:r>
        <w:rPr>
          <w:spacing w:val="-39"/>
        </w:rPr>
        <w:t> </w:t>
      </w:r>
      <w:r>
        <w:rPr>
          <w:rFonts w:ascii="Times New Roman" w:hAnsi="Times New Roman" w:cs="Times New Roman" w:eastAsia="Times New Roman" w:hint="default"/>
          <w:spacing w:val="-2"/>
        </w:rPr>
        <w:t>12</w:t>
      </w:r>
      <w:r>
        <w:rPr>
          <w:spacing w:val="-2"/>
        </w:rPr>
        <w:t>月收到法院关于驳回雪松信托的起诉和公司的反诉之管辖权裁定后，公司迅速组织应对，并在法定期限</w:t>
      </w:r>
      <w:r>
        <w:rPr>
          <w:spacing w:val="-41"/>
        </w:rPr>
        <w:t> </w:t>
      </w:r>
      <w:r>
        <w:rPr>
          <w:spacing w:val="-41"/>
        </w:rPr>
      </w:r>
      <w:r>
        <w:rPr/>
        <w:t>内上诉至最高人民法院，</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月最高人民法院受理上诉。期内公司及聘请的法律团队积极研究分析案</w:t>
      </w:r>
      <w:r>
        <w:rPr>
          <w:spacing w:val="-27"/>
        </w:rPr>
        <w:t> </w:t>
      </w:r>
      <w:r>
        <w:rPr>
          <w:spacing w:val="-27"/>
        </w:rPr>
      </w:r>
      <w:r>
        <w:rPr/>
        <w:t>件情况，做好案件庭审准备，同时全面研究市场业绩承诺补偿案例、跟进学习最新法律法规。</w:t>
      </w:r>
    </w:p>
    <w:p>
      <w:pPr>
        <w:pStyle w:val="BodyText"/>
        <w:spacing w:line="256" w:lineRule="auto" w:before="22"/>
        <w:ind w:right="1126" w:firstLine="420"/>
        <w:jc w:val="both"/>
      </w:pPr>
      <w:r>
        <w:rPr>
          <w:spacing w:val="-5"/>
        </w:rPr>
        <w:t>另外，公司</w:t>
      </w:r>
      <w:r>
        <w:rPr>
          <w:rFonts w:ascii="Times New Roman" w:hAnsi="Times New Roman" w:cs="Times New Roman" w:eastAsia="Times New Roman" w:hint="default"/>
          <w:spacing w:val="-5"/>
        </w:rPr>
        <w:t>2019</w:t>
      </w:r>
      <w:r>
        <w:rPr>
          <w:spacing w:val="-5"/>
        </w:rPr>
        <w:t>年度财务报表被出具保留意见审计报告，涉及事项具体情况敬请查阅“第五节</w:t>
      </w:r>
      <w:r>
        <w:rPr>
          <w:spacing w:val="67"/>
        </w:rPr>
        <w:t> </w:t>
      </w:r>
      <w:r>
        <w:rPr/>
        <w:t>重要事</w:t>
      </w:r>
      <w:r>
        <w:rPr>
          <w:w w:val="100"/>
        </w:rPr>
        <w:t> </w:t>
      </w:r>
      <w:r>
        <w:rPr/>
        <w:t>项”之“董事会、监事会、独立董事对会计师事务所本报告期‘非标准审计报告’的说明”。</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73" w:lineRule="auto"/>
        <w:ind w:right="1126" w:firstLine="420"/>
        <w:jc w:val="both"/>
        <w:rPr>
          <w:rFonts w:ascii="Times New Roman" w:hAnsi="Times New Roman" w:cs="Times New Roman" w:eastAsia="Times New Roman" w:hint="default"/>
        </w:rPr>
      </w:pPr>
      <w:r>
        <w:rPr>
          <w:spacing w:val="-2"/>
        </w:rPr>
        <w:t>报告期，本集团各项业务稳步推进，期内股票自营业务形成的公允价值变动收益以及证券经纪、投资</w:t>
      </w:r>
      <w:r>
        <w:rPr>
          <w:w w:val="100"/>
        </w:rPr>
        <w:t> </w:t>
      </w:r>
      <w:r>
        <w:rPr>
          <w:spacing w:val="-3"/>
        </w:rPr>
        <w:t>银行、股票质押、融资融券、投研服务等业务收入均实现同比增长。报告期本集团实现营业总收入约</w:t>
      </w:r>
      <w:r>
        <w:rPr>
          <w:rFonts w:ascii="Times New Roman" w:hAnsi="Times New Roman" w:cs="Times New Roman" w:eastAsia="Times New Roman" w:hint="default"/>
          <w:spacing w:val="-3"/>
        </w:rPr>
        <w:t>16.70</w:t>
      </w:r>
    </w:p>
    <w:p>
      <w:pPr>
        <w:spacing w:after="0" w:line="273"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BodyText"/>
        <w:spacing w:line="256" w:lineRule="auto" w:before="36"/>
        <w:ind w:right="1131"/>
        <w:jc w:val="both"/>
      </w:pPr>
      <w:r>
        <w:rPr>
          <w:spacing w:val="-3"/>
        </w:rPr>
        <w:t>亿元、同比增长</w:t>
      </w:r>
      <w:r>
        <w:rPr>
          <w:rFonts w:ascii="Times New Roman" w:hAnsi="Times New Roman" w:cs="Times New Roman" w:eastAsia="Times New Roman" w:hint="default"/>
          <w:spacing w:val="-3"/>
        </w:rPr>
        <w:t>37.79%</w:t>
      </w:r>
      <w:r>
        <w:rPr>
          <w:spacing w:val="-3"/>
        </w:rPr>
        <w:t>；发生营业总成本约</w:t>
      </w:r>
      <w:r>
        <w:rPr>
          <w:rFonts w:ascii="Times New Roman" w:hAnsi="Times New Roman" w:cs="Times New Roman" w:eastAsia="Times New Roman" w:hint="default"/>
          <w:spacing w:val="-3"/>
        </w:rPr>
        <w:t>22.87</w:t>
      </w:r>
      <w:r>
        <w:rPr>
          <w:spacing w:val="-3"/>
        </w:rPr>
        <w:t>亿元、同比增长</w:t>
      </w:r>
      <w:r>
        <w:rPr>
          <w:rFonts w:ascii="Times New Roman" w:hAnsi="Times New Roman" w:cs="Times New Roman" w:eastAsia="Times New Roman" w:hint="default"/>
          <w:spacing w:val="-3"/>
        </w:rPr>
        <w:t>35.50%</w:t>
      </w:r>
      <w:r>
        <w:rPr>
          <w:spacing w:val="-3"/>
        </w:rPr>
        <w:t>；实现投资收益</w:t>
      </w:r>
      <w:r>
        <w:rPr>
          <w:rFonts w:ascii="Times New Roman" w:hAnsi="Times New Roman" w:cs="Times New Roman" w:eastAsia="Times New Roman" w:hint="default"/>
          <w:spacing w:val="-3"/>
        </w:rPr>
        <w:t>4.27</w:t>
      </w:r>
      <w:r>
        <w:rPr>
          <w:spacing w:val="-3"/>
        </w:rPr>
        <w:t>亿元、同比减</w:t>
      </w:r>
      <w:r>
        <w:rPr>
          <w:spacing w:val="-8"/>
        </w:rPr>
        <w:t> </w:t>
      </w:r>
      <w:r>
        <w:rPr>
          <w:spacing w:val="-8"/>
        </w:rPr>
      </w:r>
      <w:r>
        <w:rPr>
          <w:spacing w:val="-5"/>
        </w:rPr>
        <w:t>少</w:t>
      </w:r>
      <w:r>
        <w:rPr>
          <w:rFonts w:ascii="Times New Roman" w:hAnsi="Times New Roman" w:cs="Times New Roman" w:eastAsia="Times New Roman" w:hint="default"/>
          <w:spacing w:val="-5"/>
        </w:rPr>
        <w:t>14.51%</w:t>
      </w:r>
      <w:r>
        <w:rPr>
          <w:spacing w:val="-5"/>
        </w:rPr>
        <w:t>，公允价值变动收益</w:t>
      </w:r>
      <w:r>
        <w:rPr>
          <w:rFonts w:ascii="Times New Roman" w:hAnsi="Times New Roman" w:cs="Times New Roman" w:eastAsia="Times New Roman" w:hint="default"/>
          <w:spacing w:val="-5"/>
        </w:rPr>
        <w:t>2.67</w:t>
      </w:r>
      <w:r>
        <w:rPr>
          <w:spacing w:val="-5"/>
        </w:rPr>
        <w:t>亿元、同比增长</w:t>
      </w:r>
      <w:r>
        <w:rPr>
          <w:rFonts w:ascii="Times New Roman" w:hAnsi="Times New Roman" w:cs="Times New Roman" w:eastAsia="Times New Roman" w:hint="default"/>
          <w:spacing w:val="-5"/>
        </w:rPr>
        <w:t>159.17%</w:t>
      </w:r>
      <w:r>
        <w:rPr>
          <w:spacing w:val="-5"/>
        </w:rPr>
        <w:t>；实现经营活动产生的现金流量净额</w:t>
      </w:r>
      <w:r>
        <w:rPr>
          <w:rFonts w:ascii="Times New Roman" w:hAnsi="Times New Roman" w:cs="Times New Roman" w:eastAsia="Times New Roman" w:hint="default"/>
          <w:spacing w:val="-5"/>
        </w:rPr>
        <w:t>24.22</w:t>
      </w:r>
      <w:r>
        <w:rPr>
          <w:spacing w:val="-5"/>
        </w:rPr>
        <w:t>亿元、</w:t>
      </w:r>
      <w:r>
        <w:rPr>
          <w:spacing w:val="3"/>
        </w:rPr>
        <w:t> </w:t>
      </w:r>
      <w:r>
        <w:rPr>
          <w:spacing w:val="-2"/>
        </w:rPr>
        <w:t>同比增长</w:t>
      </w:r>
      <w:r>
        <w:rPr>
          <w:rFonts w:ascii="Times New Roman" w:hAnsi="Times New Roman" w:cs="Times New Roman" w:eastAsia="Times New Roman" w:hint="default"/>
          <w:spacing w:val="-2"/>
        </w:rPr>
        <w:t>44.89%</w:t>
      </w:r>
      <w:r>
        <w:rPr>
          <w:spacing w:val="-2"/>
        </w:rPr>
        <w:t>，投资活动产生的现金流量净额</w:t>
      </w:r>
      <w:r>
        <w:rPr>
          <w:rFonts w:ascii="Times New Roman" w:hAnsi="Times New Roman" w:cs="Times New Roman" w:eastAsia="Times New Roman" w:hint="default"/>
          <w:spacing w:val="-2"/>
        </w:rPr>
        <w:t>12.19</w:t>
      </w:r>
      <w:r>
        <w:rPr>
          <w:spacing w:val="-2"/>
        </w:rPr>
        <w:t>亿元、同比增长</w:t>
      </w:r>
      <w:r>
        <w:rPr>
          <w:rFonts w:ascii="Times New Roman" w:hAnsi="Times New Roman" w:cs="Times New Roman" w:eastAsia="Times New Roman" w:hint="default"/>
          <w:spacing w:val="-2"/>
        </w:rPr>
        <w:t>276.45%</w:t>
      </w:r>
      <w:r>
        <w:rPr>
          <w:spacing w:val="-2"/>
        </w:rPr>
        <w:t>，筹资活动产生的现金流量</w:t>
      </w:r>
      <w:r>
        <w:rPr>
          <w:spacing w:val="-15"/>
        </w:rPr>
        <w:t> </w:t>
      </w:r>
      <w:r>
        <w:rPr>
          <w:spacing w:val="-15"/>
        </w:rPr>
      </w:r>
      <w:r>
        <w:rPr/>
        <w:t>净额</w:t>
      </w:r>
      <w:r>
        <w:rPr>
          <w:rFonts w:ascii="Times New Roman" w:hAnsi="Times New Roman" w:cs="Times New Roman" w:eastAsia="Times New Roman" w:hint="default"/>
        </w:rPr>
        <w:t>-17.05</w:t>
      </w:r>
      <w:r>
        <w:rPr/>
        <w:t>亿元、同比下降</w:t>
      </w:r>
      <w:r>
        <w:rPr>
          <w:rFonts w:ascii="Times New Roman" w:hAnsi="Times New Roman" w:cs="Times New Roman" w:eastAsia="Times New Roman" w:hint="default"/>
        </w:rPr>
        <w:t>66.51%</w:t>
      </w:r>
      <w:r>
        <w:rPr/>
        <w:t>。</w:t>
      </w:r>
    </w:p>
    <w:p>
      <w:pPr>
        <w:spacing w:line="240" w:lineRule="auto" w:before="3"/>
        <w:rPr>
          <w:rFonts w:ascii="宋体" w:hAnsi="宋体" w:cs="宋体" w:eastAsia="宋体" w:hint="default"/>
          <w:sz w:val="18"/>
          <w:szCs w:val="18"/>
        </w:rPr>
      </w:pPr>
    </w:p>
    <w:p>
      <w:pPr>
        <w:pStyle w:val="Heading4"/>
        <w:spacing w:line="240" w:lineRule="auto"/>
        <w:ind w:left="152" w:right="0"/>
        <w:jc w:val="both"/>
        <w:rPr>
          <w:b w:val="0"/>
          <w:bCs w:val="0"/>
        </w:rPr>
      </w:pPr>
      <w:r>
        <w:rPr>
          <w:rFonts w:ascii="Times New Roman" w:hAnsi="Times New Roman" w:cs="Times New Roman" w:eastAsia="Times New Roman" w:hint="default"/>
        </w:rPr>
        <w:t>2</w:t>
      </w:r>
      <w:r>
        <w:rPr/>
        <w:t>、收入与支出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left="152" w:right="0"/>
        <w:jc w:val="both"/>
        <w:rPr>
          <w:b w:val="0"/>
          <w:bCs w:val="0"/>
        </w:rPr>
      </w:pPr>
      <w:r>
        <w:rPr/>
        <w:t>（</w:t>
      </w:r>
      <w:r>
        <w:rPr>
          <w:rFonts w:ascii="Times New Roman" w:hAnsi="Times New Roman" w:cs="Times New Roman" w:eastAsia="Times New Roman" w:hint="default"/>
        </w:rPr>
        <w:t>1</w:t>
      </w:r>
      <w:r>
        <w:rPr/>
        <w:t>）本集团收入</w:t>
      </w:r>
      <w:r>
        <w:rPr>
          <w:rFonts w:ascii="Times New Roman" w:hAnsi="Times New Roman" w:cs="Times New Roman" w:eastAsia="Times New Roman" w:hint="default"/>
        </w:rPr>
        <w:t>/</w:t>
      </w:r>
      <w:r>
        <w:rPr/>
        <w:t>收益构成</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50" w:type="dxa"/>
        <w:tblLayout w:type="fixed"/>
        <w:tblCellMar>
          <w:top w:w="0" w:type="dxa"/>
          <w:left w:w="0" w:type="dxa"/>
          <w:bottom w:w="0" w:type="dxa"/>
          <w:right w:w="0" w:type="dxa"/>
        </w:tblCellMar>
        <w:tblLook w:val="01E0"/>
      </w:tblPr>
      <w:tblGrid>
        <w:gridCol w:w="848"/>
        <w:gridCol w:w="2552"/>
        <w:gridCol w:w="1699"/>
        <w:gridCol w:w="1844"/>
        <w:gridCol w:w="1702"/>
        <w:gridCol w:w="991"/>
      </w:tblGrid>
      <w:tr>
        <w:trPr>
          <w:trHeight w:val="322" w:hRule="exact"/>
        </w:trPr>
        <w:tc>
          <w:tcPr>
            <w:tcW w:w="848" w:type="dxa"/>
            <w:vMerge w:val="restart"/>
            <w:tcBorders>
              <w:top w:val="single" w:sz="4" w:space="0" w:color="000000"/>
              <w:left w:val="single" w:sz="4" w:space="0" w:color="000000"/>
              <w:right w:val="single" w:sz="4" w:space="0" w:color="000000"/>
            </w:tcBorders>
          </w:tcPr>
          <w:p>
            <w:pPr>
              <w:pStyle w:val="TableParagraph"/>
              <w:spacing w:line="264"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w:t>
            </w:r>
            <w:r>
              <w:rPr>
                <w:rFonts w:ascii="Microsoft JhengHei" w:hAnsi="Microsoft JhengHei" w:cs="Microsoft JhengHei" w:eastAsia="Microsoft JhengHei" w:hint="default"/>
                <w:sz w:val="21"/>
                <w:szCs w:val="21"/>
              </w:rPr>
            </w:r>
          </w:p>
          <w:p>
            <w:pPr>
              <w:pStyle w:val="TableParagraph"/>
              <w:spacing w:line="339"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81"/>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本报告期（元）</w:t>
            </w:r>
            <w:r>
              <w:rPr>
                <w:rFonts w:ascii="Microsoft JhengHei" w:hAnsi="Microsoft JhengHei" w:cs="Microsoft JhengHei" w:eastAsia="Microsoft JhengHei" w:hint="default"/>
                <w:sz w:val="21"/>
                <w:szCs w:val="21"/>
              </w:rPr>
            </w:r>
          </w:p>
        </w:tc>
        <w:tc>
          <w:tcPr>
            <w:tcW w:w="991" w:type="dxa"/>
            <w:vMerge w:val="restart"/>
            <w:tcBorders>
              <w:top w:val="single" w:sz="4" w:space="0" w:color="000000"/>
              <w:left w:val="single" w:sz="4" w:space="0" w:color="000000"/>
              <w:right w:val="single" w:sz="4" w:space="0" w:color="000000"/>
            </w:tcBorders>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占比</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2" w:hRule="exact"/>
        </w:trPr>
        <w:tc>
          <w:tcPr>
            <w:tcW w:w="848"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支出</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8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净收入</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收益</w:t>
            </w:r>
            <w:r>
              <w:rPr>
                <w:rFonts w:ascii="Microsoft JhengHei" w:hAnsi="Microsoft JhengHei" w:cs="Microsoft JhengHei" w:eastAsia="Microsoft JhengHei" w:hint="default"/>
                <w:sz w:val="21"/>
                <w:szCs w:val="21"/>
              </w:rPr>
            </w:r>
          </w:p>
        </w:tc>
        <w:tc>
          <w:tcPr>
            <w:tcW w:w="991" w:type="dxa"/>
            <w:vMerge/>
            <w:tcBorders>
              <w:left w:val="single" w:sz="4" w:space="0" w:color="000000"/>
              <w:bottom w:val="single" w:sz="4" w:space="0" w:color="000000"/>
              <w:right w:val="single" w:sz="4" w:space="0" w:color="000000"/>
            </w:tcBorders>
          </w:tcPr>
          <w:p>
            <w:pPr/>
          </w:p>
        </w:tc>
      </w:tr>
      <w:tr>
        <w:trPr>
          <w:trHeight w:val="404" w:hRule="exact"/>
        </w:trPr>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25"/>
                <w:szCs w:val="25"/>
              </w:rPr>
            </w:pPr>
          </w:p>
          <w:p>
            <w:pPr>
              <w:pStyle w:val="TableParagraph"/>
              <w:spacing w:line="273" w:lineRule="auto"/>
              <w:ind w:left="209" w:right="204"/>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6"/>
              <w:jc w:val="right"/>
              <w:rPr>
                <w:rFonts w:ascii="Times New Roman" w:hAnsi="Times New Roman" w:cs="Times New Roman" w:eastAsia="Times New Roman" w:hint="default"/>
                <w:sz w:val="21"/>
                <w:szCs w:val="21"/>
              </w:rPr>
            </w:pPr>
            <w:r>
              <w:rPr>
                <w:rFonts w:ascii="Times New Roman"/>
                <w:spacing w:val="-1"/>
                <w:sz w:val="21"/>
              </w:rPr>
              <w:t>952,264,654.23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158,163,973.40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794,100,680.83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43.67</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利息净收入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716,099,061.09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440,697,235.60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275,401,825.49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15.15</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447,343,553.75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24.60</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319,795,416.21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17.59</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汇兑收益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317,869.61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0.02</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其他业务收入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1,740,955.58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1,740,955.58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0.10</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25,066.21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20,274,453.01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1.12</w:t>
            </w:r>
          </w:p>
        </w:tc>
      </w:tr>
      <w:tr>
        <w:trPr>
          <w:trHeight w:val="404" w:hRule="exact"/>
        </w:trPr>
        <w:tc>
          <w:tcPr>
            <w:tcW w:w="848"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证券业务收入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收益小计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6"/>
              <w:jc w:val="right"/>
              <w:rPr>
                <w:rFonts w:ascii="Times New Roman" w:hAnsi="Times New Roman" w:cs="Times New Roman" w:eastAsia="Times New Roman" w:hint="default"/>
                <w:sz w:val="21"/>
                <w:szCs w:val="21"/>
              </w:rPr>
            </w:pPr>
            <w:r>
              <w:rPr>
                <w:rFonts w:ascii="Times New Roman"/>
                <w:spacing w:val="-1"/>
                <w:sz w:val="21"/>
              </w:rPr>
              <w:t>1,670,104,670.90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598,861,209.00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1,858,999,820.69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102.24</w:t>
            </w:r>
          </w:p>
        </w:tc>
      </w:tr>
      <w:tr>
        <w:trPr>
          <w:trHeight w:val="401" w:hRule="exact"/>
        </w:trPr>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73" w:lineRule="auto"/>
              <w:ind w:left="209" w:right="20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13,553,269.99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0.75</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-62,014,631.28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-3.41</w:t>
            </w:r>
          </w:p>
        </w:tc>
      </w:tr>
      <w:tr>
        <w:trPr>
          <w:trHeight w:val="401" w:hRule="exact"/>
        </w:trPr>
        <w:tc>
          <w:tcPr>
            <w:tcW w:w="848"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投资业务收入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收益小计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-48,461,361.29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-2.67</w:t>
            </w:r>
          </w:p>
        </w:tc>
      </w:tr>
      <w:tr>
        <w:trPr>
          <w:trHeight w:val="403" w:hRule="exact"/>
        </w:trPr>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0"/>
              <w:ind w:right="0"/>
              <w:jc w:val="left"/>
              <w:rPr>
                <w:rFonts w:ascii="Microsoft JhengHei" w:hAnsi="Microsoft JhengHei" w:cs="Microsoft JhengHei" w:eastAsia="Microsoft JhengHei" w:hint="default"/>
                <w:b/>
                <w:bCs/>
                <w:sz w:val="22"/>
                <w:szCs w:val="22"/>
              </w:rPr>
            </w:pPr>
          </w:p>
          <w:p>
            <w:pPr>
              <w:pStyle w:val="TableParagraph"/>
              <w:spacing w:line="273" w:lineRule="auto"/>
              <w:ind w:left="209" w:right="204"/>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主营业务收入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36,299,552.90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36,299,552.90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2.00</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其他业务收入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58,979,244.48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58,979,244.48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3.24</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382,765,657.81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21.05</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-118,308,416.63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-6.51</w:t>
            </w:r>
          </w:p>
        </w:tc>
      </w:tr>
      <w:tr>
        <w:trPr>
          <w:trHeight w:val="404"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165,906.14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z w:val="21"/>
              </w:rPr>
              <w:t>0.01</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15,529.69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848"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其他业务收入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收益小计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95,278,797.38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359,917,474.39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19.79</w:t>
            </w:r>
          </w:p>
        </w:tc>
      </w:tr>
      <w:tr>
        <w:trPr>
          <w:trHeight w:val="401" w:hRule="exact"/>
        </w:trPr>
        <w:tc>
          <w:tcPr>
            <w:tcW w:w="3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合并抵销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95,669,177.31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32,546,395.94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352,170,424.91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19.37</w:t>
            </w:r>
          </w:p>
        </w:tc>
      </w:tr>
      <w:tr>
        <w:trPr>
          <w:trHeight w:val="403" w:hRule="exact"/>
        </w:trPr>
        <w:tc>
          <w:tcPr>
            <w:tcW w:w="3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集团合并收入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收益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1,669,714,290.97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566,314,813.06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1,818,285,508.88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8"/>
        <w:rPr>
          <w:rFonts w:ascii="Microsoft JhengHei" w:hAnsi="Microsoft JhengHei" w:cs="Microsoft JhengHei" w:eastAsia="Microsoft JhengHei" w:hint="default"/>
          <w:b/>
          <w:bCs/>
          <w:sz w:val="22"/>
          <w:szCs w:val="22"/>
        </w:rPr>
      </w:pPr>
    </w:p>
    <w:tbl>
      <w:tblPr>
        <w:tblW w:w="0" w:type="auto"/>
        <w:jc w:val="left"/>
        <w:tblInd w:w="150" w:type="dxa"/>
        <w:tblLayout w:type="fixed"/>
        <w:tblCellMar>
          <w:top w:w="0" w:type="dxa"/>
          <w:left w:w="0" w:type="dxa"/>
          <w:bottom w:w="0" w:type="dxa"/>
          <w:right w:w="0" w:type="dxa"/>
        </w:tblCellMar>
        <w:tblLook w:val="01E0"/>
      </w:tblPr>
      <w:tblGrid>
        <w:gridCol w:w="848"/>
        <w:gridCol w:w="2552"/>
        <w:gridCol w:w="1699"/>
        <w:gridCol w:w="1844"/>
        <w:gridCol w:w="1702"/>
        <w:gridCol w:w="991"/>
      </w:tblGrid>
      <w:tr>
        <w:trPr>
          <w:trHeight w:val="324" w:hRule="exact"/>
        </w:trPr>
        <w:tc>
          <w:tcPr>
            <w:tcW w:w="848" w:type="dxa"/>
            <w:vMerge w:val="restart"/>
            <w:tcBorders>
              <w:top w:val="single" w:sz="4" w:space="0" w:color="000000"/>
              <w:left w:val="single" w:sz="4" w:space="0" w:color="000000"/>
              <w:right w:val="single" w:sz="4" w:space="0" w:color="000000"/>
            </w:tcBorders>
          </w:tcPr>
          <w:p>
            <w:pPr>
              <w:pStyle w:val="TableParagraph"/>
              <w:spacing w:line="267"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w:t>
            </w:r>
            <w:r>
              <w:rPr>
                <w:rFonts w:ascii="Microsoft JhengHei" w:hAnsi="Microsoft JhengHei" w:cs="Microsoft JhengHei" w:eastAsia="Microsoft JhengHei" w:hint="default"/>
                <w:sz w:val="21"/>
                <w:szCs w:val="21"/>
              </w:rPr>
            </w:r>
          </w:p>
          <w:p>
            <w:pPr>
              <w:pStyle w:val="TableParagraph"/>
              <w:spacing w:line="339"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8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上年同期（元）</w:t>
            </w:r>
            <w:r>
              <w:rPr>
                <w:rFonts w:ascii="Microsoft JhengHei" w:hAnsi="Microsoft JhengHei" w:cs="Microsoft JhengHei" w:eastAsia="Microsoft JhengHei" w:hint="default"/>
                <w:sz w:val="21"/>
                <w:szCs w:val="21"/>
              </w:rPr>
            </w:r>
          </w:p>
        </w:tc>
        <w:tc>
          <w:tcPr>
            <w:tcW w:w="991" w:type="dxa"/>
            <w:vMerge w:val="restart"/>
            <w:tcBorders>
              <w:top w:val="single" w:sz="4" w:space="0" w:color="000000"/>
              <w:left w:val="single" w:sz="4" w:space="0" w:color="000000"/>
              <w:right w:val="single" w:sz="4" w:space="0" w:color="000000"/>
            </w:tcBorders>
          </w:tcPr>
          <w:p>
            <w:pPr>
              <w:pStyle w:val="TableParagraph"/>
              <w:spacing w:line="26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占比</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2" w:hRule="exact"/>
        </w:trPr>
        <w:tc>
          <w:tcPr>
            <w:tcW w:w="848"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支出</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8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净收入</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收益</w:t>
            </w:r>
            <w:r>
              <w:rPr>
                <w:rFonts w:ascii="Microsoft JhengHei" w:hAnsi="Microsoft JhengHei" w:cs="Microsoft JhengHei" w:eastAsia="Microsoft JhengHei" w:hint="default"/>
                <w:sz w:val="21"/>
                <w:szCs w:val="21"/>
              </w:rPr>
            </w:r>
          </w:p>
        </w:tc>
        <w:tc>
          <w:tcPr>
            <w:tcW w:w="991" w:type="dxa"/>
            <w:vMerge/>
            <w:tcBorders>
              <w:left w:val="single" w:sz="4" w:space="0" w:color="000000"/>
              <w:bottom w:val="single" w:sz="4" w:space="0" w:color="000000"/>
              <w:right w:val="single" w:sz="4" w:space="0" w:color="000000"/>
            </w:tcBorders>
          </w:tcPr>
          <w:p>
            <w:pPr/>
          </w:p>
        </w:tc>
      </w:tr>
      <w:tr>
        <w:trPr>
          <w:trHeight w:val="401" w:hRule="exact"/>
        </w:trPr>
        <w:tc>
          <w:tcPr>
            <w:tcW w:w="848" w:type="dxa"/>
            <w:vMerge w:val="restart"/>
            <w:tcBorders>
              <w:top w:val="single" w:sz="4" w:space="0" w:color="000000"/>
              <w:left w:val="single" w:sz="4" w:space="0" w:color="000000"/>
              <w:right w:val="single" w:sz="4" w:space="0" w:color="000000"/>
            </w:tcBorders>
          </w:tcPr>
          <w:p>
            <w:pPr>
              <w:pStyle w:val="TableParagraph"/>
              <w:spacing w:line="273" w:lineRule="auto" w:before="71"/>
              <w:ind w:left="209" w:right="204"/>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手续费及佣金净收入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635,660,165.18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125,392,565.52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5" w:right="0"/>
              <w:jc w:val="left"/>
              <w:rPr>
                <w:rFonts w:ascii="Times New Roman" w:hAnsi="Times New Roman" w:cs="Times New Roman" w:eastAsia="Times New Roman" w:hint="default"/>
                <w:sz w:val="21"/>
                <w:szCs w:val="21"/>
              </w:rPr>
            </w:pPr>
            <w:r>
              <w:rPr>
                <w:rFonts w:ascii="Times New Roman"/>
                <w:sz w:val="21"/>
              </w:rPr>
              <w:t>510,267,599.66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62.00</w:t>
            </w:r>
          </w:p>
        </w:tc>
      </w:tr>
      <w:tr>
        <w:trPr>
          <w:trHeight w:val="403" w:hRule="exact"/>
        </w:trPr>
        <w:tc>
          <w:tcPr>
            <w:tcW w:w="848"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利息净收入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2"/>
                <w:sz w:val="21"/>
              </w:rPr>
              <w:t>574,226,811.41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357,524,959.72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5" w:right="0"/>
              <w:jc w:val="left"/>
              <w:rPr>
                <w:rFonts w:ascii="Times New Roman" w:hAnsi="Times New Roman" w:cs="Times New Roman" w:eastAsia="Times New Roman" w:hint="default"/>
                <w:sz w:val="21"/>
                <w:szCs w:val="21"/>
              </w:rPr>
            </w:pPr>
            <w:r>
              <w:rPr>
                <w:rFonts w:ascii="Times New Roman"/>
                <w:sz w:val="21"/>
              </w:rPr>
              <w:t>216,701,851.69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26.33</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50" w:type="dxa"/>
        <w:tblLayout w:type="fixed"/>
        <w:tblCellMar>
          <w:top w:w="0" w:type="dxa"/>
          <w:left w:w="0" w:type="dxa"/>
          <w:bottom w:w="0" w:type="dxa"/>
          <w:right w:w="0" w:type="dxa"/>
        </w:tblCellMar>
        <w:tblLook w:val="01E0"/>
      </w:tblPr>
      <w:tblGrid>
        <w:gridCol w:w="848"/>
        <w:gridCol w:w="2552"/>
        <w:gridCol w:w="1699"/>
        <w:gridCol w:w="1844"/>
        <w:gridCol w:w="1702"/>
        <w:gridCol w:w="991"/>
      </w:tblGrid>
      <w:tr>
        <w:trPr>
          <w:trHeight w:val="401" w:hRule="exact"/>
        </w:trPr>
        <w:tc>
          <w:tcPr>
            <w:tcW w:w="848" w:type="dxa"/>
            <w:vMerge w:val="restart"/>
            <w:tcBorders>
              <w:top w:val="single" w:sz="4" w:space="0" w:color="000000"/>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-451,297,426.32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-54.84</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2"/>
                <w:sz w:val="21"/>
              </w:rPr>
              <w:t>331,811,946.35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40.32</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汇兑收益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842,883.91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0.10</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其他业务收入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2,201,723.38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2,201,723.38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0.27</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-45,902.24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-0.01</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2,746,446.57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0.33</w:t>
            </w:r>
          </w:p>
        </w:tc>
      </w:tr>
      <w:tr>
        <w:trPr>
          <w:trHeight w:val="401" w:hRule="exact"/>
        </w:trPr>
        <w:tc>
          <w:tcPr>
            <w:tcW w:w="848"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证券业务收入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收益小计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1,212,088,699.97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482,917,525.24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613,229,123.00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74.51</w:t>
            </w:r>
          </w:p>
        </w:tc>
      </w:tr>
      <w:tr>
        <w:trPr>
          <w:trHeight w:val="403" w:hRule="exact"/>
        </w:trPr>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73" w:lineRule="auto"/>
              <w:ind w:left="209" w:right="20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28,791,282.50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3.50</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其他业务收入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2,286.00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2,286.00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848"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投资业务收入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收益小计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2,286.00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28,793,568.50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3.50</w:t>
            </w:r>
          </w:p>
        </w:tc>
      </w:tr>
      <w:tr>
        <w:trPr>
          <w:trHeight w:val="401" w:hRule="exact"/>
        </w:trPr>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7"/>
                <w:szCs w:val="27"/>
              </w:rPr>
            </w:pPr>
          </w:p>
          <w:p>
            <w:pPr>
              <w:pStyle w:val="TableParagraph"/>
              <w:spacing w:line="273" w:lineRule="auto"/>
              <w:ind w:left="209" w:right="204"/>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315,644,467.51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38.35</w:t>
            </w:r>
          </w:p>
        </w:tc>
      </w:tr>
      <w:tr>
        <w:trPr>
          <w:trHeight w:val="403"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其他业务收入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63,934,412.14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63,934,412.14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7.77</w:t>
            </w:r>
          </w:p>
        </w:tc>
      </w:tr>
      <w:tr>
        <w:trPr>
          <w:trHeight w:val="401" w:hRule="exact"/>
        </w:trPr>
        <w:tc>
          <w:tcPr>
            <w:tcW w:w="848" w:type="dxa"/>
            <w:vMerge/>
            <w:tcBorders>
              <w:left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42,621.49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0.01</w:t>
            </w:r>
          </w:p>
        </w:tc>
      </w:tr>
      <w:tr>
        <w:trPr>
          <w:trHeight w:val="403" w:hRule="exact"/>
        </w:trPr>
        <w:tc>
          <w:tcPr>
            <w:tcW w:w="848"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其他业务收入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收益小计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63,934,412.14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379,621,501.14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46.13</w:t>
            </w:r>
          </w:p>
        </w:tc>
      </w:tr>
      <w:tr>
        <w:trPr>
          <w:trHeight w:val="401" w:hRule="exact"/>
        </w:trPr>
        <w:tc>
          <w:tcPr>
            <w:tcW w:w="3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合并抵销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64,283,220.39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198,644,485.14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24.14</w:t>
            </w:r>
          </w:p>
        </w:tc>
      </w:tr>
      <w:tr>
        <w:trPr>
          <w:trHeight w:val="403" w:hRule="exact"/>
        </w:trPr>
        <w:tc>
          <w:tcPr>
            <w:tcW w:w="3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集团合并收入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收益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2"/>
                <w:sz w:val="21"/>
              </w:rPr>
              <w:t>1,211,742,177.72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482,917,525.24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822,999,707.50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56" w:lineRule="auto" w:before="28"/>
        <w:ind w:right="1126"/>
        <w:jc w:val="both"/>
      </w:pPr>
      <w:r>
        <w:rPr>
          <w:spacing w:val="-5"/>
        </w:rPr>
        <w:t>注：</w:t>
      </w:r>
      <w:r>
        <w:rPr>
          <w:rFonts w:ascii="Times New Roman" w:hAnsi="Times New Roman" w:cs="Times New Roman" w:eastAsia="Times New Roman" w:hint="default"/>
          <w:spacing w:val="-5"/>
        </w:rPr>
        <w:t>1</w:t>
      </w:r>
      <w:r>
        <w:rPr>
          <w:spacing w:val="-5"/>
        </w:rPr>
        <w:t>、鉴于本集团从事证券、投资、金融科技等多种经营，且主要收入和利润来源于证券业务，本表意图</w:t>
      </w:r>
      <w:r>
        <w:rPr>
          <w:spacing w:val="-6"/>
        </w:rPr>
        <w:t> </w:t>
      </w:r>
      <w:r>
        <w:rPr>
          <w:spacing w:val="-6"/>
        </w:rPr>
      </w:r>
      <w:r>
        <w:rPr>
          <w:spacing w:val="-3"/>
        </w:rPr>
        <w:t>反映总收入</w:t>
      </w:r>
      <w:r>
        <w:rPr>
          <w:rFonts w:ascii="Times New Roman" w:hAnsi="Times New Roman" w:cs="Times New Roman" w:eastAsia="Times New Roman" w:hint="default"/>
          <w:spacing w:val="-3"/>
        </w:rPr>
        <w:t>/</w:t>
      </w:r>
      <w:r>
        <w:rPr>
          <w:spacing w:val="-3"/>
        </w:rPr>
        <w:t>收益中来源于各业务板块的收入</w:t>
      </w:r>
      <w:r>
        <w:rPr>
          <w:rFonts w:ascii="Times New Roman" w:hAnsi="Times New Roman" w:cs="Times New Roman" w:eastAsia="Times New Roman" w:hint="default"/>
          <w:spacing w:val="-3"/>
        </w:rPr>
        <w:t>/</w:t>
      </w:r>
      <w:r>
        <w:rPr>
          <w:spacing w:val="-3"/>
        </w:rPr>
        <w:t>收益构成，以此替代一般企业收入构成披露。</w:t>
      </w:r>
      <w:r>
        <w:rPr>
          <w:rFonts w:ascii="Times New Roman" w:hAnsi="Times New Roman" w:cs="Times New Roman" w:eastAsia="Times New Roman" w:hint="default"/>
          <w:spacing w:val="-3"/>
        </w:rPr>
        <w:t>2</w:t>
      </w:r>
      <w:r>
        <w:rPr>
          <w:spacing w:val="-3"/>
        </w:rPr>
        <w:t>、由于证券行</w:t>
      </w:r>
      <w:r>
        <w:rPr>
          <w:spacing w:val="-6"/>
        </w:rPr>
        <w:t> </w:t>
      </w:r>
      <w:r>
        <w:rPr>
          <w:spacing w:val="-6"/>
        </w:rPr>
      </w:r>
      <w:r>
        <w:rPr/>
        <w:t>业的特殊要求，本表</w:t>
      </w:r>
      <w:r>
        <w:rPr>
          <w:rFonts w:ascii="Times New Roman" w:hAnsi="Times New Roman" w:cs="Times New Roman" w:eastAsia="Times New Roman" w:hint="default"/>
        </w:rPr>
        <w:t>“</w:t>
      </w:r>
      <w:r>
        <w:rPr/>
        <w:t>净收入</w:t>
      </w:r>
      <w:r>
        <w:rPr>
          <w:rFonts w:ascii="Times New Roman" w:hAnsi="Times New Roman" w:cs="Times New Roman" w:eastAsia="Times New Roman" w:hint="default"/>
        </w:rPr>
        <w:t>/</w:t>
      </w:r>
      <w:r>
        <w:rPr/>
        <w:t>收益</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净收入</w:t>
      </w:r>
      <w:r>
        <w:rPr>
          <w:rFonts w:ascii="Times New Roman" w:hAnsi="Times New Roman" w:cs="Times New Roman" w:eastAsia="Times New Roman" w:hint="default"/>
        </w:rPr>
        <w:t>”</w:t>
      </w:r>
      <w:r>
        <w:rPr/>
        <w:t>仅适用于证券行业手续费及佣金净收入以及利息净收入。</w:t>
      </w:r>
    </w:p>
    <w:p>
      <w:pPr>
        <w:spacing w:line="240" w:lineRule="auto" w:before="0"/>
        <w:rPr>
          <w:rFonts w:ascii="宋体" w:hAnsi="宋体" w:cs="宋体" w:eastAsia="宋体" w:hint="default"/>
          <w:sz w:val="18"/>
          <w:szCs w:val="18"/>
        </w:rPr>
      </w:pPr>
    </w:p>
    <w:p>
      <w:pPr>
        <w:tabs>
          <w:tab w:pos="7058" w:val="left" w:leader="none"/>
        </w:tabs>
        <w:spacing w:before="0"/>
        <w:ind w:left="152" w:right="0" w:firstLine="0"/>
        <w:jc w:val="both"/>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）占本集团收入或利润</w:t>
      </w:r>
      <w:r>
        <w:rPr>
          <w:rFonts w:ascii="Microsoft JhengHei" w:hAnsi="Microsoft JhengHei" w:cs="Microsoft JhengHei" w:eastAsia="Microsoft JhengHei" w:hint="default"/>
          <w:b/>
          <w:bCs/>
          <w:spacing w:val="17"/>
          <w:sz w:val="21"/>
          <w:szCs w:val="21"/>
        </w:rPr>
        <w:t> </w:t>
      </w: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以上的行业、产品或地区情况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0" w:right="1340"/>
        <w:jc w:val="right"/>
      </w:pPr>
      <w:r>
        <w:rPr>
          <w:spacing w:val="-1"/>
        </w:rPr>
        <w:t>单位：元</w:t>
      </w:r>
    </w:p>
    <w:p>
      <w:pPr>
        <w:spacing w:line="240" w:lineRule="auto" w:before="0"/>
        <w:rPr>
          <w:rFonts w:ascii="宋体" w:hAnsi="宋体" w:cs="宋体" w:eastAsia="宋体" w:hint="default"/>
          <w:sz w:val="20"/>
          <w:szCs w:val="20"/>
        </w:rPr>
      </w:pPr>
    </w:p>
    <w:p>
      <w:pPr>
        <w:pStyle w:val="Heading4"/>
        <w:spacing w:line="240" w:lineRule="auto" w:before="112"/>
        <w:ind w:left="0" w:right="1114"/>
        <w:jc w:val="right"/>
        <w:rPr>
          <w:b w:val="0"/>
          <w:bCs w:val="0"/>
        </w:rPr>
      </w:pPr>
      <w:r>
        <w:rPr/>
        <w:pict>
          <v:shape style="position:absolute;margin-left:58.080002pt;margin-top:-8.555574pt;width:479.4pt;height:116.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1558"/>
                    <w:gridCol w:w="1561"/>
                    <w:gridCol w:w="991"/>
                    <w:gridCol w:w="1419"/>
                    <w:gridCol w:w="1419"/>
                    <w:gridCol w:w="1666"/>
                  </w:tblGrid>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支出</w:t>
                        </w:r>
                        <w:r>
                          <w:rPr>
                            <w:rFonts w:ascii="Microsoft JhengHei" w:hAnsi="Microsoft JhengHei" w:cs="Microsoft JhengHei" w:eastAsia="Microsoft JhengHei"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4"/>
                          <w:ind w:left="23" w:right="-1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2"/>
                            <w:sz w:val="21"/>
                            <w:szCs w:val="21"/>
                          </w:rPr>
                          <w:t>营业利润</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率（</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4"/>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5"/>
                            <w:sz w:val="21"/>
                            <w:szCs w:val="21"/>
                          </w:rPr>
                          <w:t>收入比上年同</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z w:val="21"/>
                            <w:szCs w:val="21"/>
                          </w:rPr>
                          <w:t>期增减（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4"/>
                          <w:ind w:left="23" w:right="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5"/>
                            <w:sz w:val="21"/>
                            <w:szCs w:val="21"/>
                          </w:rPr>
                          <w:t>支出比上年同</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z w:val="21"/>
                            <w:szCs w:val="21"/>
                          </w:rPr>
                          <w:t>期增减（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4"/>
                          <w:ind w:left="23" w:right="-1"/>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pacing w:val="17"/>
                            <w:sz w:val="21"/>
                            <w:szCs w:val="21"/>
                          </w:rPr>
                          <w:t>营业利润率比上</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z w:val="21"/>
                            <w:szCs w:val="21"/>
                          </w:rPr>
                          <w:t>年同期增减（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8"/>
                          <w:jc w:val="center"/>
                          <w:rPr>
                            <w:rFonts w:ascii="宋体" w:hAnsi="宋体" w:cs="宋体" w:eastAsia="宋体" w:hint="default"/>
                            <w:sz w:val="21"/>
                            <w:szCs w:val="21"/>
                          </w:rPr>
                        </w:pPr>
                        <w:r>
                          <w:rPr>
                            <w:rFonts w:ascii="宋体" w:hAnsi="宋体" w:cs="宋体" w:eastAsia="宋体" w:hint="default"/>
                            <w:sz w:val="21"/>
                            <w:szCs w:val="21"/>
                          </w:rPr>
                          <w:t>证券行业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1,858,999,820.69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1,440,540,145.57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22.51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203.15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64.78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65.07</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
                          <w:jc w:val="center"/>
                          <w:rPr>
                            <w:rFonts w:ascii="宋体" w:hAnsi="宋体" w:cs="宋体" w:eastAsia="宋体" w:hint="default"/>
                            <w:sz w:val="21"/>
                            <w:szCs w:val="21"/>
                          </w:rPr>
                        </w:pPr>
                        <w:r>
                          <w:rPr>
                            <w:rFonts w:ascii="宋体" w:hAnsi="宋体" w:cs="宋体" w:eastAsia="宋体" w:hint="default"/>
                            <w:sz w:val="21"/>
                            <w:szCs w:val="21"/>
                          </w:rPr>
                          <w:t>投资行业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-48,461,361.29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28,693,242.99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-159.21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-268.31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-76.17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159.02</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
                          <w:jc w:val="center"/>
                          <w:rPr>
                            <w:rFonts w:ascii="宋体" w:hAnsi="宋体" w:cs="宋体" w:eastAsia="宋体" w:hint="default"/>
                            <w:sz w:val="21"/>
                            <w:szCs w:val="21"/>
                          </w:rPr>
                        </w:pPr>
                        <w:r>
                          <w:rPr>
                            <w:rFonts w:ascii="宋体" w:hAnsi="宋体" w:cs="宋体" w:eastAsia="宋体" w:hint="default"/>
                            <w:sz w:val="21"/>
                            <w:szCs w:val="21"/>
                          </w:rPr>
                          <w:t>其他行业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359,917,474.39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451,081,932.07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10.71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-17.93</w:t>
                        </w:r>
                      </w:p>
                    </w:tc>
                  </w:tr>
                </w:tbl>
                <w:p>
                  <w:pPr/>
                </w:p>
              </w:txbxContent>
            </v:textbox>
            <w10:wrap type="none"/>
          </v:shape>
        </w:pict>
      </w:r>
      <w:r>
        <w:rPr>
          <w:w w:val="100"/>
        </w:rPr>
        <w:t>）</w:t>
      </w:r>
      <w:r>
        <w:rPr>
          <w:b w:val="0"/>
          <w:bCs w:val="0"/>
          <w:w w:val="10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6"/>
          <w:szCs w:val="16"/>
        </w:rPr>
      </w:pPr>
    </w:p>
    <w:p>
      <w:pPr>
        <w:pStyle w:val="BodyText"/>
        <w:spacing w:line="256" w:lineRule="auto" w:before="36"/>
        <w:ind w:right="0"/>
        <w:jc w:val="left"/>
      </w:pPr>
      <w:r>
        <w:rPr/>
        <w:t>注：本表证券业务收入口径同上表</w:t>
      </w:r>
      <w:r>
        <w:rPr>
          <w:rFonts w:ascii="Times New Roman" w:hAnsi="Times New Roman" w:cs="Times New Roman" w:eastAsia="Times New Roman" w:hint="default"/>
        </w:rPr>
        <w:t>“</w:t>
      </w:r>
      <w:r>
        <w:rPr/>
        <w:t>净收入</w:t>
      </w:r>
      <w:r>
        <w:rPr>
          <w:rFonts w:ascii="Times New Roman" w:hAnsi="Times New Roman" w:cs="Times New Roman" w:eastAsia="Times New Roman" w:hint="default"/>
        </w:rPr>
        <w:t>/</w:t>
      </w:r>
      <w:r>
        <w:rPr/>
        <w:t>收益</w:t>
      </w:r>
      <w:r>
        <w:rPr>
          <w:rFonts w:ascii="Times New Roman" w:hAnsi="Times New Roman" w:cs="Times New Roman" w:eastAsia="Times New Roman" w:hint="default"/>
        </w:rPr>
        <w:t>”</w:t>
      </w:r>
      <w:r>
        <w:rPr/>
        <w:t>。本表支出包括营业成本、税金及附加、销售费用、管</w:t>
      </w:r>
      <w:r>
        <w:rPr>
          <w:w w:val="100"/>
        </w:rPr>
        <w:t> </w:t>
      </w:r>
      <w:r>
        <w:rPr/>
        <w:t>理费用、研发费用、财务费用、信用减值损失、资产减值损失。</w:t>
      </w:r>
    </w:p>
    <w:p>
      <w:pPr>
        <w:spacing w:line="240" w:lineRule="auto" w:before="0"/>
        <w:rPr>
          <w:rFonts w:ascii="宋体" w:hAnsi="宋体" w:cs="宋体" w:eastAsia="宋体" w:hint="default"/>
          <w:sz w:val="20"/>
          <w:szCs w:val="20"/>
        </w:rPr>
      </w:pPr>
    </w:p>
    <w:p>
      <w:pPr>
        <w:pStyle w:val="BodyText"/>
        <w:tabs>
          <w:tab w:pos="8134" w:val="left" w:leader="none"/>
        </w:tabs>
        <w:spacing w:line="256" w:lineRule="auto" w:before="154"/>
        <w:ind w:right="1126"/>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98"/>
        </w:rPr>
        <w:t> </w:t>
      </w:r>
      <w:r>
        <w:rPr>
          <w:spacing w:val="-98"/>
        </w:rPr>
      </w:r>
      <w:r>
        <w:rPr/>
        <w:t>数据</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4"/>
        <w:rPr>
          <w:rFonts w:ascii="宋体" w:hAnsi="宋体" w:cs="宋体" w:eastAsia="宋体" w:hint="default"/>
          <w:sz w:val="30"/>
          <w:szCs w:val="30"/>
        </w:rPr>
      </w:pPr>
    </w:p>
    <w:p>
      <w:pPr>
        <w:pStyle w:val="BodyText"/>
        <w:tabs>
          <w:tab w:pos="8048" w:val="left" w:leader="none"/>
        </w:tabs>
        <w:spacing w:line="290" w:lineRule="auto"/>
        <w:ind w:left="573" w:right="1126" w:hanging="421"/>
        <w:jc w:val="left"/>
      </w:pPr>
      <w:r>
        <w:rPr/>
        <w:t>相关数据同比发生变动</w:t>
      </w:r>
      <w:r>
        <w:rPr>
          <w:spacing w:val="-59"/>
        </w:rPr>
        <w:t> </w:t>
      </w:r>
      <w:r>
        <w:rPr>
          <w:rFonts w:ascii="Times New Roman" w:hAnsi="Times New Roman" w:cs="Times New Roman" w:eastAsia="Times New Roman" w:hint="default"/>
        </w:rPr>
        <w:t>30%</w:t>
      </w:r>
      <w:r>
        <w:rPr/>
        <w:t>以上的原因说明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证券业务营业利润率较上年同期增加 </w:t>
      </w:r>
      <w:r>
        <w:rPr>
          <w:rFonts w:ascii="Times New Roman" w:hAnsi="Times New Roman" w:cs="Times New Roman" w:eastAsia="Times New Roman" w:hint="default"/>
        </w:rPr>
        <w:t>65.07</w:t>
      </w:r>
      <w:r>
        <w:rPr>
          <w:rFonts w:ascii="Times New Roman" w:hAnsi="Times New Roman" w:cs="Times New Roman" w:eastAsia="Times New Roman" w:hint="default"/>
          <w:spacing w:val="-29"/>
        </w:rPr>
        <w:t> </w:t>
      </w:r>
      <w:r>
        <w:rPr/>
        <w:t>个百分点，主要系国内证券市场回暖，国盛证券各项子业</w:t>
      </w:r>
    </w:p>
    <w:p>
      <w:pPr>
        <w:spacing w:after="0" w:line="29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8" w:lineRule="auto" w:before="36"/>
        <w:ind w:right="0"/>
        <w:jc w:val="left"/>
      </w:pPr>
      <w:r>
        <w:rPr/>
        <w:t>务稳步推进，股票自营形成的公允价值变动收益同比增长，证券经纪、投资银行、股票质押、融资融券、</w:t>
      </w:r>
      <w:r>
        <w:rPr>
          <w:spacing w:val="-24"/>
        </w:rPr>
        <w:t> </w:t>
      </w:r>
      <w:r>
        <w:rPr>
          <w:spacing w:val="-24"/>
        </w:rPr>
      </w:r>
      <w:r>
        <w:rPr>
          <w:spacing w:val="-2"/>
        </w:rPr>
        <w:t>投研服务收入均有所增长，导致本期证券业务收入同比增长，且增幅大于相关支出增长幅度，营业利润率</w:t>
      </w:r>
      <w:r>
        <w:rPr>
          <w:spacing w:val="-45"/>
        </w:rPr>
        <w:t> </w:t>
      </w:r>
      <w:r>
        <w:rPr>
          <w:spacing w:val="-45"/>
        </w:rPr>
      </w:r>
      <w:r>
        <w:rPr>
          <w:spacing w:val="-3"/>
        </w:rPr>
        <w:t>较上年同期增加。投资业务营业利润率较上年同期增加 </w:t>
      </w:r>
      <w:r>
        <w:rPr>
          <w:rFonts w:ascii="Times New Roman" w:hAnsi="Times New Roman" w:cs="Times New Roman" w:eastAsia="Times New Roman" w:hint="default"/>
        </w:rPr>
        <w:t>159.02 </w:t>
      </w:r>
      <w:r>
        <w:rPr>
          <w:spacing w:val="-4"/>
        </w:rPr>
        <w:t>个百分点，主要原因为本期投资业务计提的</w:t>
      </w:r>
      <w:r>
        <w:rPr>
          <w:spacing w:val="-88"/>
        </w:rPr>
        <w:t> </w:t>
      </w:r>
      <w:r>
        <w:rPr>
          <w:spacing w:val="-88"/>
        </w:rPr>
      </w:r>
      <w:r>
        <w:rPr>
          <w:spacing w:val="-2"/>
        </w:rPr>
        <w:t>减值损失减少导致投资业务支出同比减少。其他业务营业利润率较上年同期下降，主要系金融科技业务管</w:t>
      </w:r>
      <w:r>
        <w:rPr>
          <w:spacing w:val="-42"/>
        </w:rPr>
        <w:t> </w:t>
      </w:r>
      <w:r>
        <w:rPr>
          <w:spacing w:val="-42"/>
        </w:rPr>
      </w:r>
      <w:r>
        <w:rPr/>
        <w:t>理费用、研发费用增加以及集合资金信托计划公允价值变动收益减少导致。</w:t>
      </w:r>
    </w:p>
    <w:p>
      <w:pPr>
        <w:spacing w:line="240" w:lineRule="auto" w:before="10"/>
        <w:rPr>
          <w:rFonts w:ascii="宋体" w:hAnsi="宋体" w:cs="宋体" w:eastAsia="宋体" w:hint="default"/>
          <w:sz w:val="18"/>
          <w:szCs w:val="18"/>
        </w:rPr>
      </w:pPr>
    </w:p>
    <w:p>
      <w:pPr>
        <w:tabs>
          <w:tab w:pos="8797"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w:t>
      </w: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）公司实物销售收入是否大于劳务收入</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240" w:lineRule="auto" w:before="0"/>
        <w:rPr>
          <w:rFonts w:ascii="宋体" w:hAnsi="宋体" w:cs="宋体" w:eastAsia="宋体" w:hint="default"/>
          <w:sz w:val="19"/>
          <w:szCs w:val="19"/>
        </w:rPr>
      </w:pPr>
    </w:p>
    <w:p>
      <w:pPr>
        <w:tabs>
          <w:tab w:pos="8156"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）公司已签订的重大销售合同截至本报告期的履行情况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11"/>
        <w:rPr>
          <w:rFonts w:ascii="宋体" w:hAnsi="宋体" w:cs="宋体" w:eastAsia="宋体" w:hint="default"/>
          <w:sz w:val="18"/>
          <w:szCs w:val="18"/>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5</w:t>
      </w:r>
      <w:r>
        <w:rPr/>
        <w:t>）本集团支出构成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52" w:type="dxa"/>
        <w:tblLayout w:type="fixed"/>
        <w:tblCellMar>
          <w:top w:w="0" w:type="dxa"/>
          <w:left w:w="0" w:type="dxa"/>
          <w:bottom w:w="0" w:type="dxa"/>
          <w:right w:w="0" w:type="dxa"/>
        </w:tblCellMar>
        <w:tblLook w:val="01E0"/>
      </w:tblPr>
      <w:tblGrid>
        <w:gridCol w:w="744"/>
        <w:gridCol w:w="2410"/>
        <w:gridCol w:w="2055"/>
        <w:gridCol w:w="1262"/>
        <w:gridCol w:w="1897"/>
        <w:gridCol w:w="1262"/>
      </w:tblGrid>
      <w:tr>
        <w:trPr>
          <w:trHeight w:val="322" w:hRule="exact"/>
        </w:trPr>
        <w:tc>
          <w:tcPr>
            <w:tcW w:w="744" w:type="dxa"/>
            <w:vMerge w:val="restart"/>
            <w:tcBorders>
              <w:top w:val="single" w:sz="4" w:space="0" w:color="000000"/>
              <w:left w:val="single" w:sz="4" w:space="0" w:color="000000"/>
              <w:right w:val="single" w:sz="4" w:space="0" w:color="000000"/>
            </w:tcBorders>
          </w:tcPr>
          <w:p>
            <w:pPr>
              <w:pStyle w:val="TableParagraph"/>
              <w:spacing w:line="264" w:lineRule="exact"/>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w:t>
            </w:r>
            <w:r>
              <w:rPr>
                <w:rFonts w:ascii="Microsoft JhengHei" w:hAnsi="Microsoft JhengHei" w:cs="Microsoft JhengHei" w:eastAsia="Microsoft JhengHei" w:hint="default"/>
                <w:sz w:val="21"/>
                <w:szCs w:val="21"/>
              </w:rPr>
            </w:r>
          </w:p>
          <w:p>
            <w:pPr>
              <w:pStyle w:val="TableParagraph"/>
              <w:spacing w:line="339" w:lineRule="exact"/>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81"/>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w:t>
            </w:r>
            <w:r>
              <w:rPr>
                <w:rFonts w:ascii="Microsoft JhengHei" w:hAnsi="Microsoft JhengHei" w:cs="Microsoft JhengHei" w:eastAsia="Microsoft JhengHei" w:hint="default"/>
                <w:sz w:val="21"/>
                <w:szCs w:val="21"/>
              </w:rPr>
            </w:r>
          </w:p>
        </w:tc>
        <w:tc>
          <w:tcPr>
            <w:tcW w:w="3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上年同期</w:t>
            </w:r>
            <w:r>
              <w:rPr>
                <w:rFonts w:ascii="Microsoft JhengHei" w:hAnsi="Microsoft JhengHei" w:cs="Microsoft JhengHei" w:eastAsia="Microsoft JhengHei" w:hint="default"/>
                <w:sz w:val="21"/>
                <w:szCs w:val="21"/>
              </w:rPr>
            </w:r>
          </w:p>
        </w:tc>
      </w:tr>
      <w:tr>
        <w:trPr>
          <w:trHeight w:val="322" w:hRule="exact"/>
        </w:trPr>
        <w:tc>
          <w:tcPr>
            <w:tcW w:w="744" w:type="dxa"/>
            <w:vMerge/>
            <w:tcBorders>
              <w:left w:val="single" w:sz="4" w:space="0" w:color="000000"/>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占比（</w:t>
            </w:r>
            <w:r>
              <w:rPr>
                <w:rFonts w:ascii="Times New Roman" w:hAnsi="Times New Roman" w:cs="Times New Roman" w:eastAsia="Times New Roman" w:hint="default"/>
                <w:b/>
                <w:bCs/>
                <w:spacing w:val="-1"/>
                <w:sz w:val="21"/>
                <w:szCs w:val="21"/>
              </w:rPr>
              <w:t>%</w:t>
            </w:r>
            <w:r>
              <w:rPr>
                <w:rFonts w:ascii="Microsoft JhengHei" w:hAnsi="Microsoft JhengHei" w:cs="Microsoft JhengHei" w:eastAsia="Microsoft JhengHei" w:hint="default"/>
                <w:b/>
                <w:bCs/>
                <w:spacing w:val="-1"/>
                <w:sz w:val="21"/>
                <w:szCs w:val="21"/>
              </w:rPr>
              <w:t>）</w:t>
            </w:r>
            <w:r>
              <w:rPr>
                <w:rFonts w:ascii="Microsoft JhengHei" w:hAnsi="Microsoft JhengHei" w:cs="Microsoft JhengHei" w:eastAsia="Microsoft JhengHei" w:hint="default"/>
                <w:spacing w:val="-1"/>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占比（</w:t>
            </w:r>
            <w:r>
              <w:rPr>
                <w:rFonts w:ascii="Times New Roman" w:hAnsi="Times New Roman" w:cs="Times New Roman" w:eastAsia="Times New Roman" w:hint="default"/>
                <w:b/>
                <w:bCs/>
                <w:spacing w:val="-1"/>
                <w:sz w:val="21"/>
                <w:szCs w:val="21"/>
              </w:rPr>
              <w:t>%</w:t>
            </w:r>
            <w:r>
              <w:rPr>
                <w:rFonts w:ascii="Microsoft JhengHei" w:hAnsi="Microsoft JhengHei" w:cs="Microsoft JhengHei" w:eastAsia="Microsoft JhengHei" w:hint="default"/>
                <w:b/>
                <w:bCs/>
                <w:spacing w:val="-1"/>
                <w:sz w:val="21"/>
                <w:szCs w:val="21"/>
              </w:rPr>
              <w:t>）</w:t>
            </w:r>
            <w:r>
              <w:rPr>
                <w:rFonts w:ascii="Microsoft JhengHei" w:hAnsi="Microsoft JhengHei" w:cs="Microsoft JhengHei" w:eastAsia="Microsoft JhengHei" w:hint="default"/>
                <w:spacing w:val="-1"/>
                <w:sz w:val="21"/>
                <w:szCs w:val="21"/>
              </w:rPr>
            </w:r>
          </w:p>
        </w:tc>
      </w:tr>
      <w:tr>
        <w:trPr>
          <w:trHeight w:val="401"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73" w:lineRule="auto"/>
              <w:ind w:left="158" w:right="151"/>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9,505,020.34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0.53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6,639,293.86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0.46</w:t>
            </w:r>
          </w:p>
        </w:tc>
      </w:tr>
      <w:tr>
        <w:trPr>
          <w:trHeight w:val="403"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1,338,292,101.56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73.98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856,308,313.68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59.64</w:t>
            </w:r>
          </w:p>
        </w:tc>
      </w:tr>
      <w:tr>
        <w:trPr>
          <w:trHeight w:val="401"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2"/>
                <w:sz w:val="21"/>
              </w:rPr>
              <w:t>92,550,532.11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5.12</w:t>
            </w:r>
          </w:p>
        </w:tc>
        <w:tc>
          <w:tcPr>
            <w:tcW w:w="189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5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2"/>
                <w:sz w:val="21"/>
              </w:rPr>
              <w:t>11,044,787.87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0.77</w:t>
            </w:r>
          </w:p>
        </w:tc>
      </w:tr>
      <w:tr>
        <w:trPr>
          <w:trHeight w:val="401"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192,491.56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0.01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254,092.08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0.02</w:t>
            </w:r>
          </w:p>
        </w:tc>
      </w:tr>
      <w:tr>
        <w:trPr>
          <w:trHeight w:val="404" w:hRule="exact"/>
        </w:trPr>
        <w:tc>
          <w:tcPr>
            <w:tcW w:w="744"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证券业务支出小计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1,440,540,145.57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79.63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874,246,487.49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60.89</w:t>
            </w:r>
          </w:p>
        </w:tc>
      </w:tr>
      <w:tr>
        <w:trPr>
          <w:trHeight w:val="713"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73" w:lineRule="auto"/>
              <w:ind w:left="158" w:right="15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05" w:right="97"/>
              <w:jc w:val="left"/>
              <w:rPr>
                <w:rFonts w:ascii="宋体" w:hAnsi="宋体" w:cs="宋体" w:eastAsia="宋体" w:hint="default"/>
                <w:sz w:val="21"/>
                <w:szCs w:val="21"/>
              </w:rPr>
            </w:pPr>
            <w:r>
              <w:rPr>
                <w:rFonts w:ascii="宋体" w:hAnsi="宋体" w:cs="宋体" w:eastAsia="宋体" w:hint="default"/>
                <w:spacing w:val="7"/>
                <w:sz w:val="21"/>
                <w:szCs w:val="21"/>
              </w:rPr>
              <w:t>营业成本</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其他业务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成本</w:t>
            </w:r>
          </w:p>
        </w:tc>
        <w:tc>
          <w:tcPr>
            <w:tcW w:w="205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2,286.00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140,872.70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0.01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215.39</w:t>
            </w: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12,340,731.92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2"/>
                <w:sz w:val="21"/>
              </w:rPr>
              <w:t>11,433,393.87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0.80</w:t>
            </w:r>
          </w:p>
        </w:tc>
      </w:tr>
      <w:tr>
        <w:trPr>
          <w:trHeight w:val="403"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16,162,288.57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0.89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13,573,298.13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0.95</w:t>
            </w:r>
          </w:p>
        </w:tc>
      </w:tr>
      <w:tr>
        <w:trPr>
          <w:trHeight w:val="401"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49,349.80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0.00</w:t>
            </w:r>
          </w:p>
        </w:tc>
        <w:tc>
          <w:tcPr>
            <w:tcW w:w="189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5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95,413,756.43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6.65</w:t>
            </w:r>
          </w:p>
        </w:tc>
      </w:tr>
      <w:tr>
        <w:trPr>
          <w:trHeight w:val="401" w:hRule="exact"/>
        </w:trPr>
        <w:tc>
          <w:tcPr>
            <w:tcW w:w="744"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投资业务支出小计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28,693,242.99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120,422,949.82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8.39</w:t>
            </w:r>
          </w:p>
        </w:tc>
      </w:tr>
      <w:tr>
        <w:trPr>
          <w:trHeight w:val="716"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73" w:lineRule="auto"/>
              <w:ind w:left="158" w:right="151"/>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1"/>
              <w:ind w:left="105" w:right="97"/>
              <w:jc w:val="left"/>
              <w:rPr>
                <w:rFonts w:ascii="宋体" w:hAnsi="宋体" w:cs="宋体" w:eastAsia="宋体" w:hint="default"/>
                <w:sz w:val="21"/>
                <w:szCs w:val="21"/>
              </w:rPr>
            </w:pPr>
            <w:r>
              <w:rPr>
                <w:rFonts w:ascii="宋体" w:hAnsi="宋体" w:cs="宋体" w:eastAsia="宋体" w:hint="default"/>
                <w:spacing w:val="7"/>
                <w:sz w:val="21"/>
                <w:szCs w:val="21"/>
              </w:rPr>
              <w:t>营业成本</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主营业务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成本</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32,283,336.58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1.78</w:t>
            </w:r>
          </w:p>
        </w:tc>
        <w:tc>
          <w:tcPr>
            <w:tcW w:w="189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05" w:right="97"/>
              <w:jc w:val="left"/>
              <w:rPr>
                <w:rFonts w:ascii="宋体" w:hAnsi="宋体" w:cs="宋体" w:eastAsia="宋体" w:hint="default"/>
                <w:sz w:val="21"/>
                <w:szCs w:val="21"/>
              </w:rPr>
            </w:pPr>
            <w:r>
              <w:rPr>
                <w:rFonts w:ascii="宋体" w:hAnsi="宋体" w:cs="宋体" w:eastAsia="宋体" w:hint="default"/>
                <w:spacing w:val="7"/>
                <w:sz w:val="21"/>
                <w:szCs w:val="21"/>
              </w:rPr>
              <w:t>营业成本</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其他业务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成本</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8,550,659.08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0.47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13,971,582.99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0.97</w:t>
            </w:r>
          </w:p>
        </w:tc>
      </w:tr>
      <w:tr>
        <w:trPr>
          <w:trHeight w:val="403"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162,229.49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0.01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139,418.61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0.01</w:t>
            </w:r>
          </w:p>
        </w:tc>
      </w:tr>
      <w:tr>
        <w:trPr>
          <w:trHeight w:val="401"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91,406,004.16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5.05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96,635,622.26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6.73</w:t>
            </w:r>
          </w:p>
        </w:tc>
      </w:tr>
      <w:tr>
        <w:trPr>
          <w:trHeight w:val="403"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20,129,678.10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2"/>
                <w:sz w:val="21"/>
              </w:rPr>
              <w:t>1.11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3,861,610.95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0.27</w:t>
            </w:r>
          </w:p>
        </w:tc>
      </w:tr>
      <w:tr>
        <w:trPr>
          <w:trHeight w:val="401"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302,539,333.97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16.72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292,162,596.48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20.35</w:t>
            </w:r>
          </w:p>
        </w:tc>
      </w:tr>
      <w:tr>
        <w:trPr>
          <w:trHeight w:val="404" w:hRule="exact"/>
        </w:trPr>
        <w:tc>
          <w:tcPr>
            <w:tcW w:w="744"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-4,009,609.31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-0.22</w:t>
            </w:r>
          </w:p>
        </w:tc>
        <w:tc>
          <w:tcPr>
            <w:tcW w:w="189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20,300.00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946,231.35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0.07</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52" w:type="dxa"/>
        <w:tblLayout w:type="fixed"/>
        <w:tblCellMar>
          <w:top w:w="0" w:type="dxa"/>
          <w:left w:w="0" w:type="dxa"/>
          <w:bottom w:w="0" w:type="dxa"/>
          <w:right w:w="0" w:type="dxa"/>
        </w:tblCellMar>
        <w:tblLook w:val="01E0"/>
      </w:tblPr>
      <w:tblGrid>
        <w:gridCol w:w="744"/>
        <w:gridCol w:w="2410"/>
        <w:gridCol w:w="2055"/>
        <w:gridCol w:w="1262"/>
        <w:gridCol w:w="1897"/>
        <w:gridCol w:w="1262"/>
      </w:tblGrid>
      <w:tr>
        <w:trPr>
          <w:trHeight w:val="401" w:hRule="exact"/>
        </w:trPr>
        <w:tc>
          <w:tcPr>
            <w:tcW w:w="74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其他业务支出小计</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451,081,932.07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24.94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407,717,062.64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28.40</w:t>
            </w:r>
          </w:p>
        </w:tc>
      </w:tr>
      <w:tr>
        <w:trPr>
          <w:trHeight w:val="403" w:hRule="exact"/>
        </w:trPr>
        <w:tc>
          <w:tcPr>
            <w:tcW w:w="3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合并抵销</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2"/>
                <w:sz w:val="21"/>
              </w:rPr>
              <w:t>111,380,095.01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6.16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-33,360,173.35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-2.32</w:t>
            </w:r>
          </w:p>
        </w:tc>
      </w:tr>
      <w:tr>
        <w:trPr>
          <w:trHeight w:val="403" w:hRule="exact"/>
        </w:trPr>
        <w:tc>
          <w:tcPr>
            <w:tcW w:w="3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集团合并支出</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1,808,935,225.62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1,435,746,673.30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71" w:lineRule="auto" w:before="28"/>
        <w:ind w:right="1150"/>
        <w:jc w:val="left"/>
      </w:pPr>
      <w:r>
        <w:rPr>
          <w:spacing w:val="-2"/>
        </w:rPr>
        <w:t>注：本表支出包括营业成本、税金及附加、销售费用、管理费用、财务费用、信用减值损失、资产减值损</w:t>
      </w:r>
      <w:r>
        <w:rPr>
          <w:spacing w:val="-46"/>
        </w:rPr>
        <w:t> </w:t>
      </w:r>
      <w:r>
        <w:rPr>
          <w:spacing w:val="-46"/>
        </w:rPr>
      </w:r>
      <w:r>
        <w:rPr/>
        <w:t>失。</w:t>
      </w:r>
    </w:p>
    <w:p>
      <w:pPr>
        <w:spacing w:line="240" w:lineRule="auto" w:before="8"/>
        <w:rPr>
          <w:rFonts w:ascii="宋体" w:hAnsi="宋体" w:cs="宋体" w:eastAsia="宋体" w:hint="default"/>
          <w:sz w:val="18"/>
          <w:szCs w:val="18"/>
        </w:rPr>
      </w:pPr>
    </w:p>
    <w:p>
      <w:pPr>
        <w:tabs>
          <w:tab w:pos="8780"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w:t>
      </w:r>
      <w:r>
        <w:rPr>
          <w:rFonts w:ascii="Times New Roman" w:hAnsi="Times New Roman" w:cs="Times New Roman" w:eastAsia="Times New Roman" w:hint="default"/>
          <w:b/>
          <w:bCs/>
          <w:spacing w:val="-1"/>
          <w:sz w:val="21"/>
          <w:szCs w:val="21"/>
        </w:rPr>
        <w:t>6</w:t>
      </w:r>
      <w:r>
        <w:rPr>
          <w:rFonts w:ascii="Microsoft JhengHei" w:hAnsi="Microsoft JhengHei" w:cs="Microsoft JhengHei" w:eastAsia="Microsoft JhengHei" w:hint="default"/>
          <w:b/>
          <w:bCs/>
          <w:spacing w:val="-1"/>
          <w:sz w:val="21"/>
          <w:szCs w:val="21"/>
        </w:rPr>
        <w:t>）报告期内合并范围是否发生变动</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公司收购取得多专科技</w:t>
      </w:r>
      <w:r>
        <w:rPr>
          <w:rFonts w:ascii="Times New Roman" w:hAnsi="Times New Roman" w:cs="Times New Roman" w:eastAsia="Times New Roman" w:hint="default"/>
        </w:rPr>
        <w:t>100%</w:t>
      </w:r>
      <w:r>
        <w:rPr/>
        <w:t>股权，自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月起纳入合并范围。</w:t>
      </w:r>
    </w:p>
    <w:p>
      <w:pPr>
        <w:spacing w:line="240" w:lineRule="auto" w:before="6"/>
        <w:rPr>
          <w:rFonts w:ascii="宋体" w:hAnsi="宋体" w:cs="宋体" w:eastAsia="宋体" w:hint="default"/>
          <w:sz w:val="19"/>
          <w:szCs w:val="19"/>
        </w:rPr>
      </w:pPr>
    </w:p>
    <w:p>
      <w:pPr>
        <w:tabs>
          <w:tab w:pos="8161"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w:t>
      </w:r>
      <w:r>
        <w:rPr>
          <w:rFonts w:ascii="Times New Roman" w:hAnsi="Times New Roman" w:cs="Times New Roman" w:eastAsia="Times New Roman" w:hint="default"/>
          <w:b/>
          <w:bCs/>
          <w:spacing w:val="-1"/>
          <w:sz w:val="21"/>
          <w:szCs w:val="21"/>
        </w:rPr>
        <w:t>7</w:t>
      </w:r>
      <w:r>
        <w:rPr>
          <w:rFonts w:ascii="Microsoft JhengHei" w:hAnsi="Microsoft JhengHei" w:cs="Microsoft JhengHei" w:eastAsia="Microsoft JhengHei" w:hint="default"/>
          <w:b/>
          <w:bCs/>
          <w:spacing w:val="-1"/>
          <w:sz w:val="21"/>
          <w:szCs w:val="21"/>
        </w:rPr>
        <w:t>）本集团报告期业务、产品或服务发生重大变化或调整有关情况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11"/>
        <w:rPr>
          <w:rFonts w:ascii="宋体" w:hAnsi="宋体" w:cs="宋体" w:eastAsia="宋体" w:hint="default"/>
          <w:sz w:val="18"/>
          <w:szCs w:val="18"/>
        </w:rPr>
      </w:pPr>
    </w:p>
    <w:p>
      <w:pPr>
        <w:spacing w:line="446" w:lineRule="auto" w:before="0"/>
        <w:ind w:left="152" w:right="6408" w:firstLine="0"/>
        <w:jc w:val="left"/>
        <w:rPr>
          <w:rFonts w:ascii="宋体" w:hAnsi="宋体" w:cs="宋体" w:eastAsia="宋体" w:hint="default"/>
          <w:sz w:val="21"/>
          <w:szCs w:val="21"/>
        </w:rPr>
      </w:pPr>
      <w:r>
        <w:rPr/>
        <w:pict>
          <v:shape style="position:absolute;margin-left:58.080002pt;margin-top:52.324409pt;width:479.15pt;height:60.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56"/>
                    <w:gridCol w:w="4213"/>
                  </w:tblGrid>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66,194,279.71</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6.97%</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bl>
                <w:p>
                  <w:pPr/>
                </w:p>
              </w:txbxContent>
            </v:textbox>
            <w10:wrap type="none"/>
          </v:shape>
        </w:pict>
      </w:r>
      <w:r>
        <w:rPr>
          <w:rFonts w:ascii="Microsoft JhengHei" w:hAnsi="Microsoft JhengHei" w:cs="Microsoft JhengHei" w:eastAsia="Microsoft JhengHei" w:hint="default"/>
          <w:b/>
          <w:bCs/>
          <w:spacing w:val="-1"/>
          <w:sz w:val="21"/>
          <w:szCs w:val="21"/>
        </w:rPr>
        <w:t>（</w:t>
      </w:r>
      <w:r>
        <w:rPr>
          <w:rFonts w:ascii="Times New Roman" w:hAnsi="Times New Roman" w:cs="Times New Roman" w:eastAsia="Times New Roman" w:hint="default"/>
          <w:b/>
          <w:bCs/>
          <w:spacing w:val="-1"/>
          <w:sz w:val="21"/>
          <w:szCs w:val="21"/>
        </w:rPr>
        <w:t>8</w:t>
      </w:r>
      <w:r>
        <w:rPr>
          <w:rFonts w:ascii="Microsoft JhengHei" w:hAnsi="Microsoft JhengHei" w:cs="Microsoft JhengHei" w:eastAsia="Microsoft JhengHei" w:hint="default"/>
          <w:b/>
          <w:bCs/>
          <w:spacing w:val="-1"/>
          <w:sz w:val="21"/>
          <w:szCs w:val="21"/>
        </w:rPr>
        <w:t>）主要销售客户和主要供应商情况</w:t>
      </w:r>
      <w:r>
        <w:rPr>
          <w:rFonts w:ascii="Microsoft JhengHei" w:hAnsi="Microsoft JhengHei" w:cs="Microsoft JhengHei" w:eastAsia="Microsoft JhengHei" w:hint="default"/>
          <w:b/>
          <w:bCs/>
          <w:spacing w:val="-23"/>
          <w:sz w:val="21"/>
          <w:szCs w:val="21"/>
        </w:rPr>
        <w:t> </w:t>
      </w:r>
      <w:r>
        <w:rPr>
          <w:rFonts w:ascii="Microsoft JhengHei" w:hAnsi="Microsoft JhengHei" w:cs="Microsoft JhengHei" w:eastAsia="Microsoft JhengHei" w:hint="default"/>
          <w:b/>
          <w:bCs/>
          <w:spacing w:val="-23"/>
          <w:sz w:val="21"/>
          <w:szCs w:val="21"/>
        </w:rPr>
      </w:r>
      <w:r>
        <w:rPr>
          <w:rFonts w:ascii="宋体" w:hAnsi="宋体" w:cs="宋体" w:eastAsia="宋体" w:hint="default"/>
          <w:sz w:val="21"/>
          <w:szCs w:val="21"/>
        </w:rPr>
        <w:t>本集团主要销售客户情况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8134" w:val="left" w:leader="none"/>
        </w:tabs>
        <w:spacing w:line="240" w:lineRule="auto" w:before="36"/>
        <w:ind w:right="0"/>
        <w:jc w:val="left"/>
      </w:pPr>
      <w:r>
        <w:rPr>
          <w:spacing w:val="-2"/>
        </w:rPr>
        <w:t>主要客户其他情况说明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spacing w:line="240" w:lineRule="auto" w:before="62"/>
        <w:ind w:right="0"/>
        <w:jc w:val="left"/>
      </w:pPr>
      <w:r>
        <w:rPr/>
        <w:t>本集团主要供应商情况</w:t>
      </w:r>
    </w:p>
    <w:p>
      <w:pPr>
        <w:spacing w:line="240" w:lineRule="auto" w:before="10"/>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5356"/>
        <w:gridCol w:w="4213"/>
      </w:tblGrid>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48,476,462.55</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11.99%</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bl>
    <w:p>
      <w:pPr>
        <w:pStyle w:val="BodyText"/>
        <w:tabs>
          <w:tab w:pos="8134" w:val="left" w:leader="none"/>
        </w:tabs>
        <w:spacing w:line="240" w:lineRule="auto" w:before="28"/>
        <w:ind w:right="0"/>
        <w:jc w:val="left"/>
      </w:pPr>
      <w:r>
        <w:rPr>
          <w:spacing w:val="-2"/>
        </w:rPr>
        <w:t>主要供应商其他情况说明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3"/>
        <w:rPr>
          <w:rFonts w:ascii="宋体" w:hAnsi="宋体" w:cs="宋体" w:eastAsia="宋体" w:hint="default"/>
          <w:sz w:val="19"/>
          <w:szCs w:val="19"/>
        </w:rPr>
      </w:pPr>
    </w:p>
    <w:p>
      <w:pPr>
        <w:pStyle w:val="Heading4"/>
        <w:spacing w:line="403" w:lineRule="auto"/>
        <w:ind w:left="152" w:right="6408"/>
        <w:jc w:val="left"/>
        <w:rPr>
          <w:b w:val="0"/>
          <w:bCs w:val="0"/>
        </w:rPr>
      </w:pPr>
      <w:r>
        <w:rPr/>
        <w:pict>
          <v:shape style="position:absolute;margin-left:56.639999pt;margin-top:52.324467pt;width:482.3pt;height:19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2"/>
                    <w:gridCol w:w="2127"/>
                    <w:gridCol w:w="1136"/>
                    <w:gridCol w:w="1982"/>
                    <w:gridCol w:w="1136"/>
                    <w:gridCol w:w="1128"/>
                  </w:tblGrid>
                  <w:tr>
                    <w:trPr>
                      <w:trHeight w:val="322" w:hRule="exact"/>
                    </w:trPr>
                    <w:tc>
                      <w:tcPr>
                        <w:tcW w:w="2122" w:type="dxa"/>
                        <w:vMerge w:val="restart"/>
                        <w:tcBorders>
                          <w:top w:val="single" w:sz="4" w:space="0" w:color="000000"/>
                          <w:left w:val="single" w:sz="4" w:space="0" w:color="000000"/>
                          <w:right w:val="single" w:sz="4" w:space="0" w:color="000000"/>
                        </w:tcBorders>
                      </w:tcPr>
                      <w:p>
                        <w:pPr>
                          <w:pStyle w:val="TableParagraph"/>
                          <w:spacing w:line="240" w:lineRule="auto" w:before="82"/>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w:t>
                        </w:r>
                        <w:r>
                          <w:rPr>
                            <w:rFonts w:ascii="Microsoft JhengHei" w:hAnsi="Microsoft JhengHei" w:cs="Microsoft JhengHei" w:eastAsia="Microsoft JhengHei" w:hint="default"/>
                            <w:sz w:val="21"/>
                            <w:szCs w:val="21"/>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上年同期</w:t>
                        </w:r>
                        <w:r>
                          <w:rPr>
                            <w:rFonts w:ascii="Microsoft JhengHei" w:hAnsi="Microsoft JhengHei" w:cs="Microsoft JhengHei" w:eastAsia="Microsoft JhengHei" w:hint="default"/>
                            <w:sz w:val="21"/>
                            <w:szCs w:val="21"/>
                          </w:rPr>
                        </w:r>
                      </w:p>
                    </w:tc>
                    <w:tc>
                      <w:tcPr>
                        <w:tcW w:w="1128" w:type="dxa"/>
                        <w:vMerge w:val="restart"/>
                        <w:tcBorders>
                          <w:top w:val="single" w:sz="4" w:space="0" w:color="000000"/>
                          <w:left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2" w:hRule="exact"/>
                    </w:trPr>
                    <w:tc>
                      <w:tcPr>
                        <w:tcW w:w="2122"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5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5"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7"/>
                            <w:sz w:val="21"/>
                            <w:szCs w:val="21"/>
                          </w:rPr>
                          <w:t>占比（</w:t>
                        </w:r>
                        <w:r>
                          <w:rPr>
                            <w:rFonts w:ascii="Times New Roman" w:hAnsi="Times New Roman" w:cs="Times New Roman" w:eastAsia="Times New Roman" w:hint="default"/>
                            <w:b/>
                            <w:bCs/>
                            <w:spacing w:val="-7"/>
                            <w:sz w:val="21"/>
                            <w:szCs w:val="21"/>
                          </w:rPr>
                          <w:t>%</w:t>
                        </w:r>
                        <w:r>
                          <w:rPr>
                            <w:rFonts w:ascii="Microsoft JhengHei" w:hAnsi="Microsoft JhengHei" w:cs="Microsoft JhengHei" w:eastAsia="Microsoft JhengHei" w:hint="default"/>
                            <w:b/>
                            <w:bCs/>
                            <w:spacing w:val="-7"/>
                            <w:sz w:val="21"/>
                            <w:szCs w:val="21"/>
                          </w:rPr>
                          <w:t>）</w:t>
                        </w:r>
                        <w:r>
                          <w:rPr>
                            <w:rFonts w:ascii="Microsoft JhengHei" w:hAnsi="Microsoft JhengHei" w:cs="Microsoft JhengHei" w:eastAsia="Microsoft JhengHei" w:hint="default"/>
                            <w:spacing w:val="-7"/>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5"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7"/>
                            <w:sz w:val="21"/>
                            <w:szCs w:val="21"/>
                          </w:rPr>
                          <w:t>占比（</w:t>
                        </w:r>
                        <w:r>
                          <w:rPr>
                            <w:rFonts w:ascii="Times New Roman" w:hAnsi="Times New Roman" w:cs="Times New Roman" w:eastAsia="Times New Roman" w:hint="default"/>
                            <w:b/>
                            <w:bCs/>
                            <w:spacing w:val="-7"/>
                            <w:sz w:val="21"/>
                            <w:szCs w:val="21"/>
                          </w:rPr>
                          <w:t>%</w:t>
                        </w:r>
                        <w:r>
                          <w:rPr>
                            <w:rFonts w:ascii="Microsoft JhengHei" w:hAnsi="Microsoft JhengHei" w:cs="Microsoft JhengHei" w:eastAsia="Microsoft JhengHei" w:hint="default"/>
                            <w:b/>
                            <w:bCs/>
                            <w:spacing w:val="-7"/>
                            <w:sz w:val="21"/>
                            <w:szCs w:val="21"/>
                          </w:rPr>
                          <w:t>）</w:t>
                        </w:r>
                        <w:r>
                          <w:rPr>
                            <w:rFonts w:ascii="Microsoft JhengHei" w:hAnsi="Microsoft JhengHei" w:cs="Microsoft JhengHei" w:eastAsia="Microsoft JhengHei" w:hint="default"/>
                            <w:spacing w:val="-7"/>
                            <w:sz w:val="21"/>
                            <w:szCs w:val="21"/>
                          </w:rPr>
                        </w:r>
                      </w:p>
                    </w:tc>
                    <w:tc>
                      <w:tcPr>
                        <w:tcW w:w="1128" w:type="dxa"/>
                        <w:vMerge/>
                        <w:tcBorders>
                          <w:left w:val="single" w:sz="4" w:space="0" w:color="000000"/>
                          <w:bottom w:val="single" w:sz="4" w:space="0" w:color="000000"/>
                          <w:right w:val="single" w:sz="4" w:space="0" w:color="000000"/>
                        </w:tcBorders>
                      </w:tcPr>
                      <w:p>
                        <w:pPr/>
                      </w:p>
                    </w:tc>
                  </w:tr>
                  <w:tr>
                    <w:trPr>
                      <w:trHeight w:val="40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收入合计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1,858,999,820.69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4" w:right="0"/>
                          <w:jc w:val="left"/>
                          <w:rPr>
                            <w:rFonts w:ascii="Times New Roman" w:hAnsi="Times New Roman" w:cs="Times New Roman" w:eastAsia="Times New Roman" w:hint="default"/>
                            <w:sz w:val="21"/>
                            <w:szCs w:val="21"/>
                          </w:rPr>
                        </w:pPr>
                        <w:r>
                          <w:rPr>
                            <w:rFonts w:ascii="Times New Roman"/>
                            <w:sz w:val="21"/>
                          </w:rPr>
                          <w:t>100.00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613,229,123.00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4" w:right="0"/>
                          <w:jc w:val="left"/>
                          <w:rPr>
                            <w:rFonts w:ascii="Times New Roman" w:hAnsi="Times New Roman" w:cs="Times New Roman" w:eastAsia="Times New Roman" w:hint="default"/>
                            <w:sz w:val="21"/>
                            <w:szCs w:val="21"/>
                          </w:rPr>
                        </w:pPr>
                        <w:r>
                          <w:rPr>
                            <w:rFonts w:ascii="Times New Roman"/>
                            <w:sz w:val="21"/>
                          </w:rPr>
                          <w:t>100.00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203.15</w:t>
                        </w:r>
                      </w:p>
                    </w:tc>
                  </w:tr>
                  <w:tr>
                    <w:trPr>
                      <w:trHeight w:val="401" w:hRule="exact"/>
                    </w:trPr>
                    <w:tc>
                      <w:tcPr>
                        <w:tcW w:w="96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分业</w:t>
                        </w:r>
                      </w:p>
                    </w:tc>
                  </w:tr>
                  <w:tr>
                    <w:trPr>
                      <w:trHeight w:val="40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650,082,260.92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9" w:right="0"/>
                          <w:jc w:val="left"/>
                          <w:rPr>
                            <w:rFonts w:ascii="Times New Roman" w:hAnsi="Times New Roman" w:cs="Times New Roman" w:eastAsia="Times New Roman" w:hint="default"/>
                            <w:sz w:val="21"/>
                            <w:szCs w:val="21"/>
                          </w:rPr>
                        </w:pPr>
                        <w:r>
                          <w:rPr>
                            <w:rFonts w:ascii="Times New Roman"/>
                            <w:sz w:val="21"/>
                          </w:rPr>
                          <w:t>34.97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376,590,313.57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50" w:right="0"/>
                          <w:jc w:val="left"/>
                          <w:rPr>
                            <w:rFonts w:ascii="Times New Roman" w:hAnsi="Times New Roman" w:cs="Times New Roman" w:eastAsia="Times New Roman" w:hint="default"/>
                            <w:sz w:val="21"/>
                            <w:szCs w:val="21"/>
                          </w:rPr>
                        </w:pPr>
                        <w:r>
                          <w:rPr>
                            <w:rFonts w:ascii="Times New Roman"/>
                            <w:sz w:val="21"/>
                          </w:rPr>
                          <w:t>61.41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72.62</w:t>
                        </w:r>
                      </w:p>
                    </w:tc>
                  </w:tr>
                  <w:tr>
                    <w:trPr>
                      <w:trHeight w:val="40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证券自营业务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568,298,886.50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9" w:right="0"/>
                          <w:jc w:val="left"/>
                          <w:rPr>
                            <w:rFonts w:ascii="Times New Roman" w:hAnsi="Times New Roman" w:cs="Times New Roman" w:eastAsia="Times New Roman" w:hint="default"/>
                            <w:sz w:val="21"/>
                            <w:szCs w:val="21"/>
                          </w:rPr>
                        </w:pPr>
                        <w:r>
                          <w:rPr>
                            <w:rFonts w:ascii="Times New Roman"/>
                            <w:sz w:val="21"/>
                          </w:rPr>
                          <w:t>30.57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-254,731,727.84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0" w:right="0"/>
                          <w:jc w:val="left"/>
                          <w:rPr>
                            <w:rFonts w:ascii="Times New Roman" w:hAnsi="Times New Roman" w:cs="Times New Roman" w:eastAsia="Times New Roman" w:hint="default"/>
                            <w:sz w:val="21"/>
                            <w:szCs w:val="21"/>
                          </w:rPr>
                        </w:pPr>
                        <w:r>
                          <w:rPr>
                            <w:rFonts w:ascii="Times New Roman"/>
                            <w:sz w:val="21"/>
                          </w:rPr>
                          <w:t>-41.54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323.10</w:t>
                        </w:r>
                      </w:p>
                    </w:tc>
                  </w:tr>
                  <w:tr>
                    <w:trPr>
                      <w:trHeight w:val="40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信用交易业务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2"/>
                            <w:sz w:val="21"/>
                          </w:rPr>
                          <w:t>305,466,618.11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9" w:right="0"/>
                          <w:jc w:val="left"/>
                          <w:rPr>
                            <w:rFonts w:ascii="Times New Roman" w:hAnsi="Times New Roman" w:cs="Times New Roman" w:eastAsia="Times New Roman" w:hint="default"/>
                            <w:sz w:val="21"/>
                            <w:szCs w:val="21"/>
                          </w:rPr>
                        </w:pPr>
                        <w:r>
                          <w:rPr>
                            <w:rFonts w:ascii="Times New Roman"/>
                            <w:sz w:val="21"/>
                          </w:rPr>
                          <w:t>16.43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228,815,548.40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0" w:right="0"/>
                          <w:jc w:val="left"/>
                          <w:rPr>
                            <w:rFonts w:ascii="Times New Roman" w:hAnsi="Times New Roman" w:cs="Times New Roman" w:eastAsia="Times New Roman" w:hint="default"/>
                            <w:sz w:val="21"/>
                            <w:szCs w:val="21"/>
                          </w:rPr>
                        </w:pPr>
                        <w:r>
                          <w:rPr>
                            <w:rFonts w:ascii="Times New Roman"/>
                            <w:sz w:val="21"/>
                          </w:rPr>
                          <w:t>37.31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33.50</w:t>
                        </w:r>
                      </w:p>
                    </w:tc>
                  </w:tr>
                  <w:tr>
                    <w:trPr>
                      <w:trHeight w:val="40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154,176,534.62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2" w:right="0"/>
                          <w:jc w:val="left"/>
                          <w:rPr>
                            <w:rFonts w:ascii="Times New Roman" w:hAnsi="Times New Roman" w:cs="Times New Roman" w:eastAsia="Times New Roman" w:hint="default"/>
                            <w:sz w:val="21"/>
                            <w:szCs w:val="21"/>
                          </w:rPr>
                        </w:pPr>
                        <w:r>
                          <w:rPr>
                            <w:rFonts w:ascii="Times New Roman"/>
                            <w:sz w:val="21"/>
                          </w:rPr>
                          <w:t>8.29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57,926,498.04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3" w:right="0"/>
                          <w:jc w:val="left"/>
                          <w:rPr>
                            <w:rFonts w:ascii="Times New Roman" w:hAnsi="Times New Roman" w:cs="Times New Roman" w:eastAsia="Times New Roman" w:hint="default"/>
                            <w:sz w:val="21"/>
                            <w:szCs w:val="21"/>
                          </w:rPr>
                        </w:pPr>
                        <w:r>
                          <w:rPr>
                            <w:rFonts w:ascii="Times New Roman"/>
                            <w:sz w:val="21"/>
                          </w:rPr>
                          <w:t>9.45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166.16</w:t>
                        </w:r>
                      </w:p>
                    </w:tc>
                  </w:tr>
                  <w:tr>
                    <w:trPr>
                      <w:trHeight w:val="40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资产管理业务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97,482,184.64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2" w:right="0"/>
                          <w:jc w:val="left"/>
                          <w:rPr>
                            <w:rFonts w:ascii="Times New Roman" w:hAnsi="Times New Roman" w:cs="Times New Roman" w:eastAsia="Times New Roman" w:hint="default"/>
                            <w:sz w:val="21"/>
                            <w:szCs w:val="21"/>
                          </w:rPr>
                        </w:pPr>
                        <w:r>
                          <w:rPr>
                            <w:rFonts w:ascii="Times New Roman"/>
                            <w:sz w:val="21"/>
                          </w:rPr>
                          <w:t>5.24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129,712,952.88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0" w:right="0"/>
                          <w:jc w:val="left"/>
                          <w:rPr>
                            <w:rFonts w:ascii="Times New Roman" w:hAnsi="Times New Roman" w:cs="Times New Roman" w:eastAsia="Times New Roman" w:hint="default"/>
                            <w:sz w:val="21"/>
                            <w:szCs w:val="21"/>
                          </w:rPr>
                        </w:pPr>
                        <w:r>
                          <w:rPr>
                            <w:rFonts w:ascii="Times New Roman"/>
                            <w:sz w:val="21"/>
                          </w:rPr>
                          <w:t>21.15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-24.85</w:t>
                        </w:r>
                      </w:p>
                    </w:tc>
                  </w:tr>
                  <w:tr>
                    <w:trPr>
                      <w:trHeight w:val="40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83,493,335.90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2" w:right="0"/>
                          <w:jc w:val="left"/>
                          <w:rPr>
                            <w:rFonts w:ascii="Times New Roman" w:hAnsi="Times New Roman" w:cs="Times New Roman" w:eastAsia="Times New Roman" w:hint="default"/>
                            <w:sz w:val="21"/>
                            <w:szCs w:val="21"/>
                          </w:rPr>
                        </w:pPr>
                        <w:r>
                          <w:rPr>
                            <w:rFonts w:ascii="Times New Roman"/>
                            <w:sz w:val="21"/>
                          </w:rPr>
                          <w:t>4.49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74,915,537.95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0" w:right="0"/>
                          <w:jc w:val="left"/>
                          <w:rPr>
                            <w:rFonts w:ascii="Times New Roman" w:hAnsi="Times New Roman" w:cs="Times New Roman" w:eastAsia="Times New Roman" w:hint="default"/>
                            <w:sz w:val="21"/>
                            <w:szCs w:val="21"/>
                          </w:rPr>
                        </w:pPr>
                        <w:r>
                          <w:rPr>
                            <w:rFonts w:ascii="Times New Roman"/>
                            <w:sz w:val="21"/>
                          </w:rPr>
                          <w:t>12.22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2"/>
                            <w:sz w:val="21"/>
                          </w:rPr>
                          <w:t>11.45</w:t>
                        </w:r>
                      </w:p>
                    </w:tc>
                  </w:tr>
                </w:tbl>
                <w:p>
                  <w:pPr/>
                </w:p>
              </w:txbxContent>
            </v:textbox>
            <w10:wrap type="none"/>
          </v:shape>
        </w:pict>
      </w:r>
      <w:r>
        <w:rPr>
          <w:spacing w:val="-1"/>
        </w:rPr>
        <w:t>（</w:t>
      </w:r>
      <w:r>
        <w:rPr>
          <w:rFonts w:ascii="Times New Roman" w:hAnsi="Times New Roman" w:cs="Times New Roman" w:eastAsia="Times New Roman" w:hint="default"/>
          <w:spacing w:val="-1"/>
        </w:rPr>
        <w:t>9</w:t>
      </w:r>
      <w:r>
        <w:rPr>
          <w:spacing w:val="-1"/>
        </w:rPr>
        <w:t>）国盛证券（合并口径）收入支出构成</w:t>
      </w:r>
      <w:r>
        <w:rPr>
          <w:spacing w:val="-19"/>
        </w:rPr>
        <w:t> </w:t>
      </w:r>
      <w:r>
        <w:rPr>
          <w:spacing w:val="-19"/>
        </w:rPr>
      </w:r>
      <w:r>
        <w:rPr/>
        <w:t>收入构成</w:t>
      </w:r>
      <w:r>
        <w:rPr>
          <w:b w:val="0"/>
          <w:bCs w:val="0"/>
        </w:rPr>
      </w:r>
    </w:p>
    <w:p>
      <w:pPr>
        <w:spacing w:after="0" w:line="403" w:lineRule="auto"/>
        <w:jc w:val="left"/>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52" w:type="dxa"/>
        <w:tblLayout w:type="fixed"/>
        <w:tblCellMar>
          <w:top w:w="0" w:type="dxa"/>
          <w:left w:w="0" w:type="dxa"/>
          <w:bottom w:w="0" w:type="dxa"/>
          <w:right w:w="0" w:type="dxa"/>
        </w:tblCellMar>
        <w:tblLook w:val="01E0"/>
      </w:tblPr>
      <w:tblGrid>
        <w:gridCol w:w="2122"/>
        <w:gridCol w:w="2127"/>
        <w:gridCol w:w="1136"/>
        <w:gridCol w:w="1982"/>
        <w:gridCol w:w="1136"/>
        <w:gridCol w:w="1128"/>
      </w:tblGrid>
      <w:tr>
        <w:trPr>
          <w:trHeight w:val="401" w:hRule="exact"/>
        </w:trPr>
        <w:tc>
          <w:tcPr>
            <w:tcW w:w="96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江西省内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1,592,828,438.23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85.68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323,607,023.31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52.77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392.21</w:t>
            </w:r>
          </w:p>
        </w:tc>
      </w:tr>
      <w:tr>
        <w:trPr>
          <w:trHeight w:val="40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江西省外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266,171,382.46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14.32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289,622,099.69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47.23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-8.10</w:t>
            </w:r>
          </w:p>
        </w:tc>
      </w:tr>
    </w:tbl>
    <w:p>
      <w:pPr>
        <w:pStyle w:val="BodyText"/>
        <w:spacing w:line="271" w:lineRule="auto" w:before="28"/>
        <w:ind w:right="0"/>
        <w:jc w:val="left"/>
      </w:pPr>
      <w:r>
        <w:rPr>
          <w:spacing w:val="-2"/>
        </w:rPr>
        <w:t>注：本表收入包括证券业务手续费及佣金净收入、利息净收入、公允价值变动收益、投资收益、资产处置</w:t>
      </w:r>
      <w:r>
        <w:rPr>
          <w:spacing w:val="-43"/>
        </w:rPr>
        <w:t> </w:t>
      </w:r>
      <w:r>
        <w:rPr>
          <w:spacing w:val="-43"/>
        </w:rPr>
      </w:r>
      <w:r>
        <w:rPr/>
        <w:t>收益、汇兑收益、其他收益等。</w:t>
      </w:r>
    </w:p>
    <w:p>
      <w:pPr>
        <w:spacing w:line="240" w:lineRule="auto" w:before="10"/>
        <w:rPr>
          <w:rFonts w:ascii="宋体" w:hAnsi="宋体" w:cs="宋体" w:eastAsia="宋体" w:hint="default"/>
          <w:sz w:val="25"/>
          <w:szCs w:val="25"/>
        </w:rPr>
      </w:pPr>
    </w:p>
    <w:p>
      <w:pPr>
        <w:pStyle w:val="Heading4"/>
        <w:spacing w:line="240" w:lineRule="auto"/>
        <w:ind w:left="152" w:right="0"/>
        <w:jc w:val="left"/>
        <w:rPr>
          <w:b w:val="0"/>
          <w:bCs w:val="0"/>
        </w:rPr>
      </w:pPr>
      <w:r>
        <w:rPr/>
        <w:t>支出构成</w:t>
      </w:r>
      <w:r>
        <w:rPr>
          <w:b w:val="0"/>
          <w:bCs w:val="0"/>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52" w:type="dxa"/>
        <w:tblLayout w:type="fixed"/>
        <w:tblCellMar>
          <w:top w:w="0" w:type="dxa"/>
          <w:left w:w="0" w:type="dxa"/>
          <w:bottom w:w="0" w:type="dxa"/>
          <w:right w:w="0" w:type="dxa"/>
        </w:tblCellMar>
        <w:tblLook w:val="01E0"/>
      </w:tblPr>
      <w:tblGrid>
        <w:gridCol w:w="2158"/>
        <w:gridCol w:w="2091"/>
        <w:gridCol w:w="1136"/>
        <w:gridCol w:w="1982"/>
        <w:gridCol w:w="1136"/>
        <w:gridCol w:w="1128"/>
      </w:tblGrid>
      <w:tr>
        <w:trPr>
          <w:trHeight w:val="322" w:hRule="exact"/>
        </w:trPr>
        <w:tc>
          <w:tcPr>
            <w:tcW w:w="2158" w:type="dxa"/>
            <w:vMerge w:val="restart"/>
            <w:tcBorders>
              <w:top w:val="single" w:sz="4" w:space="0" w:color="000000"/>
              <w:left w:val="single" w:sz="4" w:space="0" w:color="000000"/>
              <w:right w:val="single" w:sz="4" w:space="0" w:color="000000"/>
            </w:tcBorders>
          </w:tcPr>
          <w:p>
            <w:pPr>
              <w:pStyle w:val="TableParagraph"/>
              <w:spacing w:line="240" w:lineRule="auto" w:before="8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w:t>
            </w:r>
            <w:r>
              <w:rPr>
                <w:rFonts w:ascii="Microsoft JhengHei" w:hAnsi="Microsoft JhengHei" w:cs="Microsoft JhengHei" w:eastAsia="Microsoft JhengHei" w:hint="default"/>
                <w:sz w:val="21"/>
                <w:szCs w:val="21"/>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上年同期</w:t>
            </w:r>
            <w:r>
              <w:rPr>
                <w:rFonts w:ascii="Microsoft JhengHei" w:hAnsi="Microsoft JhengHei" w:cs="Microsoft JhengHei" w:eastAsia="Microsoft JhengHei" w:hint="default"/>
                <w:sz w:val="21"/>
                <w:szCs w:val="21"/>
              </w:rPr>
            </w:r>
          </w:p>
        </w:tc>
        <w:tc>
          <w:tcPr>
            <w:tcW w:w="1128" w:type="dxa"/>
            <w:vMerge w:val="restart"/>
            <w:tcBorders>
              <w:top w:val="single" w:sz="4" w:space="0" w:color="000000"/>
              <w:left w:val="single" w:sz="4" w:space="0" w:color="000000"/>
              <w:right w:val="single" w:sz="4" w:space="0" w:color="000000"/>
            </w:tcBorders>
          </w:tcPr>
          <w:p>
            <w:pPr>
              <w:pStyle w:val="TableParagraph"/>
              <w:spacing w:line="26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4" w:hRule="exact"/>
        </w:trPr>
        <w:tc>
          <w:tcPr>
            <w:tcW w:w="2158" w:type="dxa"/>
            <w:vMerge/>
            <w:tcBorders>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5"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7"/>
                <w:sz w:val="21"/>
                <w:szCs w:val="21"/>
              </w:rPr>
              <w:t>占比（</w:t>
            </w:r>
            <w:r>
              <w:rPr>
                <w:rFonts w:ascii="Times New Roman" w:hAnsi="Times New Roman" w:cs="Times New Roman" w:eastAsia="Times New Roman" w:hint="default"/>
                <w:b/>
                <w:bCs/>
                <w:spacing w:val="-7"/>
                <w:sz w:val="21"/>
                <w:szCs w:val="21"/>
              </w:rPr>
              <w:t>%</w:t>
            </w:r>
            <w:r>
              <w:rPr>
                <w:rFonts w:ascii="Microsoft JhengHei" w:hAnsi="Microsoft JhengHei" w:cs="Microsoft JhengHei" w:eastAsia="Microsoft JhengHei" w:hint="default"/>
                <w:b/>
                <w:bCs/>
                <w:spacing w:val="-7"/>
                <w:sz w:val="21"/>
                <w:szCs w:val="21"/>
              </w:rPr>
              <w:t>）</w:t>
            </w:r>
            <w:r>
              <w:rPr>
                <w:rFonts w:ascii="Microsoft JhengHei" w:hAnsi="Microsoft JhengHei" w:cs="Microsoft JhengHei" w:eastAsia="Microsoft JhengHei" w:hint="default"/>
                <w:spacing w:val="-7"/>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5" w:right="-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7"/>
                <w:sz w:val="21"/>
                <w:szCs w:val="21"/>
              </w:rPr>
              <w:t>占比（</w:t>
            </w:r>
            <w:r>
              <w:rPr>
                <w:rFonts w:ascii="Times New Roman" w:hAnsi="Times New Roman" w:cs="Times New Roman" w:eastAsia="Times New Roman" w:hint="default"/>
                <w:b/>
                <w:bCs/>
                <w:spacing w:val="-7"/>
                <w:sz w:val="21"/>
                <w:szCs w:val="21"/>
              </w:rPr>
              <w:t>%</w:t>
            </w:r>
            <w:r>
              <w:rPr>
                <w:rFonts w:ascii="Microsoft JhengHei" w:hAnsi="Microsoft JhengHei" w:cs="Microsoft JhengHei" w:eastAsia="Microsoft JhengHei" w:hint="default"/>
                <w:b/>
                <w:bCs/>
                <w:spacing w:val="-7"/>
                <w:sz w:val="21"/>
                <w:szCs w:val="21"/>
              </w:rPr>
              <w:t>）</w:t>
            </w:r>
            <w:r>
              <w:rPr>
                <w:rFonts w:ascii="Microsoft JhengHei" w:hAnsi="Microsoft JhengHei" w:cs="Microsoft JhengHei" w:eastAsia="Microsoft JhengHei" w:hint="default"/>
                <w:spacing w:val="-7"/>
                <w:sz w:val="21"/>
                <w:szCs w:val="21"/>
              </w:rPr>
            </w:r>
          </w:p>
        </w:tc>
        <w:tc>
          <w:tcPr>
            <w:tcW w:w="1128" w:type="dxa"/>
            <w:vMerge/>
            <w:tcBorders>
              <w:left w:val="single" w:sz="4" w:space="0" w:color="000000"/>
              <w:bottom w:val="single" w:sz="4" w:space="0" w:color="000000"/>
              <w:right w:val="single" w:sz="4" w:space="0" w:color="000000"/>
            </w:tcBorders>
          </w:tcPr>
          <w:p>
            <w:pP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支出合计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1,440,540,145.57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4" w:right="0"/>
              <w:jc w:val="left"/>
              <w:rPr>
                <w:rFonts w:ascii="Times New Roman" w:hAnsi="Times New Roman" w:cs="Times New Roman" w:eastAsia="Times New Roman" w:hint="default"/>
                <w:sz w:val="21"/>
                <w:szCs w:val="21"/>
              </w:rPr>
            </w:pPr>
            <w:r>
              <w:rPr>
                <w:rFonts w:ascii="Times New Roman"/>
                <w:sz w:val="21"/>
              </w:rPr>
              <w:t>100.00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874,246,487.49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4" w:right="0"/>
              <w:jc w:val="left"/>
              <w:rPr>
                <w:rFonts w:ascii="Times New Roman" w:hAnsi="Times New Roman" w:cs="Times New Roman" w:eastAsia="Times New Roman" w:hint="default"/>
                <w:sz w:val="21"/>
                <w:szCs w:val="21"/>
              </w:rPr>
            </w:pPr>
            <w:r>
              <w:rPr>
                <w:rFonts w:ascii="Times New Roman"/>
                <w:sz w:val="21"/>
              </w:rPr>
              <w:t>100.00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64.78</w:t>
            </w:r>
          </w:p>
        </w:tc>
      </w:tr>
      <w:tr>
        <w:trPr>
          <w:trHeight w:val="403" w:hRule="exact"/>
        </w:trPr>
        <w:tc>
          <w:tcPr>
            <w:tcW w:w="96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分业</w:t>
            </w: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证券经纪业务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563,341,805.97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6" w:right="0"/>
              <w:jc w:val="left"/>
              <w:rPr>
                <w:rFonts w:ascii="Times New Roman" w:hAnsi="Times New Roman" w:cs="Times New Roman" w:eastAsia="Times New Roman" w:hint="default"/>
                <w:sz w:val="21"/>
                <w:szCs w:val="21"/>
              </w:rPr>
            </w:pPr>
            <w:r>
              <w:rPr>
                <w:rFonts w:ascii="Times New Roman"/>
                <w:sz w:val="21"/>
              </w:rPr>
              <w:t>39.11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376,707,872.05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0" w:right="0"/>
              <w:jc w:val="left"/>
              <w:rPr>
                <w:rFonts w:ascii="Times New Roman" w:hAnsi="Times New Roman" w:cs="Times New Roman" w:eastAsia="Times New Roman" w:hint="default"/>
                <w:sz w:val="21"/>
                <w:szCs w:val="21"/>
              </w:rPr>
            </w:pPr>
            <w:r>
              <w:rPr>
                <w:rFonts w:ascii="Times New Roman"/>
                <w:sz w:val="21"/>
              </w:rPr>
              <w:t>43.09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49.54</w:t>
            </w:r>
          </w:p>
        </w:tc>
      </w:tr>
      <w:tr>
        <w:trPr>
          <w:trHeight w:val="40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证券自营业务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434,852,827.00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9" w:right="0"/>
              <w:jc w:val="left"/>
              <w:rPr>
                <w:rFonts w:ascii="Times New Roman" w:hAnsi="Times New Roman" w:cs="Times New Roman" w:eastAsia="Times New Roman" w:hint="default"/>
                <w:sz w:val="21"/>
                <w:szCs w:val="21"/>
              </w:rPr>
            </w:pPr>
            <w:r>
              <w:rPr>
                <w:rFonts w:ascii="Times New Roman"/>
                <w:sz w:val="21"/>
              </w:rPr>
              <w:t>30.19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35,248,171.54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3" w:right="0"/>
              <w:jc w:val="left"/>
              <w:rPr>
                <w:rFonts w:ascii="Times New Roman" w:hAnsi="Times New Roman" w:cs="Times New Roman" w:eastAsia="Times New Roman" w:hint="default"/>
                <w:sz w:val="21"/>
                <w:szCs w:val="21"/>
              </w:rPr>
            </w:pPr>
            <w:r>
              <w:rPr>
                <w:rFonts w:ascii="Times New Roman"/>
                <w:sz w:val="21"/>
              </w:rPr>
              <w:t>4.03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1,133.69</w:t>
            </w: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信用交易业务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170,606,294.77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6" w:right="0"/>
              <w:jc w:val="left"/>
              <w:rPr>
                <w:rFonts w:ascii="Times New Roman" w:hAnsi="Times New Roman" w:cs="Times New Roman" w:eastAsia="Times New Roman" w:hint="default"/>
                <w:sz w:val="21"/>
                <w:szCs w:val="21"/>
              </w:rPr>
            </w:pPr>
            <w:r>
              <w:rPr>
                <w:rFonts w:ascii="Times New Roman"/>
                <w:spacing w:val="-3"/>
                <w:sz w:val="21"/>
              </w:rPr>
              <w:t>11.84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229,407,639.12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0" w:right="0"/>
              <w:jc w:val="left"/>
              <w:rPr>
                <w:rFonts w:ascii="Times New Roman" w:hAnsi="Times New Roman" w:cs="Times New Roman" w:eastAsia="Times New Roman" w:hint="default"/>
                <w:sz w:val="21"/>
                <w:szCs w:val="21"/>
              </w:rPr>
            </w:pPr>
            <w:r>
              <w:rPr>
                <w:rFonts w:ascii="Times New Roman"/>
                <w:sz w:val="21"/>
              </w:rPr>
              <w:t>26.24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-25.63</w:t>
            </w:r>
          </w:p>
        </w:tc>
      </w:tr>
      <w:tr>
        <w:trPr>
          <w:trHeight w:val="40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资产管理业务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129,284,788.83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2" w:right="0"/>
              <w:jc w:val="left"/>
              <w:rPr>
                <w:rFonts w:ascii="Times New Roman" w:hAnsi="Times New Roman" w:cs="Times New Roman" w:eastAsia="Times New Roman" w:hint="default"/>
                <w:sz w:val="21"/>
                <w:szCs w:val="21"/>
              </w:rPr>
            </w:pPr>
            <w:r>
              <w:rPr>
                <w:rFonts w:ascii="Times New Roman"/>
                <w:sz w:val="21"/>
              </w:rPr>
              <w:t>8.97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99,383,403.30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pacing w:val="-3"/>
                <w:sz w:val="21"/>
              </w:rPr>
              <w:t>11.37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30.09</w:t>
            </w: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投资银行业务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77,570,030.01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2" w:right="0"/>
              <w:jc w:val="left"/>
              <w:rPr>
                <w:rFonts w:ascii="Times New Roman" w:hAnsi="Times New Roman" w:cs="Times New Roman" w:eastAsia="Times New Roman" w:hint="default"/>
                <w:sz w:val="21"/>
                <w:szCs w:val="21"/>
              </w:rPr>
            </w:pPr>
            <w:r>
              <w:rPr>
                <w:rFonts w:ascii="Times New Roman"/>
                <w:sz w:val="21"/>
              </w:rPr>
              <w:t>5.38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58,046,689.78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3" w:right="0"/>
              <w:jc w:val="left"/>
              <w:rPr>
                <w:rFonts w:ascii="Times New Roman" w:hAnsi="Times New Roman" w:cs="Times New Roman" w:eastAsia="Times New Roman" w:hint="default"/>
                <w:sz w:val="21"/>
                <w:szCs w:val="21"/>
              </w:rPr>
            </w:pPr>
            <w:r>
              <w:rPr>
                <w:rFonts w:ascii="Times New Roman"/>
                <w:sz w:val="21"/>
              </w:rPr>
              <w:t>6.64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33.63</w:t>
            </w:r>
          </w:p>
        </w:tc>
      </w:tr>
      <w:tr>
        <w:trPr>
          <w:trHeight w:val="40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64,884,398.99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2" w:right="0"/>
              <w:jc w:val="left"/>
              <w:rPr>
                <w:rFonts w:ascii="Times New Roman" w:hAnsi="Times New Roman" w:cs="Times New Roman" w:eastAsia="Times New Roman" w:hint="default"/>
                <w:sz w:val="21"/>
                <w:szCs w:val="21"/>
              </w:rPr>
            </w:pPr>
            <w:r>
              <w:rPr>
                <w:rFonts w:ascii="Times New Roman"/>
                <w:sz w:val="21"/>
              </w:rPr>
              <w:t>4.50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75,452,711.70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3" w:right="0"/>
              <w:jc w:val="left"/>
              <w:rPr>
                <w:rFonts w:ascii="Times New Roman" w:hAnsi="Times New Roman" w:cs="Times New Roman" w:eastAsia="Times New Roman" w:hint="default"/>
                <w:sz w:val="21"/>
                <w:szCs w:val="21"/>
              </w:rPr>
            </w:pPr>
            <w:r>
              <w:rPr>
                <w:rFonts w:ascii="Times New Roman"/>
                <w:sz w:val="21"/>
              </w:rPr>
              <w:t>8.63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-14.01</w:t>
            </w:r>
          </w:p>
        </w:tc>
      </w:tr>
      <w:tr>
        <w:trPr>
          <w:trHeight w:val="401" w:hRule="exact"/>
        </w:trPr>
        <w:tc>
          <w:tcPr>
            <w:tcW w:w="96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江西省内</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978,141,589.87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9" w:right="0"/>
              <w:jc w:val="left"/>
              <w:rPr>
                <w:rFonts w:ascii="Times New Roman" w:hAnsi="Times New Roman" w:cs="Times New Roman" w:eastAsia="Times New Roman" w:hint="default"/>
                <w:sz w:val="21"/>
                <w:szCs w:val="21"/>
              </w:rPr>
            </w:pPr>
            <w:r>
              <w:rPr>
                <w:rFonts w:ascii="Times New Roman"/>
                <w:sz w:val="21"/>
              </w:rPr>
              <w:t>67.90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518,036,068.27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0" w:right="0"/>
              <w:jc w:val="left"/>
              <w:rPr>
                <w:rFonts w:ascii="Times New Roman" w:hAnsi="Times New Roman" w:cs="Times New Roman" w:eastAsia="Times New Roman" w:hint="default"/>
                <w:sz w:val="21"/>
                <w:szCs w:val="21"/>
              </w:rPr>
            </w:pPr>
            <w:r>
              <w:rPr>
                <w:rFonts w:ascii="Times New Roman"/>
                <w:sz w:val="21"/>
              </w:rPr>
              <w:t>59.26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88.82</w:t>
            </w:r>
          </w:p>
        </w:tc>
      </w:tr>
      <w:tr>
        <w:trPr>
          <w:trHeight w:val="40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江西省外</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462,398,555.70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9" w:right="0"/>
              <w:jc w:val="left"/>
              <w:rPr>
                <w:rFonts w:ascii="Times New Roman" w:hAnsi="Times New Roman" w:cs="Times New Roman" w:eastAsia="Times New Roman" w:hint="default"/>
                <w:sz w:val="21"/>
                <w:szCs w:val="21"/>
              </w:rPr>
            </w:pPr>
            <w:r>
              <w:rPr>
                <w:rFonts w:ascii="Times New Roman"/>
                <w:sz w:val="21"/>
              </w:rPr>
              <w:t>32.10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Times New Roman" w:hAnsi="Times New Roman" w:cs="Times New Roman" w:eastAsia="Times New Roman" w:hint="default"/>
                <w:sz w:val="21"/>
                <w:szCs w:val="21"/>
              </w:rPr>
            </w:pPr>
            <w:r>
              <w:rPr>
                <w:rFonts w:ascii="Times New Roman"/>
                <w:spacing w:val="-1"/>
                <w:sz w:val="21"/>
              </w:rPr>
              <w:t>356,210,419.22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0" w:right="0"/>
              <w:jc w:val="left"/>
              <w:rPr>
                <w:rFonts w:ascii="Times New Roman" w:hAnsi="Times New Roman" w:cs="Times New Roman" w:eastAsia="Times New Roman" w:hint="default"/>
                <w:sz w:val="21"/>
                <w:szCs w:val="21"/>
              </w:rPr>
            </w:pPr>
            <w:r>
              <w:rPr>
                <w:rFonts w:ascii="Times New Roman"/>
                <w:sz w:val="21"/>
              </w:rPr>
              <w:t>40.74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29.81</w:t>
            </w:r>
          </w:p>
        </w:tc>
      </w:tr>
    </w:tbl>
    <w:p>
      <w:pPr>
        <w:pStyle w:val="BodyText"/>
        <w:spacing w:line="240" w:lineRule="auto" w:before="28"/>
        <w:ind w:right="0"/>
        <w:jc w:val="left"/>
      </w:pPr>
      <w:r>
        <w:rPr/>
        <w:t>注：本表支出包括税金及附加、业务及管理费、信用减值损失、资产减值损失、其他业务成本。</w:t>
      </w:r>
    </w:p>
    <w:p>
      <w:pPr>
        <w:spacing w:line="240" w:lineRule="auto" w:before="9"/>
        <w:rPr>
          <w:rFonts w:ascii="宋体" w:hAnsi="宋体" w:cs="宋体" w:eastAsia="宋体" w:hint="default"/>
          <w:sz w:val="20"/>
          <w:szCs w:val="20"/>
        </w:rPr>
      </w:pPr>
    </w:p>
    <w:p>
      <w:pPr>
        <w:pStyle w:val="Heading4"/>
        <w:spacing w:line="240" w:lineRule="auto"/>
        <w:ind w:left="152"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0" w:right="112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52" w:type="dxa"/>
        <w:tblLayout w:type="fixed"/>
        <w:tblCellMar>
          <w:top w:w="0" w:type="dxa"/>
          <w:left w:w="0" w:type="dxa"/>
          <w:bottom w:w="0" w:type="dxa"/>
          <w:right w:w="0" w:type="dxa"/>
        </w:tblCellMar>
        <w:tblLook w:val="01E0"/>
      </w:tblPr>
      <w:tblGrid>
        <w:gridCol w:w="1928"/>
        <w:gridCol w:w="1649"/>
        <w:gridCol w:w="1647"/>
        <w:gridCol w:w="1469"/>
        <w:gridCol w:w="2938"/>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8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7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2018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3"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同比增减（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tabs>
                <w:tab w:pos="832" w:val="left" w:leader="none"/>
              </w:tabs>
              <w:spacing w:line="327" w:lineRule="exact"/>
              <w:ind w:left="-18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tab/>
              <w:t>重大变动说明</w:t>
            </w:r>
            <w:r>
              <w:rPr>
                <w:rFonts w:ascii="Microsoft JhengHei" w:hAnsi="Microsoft JhengHei" w:cs="Microsoft JhengHei" w:eastAsia="Microsoft JhengHei" w:hint="default"/>
                <w:sz w:val="21"/>
                <w:szCs w:val="21"/>
              </w:rPr>
            </w:r>
          </w:p>
        </w:tc>
      </w:tr>
      <w:tr>
        <w:trPr>
          <w:trHeight w:val="71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1,440,102,274.63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969,832,453.95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48.49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6" w:right="16"/>
              <w:jc w:val="left"/>
              <w:rPr>
                <w:rFonts w:ascii="宋体" w:hAnsi="宋体" w:cs="宋体" w:eastAsia="宋体" w:hint="default"/>
                <w:sz w:val="21"/>
                <w:szCs w:val="21"/>
              </w:rPr>
            </w:pPr>
            <w:r>
              <w:rPr>
                <w:rFonts w:ascii="宋体" w:hAnsi="宋体" w:cs="宋体" w:eastAsia="宋体" w:hint="default"/>
                <w:spacing w:val="-6"/>
                <w:sz w:val="21"/>
                <w:szCs w:val="21"/>
              </w:rPr>
              <w:t>主要系职工薪酬、场地设备租赁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费增长导致。</w:t>
            </w:r>
          </w:p>
        </w:tc>
      </w:tr>
      <w:tr>
        <w:trPr>
          <w:trHeight w:val="715"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20,129,678.10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3,861,610.95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421.28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20"/>
              <w:jc w:val="left"/>
              <w:rPr>
                <w:rFonts w:ascii="宋体" w:hAnsi="宋体" w:cs="宋体" w:eastAsia="宋体" w:hint="default"/>
                <w:sz w:val="21"/>
                <w:szCs w:val="21"/>
              </w:rPr>
            </w:pPr>
            <w:r>
              <w:rPr>
                <w:rFonts w:ascii="宋体" w:hAnsi="宋体" w:cs="宋体" w:eastAsia="宋体" w:hint="default"/>
                <w:spacing w:val="8"/>
                <w:sz w:val="21"/>
                <w:szCs w:val="21"/>
              </w:rPr>
              <w:t>金融科技业务投入增加导致研</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发费用增长。</w:t>
            </w:r>
          </w:p>
        </w:tc>
      </w:tr>
      <w:tr>
        <w:trPr>
          <w:trHeight w:val="401"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250,106,655.63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266,337,002.65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-6.09</w:t>
            </w:r>
          </w:p>
        </w:tc>
        <w:tc>
          <w:tcPr>
            <w:tcW w:w="29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tabs>
          <w:tab w:pos="8139" w:val="left" w:leader="none"/>
        </w:tabs>
        <w:spacing w:line="335"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、研发投入</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68" w:lineRule="auto"/>
        <w:ind w:right="1126" w:firstLine="420"/>
        <w:jc w:val="both"/>
      </w:pPr>
      <w:r>
        <w:rPr>
          <w:spacing w:val="-2"/>
        </w:rPr>
        <w:t>报告期内，极盛科技根据集团证券业务信息化建设需要和金融科技领域新技术发展情况，开展“国盛</w:t>
      </w:r>
      <w:r>
        <w:rPr>
          <w:w w:val="100"/>
        </w:rPr>
        <w:t> </w:t>
      </w:r>
      <w:r>
        <w:rPr>
          <w:spacing w:val="-1"/>
        </w:rPr>
        <w:t>通”</w:t>
      </w:r>
      <w:r>
        <w:rPr>
          <w:rFonts w:ascii="Times New Roman" w:hAnsi="Times New Roman" w:cs="Times New Roman" w:eastAsia="Times New Roman" w:hint="default"/>
          <w:spacing w:val="-1"/>
        </w:rPr>
        <w:t>App</w:t>
      </w:r>
      <w:r>
        <w:rPr>
          <w:spacing w:val="-1"/>
        </w:rPr>
        <w:t>项目Ⅱ期、研报资讯快速分享平台、大数据分析自研平台项目、证券推广运营平台、金融业务平</w:t>
      </w:r>
      <w:r>
        <w:rPr>
          <w:spacing w:val="-29"/>
        </w:rPr>
        <w:t> </w:t>
      </w:r>
      <w:r>
        <w:rPr>
          <w:spacing w:val="-29"/>
        </w:rPr>
      </w:r>
      <w:r>
        <w:rPr>
          <w:spacing w:val="-2"/>
        </w:rPr>
        <w:t>台项目Ⅰ期、账户智能分析系统、持仓复盘大数据分析项目等研发项目，以提升集团信息化水平和风险管</w:t>
      </w:r>
      <w:r>
        <w:rPr>
          <w:spacing w:val="-42"/>
        </w:rPr>
        <w:t> </w:t>
      </w:r>
      <w:r>
        <w:rPr>
          <w:spacing w:val="-42"/>
        </w:rPr>
      </w:r>
      <w:r>
        <w:rPr/>
        <w:t>理能力。</w:t>
      </w:r>
    </w:p>
    <w:p>
      <w:pPr>
        <w:spacing w:after="0" w:line="268"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本集团研发投入情况</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3229"/>
        <w:gridCol w:w="1973"/>
        <w:gridCol w:w="1975"/>
        <w:gridCol w:w="2391"/>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96</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88.24%</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3.50%</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1.29%</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51,545,866.20</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13,141,230.34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292.25%</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研发投入占营业总收入比例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2.01%</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31,416,188.10</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9,281,109.64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238.50%</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资本化研发投入占研发投入的比例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60.95%</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-9.68%</w:t>
            </w:r>
          </w:p>
        </w:tc>
      </w:tr>
    </w:tbl>
    <w:p>
      <w:pPr>
        <w:pStyle w:val="BodyText"/>
        <w:tabs>
          <w:tab w:pos="8139" w:val="left" w:leader="none"/>
        </w:tabs>
        <w:spacing w:line="292" w:lineRule="auto" w:before="28"/>
        <w:ind w:right="1179"/>
        <w:jc w:val="left"/>
      </w:pPr>
      <w:r>
        <w:rPr>
          <w:spacing w:val="-2"/>
        </w:rPr>
        <w:t>研发投入总额占营业总收入的比重较上年发生显著变化的原因</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r>
        <w:rPr>
          <w:w w:val="100"/>
        </w:rPr>
        <w:t> </w:t>
      </w:r>
      <w:r>
        <w:rPr/>
        <w:t>研发投入资本化率大幅变动的原因及其合理性说明</w:t>
      </w:r>
    </w:p>
    <w:p>
      <w:pPr>
        <w:pStyle w:val="BodyText"/>
        <w:spacing w:line="273" w:lineRule="auto" w:before="29"/>
        <w:ind w:right="0" w:firstLine="420"/>
        <w:jc w:val="left"/>
      </w:pPr>
      <w:r>
        <w:rPr/>
        <w:t>报告期研发投入资本化率较上年变动不大，但资本化金额有较大变动，主要系随着金融科技业务的推</w:t>
      </w:r>
      <w:r>
        <w:rPr>
          <w:w w:val="100"/>
        </w:rPr>
        <w:t> </w:t>
      </w:r>
      <w:r>
        <w:rPr/>
        <w:t>进，极盛科技开展了更多研发项目导致。报告期资本化项目均为集团证券业务相关项目，其中“国盛通”</w:t>
      </w:r>
    </w:p>
    <w:p>
      <w:pPr>
        <w:pStyle w:val="BodyText"/>
        <w:spacing w:line="290" w:lineRule="auto" w:before="7"/>
        <w:ind w:left="573" w:right="0" w:hanging="421"/>
        <w:jc w:val="left"/>
      </w:pPr>
      <w:r>
        <w:rPr>
          <w:rFonts w:ascii="Times New Roman" w:hAnsi="Times New Roman" w:cs="Times New Roman" w:eastAsia="Times New Roman" w:hint="default"/>
        </w:rPr>
        <w:t>App</w:t>
      </w:r>
      <w:r>
        <w:rPr>
          <w:rFonts w:ascii="Times New Roman" w:hAnsi="Times New Roman" w:cs="Times New Roman" w:eastAsia="Times New Roman" w:hint="default"/>
          <w:spacing w:val="-3"/>
        </w:rPr>
        <w:t> </w:t>
      </w:r>
      <w:r>
        <w:rPr/>
        <w:t>项目Ⅱ期资本化金额为</w:t>
      </w:r>
      <w:r>
        <w:rPr>
          <w:spacing w:val="-54"/>
        </w:rPr>
        <w:t> </w:t>
      </w:r>
      <w:r>
        <w:rPr>
          <w:rFonts w:ascii="Times New Roman" w:hAnsi="Times New Roman" w:cs="Times New Roman" w:eastAsia="Times New Roman" w:hint="default"/>
        </w:rPr>
        <w:t>2,167.17</w:t>
      </w:r>
      <w:r>
        <w:rPr>
          <w:rFonts w:ascii="Times New Roman" w:hAnsi="Times New Roman" w:cs="Times New Roman" w:eastAsia="Times New Roman" w:hint="default"/>
          <w:spacing w:val="-4"/>
        </w:rPr>
        <w:t> </w:t>
      </w:r>
      <w:r>
        <w:rPr/>
        <w:t>万元。该项目主要是国盛通</w:t>
      </w:r>
      <w:r>
        <w:rPr>
          <w:spacing w:val="-56"/>
        </w:rPr>
        <w:t> </w:t>
      </w:r>
      <w:r>
        <w:rPr>
          <w:rFonts w:ascii="Times New Roman" w:hAnsi="Times New Roman" w:cs="Times New Roman" w:eastAsia="Times New Roman" w:hint="default"/>
        </w:rPr>
        <w:t>APP</w:t>
      </w:r>
      <w:r>
        <w:rPr>
          <w:rFonts w:ascii="Times New Roman" w:hAnsi="Times New Roman" w:cs="Times New Roman" w:eastAsia="Times New Roman" w:hint="default"/>
          <w:spacing w:val="-1"/>
        </w:rPr>
        <w:t> </w:t>
      </w:r>
      <w:r>
        <w:rPr/>
        <w:t>迭代开发及新增功能开发。</w:t>
      </w:r>
      <w:r>
        <w:rPr>
          <w:w w:val="100"/>
        </w:rPr>
        <w:t> </w:t>
      </w:r>
      <w:r>
        <w:rPr>
          <w:spacing w:val="-2"/>
        </w:rPr>
        <w:t>本集团严格按照企业会计准则相关规定进行研发支出资本化。报告期资本化的研发项目中的部分项目</w:t>
      </w:r>
    </w:p>
    <w:p>
      <w:pPr>
        <w:pStyle w:val="BodyText"/>
        <w:spacing w:line="284" w:lineRule="exact"/>
        <w:ind w:right="0"/>
        <w:jc w:val="left"/>
      </w:pPr>
      <w:r>
        <w:rPr/>
        <w:t>已经取得软件著作权，部分项目已经在</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年完成使用权转售。</w:t>
      </w:r>
    </w:p>
    <w:p>
      <w:pPr>
        <w:spacing w:line="240" w:lineRule="auto" w:before="6"/>
        <w:rPr>
          <w:rFonts w:ascii="宋体" w:hAnsi="宋体" w:cs="宋体" w:eastAsia="宋体" w:hint="default"/>
          <w:sz w:val="19"/>
          <w:szCs w:val="19"/>
        </w:rPr>
      </w:pPr>
    </w:p>
    <w:p>
      <w:pPr>
        <w:pStyle w:val="Heading4"/>
        <w:spacing w:line="240" w:lineRule="auto"/>
        <w:ind w:left="152"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0" w:right="1339"/>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3087"/>
        <w:gridCol w:w="2160"/>
        <w:gridCol w:w="2160"/>
        <w:gridCol w:w="2161"/>
      </w:tblGrid>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2018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3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9,439,853,283.14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10,110,228,950.27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-6.63</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7,018,054,785.77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8,438,775,970.02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-16.84</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2,421,798,497.37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1,671,452,980.25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44.89</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2,238,868,986.23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234,954,560.98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852.89</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1,020,019,253.31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925,707,578.21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10.19</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1,218,849,732.92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-690,753,017.23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276.45</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5,367,724,596.00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123,275,678.20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4,254.24</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7,073,045,361.22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1,147,461,013.35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516.41</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-1,705,320,765.22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-1,024,185,335.15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-66.51</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1,935,680,301.33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-41,223,934.92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4,795.53</w:t>
            </w:r>
          </w:p>
        </w:tc>
      </w:tr>
    </w:tbl>
    <w:p>
      <w:pPr>
        <w:pStyle w:val="BodyText"/>
        <w:tabs>
          <w:tab w:pos="8137" w:val="left" w:leader="none"/>
        </w:tabs>
        <w:spacing w:line="240" w:lineRule="auto" w:before="28"/>
        <w:ind w:right="0"/>
        <w:jc w:val="left"/>
      </w:pPr>
      <w:r>
        <w:rPr>
          <w:spacing w:val="-2"/>
        </w:rPr>
        <w:t>相关数据同比发生重大变动的主要影响因素说明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spacing w:line="256" w:lineRule="auto" w:before="59"/>
        <w:ind w:right="0" w:firstLine="420"/>
        <w:jc w:val="left"/>
      </w:pPr>
      <w:r>
        <w:rPr>
          <w:spacing w:val="-5"/>
        </w:rPr>
        <w:t>（</w:t>
      </w:r>
      <w:r>
        <w:rPr>
          <w:rFonts w:ascii="Times New Roman" w:hAnsi="Times New Roman" w:cs="Times New Roman" w:eastAsia="Times New Roman" w:hint="default"/>
          <w:spacing w:val="-5"/>
        </w:rPr>
        <w:t>1</w:t>
      </w:r>
      <w:r>
        <w:rPr>
          <w:spacing w:val="-5"/>
        </w:rPr>
        <w:t>）本期经营活动产生的现金流量净额较上年同期增长</w:t>
      </w:r>
      <w:r>
        <w:rPr>
          <w:rFonts w:ascii="Times New Roman" w:hAnsi="Times New Roman" w:cs="Times New Roman" w:eastAsia="Times New Roman" w:hint="default"/>
          <w:spacing w:val="-5"/>
        </w:rPr>
        <w:t>44.89%</w:t>
      </w:r>
      <w:r>
        <w:rPr>
          <w:spacing w:val="-5"/>
        </w:rPr>
        <w:t>，主要系证券业务利息、手续费及佣金</w:t>
      </w:r>
      <w:r>
        <w:rPr>
          <w:w w:val="100"/>
        </w:rPr>
        <w:t> </w:t>
      </w:r>
      <w:r>
        <w:rPr/>
        <w:t>收入现金净流入增加以及自营股票规模减少、资金回流导致。</w:t>
      </w:r>
    </w:p>
    <w:p>
      <w:pPr>
        <w:pStyle w:val="BodyText"/>
        <w:spacing w:line="256" w:lineRule="auto" w:before="22"/>
        <w:ind w:right="1150" w:firstLine="420"/>
        <w:jc w:val="left"/>
      </w:pPr>
      <w:r>
        <w:rPr>
          <w:spacing w:val="-3"/>
        </w:rPr>
        <w:t>（</w:t>
      </w:r>
      <w:r>
        <w:rPr>
          <w:rFonts w:ascii="Times New Roman" w:hAnsi="Times New Roman" w:cs="Times New Roman" w:eastAsia="Times New Roman" w:hint="default"/>
          <w:spacing w:val="-3"/>
        </w:rPr>
        <w:t>2</w:t>
      </w:r>
      <w:r>
        <w:rPr>
          <w:spacing w:val="-3"/>
        </w:rPr>
        <w:t>）本期投资活动产生的现金流量净额较上年同期增长</w:t>
      </w:r>
      <w:r>
        <w:rPr>
          <w:rFonts w:ascii="Times New Roman" w:hAnsi="Times New Roman" w:cs="Times New Roman" w:eastAsia="Times New Roman" w:hint="default"/>
          <w:spacing w:val="-3"/>
        </w:rPr>
        <w:t>276.45%</w:t>
      </w:r>
      <w:r>
        <w:rPr>
          <w:spacing w:val="-3"/>
        </w:rPr>
        <w:t>，主要系本期赎回单一资金信托计划</w:t>
      </w:r>
      <w:r>
        <w:rPr>
          <w:w w:val="100"/>
        </w:rPr>
        <w:t> </w:t>
      </w:r>
      <w:r>
        <w:rPr/>
        <w:t>导致。</w:t>
      </w:r>
    </w:p>
    <w:p>
      <w:pPr>
        <w:pStyle w:val="BodyText"/>
        <w:spacing w:line="256" w:lineRule="auto" w:before="22"/>
        <w:ind w:right="0" w:firstLine="420"/>
        <w:jc w:val="left"/>
      </w:pPr>
      <w:r>
        <w:rPr/>
        <w:t>（</w:t>
      </w:r>
      <w:r>
        <w:rPr>
          <w:rFonts w:ascii="Times New Roman" w:hAnsi="Times New Roman" w:cs="Times New Roman" w:eastAsia="Times New Roman" w:hint="default"/>
        </w:rPr>
        <w:t>3</w:t>
      </w:r>
      <w:r>
        <w:rPr/>
        <w:t>）本期筹资活动产生的现金流量净额较上年同期减少</w:t>
      </w:r>
      <w:r>
        <w:rPr>
          <w:rFonts w:ascii="Times New Roman" w:hAnsi="Times New Roman" w:cs="Times New Roman" w:eastAsia="Times New Roman" w:hint="default"/>
        </w:rPr>
        <w:t>66.51%</w:t>
      </w:r>
      <w:r>
        <w:rPr/>
        <w:t>，主要系公司兑付</w:t>
      </w:r>
      <w:r>
        <w:rPr>
          <w:rFonts w:ascii="Times New Roman" w:hAnsi="Times New Roman" w:cs="Times New Roman" w:eastAsia="Times New Roman" w:hint="default"/>
        </w:rPr>
        <w:t>2016</w:t>
      </w:r>
      <w:r>
        <w:rPr/>
        <w:t>年发行的债券</w:t>
      </w:r>
      <w:r>
        <w:rPr>
          <w:spacing w:val="2"/>
          <w:w w:val="100"/>
        </w:rPr>
        <w:t> </w:t>
      </w:r>
      <w:r>
        <w:rPr/>
        <w:t>本息以及国盛证券扩大收益凭证发行规模综合影响导致。</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tabs>
          <w:tab w:pos="7930" w:val="left" w:leader="none"/>
        </w:tabs>
        <w:spacing w:line="290" w:lineRule="auto" w:before="36"/>
        <w:ind w:left="573" w:right="1150" w:hanging="421"/>
        <w:jc w:val="left"/>
      </w:pPr>
      <w:r>
        <w:rPr>
          <w:spacing w:val="-2"/>
        </w:rPr>
        <w:t>报告期公司经营活动产生的现金净流量与本年度净利润存在重大差异的原因说明</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r>
        <w:rPr>
          <w:w w:val="100"/>
        </w:rPr>
        <w:t> </w:t>
      </w:r>
      <w:r>
        <w:rPr>
          <w:spacing w:val="2"/>
        </w:rPr>
        <w:t>报告期公司经营活动产生的现金净流量与本年度净利润金额存在差异主要受证券业务形成代理买卖</w:t>
      </w:r>
    </w:p>
    <w:p>
      <w:pPr>
        <w:pStyle w:val="BodyText"/>
        <w:spacing w:line="256" w:lineRule="auto"/>
        <w:ind w:right="0"/>
        <w:jc w:val="left"/>
      </w:pPr>
      <w:r>
        <w:rPr>
          <w:spacing w:val="-1"/>
        </w:rPr>
        <w:t>证券款净流入</w:t>
      </w:r>
      <w:r>
        <w:rPr>
          <w:rFonts w:ascii="Times New Roman" w:hAnsi="Times New Roman" w:cs="Times New Roman" w:eastAsia="Times New Roman" w:hint="default"/>
          <w:spacing w:val="-1"/>
        </w:rPr>
        <w:t>22.6</w:t>
      </w:r>
      <w:r>
        <w:rPr>
          <w:spacing w:val="-1"/>
        </w:rPr>
        <w:t>亿元导致，剔除此项影响，报告期公司经营活动产生的现金净流量与本年度净利润金额</w:t>
      </w:r>
      <w:r>
        <w:rPr>
          <w:spacing w:val="-28"/>
        </w:rPr>
        <w:t> </w:t>
      </w:r>
      <w:r>
        <w:rPr>
          <w:spacing w:val="-28"/>
        </w:rPr>
      </w:r>
      <w:r>
        <w:rPr/>
        <w:t>不存在重大差异。</w:t>
      </w:r>
    </w:p>
    <w:p>
      <w:pPr>
        <w:spacing w:line="240" w:lineRule="auto" w:before="11"/>
        <w:rPr>
          <w:rFonts w:ascii="宋体" w:hAnsi="宋体" w:cs="宋体" w:eastAsia="宋体" w:hint="default"/>
          <w:sz w:val="16"/>
          <w:szCs w:val="16"/>
        </w:rPr>
      </w:pPr>
    </w:p>
    <w:p>
      <w:pPr>
        <w:tabs>
          <w:tab w:pos="8187"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2"/>
          <w:sz w:val="24"/>
          <w:szCs w:val="24"/>
        </w:rPr>
        <w:t>三、非主营业务分析</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2"/>
          <w:szCs w:val="22"/>
        </w:rPr>
      </w:pPr>
    </w:p>
    <w:p>
      <w:pPr>
        <w:pStyle w:val="BodyText"/>
        <w:spacing w:line="264" w:lineRule="auto"/>
        <w:ind w:right="1126" w:firstLine="420"/>
        <w:jc w:val="both"/>
      </w:pPr>
      <w:r>
        <w:rPr/>
        <w:t>报告期，本集团实现营业外收入 </w:t>
      </w:r>
      <w:r>
        <w:rPr>
          <w:rFonts w:ascii="Times New Roman" w:hAnsi="Times New Roman" w:cs="Times New Roman" w:eastAsia="Times New Roman" w:hint="default"/>
        </w:rPr>
        <w:t>20,256.14 </w:t>
      </w:r>
      <w:r>
        <w:rPr/>
        <w:t>万元，主要系转换 </w:t>
      </w:r>
      <w:r>
        <w:rPr>
          <w:rFonts w:ascii="Times New Roman" w:hAnsi="Times New Roman" w:cs="Times New Roman" w:eastAsia="Times New Roman" w:hint="default"/>
        </w:rPr>
        <w:t>QD</w:t>
      </w:r>
      <w:r>
        <w:rPr>
          <w:rFonts w:ascii="Times New Roman" w:hAnsi="Times New Roman" w:cs="Times New Roman" w:eastAsia="Times New Roman" w:hint="default"/>
          <w:spacing w:val="-21"/>
        </w:rPr>
        <w:t> </w:t>
      </w:r>
      <w:r>
        <w:rPr/>
        <w:t>项目核算方法导致，详见“第五节</w:t>
      </w:r>
      <w:r>
        <w:rPr>
          <w:w w:val="100"/>
        </w:rPr>
        <w:t> </w:t>
      </w:r>
      <w:r>
        <w:rPr>
          <w:spacing w:val="-7"/>
          <w:w w:val="100"/>
        </w:rPr>
        <w:t>重要事项”之“六、与上年度财务报告相比，会计政策、会计估计和核算方法发生变化的情况说明”。该项</w:t>
      </w:r>
      <w:r>
        <w:rPr>
          <w:spacing w:val="-74"/>
          <w:w w:val="100"/>
        </w:rPr>
        <w:t> </w:t>
      </w:r>
      <w:r>
        <w:rPr>
          <w:spacing w:val="-74"/>
          <w:w w:val="100"/>
        </w:rPr>
      </w:r>
      <w:r>
        <w:rPr/>
        <w:t>收入不具有可持续性。</w:t>
      </w:r>
    </w:p>
    <w:p>
      <w:pPr>
        <w:spacing w:line="240" w:lineRule="auto" w:before="6"/>
        <w:rPr>
          <w:rFonts w:ascii="宋体" w:hAnsi="宋体" w:cs="宋体" w:eastAsia="宋体" w:hint="default"/>
          <w:sz w:val="16"/>
          <w:szCs w:val="16"/>
        </w:rPr>
      </w:pPr>
    </w:p>
    <w:p>
      <w:pPr>
        <w:pStyle w:val="Heading2"/>
        <w:spacing w:line="240" w:lineRule="auto"/>
        <w:ind w:right="0"/>
        <w:jc w:val="left"/>
        <w:rPr>
          <w:b w:val="0"/>
          <w:bCs w:val="0"/>
        </w:rPr>
      </w:pPr>
      <w:r>
        <w:rPr/>
        <w:t>四、资产及负债状况分析</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spacing w:val="-5"/>
        </w:rPr>
        <w:t>报告期末，本集团资产总额为 </w:t>
      </w:r>
      <w:r>
        <w:rPr>
          <w:rFonts w:ascii="Times New Roman" w:hAnsi="Times New Roman" w:cs="Times New Roman" w:eastAsia="Times New Roman" w:hint="default"/>
        </w:rPr>
        <w:t>337.31</w:t>
      </w:r>
      <w:r>
        <w:rPr>
          <w:rFonts w:ascii="Times New Roman" w:hAnsi="Times New Roman" w:cs="Times New Roman" w:eastAsia="Times New Roman" w:hint="default"/>
          <w:spacing w:val="18"/>
        </w:rPr>
        <w:t> </w:t>
      </w:r>
      <w:r>
        <w:rPr>
          <w:spacing w:val="-3"/>
        </w:rPr>
        <w:t>亿元，扣除银行存款中的客户存款及结算备付金中的客户备付金</w:t>
      </w:r>
    </w:p>
    <w:p>
      <w:pPr>
        <w:pStyle w:val="BodyText"/>
        <w:spacing w:line="240" w:lineRule="auto" w:before="21"/>
        <w:ind w:right="0"/>
        <w:jc w:val="left"/>
      </w:pPr>
      <w:r>
        <w:rPr/>
        <w:t>后资产总额为 </w:t>
      </w:r>
      <w:r>
        <w:rPr>
          <w:rFonts w:ascii="Times New Roman" w:hAnsi="Times New Roman" w:cs="Times New Roman" w:eastAsia="Times New Roman" w:hint="default"/>
        </w:rPr>
        <w:t>274.02</w:t>
      </w:r>
      <w:r>
        <w:rPr>
          <w:rFonts w:ascii="Times New Roman" w:hAnsi="Times New Roman" w:cs="Times New Roman" w:eastAsia="Times New Roman" w:hint="default"/>
          <w:spacing w:val="-29"/>
        </w:rPr>
        <w:t> </w:t>
      </w:r>
      <w:r>
        <w:rPr/>
        <w:t>亿元；资产构成中，金额占比较大的资产包括交易性金融资产、买入返售金融资产、</w:t>
      </w:r>
    </w:p>
    <w:p>
      <w:pPr>
        <w:pStyle w:val="BodyText"/>
        <w:spacing w:line="256" w:lineRule="auto" w:before="21"/>
        <w:ind w:right="0"/>
        <w:jc w:val="left"/>
      </w:pPr>
      <w:r>
        <w:rPr>
          <w:spacing w:val="-4"/>
        </w:rPr>
        <w:t>融出资金，均具有较强的变现能力。报告期末本集团负债总额为 </w:t>
      </w:r>
      <w:r>
        <w:rPr>
          <w:rFonts w:ascii="Times New Roman" w:hAnsi="Times New Roman" w:cs="Times New Roman" w:eastAsia="Times New Roman" w:hint="default"/>
        </w:rPr>
        <w:t>221.51 </w:t>
      </w:r>
      <w:r>
        <w:rPr>
          <w:spacing w:val="-4"/>
        </w:rPr>
        <w:t>亿元，金额占比较大的负债包括代</w:t>
      </w:r>
      <w:r>
        <w:rPr>
          <w:spacing w:val="-73"/>
        </w:rPr>
        <w:t> </w:t>
      </w:r>
      <w:r>
        <w:rPr>
          <w:spacing w:val="-73"/>
        </w:rPr>
      </w:r>
      <w:r>
        <w:rPr>
          <w:spacing w:val="-2"/>
        </w:rPr>
        <w:t>理买卖证券款、卖出回购金融资产款、拆入资金。本集团资产负债率为</w:t>
      </w:r>
      <w:r>
        <w:rPr>
          <w:spacing w:val="28"/>
        </w:rPr>
        <w:t> </w:t>
      </w:r>
      <w:r>
        <w:rPr>
          <w:rFonts w:ascii="Times New Roman" w:hAnsi="Times New Roman" w:cs="Times New Roman" w:eastAsia="Times New Roman" w:hint="default"/>
          <w:spacing w:val="-2"/>
        </w:rPr>
        <w:t>65.67%</w:t>
      </w:r>
      <w:r>
        <w:rPr>
          <w:spacing w:val="-2"/>
        </w:rPr>
        <w:t>，财务结构稳健。</w:t>
      </w:r>
    </w:p>
    <w:p>
      <w:pPr>
        <w:spacing w:line="240" w:lineRule="auto" w:before="0"/>
        <w:rPr>
          <w:rFonts w:ascii="宋体" w:hAnsi="宋体" w:cs="宋体" w:eastAsia="宋体" w:hint="default"/>
          <w:sz w:val="18"/>
          <w:szCs w:val="18"/>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、资产及负债构成重大变动情况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tabs>
          <w:tab w:pos="8084" w:val="left" w:leader="none"/>
        </w:tabs>
        <w:spacing w:line="240" w:lineRule="auto"/>
        <w:ind w:right="0"/>
        <w:jc w:val="left"/>
      </w:pPr>
      <w:r>
        <w:rPr>
          <w:rFonts w:ascii="Times New Roman" w:hAnsi="Times New Roman" w:cs="Times New Roman" w:eastAsia="Times New Roman" w:hint="default"/>
        </w:rPr>
        <w:t>2019 </w:t>
      </w:r>
      <w:r>
        <w:rPr>
          <w:rFonts w:ascii="Times New Roman" w:hAnsi="Times New Roman" w:cs="Times New Roman" w:eastAsia="Times New Roman" w:hint="default"/>
          <w:spacing w:val="1"/>
        </w:rPr>
        <w:t> </w:t>
      </w:r>
      <w:r>
        <w:rPr>
          <w:spacing w:val="-2"/>
        </w:rPr>
        <w:t>年起首次执行新金融工具准则调整执行当年年初财务报表相关项目</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37"/>
        <w:ind w:left="0" w:right="1095" w:firstLine="0"/>
        <w:jc w:val="right"/>
        <w:rPr>
          <w:rFonts w:ascii="宋体" w:hAnsi="宋体" w:cs="宋体" w:eastAsia="宋体" w:hint="default"/>
          <w:sz w:val="20"/>
          <w:szCs w:val="20"/>
        </w:rPr>
      </w:pPr>
      <w:r>
        <w:rPr/>
        <w:pict>
          <v:shape style="position:absolute;margin-left:58.080002pt;margin-top:-71.690277pt;width:479.3pt;height:366.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1561"/>
                    <w:gridCol w:w="991"/>
                    <w:gridCol w:w="1560"/>
                    <w:gridCol w:w="991"/>
                    <w:gridCol w:w="708"/>
                    <w:gridCol w:w="2091"/>
                  </w:tblGrid>
                  <w:tr>
                    <w:trPr>
                      <w:trHeight w:val="401" w:hRule="exact"/>
                    </w:trPr>
                    <w:tc>
                      <w:tcPr>
                        <w:tcW w:w="1668" w:type="dxa"/>
                        <w:tcBorders>
                          <w:top w:val="single" w:sz="4" w:space="0" w:color="000000"/>
                          <w:left w:val="single" w:sz="4" w:space="0" w:color="000000"/>
                          <w:bottom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844"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spacing w:val="2"/>
                            <w:sz w:val="20"/>
                            <w:szCs w:val="20"/>
                          </w:rPr>
                          <w:t> </w:t>
                        </w:r>
                        <w:r>
                          <w:rPr>
                            <w:rFonts w:ascii="Microsoft JhengHei" w:hAnsi="Microsoft JhengHei" w:cs="Microsoft JhengHei" w:eastAsia="Microsoft JhengHei" w:hint="default"/>
                            <w:b/>
                            <w:bCs/>
                            <w:sz w:val="20"/>
                            <w:szCs w:val="20"/>
                          </w:rPr>
                          <w:t>年末</w:t>
                        </w:r>
                        <w:r>
                          <w:rPr>
                            <w:rFonts w:ascii="Microsoft JhengHei" w:hAnsi="Microsoft JhengHei" w:cs="Microsoft JhengHei" w:eastAsia="Microsoft JhengHei" w:hint="default"/>
                            <w:sz w:val="20"/>
                            <w:szCs w:val="20"/>
                          </w:rPr>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844"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spacing w:val="2"/>
                            <w:sz w:val="20"/>
                            <w:szCs w:val="20"/>
                          </w:rPr>
                          <w:t> </w:t>
                        </w:r>
                        <w:r>
                          <w:rPr>
                            <w:rFonts w:ascii="Microsoft JhengHei" w:hAnsi="Microsoft JhengHei" w:cs="Microsoft JhengHei" w:eastAsia="Microsoft JhengHei" w:hint="default"/>
                            <w:b/>
                            <w:bCs/>
                            <w:sz w:val="20"/>
                            <w:szCs w:val="20"/>
                          </w:rPr>
                          <w:t>年初</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344" w:lineRule="exact"/>
                          <w:ind w:left="14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比重</w:t>
                        </w:r>
                        <w:r>
                          <w:rPr>
                            <w:rFonts w:ascii="Microsoft JhengHei" w:hAnsi="Microsoft JhengHei" w:cs="Microsoft JhengHei" w:eastAsia="Microsoft JhengHei" w:hint="default"/>
                            <w:sz w:val="20"/>
                            <w:szCs w:val="20"/>
                          </w:rPr>
                        </w:r>
                      </w:p>
                    </w:tc>
                    <w:tc>
                      <w:tcPr>
                        <w:tcW w:w="2091" w:type="dxa"/>
                        <w:tcBorders>
                          <w:top w:val="single" w:sz="4" w:space="0" w:color="000000"/>
                          <w:left w:val="single" w:sz="4" w:space="0" w:color="000000"/>
                          <w:bottom w:val="nil" w:sz="6" w:space="0" w:color="auto"/>
                          <w:right w:val="single" w:sz="4" w:space="0" w:color="000000"/>
                        </w:tcBorders>
                      </w:tcPr>
                      <w:p>
                        <w:pPr/>
                      </w:p>
                    </w:tc>
                  </w:tr>
                  <w:tr>
                    <w:trPr>
                      <w:trHeight w:val="715" w:hRule="exact"/>
                    </w:trPr>
                    <w:tc>
                      <w:tcPr>
                        <w:tcW w:w="1668"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金额（元）</w:t>
                        </w:r>
                        <w:r>
                          <w:rPr>
                            <w:rFonts w:ascii="Microsoft JhengHei" w:hAnsi="Microsoft JhengHei" w:cs="Microsoft JhengHei" w:eastAsia="Microsoft JhengHei"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20"/>
                          <w:ind w:left="24" w:right="-22"/>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pacing w:val="33"/>
                            <w:sz w:val="20"/>
                            <w:szCs w:val="20"/>
                          </w:rPr>
                          <w:t>占总资产</w:t>
                        </w:r>
                        <w:r>
                          <w:rPr>
                            <w:rFonts w:ascii="Microsoft JhengHei" w:hAnsi="Microsoft JhengHei" w:cs="Microsoft JhengHei" w:eastAsia="Microsoft JhengHei" w:hint="default"/>
                            <w:b/>
                            <w:bCs/>
                            <w:spacing w:val="-5"/>
                            <w:sz w:val="20"/>
                            <w:szCs w:val="20"/>
                          </w:rPr>
                          <w:t> </w:t>
                        </w:r>
                        <w:r>
                          <w:rPr>
                            <w:rFonts w:ascii="Microsoft JhengHei" w:hAnsi="Microsoft JhengHei" w:cs="Microsoft JhengHei" w:eastAsia="Microsoft JhengHei" w:hint="default"/>
                            <w:b/>
                            <w:bCs/>
                            <w:sz w:val="20"/>
                            <w:szCs w:val="20"/>
                          </w:rPr>
                          <w:t>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27"/>
                          <w:ind w:left="2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金额（元）</w:t>
                        </w:r>
                        <w:r>
                          <w:rPr>
                            <w:rFonts w:ascii="Microsoft JhengHei" w:hAnsi="Microsoft JhengHei" w:cs="Microsoft JhengHei" w:eastAsia="Microsoft JhengHei" w:hint="default"/>
                            <w:sz w:val="20"/>
                            <w:szCs w:val="20"/>
                          </w:rPr>
                        </w:r>
                      </w:p>
                      <w:p>
                        <w:pPr>
                          <w:pStyle w:val="TableParagraph"/>
                          <w:spacing w:line="251" w:lineRule="exact"/>
                          <w:ind w:left="-16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w:t>
                        </w:r>
                        <w:r>
                          <w:rPr>
                            <w:rFonts w:ascii="Microsoft JhengHei" w:hAnsi="Microsoft JhengHei" w:cs="Microsoft JhengHei" w:eastAsia="Microsoft JhengHei"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20"/>
                          <w:ind w:left="23" w:right="-22"/>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pacing w:val="33"/>
                            <w:sz w:val="20"/>
                            <w:szCs w:val="20"/>
                          </w:rPr>
                          <w:t>占总资产</w:t>
                        </w:r>
                        <w:r>
                          <w:rPr>
                            <w:rFonts w:ascii="Microsoft JhengHei" w:hAnsi="Microsoft JhengHei" w:cs="Microsoft JhengHei" w:eastAsia="Microsoft JhengHei" w:hint="default"/>
                            <w:b/>
                            <w:bCs/>
                            <w:spacing w:val="-5"/>
                            <w:sz w:val="20"/>
                            <w:szCs w:val="20"/>
                          </w:rPr>
                          <w:t> </w:t>
                        </w:r>
                        <w:r>
                          <w:rPr>
                            <w:rFonts w:ascii="Microsoft JhengHei" w:hAnsi="Microsoft JhengHei" w:cs="Microsoft JhengHei" w:eastAsia="Microsoft JhengHei" w:hint="default"/>
                            <w:b/>
                            <w:bCs/>
                            <w:sz w:val="20"/>
                            <w:szCs w:val="20"/>
                          </w:rPr>
                          <w:t>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80" w:lineRule="exact"/>
                          <w:ind w:left="14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增减</w:t>
                        </w:r>
                        <w:r>
                          <w:rPr>
                            <w:rFonts w:ascii="Microsoft JhengHei" w:hAnsi="Microsoft JhengHei" w:cs="Microsoft JhengHei" w:eastAsia="Microsoft JhengHei" w:hint="default"/>
                            <w:sz w:val="20"/>
                            <w:szCs w:val="20"/>
                          </w:rPr>
                        </w:r>
                      </w:p>
                      <w:p>
                        <w:pPr>
                          <w:pStyle w:val="TableParagraph"/>
                          <w:spacing w:line="350" w:lineRule="exact"/>
                          <w:ind w:left="-16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position w:val="-1"/>
                            <w:sz w:val="20"/>
                            <w:szCs w:val="20"/>
                          </w:rPr>
                          <w:t>）</w:t>
                        </w:r>
                        <w:r>
                          <w:rPr>
                            <w:rFonts w:ascii="Microsoft JhengHei" w:hAnsi="Microsoft JhengHei" w:cs="Microsoft JhengHei" w:eastAsia="Microsoft JhengHei" w:hint="default"/>
                            <w:b/>
                            <w:bCs/>
                            <w:spacing w:val="3"/>
                            <w:sz w:val="20"/>
                            <w:szCs w:val="20"/>
                          </w:rPr>
                          <w:t>（</w:t>
                        </w:r>
                        <w:r>
                          <w:rPr>
                            <w:rFonts w:ascii="Times New Roman" w:hAnsi="Times New Roman" w:cs="Times New Roman" w:eastAsia="Times New Roman" w:hint="default"/>
                            <w:b/>
                            <w:bCs/>
                            <w:spacing w:val="3"/>
                            <w:sz w:val="20"/>
                            <w:szCs w:val="20"/>
                          </w:rPr>
                          <w:t>%</w:t>
                        </w:r>
                        <w:r>
                          <w:rPr>
                            <w:rFonts w:ascii="Microsoft JhengHei" w:hAnsi="Microsoft JhengHei" w:cs="Microsoft JhengHei" w:eastAsia="Microsoft JhengHei" w:hint="default"/>
                            <w:b/>
                            <w:bCs/>
                            <w:spacing w:val="3"/>
                            <w:sz w:val="20"/>
                            <w:szCs w:val="20"/>
                          </w:rPr>
                          <w:t>）</w:t>
                        </w:r>
                        <w:r>
                          <w:rPr>
                            <w:rFonts w:ascii="Microsoft JhengHei" w:hAnsi="Microsoft JhengHei" w:cs="Microsoft JhengHei" w:eastAsia="Microsoft JhengHei" w:hint="default"/>
                            <w:spacing w:val="3"/>
                            <w:sz w:val="20"/>
                            <w:szCs w:val="20"/>
                          </w:rPr>
                        </w:r>
                      </w:p>
                    </w:tc>
                    <w:tc>
                      <w:tcPr>
                        <w:tcW w:w="2091"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43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重大变动说明</w:t>
                        </w:r>
                        <w:r>
                          <w:rPr>
                            <w:rFonts w:ascii="Microsoft JhengHei" w:hAnsi="Microsoft JhengHei" w:cs="Microsoft JhengHei" w:eastAsia="Microsoft JhengHei" w:hint="default"/>
                            <w:sz w:val="20"/>
                            <w:szCs w:val="20"/>
                          </w:rPr>
                        </w: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10,150,540,636.33</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w w:val="95"/>
                            <w:sz w:val="20"/>
                          </w:rPr>
                          <w:t>13,502,320,695.41</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41.14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w w:val="95"/>
                            <w:sz w:val="20"/>
                          </w:rPr>
                          <w:t>-11.05</w:t>
                        </w:r>
                        <w:r>
                          <w:rPr>
                            <w:rFonts w:ascii="Times New Roman"/>
                            <w:spacing w:val="-1"/>
                            <w:sz w:val="20"/>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6" w:right="23"/>
                          <w:jc w:val="left"/>
                          <w:rPr>
                            <w:rFonts w:ascii="宋体" w:hAnsi="宋体" w:cs="宋体" w:eastAsia="宋体" w:hint="default"/>
                            <w:sz w:val="20"/>
                            <w:szCs w:val="20"/>
                          </w:rPr>
                        </w:pPr>
                        <w:r>
                          <w:rPr>
                            <w:rFonts w:ascii="宋体" w:hAnsi="宋体" w:cs="宋体" w:eastAsia="宋体" w:hint="default"/>
                            <w:sz w:val="20"/>
                            <w:szCs w:val="20"/>
                          </w:rPr>
                          <w:t>证</w:t>
                        </w:r>
                        <w:r>
                          <w:rPr>
                            <w:rFonts w:ascii="宋体" w:hAnsi="宋体" w:cs="宋体" w:eastAsia="宋体" w:hint="default"/>
                            <w:spacing w:val="-73"/>
                            <w:sz w:val="20"/>
                            <w:szCs w:val="20"/>
                          </w:rPr>
                          <w:t> </w:t>
                        </w:r>
                        <w:r>
                          <w:rPr>
                            <w:rFonts w:ascii="宋体" w:hAnsi="宋体" w:cs="宋体" w:eastAsia="宋体" w:hint="default"/>
                            <w:sz w:val="20"/>
                            <w:szCs w:val="20"/>
                          </w:rPr>
                          <w:t>券</w:t>
                        </w:r>
                        <w:r>
                          <w:rPr>
                            <w:rFonts w:ascii="宋体" w:hAnsi="宋体" w:cs="宋体" w:eastAsia="宋体" w:hint="default"/>
                            <w:spacing w:val="-73"/>
                            <w:sz w:val="20"/>
                            <w:szCs w:val="20"/>
                          </w:rPr>
                          <w:t> </w:t>
                        </w:r>
                        <w:r>
                          <w:rPr>
                            <w:rFonts w:ascii="宋体" w:hAnsi="宋体" w:cs="宋体" w:eastAsia="宋体" w:hint="default"/>
                            <w:sz w:val="20"/>
                            <w:szCs w:val="20"/>
                          </w:rPr>
                          <w:t>业</w:t>
                        </w:r>
                        <w:r>
                          <w:rPr>
                            <w:rFonts w:ascii="宋体" w:hAnsi="宋体" w:cs="宋体" w:eastAsia="宋体" w:hint="default"/>
                            <w:spacing w:val="-70"/>
                            <w:sz w:val="20"/>
                            <w:szCs w:val="20"/>
                          </w:rPr>
                          <w:t> </w:t>
                        </w:r>
                        <w:r>
                          <w:rPr>
                            <w:rFonts w:ascii="宋体" w:hAnsi="宋体" w:cs="宋体" w:eastAsia="宋体" w:hint="default"/>
                            <w:sz w:val="20"/>
                            <w:szCs w:val="20"/>
                          </w:rPr>
                          <w:t>务</w:t>
                        </w:r>
                        <w:r>
                          <w:rPr>
                            <w:rFonts w:ascii="宋体" w:hAnsi="宋体" w:cs="宋体" w:eastAsia="宋体" w:hint="default"/>
                            <w:spacing w:val="-73"/>
                            <w:sz w:val="20"/>
                            <w:szCs w:val="20"/>
                          </w:rPr>
                          <w:t> </w:t>
                        </w:r>
                        <w:r>
                          <w:rPr>
                            <w:rFonts w:ascii="宋体" w:hAnsi="宋体" w:cs="宋体" w:eastAsia="宋体" w:hint="default"/>
                            <w:sz w:val="20"/>
                            <w:szCs w:val="20"/>
                          </w:rPr>
                          <w:t>减</w:t>
                        </w:r>
                        <w:r>
                          <w:rPr>
                            <w:rFonts w:ascii="宋体" w:hAnsi="宋体" w:cs="宋体" w:eastAsia="宋体" w:hint="default"/>
                            <w:spacing w:val="-70"/>
                            <w:sz w:val="20"/>
                            <w:szCs w:val="20"/>
                          </w:rPr>
                          <w:t> </w:t>
                        </w:r>
                        <w:r>
                          <w:rPr>
                            <w:rFonts w:ascii="宋体" w:hAnsi="宋体" w:cs="宋体" w:eastAsia="宋体" w:hint="default"/>
                            <w:sz w:val="20"/>
                            <w:szCs w:val="20"/>
                          </w:rPr>
                          <w:t>少</w:t>
                        </w:r>
                        <w:r>
                          <w:rPr>
                            <w:rFonts w:ascii="宋体" w:hAnsi="宋体" w:cs="宋体" w:eastAsia="宋体" w:hint="default"/>
                            <w:spacing w:val="-73"/>
                            <w:sz w:val="20"/>
                            <w:szCs w:val="20"/>
                          </w:rPr>
                          <w:t> </w:t>
                        </w:r>
                        <w:r>
                          <w:rPr>
                            <w:rFonts w:ascii="宋体" w:hAnsi="宋体" w:cs="宋体" w:eastAsia="宋体" w:hint="default"/>
                            <w:sz w:val="20"/>
                            <w:szCs w:val="20"/>
                          </w:rPr>
                          <w:t>自</w:t>
                        </w:r>
                        <w:r>
                          <w:rPr>
                            <w:rFonts w:ascii="宋体" w:hAnsi="宋体" w:cs="宋体" w:eastAsia="宋体" w:hint="default"/>
                            <w:spacing w:val="-70"/>
                            <w:sz w:val="20"/>
                            <w:szCs w:val="20"/>
                          </w:rPr>
                          <w:t> </w:t>
                        </w:r>
                        <w:r>
                          <w:rPr>
                            <w:rFonts w:ascii="宋体" w:hAnsi="宋体" w:cs="宋体" w:eastAsia="宋体" w:hint="default"/>
                            <w:sz w:val="20"/>
                            <w:szCs w:val="20"/>
                          </w:rPr>
                          <w:t>营</w:t>
                        </w:r>
                        <w:r>
                          <w:rPr>
                            <w:rFonts w:ascii="宋体" w:hAnsi="宋体" w:cs="宋体" w:eastAsia="宋体" w:hint="default"/>
                            <w:spacing w:val="-73"/>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pacing w:val="-7"/>
                            <w:sz w:val="20"/>
                            <w:szCs w:val="20"/>
                          </w:rPr>
                          <w:t>票、债券投资规模导致</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7,330,388,192.41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21.73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pacing w:val="-1"/>
                            <w:sz w:val="20"/>
                          </w:rPr>
                          <w:t>5,280,908,482.16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16.09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5.64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26" w:right="14"/>
                          <w:jc w:val="left"/>
                          <w:rPr>
                            <w:rFonts w:ascii="宋体" w:hAnsi="宋体" w:cs="宋体" w:eastAsia="宋体" w:hint="default"/>
                            <w:sz w:val="20"/>
                            <w:szCs w:val="20"/>
                          </w:rPr>
                        </w:pPr>
                        <w:r>
                          <w:rPr>
                            <w:rFonts w:ascii="宋体" w:hAnsi="宋体" w:cs="宋体" w:eastAsia="宋体" w:hint="default"/>
                            <w:spacing w:val="4"/>
                            <w:sz w:val="20"/>
                            <w:szCs w:val="20"/>
                          </w:rPr>
                          <w:t>主要系客户存入代理买</w:t>
                        </w:r>
                        <w:r>
                          <w:rPr>
                            <w:rFonts w:ascii="宋体" w:hAnsi="宋体" w:cs="宋体" w:eastAsia="宋体" w:hint="default"/>
                            <w:spacing w:val="4"/>
                            <w:w w:val="99"/>
                            <w:sz w:val="20"/>
                            <w:szCs w:val="20"/>
                          </w:rPr>
                          <w:t> </w:t>
                        </w:r>
                        <w:r>
                          <w:rPr>
                            <w:rFonts w:ascii="宋体" w:hAnsi="宋体" w:cs="宋体" w:eastAsia="宋体" w:hint="default"/>
                            <w:sz w:val="20"/>
                            <w:szCs w:val="20"/>
                          </w:rPr>
                          <w:t>卖证券款增加导致。</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3" w:right="0"/>
                          <w:jc w:val="left"/>
                          <w:rPr>
                            <w:rFonts w:ascii="宋体" w:hAnsi="宋体" w:cs="宋体" w:eastAsia="宋体" w:hint="default"/>
                            <w:sz w:val="20"/>
                            <w:szCs w:val="20"/>
                          </w:rPr>
                        </w:pPr>
                        <w:r>
                          <w:rPr>
                            <w:rFonts w:ascii="宋体" w:hAnsi="宋体" w:cs="宋体" w:eastAsia="宋体" w:hint="default"/>
                            <w:sz w:val="20"/>
                            <w:szCs w:val="20"/>
                          </w:rPr>
                          <w:t>其中：客户存款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6,234,037,530.05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18.48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3,490,905,999.83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10.64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7.84</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5,046,428,956.40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14.96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3"/>
                          <w:jc w:val="right"/>
                          <w:rPr>
                            <w:rFonts w:ascii="Times New Roman" w:hAnsi="Times New Roman" w:cs="Times New Roman" w:eastAsia="Times New Roman" w:hint="default"/>
                            <w:sz w:val="20"/>
                            <w:szCs w:val="20"/>
                          </w:rPr>
                        </w:pPr>
                        <w:r>
                          <w:rPr>
                            <w:rFonts w:ascii="Times New Roman"/>
                            <w:spacing w:val="-1"/>
                            <w:sz w:val="20"/>
                          </w:rPr>
                          <w:t>4,419,038,283.54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13.47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1.49</w:t>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668"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20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6" w:right="0"/>
                          <w:jc w:val="left"/>
                          <w:rPr>
                            <w:rFonts w:ascii="宋体" w:hAnsi="宋体" w:cs="宋体" w:eastAsia="宋体" w:hint="default"/>
                            <w:sz w:val="20"/>
                            <w:szCs w:val="20"/>
                          </w:rPr>
                        </w:pPr>
                        <w:r>
                          <w:rPr>
                            <w:rFonts w:ascii="宋体" w:hAnsi="宋体" w:cs="宋体" w:eastAsia="宋体" w:hint="default"/>
                            <w:spacing w:val="4"/>
                            <w:sz w:val="20"/>
                            <w:szCs w:val="20"/>
                          </w:rPr>
                          <w:t>主要系客户融资意愿提</w:t>
                        </w:r>
                        <w:r>
                          <w:rPr>
                            <w:rFonts w:ascii="宋体" w:hAnsi="宋体" w:cs="宋体" w:eastAsia="宋体" w:hint="default"/>
                            <w:sz w:val="20"/>
                            <w:szCs w:val="20"/>
                          </w:rPr>
                        </w:r>
                      </w:p>
                    </w:tc>
                  </w:tr>
                  <w:tr>
                    <w:trPr>
                      <w:trHeight w:val="317" w:hRule="exact"/>
                    </w:trPr>
                    <w:tc>
                      <w:tcPr>
                        <w:tcW w:w="166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融出资金</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4,038,944,177.49</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8"/>
                          <w:jc w:val="right"/>
                          <w:rPr>
                            <w:rFonts w:ascii="Times New Roman" w:hAnsi="Times New Roman" w:cs="Times New Roman" w:eastAsia="Times New Roman" w:hint="default"/>
                            <w:sz w:val="20"/>
                            <w:szCs w:val="20"/>
                          </w:rPr>
                        </w:pPr>
                        <w:r>
                          <w:rPr>
                            <w:rFonts w:ascii="Times New Roman"/>
                            <w:spacing w:val="-2"/>
                            <w:sz w:val="20"/>
                          </w:rPr>
                          <w:t>11.97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0"/>
                            <w:szCs w:val="20"/>
                          </w:rPr>
                        </w:pPr>
                        <w:r>
                          <w:rPr>
                            <w:rFonts w:ascii="Times New Roman"/>
                            <w:spacing w:val="-1"/>
                            <w:sz w:val="20"/>
                          </w:rPr>
                          <w:t>1,730,369,951.32</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sz w:val="20"/>
                          </w:rPr>
                          <w:t>5.27</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sz w:val="20"/>
                          </w:rPr>
                          <w:t>6.70</w:t>
                        </w:r>
                      </w:p>
                    </w:tc>
                    <w:tc>
                      <w:tcPr>
                        <w:tcW w:w="2091"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pacing w:val="4"/>
                            <w:sz w:val="20"/>
                            <w:szCs w:val="20"/>
                          </w:rPr>
                          <w:t>升，融资融券业务规模</w:t>
                        </w:r>
                        <w:r>
                          <w:rPr>
                            <w:rFonts w:ascii="宋体" w:hAnsi="宋体" w:cs="宋体" w:eastAsia="宋体" w:hint="default"/>
                            <w:sz w:val="20"/>
                            <w:szCs w:val="20"/>
                          </w:rPr>
                        </w:r>
                      </w:p>
                    </w:tc>
                  </w:tr>
                  <w:tr>
                    <w:trPr>
                      <w:trHeight w:val="352" w:hRule="exact"/>
                    </w:trPr>
                    <w:tc>
                      <w:tcPr>
                        <w:tcW w:w="1668"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2091"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0"/>
                            <w:szCs w:val="20"/>
                          </w:rPr>
                        </w:pPr>
                        <w:r>
                          <w:rPr>
                            <w:rFonts w:ascii="宋体" w:hAnsi="宋体" w:cs="宋体" w:eastAsia="宋体" w:hint="default"/>
                            <w:sz w:val="20"/>
                            <w:szCs w:val="20"/>
                          </w:rPr>
                          <w:t>扩大导致。</w:t>
                        </w:r>
                      </w:p>
                    </w:tc>
                  </w:tr>
                  <w:tr>
                    <w:trPr>
                      <w:trHeight w:val="40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spacing w:val="-1"/>
                            <w:sz w:val="20"/>
                          </w:rPr>
                          <w:t>3,079,912,344.55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9.13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3"/>
                          <w:jc w:val="right"/>
                          <w:rPr>
                            <w:rFonts w:ascii="Times New Roman" w:hAnsi="Times New Roman" w:cs="Times New Roman" w:eastAsia="Times New Roman" w:hint="default"/>
                            <w:sz w:val="20"/>
                            <w:szCs w:val="20"/>
                          </w:rPr>
                        </w:pPr>
                        <w:r>
                          <w:rPr>
                            <w:rFonts w:ascii="Times New Roman"/>
                            <w:spacing w:val="-1"/>
                            <w:sz w:val="20"/>
                          </w:rPr>
                          <w:t>3,079,912,344.55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9.38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95"/>
                            <w:sz w:val="20"/>
                          </w:rPr>
                          <w:t>-0.25</w:t>
                        </w:r>
                        <w:r>
                          <w:rPr>
                            <w:rFonts w:ascii="Times New Roman"/>
                            <w:sz w:val="20"/>
                          </w:rPr>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6,791,858,244.05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20.14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pacing w:val="-1"/>
                            <w:sz w:val="20"/>
                          </w:rPr>
                          <w:t>4,573,392,603.92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13.94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6.20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6" w:right="14"/>
                          <w:jc w:val="left"/>
                          <w:rPr>
                            <w:rFonts w:ascii="宋体" w:hAnsi="宋体" w:cs="宋体" w:eastAsia="宋体" w:hint="default"/>
                            <w:sz w:val="20"/>
                            <w:szCs w:val="20"/>
                          </w:rPr>
                        </w:pPr>
                        <w:r>
                          <w:rPr>
                            <w:rFonts w:ascii="宋体" w:hAnsi="宋体" w:cs="宋体" w:eastAsia="宋体" w:hint="default"/>
                            <w:spacing w:val="4"/>
                            <w:sz w:val="20"/>
                            <w:szCs w:val="20"/>
                          </w:rPr>
                          <w:t>主要系客户存入资金增</w:t>
                        </w:r>
                        <w:r>
                          <w:rPr>
                            <w:rFonts w:ascii="宋体" w:hAnsi="宋体" w:cs="宋体" w:eastAsia="宋体" w:hint="default"/>
                            <w:spacing w:val="4"/>
                            <w:w w:val="99"/>
                            <w:sz w:val="20"/>
                            <w:szCs w:val="20"/>
                          </w:rPr>
                          <w:t> </w:t>
                        </w:r>
                        <w:r>
                          <w:rPr>
                            <w:rFonts w:ascii="宋体" w:hAnsi="宋体" w:cs="宋体" w:eastAsia="宋体" w:hint="default"/>
                            <w:sz w:val="20"/>
                            <w:szCs w:val="20"/>
                          </w:rPr>
                          <w:t>加导致。</w:t>
                        </w:r>
                      </w:p>
                    </w:tc>
                  </w:tr>
                  <w:tr>
                    <w:trPr>
                      <w:trHeight w:val="71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24" w:right="21"/>
                          <w:jc w:val="left"/>
                          <w:rPr>
                            <w:rFonts w:ascii="宋体" w:hAnsi="宋体" w:cs="宋体" w:eastAsia="宋体" w:hint="default"/>
                            <w:sz w:val="20"/>
                            <w:szCs w:val="20"/>
                          </w:rPr>
                        </w:pPr>
                        <w:r>
                          <w:rPr>
                            <w:rFonts w:ascii="宋体" w:hAnsi="宋体" w:cs="宋体" w:eastAsia="宋体" w:hint="default"/>
                            <w:sz w:val="20"/>
                            <w:szCs w:val="20"/>
                          </w:rPr>
                          <w:t>卖出回购金融资产</w:t>
                        </w:r>
                        <w:r>
                          <w:rPr>
                            <w:rFonts w:ascii="宋体" w:hAnsi="宋体" w:cs="宋体" w:eastAsia="宋体" w:hint="default"/>
                            <w:spacing w:val="-91"/>
                            <w:sz w:val="20"/>
                            <w:szCs w:val="20"/>
                          </w:rPr>
                          <w:t> </w:t>
                        </w:r>
                        <w:r>
                          <w:rPr>
                            <w:rFonts w:ascii="宋体" w:hAnsi="宋体" w:cs="宋体" w:eastAsia="宋体" w:hint="default"/>
                            <w:sz w:val="20"/>
                            <w:szCs w:val="20"/>
                          </w:rPr>
                          <w:t>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5,358,959,138.99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15.89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pacing w:val="-1"/>
                            <w:sz w:val="20"/>
                          </w:rPr>
                          <w:t>6,503,502,037.76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19.82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95"/>
                            <w:sz w:val="20"/>
                          </w:rPr>
                          <w:t>-3.93</w:t>
                        </w:r>
                        <w:r>
                          <w:rPr>
                            <w:rFonts w:ascii="Times New Roman"/>
                            <w:sz w:val="20"/>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业务策略调整导致。</w:t>
                        </w:r>
                      </w:p>
                    </w:tc>
                  </w:tr>
                  <w:tr>
                    <w:trPr>
                      <w:trHeight w:val="40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pacing w:val="-1"/>
                            <w:sz w:val="20"/>
                          </w:rPr>
                          <w:t>2,767,911,874.95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8.21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spacing w:val="-1"/>
                            <w:sz w:val="20"/>
                          </w:rPr>
                          <w:t>2,765,733,277.79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8.43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-0.22</w:t>
                        </w:r>
                        <w:r>
                          <w:rPr>
                            <w:rFonts w:ascii="Times New Roman"/>
                            <w:sz w:val="20"/>
                          </w:rPr>
                        </w: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24" w:right="21"/>
                          <w:jc w:val="left"/>
                          <w:rPr>
                            <w:rFonts w:ascii="宋体" w:hAnsi="宋体" w:cs="宋体" w:eastAsia="宋体" w:hint="default"/>
                            <w:sz w:val="20"/>
                            <w:szCs w:val="20"/>
                          </w:rPr>
                        </w:pPr>
                        <w:r>
                          <w:rPr>
                            <w:rFonts w:ascii="宋体" w:hAnsi="宋体" w:cs="宋体" w:eastAsia="宋体" w:hint="default"/>
                            <w:sz w:val="20"/>
                            <w:szCs w:val="20"/>
                          </w:rPr>
                          <w:t>一年内到期的非流</w:t>
                        </w:r>
                        <w:r>
                          <w:rPr>
                            <w:rFonts w:ascii="宋体" w:hAnsi="宋体" w:cs="宋体" w:eastAsia="宋体" w:hint="default"/>
                            <w:spacing w:val="-91"/>
                            <w:sz w:val="20"/>
                            <w:szCs w:val="20"/>
                          </w:rPr>
                          <w:t> </w:t>
                        </w:r>
                        <w:r>
                          <w:rPr>
                            <w:rFonts w:ascii="宋体" w:hAnsi="宋体" w:cs="宋体" w:eastAsia="宋体" w:hint="default"/>
                            <w:sz w:val="20"/>
                            <w:szCs w:val="20"/>
                          </w:rPr>
                          <w:t>动负债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2,274,584,221.65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6.74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w w:val="95"/>
                            <w:sz w:val="20"/>
                          </w:rPr>
                          <w:t>599,643,592.87</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4.91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26" w:right="14"/>
                          <w:jc w:val="left"/>
                          <w:rPr>
                            <w:rFonts w:ascii="宋体" w:hAnsi="宋体" w:cs="宋体" w:eastAsia="宋体" w:hint="default"/>
                            <w:sz w:val="20"/>
                            <w:szCs w:val="20"/>
                          </w:rPr>
                        </w:pPr>
                        <w:r>
                          <w:rPr>
                            <w:rFonts w:ascii="宋体" w:hAnsi="宋体" w:cs="宋体" w:eastAsia="宋体" w:hint="default"/>
                            <w:spacing w:val="4"/>
                            <w:sz w:val="20"/>
                            <w:szCs w:val="20"/>
                          </w:rPr>
                          <w:t>主要系期末存续债券重</w:t>
                        </w:r>
                        <w:r>
                          <w:rPr>
                            <w:rFonts w:ascii="宋体" w:hAnsi="宋体" w:cs="宋体" w:eastAsia="宋体" w:hint="default"/>
                            <w:spacing w:val="4"/>
                            <w:w w:val="99"/>
                            <w:sz w:val="20"/>
                            <w:szCs w:val="20"/>
                          </w:rPr>
                          <w:t> </w:t>
                        </w:r>
                        <w:r>
                          <w:rPr>
                            <w:rFonts w:ascii="宋体" w:hAnsi="宋体" w:cs="宋体" w:eastAsia="宋体" w:hint="default"/>
                            <w:sz w:val="20"/>
                            <w:szCs w:val="20"/>
                          </w:rPr>
                          <w:t>分类至该项目导致。</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after="0"/>
        <w:jc w:val="right"/>
        <w:rPr>
          <w:rFonts w:ascii="宋体" w:hAnsi="宋体" w:cs="宋体" w:eastAsia="宋体" w:hint="default"/>
          <w:sz w:val="20"/>
          <w:szCs w:val="20"/>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668"/>
        <w:gridCol w:w="1561"/>
        <w:gridCol w:w="991"/>
        <w:gridCol w:w="1560"/>
        <w:gridCol w:w="991"/>
        <w:gridCol w:w="708"/>
        <w:gridCol w:w="2091"/>
      </w:tblGrid>
      <w:tr>
        <w:trPr>
          <w:trHeight w:val="71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应付短期融资款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1,854,971,761.64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w w:val="95"/>
                <w:sz w:val="20"/>
              </w:rPr>
              <w:t>599,552,837.79</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3.67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26" w:right="14"/>
              <w:jc w:val="left"/>
              <w:rPr>
                <w:rFonts w:ascii="宋体" w:hAnsi="宋体" w:cs="宋体" w:eastAsia="宋体" w:hint="default"/>
                <w:sz w:val="20"/>
                <w:szCs w:val="20"/>
              </w:rPr>
            </w:pPr>
            <w:r>
              <w:rPr>
                <w:rFonts w:ascii="宋体" w:hAnsi="宋体" w:cs="宋体" w:eastAsia="宋体" w:hint="default"/>
                <w:spacing w:val="4"/>
                <w:sz w:val="20"/>
                <w:szCs w:val="20"/>
              </w:rPr>
              <w:t>上年比较基数较小及业</w:t>
            </w:r>
            <w:r>
              <w:rPr>
                <w:rFonts w:ascii="宋体" w:hAnsi="宋体" w:cs="宋体" w:eastAsia="宋体" w:hint="default"/>
                <w:spacing w:val="4"/>
                <w:w w:val="99"/>
                <w:sz w:val="20"/>
                <w:szCs w:val="20"/>
              </w:rPr>
              <w:t> </w:t>
            </w:r>
            <w:r>
              <w:rPr>
                <w:rFonts w:ascii="宋体" w:hAnsi="宋体" w:cs="宋体" w:eastAsia="宋体" w:hint="default"/>
                <w:sz w:val="20"/>
                <w:szCs w:val="20"/>
              </w:rPr>
              <w:t>务策略调整导致。</w:t>
            </w:r>
          </w:p>
        </w:tc>
      </w:tr>
      <w:tr>
        <w:trPr>
          <w:trHeight w:val="357" w:hRule="exact"/>
        </w:trPr>
        <w:tc>
          <w:tcPr>
            <w:tcW w:w="1668" w:type="dxa"/>
            <w:tcBorders>
              <w:top w:val="single" w:sz="4" w:space="0" w:color="000000"/>
              <w:left w:val="single" w:sz="4" w:space="0" w:color="000000"/>
              <w:bottom w:val="nil" w:sz="6" w:space="0" w:color="auto"/>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20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主要系母公司及国盛证</w:t>
            </w:r>
          </w:p>
        </w:tc>
      </w:tr>
      <w:tr>
        <w:trPr>
          <w:trHeight w:val="623" w:hRule="exact"/>
        </w:trPr>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1,171,409,759.67</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3.47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pacing w:val="-1"/>
                <w:sz w:val="20"/>
              </w:rPr>
              <w:t>5,436,811,382.37</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16.57</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w w:val="95"/>
                <w:sz w:val="20"/>
              </w:rPr>
              <w:t>-13.10</w:t>
            </w:r>
            <w:r>
              <w:rPr>
                <w:rFonts w:ascii="Times New Roman"/>
                <w:sz w:val="20"/>
              </w:rPr>
            </w:r>
          </w:p>
        </w:tc>
        <w:tc>
          <w:tcPr>
            <w:tcW w:w="2091" w:type="dxa"/>
            <w:tcBorders>
              <w:top w:val="nil" w:sz="6" w:space="0" w:color="auto"/>
              <w:left w:val="single" w:sz="4" w:space="0" w:color="000000"/>
              <w:bottom w:val="nil" w:sz="6" w:space="0" w:color="auto"/>
              <w:right w:val="single" w:sz="4" w:space="0" w:color="000000"/>
            </w:tcBorders>
          </w:tcPr>
          <w:p>
            <w:pPr>
              <w:pStyle w:val="TableParagraph"/>
              <w:spacing w:line="285" w:lineRule="auto"/>
              <w:ind w:left="26" w:right="56"/>
              <w:jc w:val="left"/>
              <w:rPr>
                <w:rFonts w:ascii="宋体" w:hAnsi="宋体" w:cs="宋体" w:eastAsia="宋体" w:hint="default"/>
                <w:sz w:val="20"/>
                <w:szCs w:val="20"/>
              </w:rPr>
            </w:pPr>
            <w:r>
              <w:rPr>
                <w:rFonts w:ascii="宋体" w:hAnsi="宋体" w:cs="宋体" w:eastAsia="宋体" w:hint="default"/>
                <w:sz w:val="20"/>
                <w:szCs w:val="20"/>
              </w:rPr>
              <w:t>券发行的债券付息兑付</w:t>
            </w:r>
            <w:r>
              <w:rPr>
                <w:rFonts w:ascii="宋体" w:hAnsi="宋体" w:cs="宋体" w:eastAsia="宋体" w:hint="default"/>
                <w:w w:val="99"/>
                <w:sz w:val="20"/>
                <w:szCs w:val="20"/>
              </w:rPr>
              <w:t> </w:t>
            </w:r>
            <w:r>
              <w:rPr>
                <w:rFonts w:ascii="宋体" w:hAnsi="宋体" w:cs="宋体" w:eastAsia="宋体" w:hint="default"/>
                <w:sz w:val="20"/>
                <w:szCs w:val="20"/>
              </w:rPr>
              <w:t>以及期末存续债券重分</w:t>
            </w:r>
          </w:p>
        </w:tc>
      </w:tr>
      <w:tr>
        <w:trPr>
          <w:trHeight w:val="360" w:hRule="exact"/>
        </w:trPr>
        <w:tc>
          <w:tcPr>
            <w:tcW w:w="1668"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2091"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类导致。</w:t>
            </w:r>
          </w:p>
        </w:tc>
      </w:tr>
    </w:tbl>
    <w:p>
      <w:pPr>
        <w:spacing w:after="0" w:line="256" w:lineRule="exact"/>
        <w:jc w:val="left"/>
        <w:rPr>
          <w:rFonts w:ascii="宋体" w:hAnsi="宋体" w:cs="宋体" w:eastAsia="宋体" w:hint="default"/>
          <w:sz w:val="20"/>
          <w:szCs w:val="20"/>
        </w:rPr>
        <w:sectPr>
          <w:pgSz w:w="11910" w:h="16840"/>
          <w:pgMar w:header="745" w:footer="979" w:top="1060" w:bottom="1160" w:left="980" w:right="0"/>
        </w:sectPr>
      </w:pPr>
    </w:p>
    <w:p>
      <w:pPr>
        <w:spacing w:line="241" w:lineRule="exact" w:before="15"/>
        <w:ind w:left="0" w:right="193" w:firstLine="0"/>
        <w:jc w:val="righ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tabs>
          <w:tab w:pos="12352" w:val="left" w:leader="none"/>
        </w:tabs>
        <w:spacing w:line="357" w:lineRule="exact" w:before="0"/>
        <w:ind w:left="0" w:right="195" w:firstLine="0"/>
        <w:jc w:val="right"/>
        <w:rPr>
          <w:rFonts w:ascii="宋体" w:hAnsi="宋体" w:cs="宋体" w:eastAsia="宋体" w:hint="default"/>
          <w:sz w:val="21"/>
          <w:szCs w:val="21"/>
        </w:rPr>
      </w:pPr>
      <w:r>
        <w:rPr/>
        <w:pict>
          <v:group style="position:absolute;margin-left:70.559998pt;margin-top:2.438828pt;width:700.95pt;height:.1pt;mso-position-horizontal-relative:page;mso-position-vertical-relative:paragraph;z-index:-1331392" coordorigin="1411,49" coordsize="14019,2">
            <v:shape style="position:absolute;left:1411;top:49;width:14019;height:2" coordorigin="1411,49" coordsize="14019,0" path="m1411,49l15430,49e" filled="false" stroked="true" strokeweight=".72pt" strokecolor="#000000">
              <v:path arrowok="t"/>
            </v:shape>
            <w10:wrap type="none"/>
          </v:group>
        </w:pict>
      </w:r>
      <w:r>
        <w:rPr>
          <w:rFonts w:ascii="Times New Roman" w:hAnsi="Times New Roman" w:cs="Times New Roman" w:eastAsia="Times New Roman" w:hint="default"/>
          <w:b/>
          <w:bCs/>
          <w:spacing w:val="-4"/>
          <w:sz w:val="21"/>
          <w:szCs w:val="21"/>
        </w:rPr>
        <w:t>2</w:t>
      </w:r>
      <w:r>
        <w:rPr>
          <w:rFonts w:ascii="Microsoft JhengHei" w:hAnsi="Microsoft JhengHei" w:cs="Microsoft JhengHei" w:eastAsia="Microsoft JhengHei" w:hint="default"/>
          <w:b/>
          <w:bCs/>
          <w:spacing w:val="-4"/>
          <w:sz w:val="21"/>
          <w:szCs w:val="21"/>
        </w:rPr>
        <w:t>、以公允价值计量的资产和负债</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0" w:right="19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1952"/>
        <w:gridCol w:w="1416"/>
        <w:gridCol w:w="1277"/>
        <w:gridCol w:w="1421"/>
        <w:gridCol w:w="850"/>
        <w:gridCol w:w="1560"/>
        <w:gridCol w:w="1561"/>
        <w:gridCol w:w="1274"/>
        <w:gridCol w:w="1277"/>
        <w:gridCol w:w="1416"/>
      </w:tblGrid>
      <w:tr>
        <w:trPr>
          <w:trHeight w:val="7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4" w:right="89" w:hanging="18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本期公允价值</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变动损益</w:t>
            </w:r>
            <w:r>
              <w:rPr>
                <w:rFonts w:ascii="Microsoft JhengHei" w:hAnsi="Microsoft JhengHei" w:cs="Microsoft JhengHei" w:eastAsia="Microsoft JhengHei"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63" w:right="72"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计入权益的累计</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公允价值变动</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6" w:right="58"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本期计提 的减值</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本期购买金额</w:t>
            </w:r>
            <w:r>
              <w:rPr>
                <w:rFonts w:ascii="Microsoft JhengHei" w:hAnsi="Microsoft JhengHei" w:cs="Microsoft JhengHei" w:eastAsia="Microsoft JhengHei"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本期出售金额</w:t>
            </w:r>
            <w:r>
              <w:rPr>
                <w:rFonts w:ascii="Microsoft JhengHei" w:hAnsi="Microsoft JhengHei" w:cs="Microsoft JhengHei" w:eastAsia="Microsoft JhengHei"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重分类调整</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其他变动</w:t>
            </w:r>
            <w:r>
              <w:rPr>
                <w:rFonts w:ascii="Microsoft JhengHei" w:hAnsi="Microsoft JhengHei" w:cs="Microsoft JhengHei" w:eastAsia="Microsoft JhengHei"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2052" w:type="dxa"/>
            <w:gridSpan w:val="9"/>
            <w:tcBorders>
              <w:top w:val="single" w:sz="4" w:space="0" w:color="000000"/>
              <w:left w:val="single" w:sz="4" w:space="0" w:color="000000"/>
              <w:bottom w:val="single" w:sz="4" w:space="0" w:color="000000"/>
              <w:right w:val="single" w:sz="4" w:space="0" w:color="000000"/>
            </w:tcBorders>
          </w:tcPr>
          <w:p>
            <w:pPr/>
          </w:p>
        </w:tc>
      </w:tr>
      <w:tr>
        <w:trPr>
          <w:trHeight w:val="75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p>
            <w:pPr>
              <w:pStyle w:val="TableParagraph"/>
              <w:spacing w:line="240" w:lineRule="auto" w:before="102"/>
              <w:ind w:left="21" w:right="0"/>
              <w:jc w:val="left"/>
              <w:rPr>
                <w:rFonts w:ascii="宋体" w:hAnsi="宋体" w:cs="宋体" w:eastAsia="宋体" w:hint="default"/>
                <w:sz w:val="18"/>
                <w:szCs w:val="18"/>
              </w:rPr>
            </w:pPr>
            <w:r>
              <w:rPr>
                <w:rFonts w:ascii="宋体" w:hAnsi="宋体" w:cs="宋体" w:eastAsia="宋体" w:hint="default"/>
                <w:sz w:val="18"/>
                <w:szCs w:val="18"/>
              </w:rPr>
              <w:t>（不含衍生金融资产）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13,502,320,695.41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284,587,498.01</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135,458,291,997.18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138,832,697,585.53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-213,562,286.46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-48,399,682.28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10,150,540,636.33</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-702,128.83</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108,787,212.92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-107,442,741.75</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686,597,803.92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2,426,994.06</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309,963,481.33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-16,284,051.27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360,350,271.32</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其他非流动金融资产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543,879,452.00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-15,206,068.69</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-215,015,262.65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4,586,231.00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368,244,351.66</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14,833,741,451.33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268,679,300.49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2,426,994.06</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135,508,291,997.18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139,251,448,279.78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-428,577,549.11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-58,994,402.55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10,871,692,517.56</w:t>
            </w:r>
          </w:p>
        </w:tc>
      </w:tr>
      <w:tr>
        <w:trPr>
          <w:trHeight w:val="40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14,833,741,451.33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268,679,300.49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2,426,994.06</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135,508,291,997.18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139,251,448,279.78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-428,577,549.11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-58,994,402.55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10,871,692,517.56</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-1,658,794.65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-1,658,794.65</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539,400,819.98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1,409,947,775.33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-872,205,750.00</w:t>
            </w:r>
          </w:p>
        </w:tc>
      </w:tr>
    </w:tbl>
    <w:p>
      <w:pPr>
        <w:pStyle w:val="BodyText"/>
        <w:spacing w:line="307" w:lineRule="auto" w:before="28"/>
        <w:ind w:left="560" w:right="7717" w:hanging="421"/>
        <w:jc w:val="left"/>
      </w:pPr>
      <w:r>
        <w:rPr/>
        <w:t>其他变动的内容</w:t>
      </w:r>
      <w:r>
        <w:rPr>
          <w:spacing w:val="-103"/>
        </w:rPr>
        <w:t> </w:t>
      </w:r>
      <w:r>
        <w:rPr>
          <w:spacing w:val="-103"/>
        </w:rPr>
      </w:r>
      <w:r>
        <w:rPr>
          <w:spacing w:val="-2"/>
        </w:rPr>
        <w:t>其他变动主要为金融资产应收利息变动以及汇兑差额。</w:t>
      </w:r>
    </w:p>
    <w:p>
      <w:pPr>
        <w:pStyle w:val="BodyText"/>
        <w:tabs>
          <w:tab w:pos="13058" w:val="left" w:leader="none"/>
        </w:tabs>
        <w:spacing w:line="240" w:lineRule="auto" w:before="19"/>
        <w:ind w:left="140" w:right="0"/>
        <w:jc w:val="left"/>
      </w:pPr>
      <w:r>
        <w:rPr>
          <w:spacing w:val="-2"/>
        </w:rPr>
        <w:t>报告期公司主要资产计量属性是否发生重大变化</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pStyle w:val="BodyText"/>
        <w:spacing w:line="256" w:lineRule="auto" w:before="59"/>
        <w:ind w:left="140" w:right="0" w:firstLine="420"/>
        <w:jc w:val="left"/>
      </w:pPr>
      <w:r>
        <w:rPr/>
        <w:t>报告期，本集团转换</w:t>
      </w:r>
      <w:r>
        <w:rPr>
          <w:rFonts w:ascii="Times New Roman" w:hAnsi="Times New Roman" w:cs="Times New Roman" w:eastAsia="Times New Roman" w:hint="default"/>
        </w:rPr>
        <w:t>QD</w:t>
      </w:r>
      <w:r>
        <w:rPr/>
        <w:t>项目的核算方法，详见</w:t>
      </w:r>
      <w:r>
        <w:rPr>
          <w:rFonts w:ascii="Times New Roman" w:hAnsi="Times New Roman" w:cs="Times New Roman" w:eastAsia="Times New Roman" w:hint="default"/>
        </w:rPr>
        <w:t>“</w:t>
      </w:r>
      <w:r>
        <w:rPr/>
        <w:t>第五节</w:t>
      </w:r>
      <w:r>
        <w:rPr>
          <w:spacing w:val="25"/>
        </w:rPr>
        <w:t> </w:t>
      </w:r>
      <w:r>
        <w:rPr/>
        <w:t>重要事项</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六、与上年度财务报告相比，会计政策、会计估计和核算方法发生变化的情况</w:t>
      </w:r>
      <w:r>
        <w:rPr>
          <w:w w:val="100"/>
        </w:rPr>
        <w:t> </w:t>
      </w:r>
      <w:r>
        <w:rPr/>
        <w:t>说明</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76"/>
        <w:ind w:left="0" w:right="193" w:firstLine="0"/>
        <w:jc w:val="right"/>
        <w:rPr>
          <w:rFonts w:ascii="Times New Roman" w:hAnsi="Times New Roman" w:cs="Times New Roman" w:eastAsia="Times New Roman" w:hint="default"/>
          <w:sz w:val="18"/>
          <w:szCs w:val="18"/>
        </w:rPr>
      </w:pPr>
      <w:r>
        <w:rPr>
          <w:rFonts w:ascii="Times New Roman"/>
          <w:sz w:val="18"/>
        </w:rPr>
        <w:t>25</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13"/>
          <w:footerReference w:type="default" r:id="rId14"/>
          <w:pgSz w:w="16840" w:h="11910" w:orient="landscape"/>
          <w:pgMar w:header="0" w:footer="0" w:top="800" w:bottom="0" w:left="1300" w:right="1240"/>
        </w:sectPr>
      </w:pPr>
    </w:p>
    <w:p>
      <w:pPr>
        <w:spacing w:line="240" w:lineRule="auto" w:before="3"/>
        <w:rPr>
          <w:rFonts w:ascii="Times New Roman" w:hAnsi="Times New Roman" w:cs="Times New Roman" w:eastAsia="Times New Roman" w:hint="default"/>
          <w:sz w:val="28"/>
          <w:szCs w:val="28"/>
        </w:rPr>
      </w:pPr>
    </w:p>
    <w:p>
      <w:pPr>
        <w:pStyle w:val="Heading4"/>
        <w:spacing w:line="335" w:lineRule="exact"/>
        <w:ind w:left="152"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56" w:lineRule="auto"/>
        <w:ind w:right="1126" w:firstLine="420"/>
        <w:jc w:val="both"/>
      </w:pPr>
      <w:r>
        <w:rPr>
          <w:spacing w:val="-3"/>
        </w:rPr>
        <w:t>截至期末使用受限资产总额为</w:t>
      </w:r>
      <w:r>
        <w:rPr>
          <w:rFonts w:ascii="Times New Roman" w:hAnsi="Times New Roman" w:cs="Times New Roman" w:eastAsia="Times New Roman" w:hint="default"/>
          <w:spacing w:val="-3"/>
        </w:rPr>
        <w:t>67.24</w:t>
      </w:r>
      <w:r>
        <w:rPr>
          <w:spacing w:val="-3"/>
        </w:rPr>
        <w:t>亿元，主要为国盛证券卖出回购业务借入资金、转融通拆入资金担</w:t>
      </w:r>
      <w:r>
        <w:rPr>
          <w:w w:val="100"/>
        </w:rPr>
        <w:t> </w:t>
      </w:r>
      <w:r>
        <w:rPr>
          <w:spacing w:val="-2"/>
        </w:rPr>
        <w:t>保以及持有的已中签尚未上市股票产生，符合行业惯例。</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月本集团签署不可撤销承诺书，承诺对</w:t>
      </w:r>
      <w:r>
        <w:rPr>
          <w:spacing w:val="-39"/>
        </w:rPr>
        <w:t> </w:t>
      </w:r>
      <w:r>
        <w:rPr>
          <w:spacing w:val="-39"/>
        </w:rPr>
      </w:r>
      <w:r>
        <w:rPr>
          <w:spacing w:val="-1"/>
        </w:rPr>
        <w:t>持有的</w:t>
      </w:r>
      <w:r>
        <w:rPr>
          <w:rFonts w:ascii="Times New Roman" w:hAnsi="Times New Roman" w:cs="Times New Roman" w:eastAsia="Times New Roman" w:hint="default"/>
          <w:spacing w:val="-1"/>
        </w:rPr>
        <w:t>1,277</w:t>
      </w:r>
      <w:r>
        <w:rPr>
          <w:spacing w:val="-1"/>
        </w:rPr>
        <w:t>万股</w:t>
      </w:r>
      <w:r>
        <w:rPr>
          <w:rFonts w:ascii="Times New Roman" w:hAnsi="Times New Roman" w:cs="Times New Roman" w:eastAsia="Times New Roman" w:hint="default"/>
          <w:spacing w:val="-1"/>
        </w:rPr>
        <w:t>QD</w:t>
      </w:r>
      <w:r>
        <w:rPr>
          <w:rFonts w:ascii="Times New Roman" w:hAnsi="Times New Roman" w:cs="Times New Roman" w:eastAsia="Times New Roman" w:hint="default"/>
        </w:rPr>
        <w:t> </w:t>
      </w:r>
      <w:r>
        <w:rPr>
          <w:rFonts w:ascii="Times New Roman" w:hAnsi="Times New Roman" w:cs="Times New Roman" w:eastAsia="Times New Roman" w:hint="default"/>
          <w:spacing w:val="-2"/>
        </w:rPr>
        <w:t>ADSs</w:t>
      </w:r>
      <w:r>
        <w:rPr>
          <w:spacing w:val="-2"/>
        </w:rPr>
        <w:t>锁定</w:t>
      </w:r>
      <w:r>
        <w:rPr>
          <w:rFonts w:ascii="Times New Roman" w:hAnsi="Times New Roman" w:cs="Times New Roman" w:eastAsia="Times New Roman" w:hint="default"/>
          <w:spacing w:val="-2"/>
        </w:rPr>
        <w:t>1</w:t>
      </w:r>
      <w:r>
        <w:rPr>
          <w:spacing w:val="-2"/>
        </w:rPr>
        <w:t>年。除上述以外，本集团不存在其他主要资产被查封、扣押、冻结或者被</w:t>
      </w:r>
      <w:r>
        <w:rPr>
          <w:spacing w:val="-66"/>
        </w:rPr>
        <w:t> </w:t>
      </w:r>
      <w:r>
        <w:rPr>
          <w:spacing w:val="-66"/>
        </w:rPr>
      </w:r>
      <w:r>
        <w:rPr/>
        <w:t>抵押、质押，必须具备一定条件才能变现、无法变现、无法用于抵偿债务的情况。</w:t>
      </w:r>
    </w:p>
    <w:p>
      <w:pPr>
        <w:spacing w:line="240" w:lineRule="auto" w:before="7"/>
        <w:rPr>
          <w:rFonts w:ascii="宋体" w:hAnsi="宋体" w:cs="宋体" w:eastAsia="宋体" w:hint="default"/>
          <w:sz w:val="19"/>
          <w:szCs w:val="19"/>
        </w:rPr>
      </w:pPr>
    </w:p>
    <w:p>
      <w:pPr>
        <w:pStyle w:val="Heading4"/>
        <w:spacing w:line="240" w:lineRule="auto"/>
        <w:ind w:left="152" w:right="0"/>
        <w:jc w:val="left"/>
        <w:rPr>
          <w:b w:val="0"/>
          <w:bCs w:val="0"/>
        </w:rPr>
      </w:pPr>
      <w:r>
        <w:rPr>
          <w:rFonts w:ascii="Times New Roman" w:hAnsi="Times New Roman" w:cs="Times New Roman" w:eastAsia="Times New Roman" w:hint="default"/>
        </w:rPr>
        <w:t>4</w:t>
      </w:r>
      <w:r>
        <w:rPr/>
        <w:t>、负债结构和融资能力分析</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40" w:lineRule="auto"/>
        <w:ind w:left="573" w:right="0"/>
        <w:jc w:val="left"/>
      </w:pPr>
      <w:r>
        <w:rPr/>
        <w:t>（</w:t>
      </w:r>
      <w:r>
        <w:rPr>
          <w:rFonts w:ascii="Times New Roman" w:hAnsi="Times New Roman" w:cs="Times New Roman" w:eastAsia="Times New Roman" w:hint="default"/>
        </w:rPr>
        <w:t>1</w:t>
      </w:r>
      <w:r>
        <w:rPr/>
        <w:t>）负债结构</w:t>
      </w:r>
    </w:p>
    <w:p>
      <w:pPr>
        <w:pStyle w:val="BodyText"/>
        <w:spacing w:line="256" w:lineRule="auto" w:before="62"/>
        <w:ind w:right="1126" w:firstLine="420"/>
        <w:jc w:val="both"/>
      </w:pPr>
      <w:r>
        <w:rPr>
          <w:spacing w:val="-3"/>
        </w:rPr>
        <w:t>截至报告期末，本集团负债合计</w:t>
      </w:r>
      <w:r>
        <w:rPr>
          <w:spacing w:val="-47"/>
        </w:rPr>
        <w:t> </w:t>
      </w:r>
      <w:r>
        <w:rPr>
          <w:rFonts w:ascii="Times New Roman" w:hAnsi="Times New Roman" w:cs="Times New Roman" w:eastAsia="Times New Roman" w:hint="default"/>
        </w:rPr>
        <w:t>221.51</w:t>
      </w:r>
      <w:r>
        <w:rPr>
          <w:rFonts w:ascii="Times New Roman" w:hAnsi="Times New Roman" w:cs="Times New Roman" w:eastAsia="Times New Roman" w:hint="default"/>
          <w:spacing w:val="3"/>
        </w:rPr>
        <w:t> </w:t>
      </w:r>
      <w:r>
        <w:rPr>
          <w:spacing w:val="-4"/>
        </w:rPr>
        <w:t>亿元，较年初增长</w:t>
      </w:r>
      <w:r>
        <w:rPr>
          <w:spacing w:val="-47"/>
        </w:rPr>
        <w:t> </w:t>
      </w:r>
      <w:r>
        <w:rPr>
          <w:rFonts w:ascii="Times New Roman" w:hAnsi="Times New Roman" w:cs="Times New Roman" w:eastAsia="Times New Roman" w:hint="default"/>
        </w:rPr>
        <w:t>3.68%</w:t>
      </w:r>
      <w:r>
        <w:rPr/>
        <w:t>，主要增长来自代理买卖证券款和应</w:t>
      </w:r>
      <w:r>
        <w:rPr>
          <w:w w:val="100"/>
        </w:rPr>
        <w:t> </w:t>
      </w:r>
      <w:r>
        <w:rPr>
          <w:spacing w:val="-3"/>
        </w:rPr>
        <w:t>付短期融资款。其中，期末代理买卖证券款</w:t>
      </w:r>
      <w:r>
        <w:rPr>
          <w:spacing w:val="-44"/>
        </w:rPr>
        <w:t> </w:t>
      </w:r>
      <w:r>
        <w:rPr>
          <w:rFonts w:ascii="Times New Roman" w:hAnsi="Times New Roman" w:cs="Times New Roman" w:eastAsia="Times New Roman" w:hint="default"/>
        </w:rPr>
        <w:t>67.92</w:t>
      </w:r>
      <w:r>
        <w:rPr>
          <w:rFonts w:ascii="Times New Roman" w:hAnsi="Times New Roman" w:cs="Times New Roman" w:eastAsia="Times New Roman" w:hint="default"/>
          <w:spacing w:val="5"/>
        </w:rPr>
        <w:t> </w:t>
      </w:r>
      <w:r>
        <w:rPr>
          <w:spacing w:val="-3"/>
        </w:rPr>
        <w:t>亿元，较年初增长</w:t>
      </w:r>
      <w:r>
        <w:rPr>
          <w:spacing w:val="-45"/>
        </w:rPr>
        <w:t> </w:t>
      </w:r>
      <w:r>
        <w:rPr>
          <w:rFonts w:ascii="Times New Roman" w:hAnsi="Times New Roman" w:cs="Times New Roman" w:eastAsia="Times New Roman" w:hint="default"/>
        </w:rPr>
        <w:t>48.51%</w:t>
      </w:r>
      <w:r>
        <w:rPr/>
        <w:t>，主要系客户存入代理买卖证</w:t>
      </w:r>
      <w:r>
        <w:rPr>
          <w:spacing w:val="-101"/>
        </w:rPr>
        <w:t> </w:t>
      </w:r>
      <w:r>
        <w:rPr>
          <w:spacing w:val="-101"/>
        </w:rPr>
      </w:r>
      <w:r>
        <w:rPr/>
        <w:t>券款增加导致；应付短期融资款 </w:t>
      </w:r>
      <w:r>
        <w:rPr>
          <w:rFonts w:ascii="Times New Roman" w:hAnsi="Times New Roman" w:cs="Times New Roman" w:eastAsia="Times New Roman" w:hint="default"/>
        </w:rPr>
        <w:t>18.55 </w:t>
      </w:r>
      <w:r>
        <w:rPr/>
        <w:t>亿元，较年初增长</w:t>
      </w:r>
      <w:r>
        <w:rPr>
          <w:spacing w:val="-48"/>
        </w:rPr>
        <w:t> </w:t>
      </w:r>
      <w:r>
        <w:rPr>
          <w:rFonts w:ascii="Times New Roman" w:hAnsi="Times New Roman" w:cs="Times New Roman" w:eastAsia="Times New Roman" w:hint="default"/>
        </w:rPr>
        <w:t>209.39%</w:t>
      </w:r>
      <w:r>
        <w:rPr/>
        <w:t>，主要系上年比较基数较小及业务策略</w:t>
      </w:r>
      <w:r>
        <w:rPr>
          <w:w w:val="100"/>
        </w:rPr>
        <w:t> </w:t>
      </w:r>
      <w:r>
        <w:rPr/>
        <w:t>调整导致。</w:t>
      </w:r>
    </w:p>
    <w:p>
      <w:pPr>
        <w:pStyle w:val="BodyText"/>
        <w:spacing w:line="256" w:lineRule="auto" w:before="61"/>
        <w:ind w:right="1128" w:firstLine="420"/>
        <w:jc w:val="both"/>
      </w:pPr>
      <w:r>
        <w:rPr>
          <w:spacing w:val="-11"/>
          <w:w w:val="100"/>
        </w:rPr>
        <w:t>从结构上看，流动负债占</w:t>
      </w:r>
      <w:r>
        <w:rPr>
          <w:spacing w:val="-65"/>
          <w:w w:val="100"/>
        </w:rPr>
        <w:t> </w:t>
      </w:r>
      <w:r>
        <w:rPr>
          <w:rFonts w:ascii="Times New Roman" w:hAnsi="Times New Roman" w:cs="Times New Roman" w:eastAsia="Times New Roman" w:hint="default"/>
          <w:spacing w:val="-10"/>
          <w:w w:val="100"/>
        </w:rPr>
        <w:t>94.64%</w:t>
      </w:r>
      <w:r>
        <w:rPr>
          <w:spacing w:val="-10"/>
          <w:w w:val="100"/>
        </w:rPr>
        <w:t>，非流动负债占</w:t>
      </w:r>
      <w:r>
        <w:rPr>
          <w:spacing w:val="-62"/>
          <w:w w:val="100"/>
        </w:rPr>
        <w:t> </w:t>
      </w:r>
      <w:r>
        <w:rPr>
          <w:rFonts w:ascii="Times New Roman" w:hAnsi="Times New Roman" w:cs="Times New Roman" w:eastAsia="Times New Roman" w:hint="default"/>
          <w:spacing w:val="-18"/>
          <w:w w:val="100"/>
        </w:rPr>
        <w:t>5.36%</w:t>
      </w:r>
      <w:r>
        <w:rPr>
          <w:spacing w:val="-18"/>
          <w:w w:val="100"/>
        </w:rPr>
        <w:t>。其中，流动负债</w:t>
      </w:r>
      <w:r>
        <w:rPr>
          <w:spacing w:val="-62"/>
          <w:w w:val="100"/>
        </w:rPr>
        <w:t> </w:t>
      </w:r>
      <w:r>
        <w:rPr>
          <w:rFonts w:ascii="Times New Roman" w:hAnsi="Times New Roman" w:cs="Times New Roman" w:eastAsia="Times New Roman" w:hint="default"/>
          <w:spacing w:val="-1"/>
          <w:w w:val="100"/>
        </w:rPr>
        <w:t>209.64</w:t>
      </w:r>
      <w:r>
        <w:rPr>
          <w:rFonts w:ascii="Times New Roman" w:hAnsi="Times New Roman" w:cs="Times New Roman" w:eastAsia="Times New Roman" w:hint="default"/>
          <w:spacing w:val="-12"/>
          <w:w w:val="100"/>
        </w:rPr>
        <w:t> </w:t>
      </w:r>
      <w:r>
        <w:rPr>
          <w:spacing w:val="-17"/>
          <w:w w:val="100"/>
        </w:rPr>
        <w:t>亿元，同比增长</w:t>
      </w:r>
      <w:r>
        <w:rPr>
          <w:spacing w:val="-62"/>
          <w:w w:val="100"/>
        </w:rPr>
        <w:t> </w:t>
      </w:r>
      <w:r>
        <w:rPr>
          <w:rFonts w:ascii="Times New Roman" w:hAnsi="Times New Roman" w:cs="Times New Roman" w:eastAsia="Times New Roman" w:hint="default"/>
          <w:spacing w:val="-2"/>
          <w:w w:val="100"/>
        </w:rPr>
        <w:t>31.66%</w:t>
      </w:r>
      <w:r>
        <w:rPr>
          <w:spacing w:val="-2"/>
          <w:w w:val="100"/>
        </w:rPr>
        <w:t>，</w:t>
      </w:r>
      <w:r>
        <w:rPr>
          <w:w w:val="100"/>
        </w:rPr>
        <w:t> </w:t>
      </w:r>
      <w:r>
        <w:rPr>
          <w:spacing w:val="-3"/>
        </w:rPr>
        <w:t>主要为代理买卖证券款、应付短期融资款增长，以及公司发行的债券</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7"/>
        </w:rPr>
        <w:t> </w:t>
      </w:r>
      <w:r>
        <w:rPr/>
        <w:t>国盛金</w:t>
      </w:r>
      <w:r>
        <w:rPr>
          <w:rFonts w:ascii="Times New Roman" w:hAnsi="Times New Roman" w:cs="Times New Roman" w:eastAsia="Times New Roman" w:hint="default"/>
        </w:rPr>
        <w:t>”</w:t>
      </w:r>
      <w:r>
        <w:rPr/>
        <w:t>将于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月迎来投</w:t>
      </w:r>
    </w:p>
    <w:p>
      <w:pPr>
        <w:pStyle w:val="BodyText"/>
        <w:spacing w:line="256" w:lineRule="auto" w:before="5"/>
        <w:ind w:right="1124"/>
        <w:jc w:val="left"/>
      </w:pPr>
      <w:r>
        <w:rPr/>
        <w:t>资者回售选择权日，公司将其重分类至一年内到期的非流动负债项目所致。非流动负债 </w:t>
      </w:r>
      <w:r>
        <w:rPr>
          <w:rFonts w:ascii="Times New Roman" w:hAnsi="Times New Roman" w:cs="Times New Roman" w:eastAsia="Times New Roman" w:hint="default"/>
          <w:spacing w:val="-3"/>
        </w:rPr>
        <w:t>11.87</w:t>
      </w:r>
      <w:r>
        <w:rPr>
          <w:rFonts w:ascii="Times New Roman" w:hAnsi="Times New Roman" w:cs="Times New Roman" w:eastAsia="Times New Roman" w:hint="default"/>
          <w:spacing w:val="-15"/>
        </w:rPr>
        <w:t> </w:t>
      </w:r>
      <w:r>
        <w:rPr/>
        <w:t>亿元，同比</w:t>
      </w:r>
      <w:r>
        <w:rPr>
          <w:w w:val="100"/>
        </w:rPr>
        <w:t> </w:t>
      </w:r>
      <w:r>
        <w:rPr/>
        <w:t>下降</w:t>
      </w:r>
      <w:r>
        <w:rPr>
          <w:spacing w:val="-56"/>
        </w:rPr>
        <w:t> </w:t>
      </w:r>
      <w:r>
        <w:rPr>
          <w:rFonts w:ascii="Times New Roman" w:hAnsi="Times New Roman" w:cs="Times New Roman" w:eastAsia="Times New Roman" w:hint="default"/>
        </w:rPr>
        <w:t>78.18%</w:t>
      </w:r>
      <w:r>
        <w:rPr/>
        <w:t>，主要为公司发行的债券</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国盛金</w:t>
      </w:r>
      <w:r>
        <w:rPr>
          <w:rFonts w:ascii="Times New Roman" w:hAnsi="Times New Roman" w:cs="Times New Roman" w:eastAsia="Times New Roman" w:hint="default"/>
        </w:rPr>
        <w:t>”</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国盛控</w:t>
      </w:r>
      <w:r>
        <w:rPr>
          <w:rFonts w:ascii="Times New Roman" w:hAnsi="Times New Roman" w:cs="Times New Roman" w:eastAsia="Times New Roman" w:hint="default"/>
        </w:rPr>
        <w:t>”</w:t>
      </w:r>
      <w:r>
        <w:rPr/>
        <w:t>期内回售以及</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国盛金</w:t>
      </w:r>
      <w:r>
        <w:rPr>
          <w:rFonts w:ascii="Times New Roman" w:hAnsi="Times New Roman" w:cs="Times New Roman" w:eastAsia="Times New Roman" w:hint="default"/>
        </w:rPr>
        <w:t>”</w:t>
      </w:r>
      <w:r>
        <w:rPr/>
        <w:t>重分类导致。</w:t>
      </w:r>
    </w:p>
    <w:p>
      <w:pPr>
        <w:pStyle w:val="BodyText"/>
        <w:spacing w:line="240" w:lineRule="auto" w:before="46"/>
        <w:ind w:left="573" w:right="0"/>
        <w:jc w:val="left"/>
      </w:pPr>
      <w:r>
        <w:rPr/>
        <w:t>（</w:t>
      </w:r>
      <w:r>
        <w:rPr>
          <w:rFonts w:ascii="Times New Roman" w:hAnsi="Times New Roman" w:cs="Times New Roman" w:eastAsia="Times New Roman" w:hint="default"/>
        </w:rPr>
        <w:t>2</w:t>
      </w:r>
      <w:r>
        <w:rPr/>
        <w:t>）融资能力</w:t>
      </w:r>
    </w:p>
    <w:p>
      <w:pPr>
        <w:pStyle w:val="BodyText"/>
        <w:spacing w:line="261" w:lineRule="auto" w:before="62"/>
        <w:ind w:right="1126" w:firstLine="420"/>
        <w:jc w:val="both"/>
      </w:pPr>
      <w:r>
        <w:rPr/>
        <w:t>公司系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spacing w:val="-4"/>
        </w:rPr>
        <w:t>股上市公司，子公司国盛证券为持牌证券公司，集团整体股权及债权融资渠道畅通。本集团</w:t>
      </w:r>
      <w:r>
        <w:rPr>
          <w:w w:val="100"/>
        </w:rPr>
        <w:t> </w:t>
      </w:r>
      <w:r>
        <w:rPr>
          <w:spacing w:val="-2"/>
        </w:rPr>
        <w:t>坚持诚信经营，信用良好，与多家金融机构保持良好的合作关系，授信额度充足。报告期本集团新增银行</w:t>
      </w:r>
      <w:r>
        <w:rPr>
          <w:spacing w:val="-50"/>
        </w:rPr>
        <w:t> </w:t>
      </w:r>
      <w:r>
        <w:rPr>
          <w:spacing w:val="-50"/>
        </w:rPr>
      </w:r>
      <w:r>
        <w:rPr/>
        <w:t>授信合计</w:t>
      </w:r>
      <w:r>
        <w:rPr>
          <w:spacing w:val="-48"/>
        </w:rPr>
        <w:t> </w:t>
      </w:r>
      <w:r>
        <w:rPr>
          <w:rFonts w:ascii="Times New Roman" w:hAnsi="Times New Roman" w:cs="Times New Roman" w:eastAsia="Times New Roman" w:hint="default"/>
        </w:rPr>
        <w:t>316.7</w:t>
      </w:r>
      <w:r>
        <w:rPr>
          <w:rFonts w:ascii="Times New Roman" w:hAnsi="Times New Roman" w:cs="Times New Roman" w:eastAsia="Times New Roman" w:hint="default"/>
          <w:spacing w:val="2"/>
        </w:rPr>
        <w:t> </w:t>
      </w:r>
      <w:r>
        <w:rPr/>
        <w:t>亿元、到期授信合计</w:t>
      </w:r>
      <w:r>
        <w:rPr>
          <w:spacing w:val="-50"/>
        </w:rPr>
        <w:t> </w:t>
      </w:r>
      <w:r>
        <w:rPr>
          <w:rFonts w:ascii="Times New Roman" w:hAnsi="Times New Roman" w:cs="Times New Roman" w:eastAsia="Times New Roman" w:hint="default"/>
        </w:rPr>
        <w:t>101.9</w:t>
      </w:r>
      <w:r>
        <w:rPr>
          <w:rFonts w:ascii="Times New Roman" w:hAnsi="Times New Roman" w:cs="Times New Roman" w:eastAsia="Times New Roman" w:hint="default"/>
          <w:spacing w:val="5"/>
        </w:rPr>
        <w:t> </w:t>
      </w:r>
      <w:r>
        <w:rPr/>
        <w:t>亿元，截至期末使用中的授信合计</w:t>
      </w:r>
      <w:r>
        <w:rPr>
          <w:spacing w:val="-48"/>
        </w:rPr>
        <w:t> </w:t>
      </w:r>
      <w:r>
        <w:rPr>
          <w:rFonts w:ascii="Times New Roman" w:hAnsi="Times New Roman" w:cs="Times New Roman" w:eastAsia="Times New Roman" w:hint="default"/>
        </w:rPr>
        <w:t>99.9</w:t>
      </w:r>
      <w:r>
        <w:rPr>
          <w:rFonts w:ascii="Times New Roman" w:hAnsi="Times New Roman" w:cs="Times New Roman" w:eastAsia="Times New Roman" w:hint="default"/>
          <w:spacing w:val="2"/>
        </w:rPr>
        <w:t> </w:t>
      </w:r>
      <w:r>
        <w:rPr/>
        <w:t>亿元，期内未出现逾期</w:t>
      </w:r>
      <w:r>
        <w:rPr>
          <w:w w:val="100"/>
        </w:rPr>
        <w:t> </w:t>
      </w:r>
      <w:r>
        <w:rPr/>
        <w:t>偿还银行贷款情况。</w:t>
      </w:r>
    </w:p>
    <w:p>
      <w:pPr>
        <w:pStyle w:val="BodyText"/>
        <w:spacing w:line="273" w:lineRule="auto" w:before="56"/>
        <w:ind w:right="1126" w:firstLine="420"/>
        <w:jc w:val="both"/>
      </w:pPr>
      <w:r>
        <w:rPr>
          <w:spacing w:val="-2"/>
        </w:rPr>
        <w:t>融资工具方面，本集团融资工具包括股权融资工具和债权融资工具。其中，债权融资工具可分为短期</w:t>
      </w:r>
      <w:r>
        <w:rPr>
          <w:w w:val="100"/>
        </w:rPr>
        <w:t> </w:t>
      </w:r>
      <w:r>
        <w:rPr>
          <w:spacing w:val="-2"/>
        </w:rPr>
        <w:t>工具和中长期工具。短期债权工具包括：银行间市场信用拆借、银行间和交易所市场债券回购、收益凭证</w:t>
      </w:r>
      <w:r>
        <w:rPr>
          <w:spacing w:val="-50"/>
        </w:rPr>
        <w:t> </w:t>
      </w:r>
      <w:r>
        <w:rPr>
          <w:spacing w:val="-50"/>
        </w:rPr>
      </w:r>
      <w:r>
        <w:rPr/>
        <w:t>等；中长期债权工具包括公开发行公司债券、非公开发行公司债券等。</w:t>
      </w:r>
    </w:p>
    <w:p>
      <w:pPr>
        <w:pStyle w:val="BodyText"/>
        <w:spacing w:line="273" w:lineRule="auto" w:before="48"/>
        <w:ind w:right="1128" w:firstLine="420"/>
        <w:jc w:val="both"/>
      </w:pPr>
      <w:r>
        <w:rPr>
          <w:spacing w:val="-2"/>
        </w:rPr>
        <w:t>报告期，本集团综合运用各类融资工具筹措资金，包括但不限于开展信用拆借、实施债券回购、发行</w:t>
      </w:r>
      <w:r>
        <w:rPr>
          <w:w w:val="100"/>
        </w:rPr>
        <w:t> </w:t>
      </w:r>
      <w:r>
        <w:rPr/>
        <w:t>收益凭证、申请非公开发行公司债券等方式，持续增强和完善融资能力。</w:t>
      </w:r>
    </w:p>
    <w:p>
      <w:pPr>
        <w:pStyle w:val="BodyText"/>
        <w:spacing w:line="290" w:lineRule="auto" w:before="48"/>
        <w:ind w:left="573" w:right="0"/>
        <w:jc w:val="left"/>
      </w:pPr>
      <w:r>
        <w:rPr/>
        <w:t>（</w:t>
      </w:r>
      <w:r>
        <w:rPr>
          <w:rFonts w:ascii="Times New Roman" w:hAnsi="Times New Roman" w:cs="Times New Roman" w:eastAsia="Times New Roman" w:hint="default"/>
        </w:rPr>
        <w:t>3</w:t>
      </w:r>
      <w:r>
        <w:rPr/>
        <w:t>）流动性管理措施与政策</w:t>
      </w:r>
      <w:r>
        <w:rPr>
          <w:w w:val="100"/>
        </w:rPr>
        <w:t> </w:t>
      </w:r>
      <w:r>
        <w:rPr>
          <w:spacing w:val="-2"/>
        </w:rPr>
        <w:t>本集团一贯重视流动性安全，以流动性、安全性、收益性为原则实施资金管理，通过前瞻性的灵活融</w:t>
      </w:r>
    </w:p>
    <w:p>
      <w:pPr>
        <w:pStyle w:val="BodyText"/>
        <w:spacing w:line="273" w:lineRule="auto"/>
        <w:ind w:right="0"/>
        <w:jc w:val="left"/>
      </w:pPr>
      <w:r>
        <w:rPr/>
        <w:t>资安排，实现资金来源与资金运用之结构和期限的合理匹配。本集团各项业务发展良好，资产质量优良，</w:t>
      </w:r>
      <w:r>
        <w:rPr>
          <w:spacing w:val="-24"/>
        </w:rPr>
        <w:t> </w:t>
      </w:r>
      <w:r>
        <w:rPr>
          <w:spacing w:val="-24"/>
        </w:rPr>
      </w:r>
      <w:r>
        <w:rPr>
          <w:spacing w:val="-7"/>
          <w:w w:val="100"/>
        </w:rPr>
        <w:t>从根本上保障了资产的流动性。实际工作中，本集团制定《财务管理制度》《资金管理工作指引》等文件，</w:t>
      </w:r>
      <w:r>
        <w:rPr>
          <w:spacing w:val="-74"/>
          <w:w w:val="100"/>
        </w:rPr>
        <w:t> </w:t>
      </w:r>
      <w:r>
        <w:rPr>
          <w:spacing w:val="-74"/>
          <w:w w:val="100"/>
        </w:rPr>
      </w:r>
      <w:r>
        <w:rPr>
          <w:spacing w:val="-2"/>
        </w:rPr>
        <w:t>从制度上规范资金管理工作；本集团母公司专设资金管理团队，子公司国盛证券成立资金运营部，专职负</w:t>
      </w:r>
      <w:r>
        <w:rPr>
          <w:spacing w:val="-43"/>
        </w:rPr>
        <w:t> </w:t>
      </w:r>
      <w:r>
        <w:rPr>
          <w:spacing w:val="-43"/>
        </w:rPr>
      </w:r>
      <w:r>
        <w:rPr/>
        <w:t>责资金管理工作，确保集团流动性安全。</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tabs>
          <w:tab w:pos="8139"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、总体情况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6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报告期投资额（元）</w:t>
            </w:r>
            <w:r>
              <w:rPr>
                <w:rFonts w:ascii="Microsoft JhengHei" w:hAnsi="Microsoft JhengHei" w:cs="Microsoft JhengHei" w:eastAsia="Microsoft JhengHei"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上年同期投资额（元）</w:t>
            </w:r>
            <w:r>
              <w:rPr>
                <w:rFonts w:ascii="Microsoft JhengHei" w:hAnsi="Microsoft JhengHei" w:cs="Microsoft JhengHei" w:eastAsia="Microsoft JhengHei" w:hint="default"/>
                <w:sz w:val="21"/>
                <w:szCs w:val="21"/>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变动幅度</w:t>
            </w:r>
            <w:r>
              <w:rPr>
                <w:rFonts w:ascii="Microsoft JhengHei" w:hAnsi="Microsoft JhengHei" w:cs="Microsoft JhengHei" w:eastAsia="Microsoft JhengHei" w:hint="default"/>
                <w:sz w:val="21"/>
                <w:szCs w:val="21"/>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43" w:right="0"/>
              <w:jc w:val="left"/>
              <w:rPr>
                <w:rFonts w:ascii="Times New Roman" w:hAnsi="Times New Roman" w:cs="Times New Roman" w:eastAsia="Times New Roman" w:hint="default"/>
                <w:sz w:val="21"/>
                <w:szCs w:val="21"/>
              </w:rPr>
            </w:pPr>
            <w:r>
              <w:rPr>
                <w:rFonts w:ascii="Times New Roman"/>
                <w:sz w:val="21"/>
              </w:rPr>
              <w:t>191,723,051.17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45" w:right="0"/>
              <w:jc w:val="left"/>
              <w:rPr>
                <w:rFonts w:ascii="Times New Roman" w:hAnsi="Times New Roman" w:cs="Times New Roman" w:eastAsia="Times New Roman" w:hint="default"/>
                <w:sz w:val="21"/>
                <w:szCs w:val="21"/>
              </w:rPr>
            </w:pPr>
            <w:r>
              <w:rPr>
                <w:rFonts w:ascii="Times New Roman"/>
                <w:sz w:val="21"/>
              </w:rPr>
              <w:t>719,519,095.63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-73.35%</w:t>
            </w:r>
          </w:p>
        </w:tc>
      </w:tr>
    </w:tbl>
    <w:p>
      <w:pPr>
        <w:pStyle w:val="BodyText"/>
        <w:spacing w:line="256" w:lineRule="auto" w:before="28"/>
        <w:ind w:right="0"/>
        <w:jc w:val="left"/>
      </w:pPr>
      <w:r>
        <w:rPr>
          <w:spacing w:val="-2"/>
        </w:rPr>
        <w:t>注：</w:t>
      </w:r>
      <w:r>
        <w:rPr>
          <w:rFonts w:ascii="Times New Roman" w:hAnsi="Times New Roman" w:cs="Times New Roman" w:eastAsia="Times New Roman" w:hint="default"/>
          <w:spacing w:val="-2"/>
        </w:rPr>
        <w:t>1</w:t>
      </w:r>
      <w:r>
        <w:rPr>
          <w:spacing w:val="-2"/>
        </w:rPr>
        <w:t>、报告期投资额主要为本集团投资业务板块发生的对外股权投资以及对联营企业投资。</w:t>
      </w:r>
      <w:r>
        <w:rPr>
          <w:rFonts w:ascii="Times New Roman" w:hAnsi="Times New Roman" w:cs="Times New Roman" w:eastAsia="Times New Roman" w:hint="default"/>
          <w:spacing w:val="-2"/>
        </w:rPr>
        <w:t>2</w:t>
      </w:r>
      <w:r>
        <w:rPr>
          <w:spacing w:val="-2"/>
        </w:rPr>
        <w:t>、上表不含</w:t>
      </w:r>
      <w:r>
        <w:rPr>
          <w:spacing w:val="-44"/>
        </w:rPr>
        <w:t> </w:t>
      </w:r>
      <w:r>
        <w:rPr>
          <w:spacing w:val="-44"/>
        </w:rPr>
      </w:r>
      <w:r>
        <w:rPr>
          <w:spacing w:val="-2"/>
        </w:rPr>
        <w:t>本集团购买的短期理财产品以及国盛证券及其下属企业从事日常经营活动涉及的股票、基金、债券等投资</w:t>
      </w:r>
    </w:p>
    <w:p>
      <w:pPr>
        <w:spacing w:after="0" w:line="256" w:lineRule="auto"/>
        <w:jc w:val="left"/>
        <w:sectPr>
          <w:footerReference w:type="default" r:id="rId16"/>
          <w:pgSz w:w="11910" w:h="16840"/>
          <w:pgMar w:footer="979" w:header="0" w:top="1060" w:bottom="1160" w:left="980" w:right="0"/>
          <w:pgNumType w:start="26"/>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行为。</w:t>
      </w:r>
    </w:p>
    <w:p>
      <w:pPr>
        <w:spacing w:line="240" w:lineRule="auto" w:before="9"/>
        <w:rPr>
          <w:rFonts w:ascii="宋体" w:hAnsi="宋体" w:cs="宋体" w:eastAsia="宋体" w:hint="default"/>
          <w:sz w:val="20"/>
          <w:szCs w:val="20"/>
        </w:rPr>
      </w:pPr>
    </w:p>
    <w:p>
      <w:pPr>
        <w:tabs>
          <w:tab w:pos="8149"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、报告期内获取的重大的股权投资情况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tabs>
          <w:tab w:pos="8165" w:val="left" w:leader="none"/>
        </w:tabs>
        <w:spacing w:line="600" w:lineRule="atLeast" w:before="14"/>
        <w:ind w:left="573" w:right="1126"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、报告期内正在进行的重大的非股权投资情况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公司存在持续至报告期的单一资金信托计划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个，截至期末均已收回；存在持续至报告期的集合资金</w:t>
      </w:r>
    </w:p>
    <w:p>
      <w:pPr>
        <w:pStyle w:val="BodyText"/>
        <w:spacing w:line="256" w:lineRule="auto" w:before="21"/>
        <w:ind w:right="0"/>
        <w:jc w:val="left"/>
      </w:pPr>
      <w:r>
        <w:rPr>
          <w:spacing w:val="-1"/>
          <w:w w:val="100"/>
        </w:rPr>
        <w:t>信托计划</w:t>
      </w:r>
      <w:r>
        <w:rPr>
          <w:spacing w:val="-47"/>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spacing w:val="-10"/>
          <w:w w:val="100"/>
        </w:rPr>
        <w:t>个，截至期末仍处于存续期。具体情况见</w:t>
      </w:r>
      <w:r>
        <w:rPr>
          <w:rFonts w:ascii="Times New Roman" w:hAnsi="Times New Roman" w:cs="Times New Roman" w:eastAsia="Times New Roman" w:hint="default"/>
          <w:spacing w:val="-10"/>
          <w:w w:val="100"/>
        </w:rPr>
        <w:t>“</w:t>
      </w:r>
      <w:r>
        <w:rPr>
          <w:spacing w:val="-10"/>
          <w:w w:val="100"/>
        </w:rPr>
        <w:t>第五节</w:t>
      </w:r>
      <w:r>
        <w:rPr>
          <w:spacing w:val="9"/>
          <w:w w:val="100"/>
        </w:rPr>
        <w:t> </w:t>
      </w:r>
      <w:r>
        <w:rPr>
          <w:spacing w:val="-6"/>
          <w:w w:val="100"/>
        </w:rPr>
        <w:t>重要事项</w:t>
      </w:r>
      <w:r>
        <w:rPr>
          <w:rFonts w:ascii="Times New Roman" w:hAnsi="Times New Roman" w:cs="Times New Roman" w:eastAsia="Times New Roman" w:hint="default"/>
          <w:spacing w:val="-6"/>
          <w:w w:val="100"/>
        </w:rPr>
        <w:t>”</w:t>
      </w:r>
      <w:r>
        <w:rPr>
          <w:spacing w:val="-6"/>
          <w:w w:val="100"/>
        </w:rPr>
        <w:t>之</w:t>
      </w:r>
      <w:r>
        <w:rPr>
          <w:rFonts w:ascii="Times New Roman" w:hAnsi="Times New Roman" w:cs="Times New Roman" w:eastAsia="Times New Roman" w:hint="default"/>
          <w:spacing w:val="-6"/>
          <w:w w:val="100"/>
        </w:rPr>
        <w:t>“</w:t>
      </w:r>
      <w:r>
        <w:rPr>
          <w:spacing w:val="-6"/>
          <w:w w:val="100"/>
        </w:rPr>
        <w:t>十七、重大合同及其履行情况</w:t>
      </w:r>
      <w:r>
        <w:rPr>
          <w:rFonts w:ascii="Times New Roman" w:hAnsi="Times New Roman" w:cs="Times New Roman" w:eastAsia="Times New Roman" w:hint="default"/>
          <w:spacing w:val="-6"/>
          <w:w w:val="100"/>
        </w:rPr>
        <w:t>”“3</w:t>
      </w:r>
      <w:r>
        <w:rPr>
          <w:spacing w:val="-6"/>
          <w:w w:val="100"/>
        </w:rPr>
        <w:t>、</w:t>
      </w:r>
      <w:r>
        <w:rPr>
          <w:spacing w:val="-103"/>
          <w:w w:val="100"/>
        </w:rPr>
        <w:t> </w:t>
      </w:r>
      <w:r>
        <w:rPr/>
        <w:t>委托他人进行现金资产管理情况</w:t>
      </w:r>
      <w:r>
        <w:rPr>
          <w:rFonts w:ascii="Times New Roman" w:hAnsi="Times New Roman" w:cs="Times New Roman" w:eastAsia="Times New Roman" w:hint="default"/>
        </w:rPr>
        <w:t>”</w:t>
      </w:r>
      <w:r>
        <w:rPr/>
        <w:t>。</w:t>
      </w:r>
    </w:p>
    <w:p>
      <w:pPr>
        <w:spacing w:after="0" w:line="256" w:lineRule="auto"/>
        <w:jc w:val="left"/>
        <w:sectPr>
          <w:pgSz w:w="11910" w:h="16840"/>
          <w:pgMar w:header="0" w:footer="979" w:top="1060" w:bottom="1160" w:left="980" w:right="0"/>
        </w:sectPr>
      </w:pPr>
    </w:p>
    <w:p>
      <w:pPr>
        <w:tabs>
          <w:tab w:pos="12492" w:val="left" w:leader="none"/>
        </w:tabs>
        <w:spacing w:line="352" w:lineRule="exact" w:before="0"/>
        <w:ind w:left="140" w:right="0" w:firstLine="0"/>
        <w:jc w:val="left"/>
        <w:rPr>
          <w:rFonts w:ascii="宋体" w:hAnsi="宋体" w:cs="宋体" w:eastAsia="宋体" w:hint="default"/>
          <w:sz w:val="21"/>
          <w:szCs w:val="21"/>
        </w:rPr>
      </w:pPr>
      <w:r>
        <w:rPr/>
        <w:pict>
          <v:group style="position:absolute;margin-left:70.559998pt;margin-top:2.202064pt;width:700.95pt;height:.1pt;mso-position-horizontal-relative:page;mso-position-vertical-relative:paragraph;z-index:-1331368"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Times New Roman" w:hAnsi="Times New Roman" w:cs="Times New Roman" w:eastAsia="Times New Roman" w:hint="default"/>
          <w:b/>
          <w:bCs/>
          <w:spacing w:val="-5"/>
          <w:sz w:val="21"/>
          <w:szCs w:val="21"/>
        </w:rPr>
        <w:t>4</w:t>
      </w:r>
      <w:r>
        <w:rPr>
          <w:rFonts w:ascii="Microsoft JhengHei" w:hAnsi="Microsoft JhengHei" w:cs="Microsoft JhengHei" w:eastAsia="Microsoft JhengHei" w:hint="default"/>
          <w:b/>
          <w:bCs/>
          <w:spacing w:val="-5"/>
          <w:sz w:val="21"/>
          <w:szCs w:val="21"/>
        </w:rPr>
        <w:t>、以公允价值计量的金融资产</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0" w:right="404"/>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1385"/>
        <w:gridCol w:w="1558"/>
        <w:gridCol w:w="1702"/>
        <w:gridCol w:w="1843"/>
        <w:gridCol w:w="1844"/>
        <w:gridCol w:w="1560"/>
        <w:gridCol w:w="1417"/>
        <w:gridCol w:w="1702"/>
        <w:gridCol w:w="994"/>
      </w:tblGrid>
      <w:tr>
        <w:trPr>
          <w:trHeight w:val="7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资产类别</w:t>
            </w:r>
            <w:r>
              <w:rPr>
                <w:rFonts w:ascii="Microsoft JhengHei" w:hAnsi="Microsoft JhengHei" w:cs="Microsoft JhengHei" w:eastAsia="Microsoft JhengHei"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初始投资成本</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本期公允价值</w:t>
            </w:r>
            <w:r>
              <w:rPr>
                <w:rFonts w:ascii="Microsoft JhengHei" w:hAnsi="Microsoft JhengHei" w:cs="Microsoft JhengHei" w:eastAsia="Microsoft JhengHei" w:hint="default"/>
                <w:sz w:val="21"/>
                <w:szCs w:val="21"/>
              </w:rPr>
            </w:r>
          </w:p>
          <w:p>
            <w:pPr>
              <w:pStyle w:val="TableParagraph"/>
              <w:spacing w:line="358"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变动损益</w:t>
            </w:r>
            <w:r>
              <w:rPr>
                <w:rFonts w:ascii="Microsoft JhengHei" w:hAnsi="Microsoft JhengHei" w:cs="Microsoft JhengHei" w:eastAsia="Microsoft JhengHei"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计入权益的</w:t>
            </w:r>
            <w:r>
              <w:rPr>
                <w:rFonts w:ascii="Microsoft JhengHei" w:hAnsi="Microsoft JhengHei" w:cs="Microsoft JhengHei" w:eastAsia="Microsoft JhengHei" w:hint="default"/>
                <w:sz w:val="21"/>
                <w:szCs w:val="21"/>
              </w:rPr>
            </w:r>
          </w:p>
          <w:p>
            <w:pPr>
              <w:pStyle w:val="TableParagraph"/>
              <w:spacing w:line="358"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累计公允价值变动</w:t>
            </w:r>
            <w:r>
              <w:rPr>
                <w:rFonts w:ascii="Microsoft JhengHei" w:hAnsi="Microsoft JhengHei" w:cs="Microsoft JhengHei" w:eastAsia="Microsoft JhengHei"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报告期购入金额</w:t>
            </w:r>
            <w:r>
              <w:rPr>
                <w:rFonts w:ascii="Microsoft JhengHei" w:hAnsi="Microsoft JhengHei" w:cs="Microsoft JhengHei" w:eastAsia="Microsoft JhengHei"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w:t>
            </w:r>
            <w:r>
              <w:rPr>
                <w:rFonts w:ascii="Microsoft JhengHei" w:hAnsi="Microsoft JhengHei" w:cs="Microsoft JhengHei" w:eastAsia="Microsoft JhengHei" w:hint="default"/>
                <w:sz w:val="21"/>
                <w:szCs w:val="21"/>
              </w:rPr>
            </w:r>
          </w:p>
          <w:p>
            <w:pPr>
              <w:pStyle w:val="TableParagraph"/>
              <w:spacing w:line="35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售出金额</w:t>
            </w:r>
            <w:r>
              <w:rPr>
                <w:rFonts w:ascii="Microsoft JhengHei" w:hAnsi="Microsoft JhengHei" w:cs="Microsoft JhengHei" w:eastAsia="Microsoft JhengHei"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6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累计投资收益</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期末金额</w:t>
            </w:r>
            <w:r>
              <w:rPr>
                <w:rFonts w:ascii="Microsoft JhengHei" w:hAnsi="Microsoft JhengHei" w:cs="Microsoft JhengHei" w:eastAsia="Microsoft JhengHei"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资金来源</w:t>
            </w:r>
            <w:r>
              <w:rPr>
                <w:rFonts w:ascii="Microsoft JhengHei" w:hAnsi="Microsoft JhengHei" w:cs="Microsoft JhengHei" w:eastAsia="Microsoft JhengHei" w:hint="default"/>
                <w:sz w:val="21"/>
                <w:szCs w:val="21"/>
              </w:rPr>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1" w:right="0"/>
              <w:jc w:val="left"/>
              <w:rPr>
                <w:rFonts w:ascii="Times New Roman" w:hAnsi="Times New Roman" w:cs="Times New Roman" w:eastAsia="Times New Roman" w:hint="default"/>
                <w:sz w:val="21"/>
                <w:szCs w:val="21"/>
              </w:rPr>
            </w:pPr>
            <w:r>
              <w:rPr>
                <w:rFonts w:ascii="Times New Roman"/>
                <w:sz w:val="21"/>
              </w:rPr>
              <w:t>170,017,184.86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-54,268,388.28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17,167.00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-10,934.94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27,809,967.94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4,124,877.99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4,124,877.99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7,889.90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21"/>
                <w:szCs w:val="21"/>
              </w:rPr>
            </w:pPr>
            <w:r>
              <w:rPr>
                <w:rFonts w:ascii="宋体" w:hAnsi="宋体" w:cs="宋体" w:eastAsia="宋体" w:hint="default"/>
                <w:sz w:val="21"/>
                <w:szCs w:val="21"/>
              </w:rPr>
              <w:t>信托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1" w:right="0"/>
              <w:jc w:val="left"/>
              <w:rPr>
                <w:rFonts w:ascii="Times New Roman" w:hAnsi="Times New Roman" w:cs="Times New Roman" w:eastAsia="Times New Roman" w:hint="default"/>
                <w:sz w:val="21"/>
                <w:szCs w:val="21"/>
              </w:rPr>
            </w:pPr>
            <w:r>
              <w:rPr>
                <w:rFonts w:ascii="Times New Roman"/>
                <w:sz w:val="21"/>
              </w:rPr>
              <w:t>292,220,000.00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-118,308,664.63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170,934,415.37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3,000,821.91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非上市股权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1" w:right="0"/>
              <w:jc w:val="left"/>
              <w:rPr>
                <w:rFonts w:ascii="Times New Roman" w:hAnsi="Times New Roman" w:cs="Times New Roman" w:eastAsia="Times New Roman" w:hint="default"/>
                <w:sz w:val="21"/>
                <w:szCs w:val="21"/>
              </w:rPr>
            </w:pPr>
            <w:r>
              <w:rPr>
                <w:rFonts w:ascii="Times New Roman"/>
                <w:sz w:val="21"/>
              </w:rPr>
              <w:t>243,717,862.00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-7,745,995.00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281,386,608.00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自有</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1" w:right="0"/>
              <w:jc w:val="left"/>
              <w:rPr>
                <w:rFonts w:ascii="Times New Roman" w:hAnsi="Times New Roman" w:cs="Times New Roman" w:eastAsia="Times New Roman" w:hint="default"/>
                <w:sz w:val="21"/>
                <w:szCs w:val="21"/>
              </w:rPr>
            </w:pPr>
            <w:r>
              <w:rPr>
                <w:rFonts w:ascii="Times New Roman"/>
                <w:sz w:val="21"/>
              </w:rPr>
              <w:t>705,955,046.86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-180,323,047.91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666,142,044.99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604,124,877.99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2,997,776.87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480,130,991.31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left="140" w:right="0"/>
        <w:jc w:val="left"/>
      </w:pPr>
      <w:r>
        <w:rPr/>
        <w:t>注：该表不含国盛证券及其下属企业从事日常经营活动涉及的股票、基金、债券等投资行为形成的资产。</w:t>
      </w:r>
    </w:p>
    <w:p>
      <w:pPr>
        <w:spacing w:line="240" w:lineRule="auto" w:before="9"/>
        <w:rPr>
          <w:rFonts w:ascii="宋体" w:hAnsi="宋体" w:cs="宋体" w:eastAsia="宋体" w:hint="default"/>
          <w:sz w:val="20"/>
          <w:szCs w:val="20"/>
        </w:rPr>
      </w:pPr>
    </w:p>
    <w:p>
      <w:pPr>
        <w:tabs>
          <w:tab w:pos="12432"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Microsoft JhengHei" w:hAnsi="Microsoft JhengHei" w:cs="Microsoft JhengHei" w:eastAsia="Microsoft JhengHei" w:hint="default"/>
          <w:b/>
          <w:bCs/>
          <w:spacing w:val="-1"/>
          <w:sz w:val="21"/>
          <w:szCs w:val="21"/>
        </w:rPr>
        <w:t>、募集资金使用情况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0"/>
        <w:rPr>
          <w:rFonts w:ascii="宋体" w:hAnsi="宋体" w:cs="宋体" w:eastAsia="宋体" w:hint="default"/>
          <w:sz w:val="16"/>
          <w:szCs w:val="16"/>
        </w:rPr>
      </w:pPr>
    </w:p>
    <w:p>
      <w:pPr>
        <w:pStyle w:val="Heading2"/>
        <w:spacing w:line="240" w:lineRule="auto"/>
        <w:ind w:left="140" w:right="7717"/>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tabs>
          <w:tab w:pos="12492"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1</w:t>
      </w:r>
      <w:r>
        <w:rPr>
          <w:rFonts w:ascii="Microsoft JhengHei" w:hAnsi="Microsoft JhengHei" w:cs="Microsoft JhengHei" w:eastAsia="Microsoft JhengHei" w:hint="default"/>
          <w:b/>
          <w:bCs/>
          <w:spacing w:val="-5"/>
          <w:sz w:val="21"/>
          <w:szCs w:val="21"/>
        </w:rPr>
        <w:t>、出售重大资产情况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18"/>
          <w:szCs w:val="18"/>
        </w:rPr>
      </w:pPr>
    </w:p>
    <w:p>
      <w:pPr>
        <w:tabs>
          <w:tab w:pos="12492" w:val="left" w:leader="none"/>
        </w:tabs>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2</w:t>
      </w:r>
      <w:r>
        <w:rPr>
          <w:rFonts w:ascii="Microsoft JhengHei" w:hAnsi="Microsoft JhengHei" w:cs="Microsoft JhengHei" w:eastAsia="Microsoft JhengHei" w:hint="default"/>
          <w:b/>
          <w:bCs/>
          <w:spacing w:val="-5"/>
          <w:sz w:val="21"/>
          <w:szCs w:val="21"/>
        </w:rPr>
        <w:t>、出售重大股权情况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16"/>
          <w:szCs w:val="16"/>
        </w:rPr>
      </w:pPr>
    </w:p>
    <w:p>
      <w:pPr>
        <w:tabs>
          <w:tab w:pos="12494" w:val="left" w:leader="none"/>
        </w:tabs>
        <w:spacing w:before="0"/>
        <w:ind w:left="140"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七、主要控股参股公司分析</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19"/>
          <w:szCs w:val="19"/>
        </w:rPr>
      </w:pPr>
    </w:p>
    <w:p>
      <w:pPr>
        <w:pStyle w:val="BodyText"/>
        <w:spacing w:line="240" w:lineRule="auto" w:before="36"/>
        <w:ind w:left="140" w:right="7717"/>
        <w:jc w:val="left"/>
      </w:pPr>
      <w:r>
        <w:rPr>
          <w:rFonts w:ascii="Times New Roman" w:hAnsi="Times New Roman" w:cs="Times New Roman" w:eastAsia="Times New Roman" w:hint="default"/>
          <w:spacing w:val="-2"/>
        </w:rPr>
        <w:t>1</w:t>
      </w:r>
      <w:r>
        <w:rPr>
          <w:spacing w:val="-2"/>
        </w:rPr>
        <w:t>、主要子公司及对本集团净利润影响达</w:t>
      </w:r>
      <w:r>
        <w:rPr>
          <w:spacing w:val="2"/>
        </w:rPr>
        <w:t> </w:t>
      </w:r>
      <w:r>
        <w:rPr>
          <w:rFonts w:ascii="Times New Roman" w:hAnsi="Times New Roman" w:cs="Times New Roman" w:eastAsia="Times New Roman" w:hint="default"/>
          <w:spacing w:val="-2"/>
        </w:rPr>
        <w:t>10%</w:t>
      </w:r>
      <w:r>
        <w:rPr>
          <w:spacing w:val="-2"/>
        </w:rPr>
        <w:t>以上的参股公司情况</w:t>
      </w:r>
    </w:p>
    <w:p>
      <w:pPr>
        <w:pStyle w:val="BodyText"/>
        <w:spacing w:line="240" w:lineRule="auto" w:before="62"/>
        <w:ind w:left="0" w:right="195"/>
        <w:jc w:val="right"/>
      </w:pPr>
      <w:r>
        <w:rPr>
          <w:spacing w:val="-2"/>
        </w:rPr>
        <w:t>单位：元</w:t>
      </w:r>
      <w:r>
        <w:rPr/>
      </w: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2662"/>
        <w:gridCol w:w="989"/>
        <w:gridCol w:w="1001"/>
        <w:gridCol w:w="1550"/>
        <w:gridCol w:w="1702"/>
        <w:gridCol w:w="1562"/>
        <w:gridCol w:w="1561"/>
        <w:gridCol w:w="1378"/>
        <w:gridCol w:w="1544"/>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国盛证券有限责任公司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证券业务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center"/>
              <w:rPr>
                <w:rFonts w:ascii="Times New Roman" w:hAnsi="Times New Roman" w:cs="Times New Roman" w:eastAsia="Times New Roman" w:hint="default"/>
                <w:sz w:val="21"/>
                <w:szCs w:val="21"/>
              </w:rPr>
            </w:pPr>
            <w:r>
              <w:rPr>
                <w:rFonts w:ascii="Times New Roman"/>
                <w:sz w:val="21"/>
              </w:rPr>
              <w:t>4,695,346,247.95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center"/>
              <w:rPr>
                <w:rFonts w:ascii="Times New Roman" w:hAnsi="Times New Roman" w:cs="Times New Roman" w:eastAsia="Times New Roman" w:hint="default"/>
                <w:sz w:val="21"/>
                <w:szCs w:val="21"/>
              </w:rPr>
            </w:pPr>
            <w:r>
              <w:rPr>
                <w:rFonts w:ascii="Times New Roman"/>
                <w:sz w:val="21"/>
              </w:rPr>
              <w:t>28,880,478,055.71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center"/>
              <w:rPr>
                <w:rFonts w:ascii="Times New Roman" w:hAnsi="Times New Roman" w:cs="Times New Roman" w:eastAsia="Times New Roman" w:hint="default"/>
                <w:sz w:val="21"/>
                <w:szCs w:val="21"/>
              </w:rPr>
            </w:pPr>
            <w:r>
              <w:rPr>
                <w:rFonts w:ascii="Times New Roman"/>
                <w:sz w:val="21"/>
              </w:rPr>
              <w:t>9,671,773,497.57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center"/>
              <w:rPr>
                <w:rFonts w:ascii="Times New Roman" w:hAnsi="Times New Roman" w:cs="Times New Roman" w:eastAsia="Times New Roman" w:hint="default"/>
                <w:sz w:val="21"/>
                <w:szCs w:val="21"/>
              </w:rPr>
            </w:pPr>
            <w:r>
              <w:rPr>
                <w:rFonts w:ascii="Times New Roman"/>
                <w:sz w:val="21"/>
              </w:rPr>
              <w:t>1,742,938,549.14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466,289,126.04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6" w:right="0"/>
              <w:jc w:val="left"/>
              <w:rPr>
                <w:rFonts w:ascii="Times New Roman" w:hAnsi="Times New Roman" w:cs="Times New Roman" w:eastAsia="Times New Roman" w:hint="default"/>
                <w:sz w:val="21"/>
                <w:szCs w:val="21"/>
              </w:rPr>
            </w:pPr>
            <w:r>
              <w:rPr>
                <w:rFonts w:ascii="Times New Roman"/>
                <w:sz w:val="21"/>
              </w:rPr>
              <w:t>351,394,135.26</w:t>
            </w:r>
          </w:p>
        </w:tc>
      </w:tr>
    </w:tbl>
    <w:p>
      <w:pPr>
        <w:spacing w:after="0" w:line="240" w:lineRule="auto"/>
        <w:jc w:val="left"/>
        <w:rPr>
          <w:rFonts w:ascii="Times New Roman" w:hAnsi="Times New Roman" w:cs="Times New Roman" w:eastAsia="Times New Roman" w:hint="default"/>
          <w:sz w:val="21"/>
          <w:szCs w:val="21"/>
        </w:rPr>
        <w:sectPr>
          <w:headerReference w:type="default" r:id="rId17"/>
          <w:footerReference w:type="default" r:id="rId18"/>
          <w:pgSz w:w="16840" w:h="11910" w:orient="landscape"/>
          <w:pgMar w:header="867" w:footer="980" w:top="1060" w:bottom="1160" w:left="1300" w:right="1240"/>
          <w:pgNumType w:start="28"/>
        </w:sectPr>
      </w:pPr>
    </w:p>
    <w:p>
      <w:pPr>
        <w:spacing w:line="240" w:lineRule="auto" w:before="11"/>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662"/>
        <w:gridCol w:w="989"/>
        <w:gridCol w:w="1001"/>
        <w:gridCol w:w="1550"/>
        <w:gridCol w:w="1702"/>
        <w:gridCol w:w="1562"/>
        <w:gridCol w:w="1561"/>
        <w:gridCol w:w="1378"/>
        <w:gridCol w:w="1544"/>
      </w:tblGrid>
      <w:tr>
        <w:trPr>
          <w:trHeight w:val="418" w:hRule="exact"/>
        </w:trPr>
        <w:tc>
          <w:tcPr>
            <w:tcW w:w="26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1"/>
                <w:szCs w:val="21"/>
              </w:rPr>
            </w:pPr>
            <w:r>
              <w:rPr>
                <w:rFonts w:ascii="宋体" w:hAnsi="宋体" w:cs="宋体" w:eastAsia="宋体" w:hint="default"/>
                <w:sz w:val="21"/>
                <w:szCs w:val="21"/>
              </w:rPr>
              <w:t>国盛（香港）投资有限公司</w:t>
            </w:r>
          </w:p>
        </w:tc>
        <w:tc>
          <w:tcPr>
            <w:tcW w:w="9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15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万港币</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788,438,004.40</w:t>
            </w:r>
          </w:p>
        </w:tc>
        <w:tc>
          <w:tcPr>
            <w:tcW w:w="15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788,383,047.07</w:t>
            </w:r>
          </w:p>
        </w:tc>
        <w:tc>
          <w:tcPr>
            <w:tcW w:w="1561" w:type="dxa"/>
            <w:tcBorders>
              <w:top w:val="single" w:sz="15" w:space="0" w:color="000000"/>
              <w:left w:val="single" w:sz="4" w:space="0" w:color="000000"/>
              <w:bottom w:val="single" w:sz="4" w:space="0" w:color="000000"/>
              <w:right w:val="single" w:sz="4" w:space="0" w:color="000000"/>
            </w:tcBorders>
          </w:tcPr>
          <w:p>
            <w:pPr/>
          </w:p>
        </w:tc>
        <w:tc>
          <w:tcPr>
            <w:tcW w:w="13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-550,216.14</w:t>
            </w:r>
          </w:p>
        </w:tc>
        <w:tc>
          <w:tcPr>
            <w:tcW w:w="15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200,015,586.23</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珠海横琴极盛科技有限公司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科技业务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90,607,782.41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-109,212,088.02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37,552,636.62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-51,021,340.32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-51,323,390.78</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深圳国盛前海投资有限公司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203,649,563.76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-563,992,796.09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-23,925,492.38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-23,931,855.05</w:t>
            </w:r>
          </w:p>
        </w:tc>
      </w:tr>
    </w:tbl>
    <w:p>
      <w:pPr>
        <w:pStyle w:val="BodyText"/>
        <w:spacing w:line="240" w:lineRule="auto" w:before="28"/>
        <w:ind w:left="100" w:right="0"/>
        <w:jc w:val="left"/>
      </w:pPr>
      <w:r>
        <w:rPr/>
        <w:t>注：上述财务数据为子公司个别财务报表数据。</w:t>
      </w:r>
    </w:p>
    <w:p>
      <w:pPr>
        <w:spacing w:after="0" w:line="240" w:lineRule="auto"/>
        <w:jc w:val="left"/>
        <w:sectPr>
          <w:pgSz w:w="16840" w:h="11910" w:orient="landscape"/>
          <w:pgMar w:header="867" w:footer="980" w:top="1060" w:bottom="1160" w:left="1340" w:right="1300"/>
        </w:sectPr>
      </w:pPr>
    </w:p>
    <w:p>
      <w:pPr>
        <w:spacing w:line="240" w:lineRule="auto" w:before="12"/>
        <w:rPr>
          <w:rFonts w:ascii="宋体" w:hAnsi="宋体" w:cs="宋体" w:eastAsia="宋体" w:hint="default"/>
          <w:sz w:val="20"/>
          <w:szCs w:val="20"/>
        </w:rPr>
      </w:pPr>
    </w:p>
    <w:p>
      <w:pPr>
        <w:pStyle w:val="BodyText"/>
        <w:tabs>
          <w:tab w:pos="7925" w:val="left" w:leader="none"/>
        </w:tabs>
        <w:spacing w:line="290" w:lineRule="auto" w:before="36"/>
        <w:ind w:left="573" w:right="1392" w:hanging="421"/>
        <w:jc w:val="left"/>
      </w:pPr>
      <w:r>
        <w:rPr>
          <w:rFonts w:ascii="Times New Roman" w:hAnsi="Times New Roman" w:cs="Times New Roman" w:eastAsia="Times New Roman" w:hint="default"/>
          <w:spacing w:val="-2"/>
        </w:rPr>
        <w:t>2</w:t>
      </w:r>
      <w:r>
        <w:rPr>
          <w:spacing w:val="-2"/>
        </w:rPr>
        <w:t>、报告期取得和处置子公司的情况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1"/>
        </w:rPr>
        <w:t>不适用</w:t>
      </w:r>
      <w:r>
        <w:rPr>
          <w:w w:val="100"/>
        </w:rPr>
        <w:t> </w:t>
      </w:r>
      <w:r>
        <w:rPr>
          <w:spacing w:val="-2"/>
        </w:rPr>
        <w:t>报告期本集团收购取得上海多专科技有限公司</w:t>
      </w:r>
      <w:r>
        <w:rPr>
          <w:spacing w:val="24"/>
        </w:rPr>
        <w:t> </w:t>
      </w:r>
      <w:r>
        <w:rPr>
          <w:rFonts w:ascii="Times New Roman" w:hAnsi="Times New Roman" w:cs="Times New Roman" w:eastAsia="Times New Roman" w:hint="default"/>
          <w:spacing w:val="-2"/>
        </w:rPr>
        <w:t>100%</w:t>
      </w:r>
      <w:r>
        <w:rPr>
          <w:spacing w:val="-2"/>
        </w:rPr>
        <w:t>股权，对集团整体经营业绩影响不大。</w:t>
      </w:r>
    </w:p>
    <w:p>
      <w:pPr>
        <w:spacing w:line="240" w:lineRule="auto" w:before="10"/>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3</w:t>
      </w:r>
      <w:r>
        <w:rPr/>
        <w:t>、主要控股参股公司情况</w:t>
      </w:r>
    </w:p>
    <w:p>
      <w:pPr>
        <w:pStyle w:val="BodyText"/>
        <w:spacing w:line="261" w:lineRule="auto" w:before="62"/>
        <w:ind w:right="0" w:firstLine="420"/>
        <w:jc w:val="left"/>
      </w:pPr>
      <w:r>
        <w:rPr>
          <w:spacing w:val="-3"/>
        </w:rPr>
        <w:t>（</w:t>
      </w:r>
      <w:r>
        <w:rPr>
          <w:rFonts w:ascii="Times New Roman" w:hAnsi="Times New Roman" w:cs="Times New Roman" w:eastAsia="Times New Roman" w:hint="default"/>
          <w:spacing w:val="-3"/>
        </w:rPr>
        <w:t>1</w:t>
      </w:r>
      <w:r>
        <w:rPr>
          <w:spacing w:val="-3"/>
        </w:rPr>
        <w:t>）报告期，国盛证券（个别）实现营业收入</w:t>
      </w:r>
      <w:r>
        <w:rPr>
          <w:rFonts w:ascii="Times New Roman" w:hAnsi="Times New Roman" w:cs="Times New Roman" w:eastAsia="Times New Roman" w:hint="default"/>
          <w:spacing w:val="-3"/>
        </w:rPr>
        <w:t>17.43</w:t>
      </w:r>
      <w:r>
        <w:rPr>
          <w:spacing w:val="-3"/>
        </w:rPr>
        <w:t>亿元、营业利润</w:t>
      </w:r>
      <w:r>
        <w:rPr>
          <w:rFonts w:ascii="Times New Roman" w:hAnsi="Times New Roman" w:cs="Times New Roman" w:eastAsia="Times New Roman" w:hint="default"/>
          <w:spacing w:val="-3"/>
        </w:rPr>
        <w:t>4.66</w:t>
      </w:r>
      <w:r>
        <w:rPr>
          <w:spacing w:val="-3"/>
        </w:rPr>
        <w:t>亿元、净利润</w:t>
      </w:r>
      <w:r>
        <w:rPr>
          <w:rFonts w:ascii="Times New Roman" w:hAnsi="Times New Roman" w:cs="Times New Roman" w:eastAsia="Times New Roman" w:hint="default"/>
          <w:spacing w:val="-3"/>
        </w:rPr>
        <w:t>3.51</w:t>
      </w:r>
      <w:r>
        <w:rPr>
          <w:spacing w:val="-3"/>
        </w:rPr>
        <w:t>亿元，分别</w:t>
      </w:r>
      <w:r>
        <w:rPr>
          <w:w w:val="100"/>
        </w:rPr>
        <w:t> </w:t>
      </w:r>
      <w:r>
        <w:rPr/>
        <w:t>较上年同期增长</w:t>
      </w:r>
      <w:r>
        <w:rPr>
          <w:rFonts w:ascii="Times New Roman" w:hAnsi="Times New Roman" w:cs="Times New Roman" w:eastAsia="Times New Roman" w:hint="default"/>
        </w:rPr>
        <w:t>306.94%</w:t>
      </w:r>
      <w:r>
        <w:rPr/>
        <w:t>、</w:t>
      </w:r>
      <w:r>
        <w:rPr>
          <w:rFonts w:ascii="Times New Roman" w:hAnsi="Times New Roman" w:cs="Times New Roman" w:eastAsia="Times New Roman" w:hint="default"/>
        </w:rPr>
        <w:t>259.88%</w:t>
      </w:r>
      <w:r>
        <w:rPr/>
        <w:t>、</w:t>
      </w:r>
      <w:r>
        <w:rPr>
          <w:rFonts w:ascii="Times New Roman" w:hAnsi="Times New Roman" w:cs="Times New Roman" w:eastAsia="Times New Roman" w:hint="default"/>
        </w:rPr>
        <w:t>264.94%</w:t>
      </w:r>
      <w:r>
        <w:rPr/>
        <w:t>，主要系国内证券市场回暖，股票自营形成的公允价值变动</w:t>
      </w:r>
      <w:r>
        <w:rPr>
          <w:spacing w:val="-81"/>
        </w:rPr>
        <w:t> </w:t>
      </w:r>
      <w:r>
        <w:rPr>
          <w:spacing w:val="-81"/>
        </w:rPr>
      </w:r>
      <w:r>
        <w:rPr/>
        <w:t>收益以及证券经纪、投资银行、股票质押、融资融券、投研服务收入同比增长，导致本期营业收入增长，</w:t>
      </w:r>
      <w:r>
        <w:rPr>
          <w:spacing w:val="-24"/>
        </w:rPr>
        <w:t> </w:t>
      </w:r>
      <w:r>
        <w:rPr>
          <w:spacing w:val="-24"/>
        </w:rPr>
      </w:r>
      <w:r>
        <w:rPr/>
        <w:t>净利润相应增长。截至期末，国盛证券（个别）总资产、净资产较上年末分别增长</w:t>
      </w:r>
      <w:r>
        <w:rPr>
          <w:rFonts w:ascii="Times New Roman" w:hAnsi="Times New Roman" w:cs="Times New Roman" w:eastAsia="Times New Roman" w:hint="default"/>
        </w:rPr>
        <w:t>9.40%</w:t>
      </w:r>
      <w:r>
        <w:rPr/>
        <w:t>、</w:t>
      </w:r>
      <w:r>
        <w:rPr>
          <w:rFonts w:ascii="Times New Roman" w:hAnsi="Times New Roman" w:cs="Times New Roman" w:eastAsia="Times New Roman" w:hint="default"/>
        </w:rPr>
        <w:t>0.84%</w:t>
      </w:r>
      <w:r>
        <w:rPr/>
        <w:t>。</w:t>
      </w:r>
    </w:p>
    <w:p>
      <w:pPr>
        <w:pStyle w:val="BodyText"/>
        <w:spacing w:line="256" w:lineRule="auto" w:before="38"/>
        <w:ind w:right="0" w:firstLine="420"/>
        <w:jc w:val="left"/>
      </w:pPr>
      <w:r>
        <w:rPr>
          <w:spacing w:val="-3"/>
        </w:rPr>
        <w:t>（</w:t>
      </w:r>
      <w:r>
        <w:rPr>
          <w:rFonts w:ascii="Times New Roman" w:hAnsi="Times New Roman" w:cs="Times New Roman" w:eastAsia="Times New Roman" w:hint="default"/>
          <w:spacing w:val="-3"/>
        </w:rPr>
        <w:t>2</w:t>
      </w:r>
      <w:r>
        <w:rPr>
          <w:spacing w:val="-3"/>
        </w:rPr>
        <w:t>）报告期，香港投资（个别）实现营业利润较上年同期下降</w:t>
      </w:r>
      <w:r>
        <w:rPr>
          <w:rFonts w:ascii="Times New Roman" w:hAnsi="Times New Roman" w:cs="Times New Roman" w:eastAsia="Times New Roman" w:hint="default"/>
          <w:spacing w:val="-3"/>
        </w:rPr>
        <w:t>101.35%</w:t>
      </w:r>
      <w:r>
        <w:rPr>
          <w:spacing w:val="-3"/>
        </w:rPr>
        <w:t>，主要系比较基数小以及持有</w:t>
      </w:r>
      <w:r>
        <w:rPr>
          <w:w w:val="100"/>
        </w:rPr>
        <w:t> </w:t>
      </w:r>
      <w:r>
        <w:rPr>
          <w:spacing w:val="-4"/>
        </w:rPr>
        <w:t>的金融资产公允价值变动收益和投资收益同比下降导致；主要受</w:t>
      </w:r>
      <w:r>
        <w:rPr>
          <w:rFonts w:ascii="Times New Roman" w:hAnsi="Times New Roman" w:cs="Times New Roman" w:eastAsia="Times New Roman" w:hint="default"/>
          <w:spacing w:val="-4"/>
        </w:rPr>
        <w:t>QD</w:t>
      </w:r>
      <w:r>
        <w:rPr>
          <w:spacing w:val="-4"/>
        </w:rPr>
        <w:t>投资核算方法转换影响，该公司报告期</w:t>
      </w:r>
      <w:r>
        <w:rPr>
          <w:spacing w:val="-41"/>
        </w:rPr>
        <w:t> </w:t>
      </w:r>
      <w:r>
        <w:rPr>
          <w:spacing w:val="-41"/>
        </w:rPr>
      </w:r>
      <w:r>
        <w:rPr>
          <w:spacing w:val="-7"/>
          <w:w w:val="100"/>
        </w:rPr>
        <w:t>实现净利润</w:t>
      </w:r>
      <w:r>
        <w:rPr>
          <w:rFonts w:ascii="Times New Roman" w:hAnsi="Times New Roman" w:cs="Times New Roman" w:eastAsia="Times New Roman" w:hint="default"/>
          <w:spacing w:val="-7"/>
          <w:w w:val="100"/>
        </w:rPr>
        <w:t>2.00</w:t>
      </w:r>
      <w:r>
        <w:rPr>
          <w:spacing w:val="-7"/>
          <w:w w:val="100"/>
        </w:rPr>
        <w:t>亿元，较上年同期增长</w:t>
      </w:r>
      <w:r>
        <w:rPr>
          <w:rFonts w:ascii="Times New Roman" w:hAnsi="Times New Roman" w:cs="Times New Roman" w:eastAsia="Times New Roman" w:hint="default"/>
          <w:spacing w:val="-7"/>
          <w:w w:val="100"/>
        </w:rPr>
        <w:t>391.60%</w:t>
      </w:r>
      <w:r>
        <w:rPr>
          <w:spacing w:val="-7"/>
          <w:w w:val="100"/>
        </w:rPr>
        <w:t>，截至期末总资产、净资产分别较上年末增长</w:t>
      </w:r>
      <w:r>
        <w:rPr>
          <w:rFonts w:ascii="Times New Roman" w:hAnsi="Times New Roman" w:cs="Times New Roman" w:eastAsia="Times New Roman" w:hint="default"/>
          <w:spacing w:val="-7"/>
          <w:w w:val="100"/>
        </w:rPr>
        <w:t>36.56%</w:t>
      </w:r>
      <w:r>
        <w:rPr>
          <w:spacing w:val="-7"/>
          <w:w w:val="100"/>
        </w:rPr>
        <w:t>、</w:t>
      </w:r>
      <w:r>
        <w:rPr>
          <w:rFonts w:ascii="Times New Roman" w:hAnsi="Times New Roman" w:cs="Times New Roman" w:eastAsia="Times New Roman" w:hint="default"/>
          <w:spacing w:val="-7"/>
          <w:w w:val="100"/>
        </w:rPr>
        <w:t>36.61%</w:t>
      </w:r>
      <w:r>
        <w:rPr>
          <w:spacing w:val="-7"/>
          <w:w w:val="100"/>
        </w:rPr>
        <w:t>。</w:t>
      </w:r>
    </w:p>
    <w:p>
      <w:pPr>
        <w:pStyle w:val="BodyText"/>
        <w:spacing w:line="256" w:lineRule="auto" w:before="46"/>
        <w:ind w:right="1128" w:firstLine="420"/>
        <w:jc w:val="both"/>
      </w:pPr>
      <w:r>
        <w:rPr>
          <w:spacing w:val="-5"/>
        </w:rPr>
        <w:t>（</w:t>
      </w:r>
      <w:r>
        <w:rPr>
          <w:rFonts w:ascii="Times New Roman" w:hAnsi="Times New Roman" w:cs="Times New Roman" w:eastAsia="Times New Roman" w:hint="default"/>
          <w:spacing w:val="-5"/>
        </w:rPr>
        <w:t>3</w:t>
      </w:r>
      <w:r>
        <w:rPr>
          <w:spacing w:val="-5"/>
        </w:rPr>
        <w:t>）报告期，极盛科技（个别）营业收入较上年同期增长</w:t>
      </w:r>
      <w:r>
        <w:rPr>
          <w:rFonts w:ascii="Times New Roman" w:hAnsi="Times New Roman" w:cs="Times New Roman" w:eastAsia="Times New Roman" w:hint="default"/>
          <w:spacing w:val="-5"/>
        </w:rPr>
        <w:t>310.50%</w:t>
      </w:r>
      <w:r>
        <w:rPr>
          <w:spacing w:val="-5"/>
        </w:rPr>
        <w:t>，营业利润较上年同期下降</w:t>
      </w:r>
      <w:r>
        <w:rPr>
          <w:rFonts w:ascii="Times New Roman" w:hAnsi="Times New Roman" w:cs="Times New Roman" w:eastAsia="Times New Roman" w:hint="default"/>
          <w:spacing w:val="-5"/>
        </w:rPr>
        <w:t>0.56%</w:t>
      </w:r>
      <w:r>
        <w:rPr>
          <w:spacing w:val="-5"/>
        </w:rPr>
        <w:t>，</w:t>
      </w:r>
      <w:r>
        <w:rPr>
          <w:w w:val="100"/>
        </w:rPr>
        <w:t> </w:t>
      </w:r>
      <w:r>
        <w:rPr>
          <w:spacing w:val="-5"/>
        </w:rPr>
        <w:t>净利润较上年同期下降</w:t>
      </w:r>
      <w:r>
        <w:rPr>
          <w:rFonts w:ascii="Times New Roman" w:hAnsi="Times New Roman" w:cs="Times New Roman" w:eastAsia="Times New Roman" w:hint="default"/>
          <w:spacing w:val="-5"/>
        </w:rPr>
        <w:t>1.38%</w:t>
      </w:r>
      <w:r>
        <w:rPr>
          <w:spacing w:val="-5"/>
        </w:rPr>
        <w:t>。营业收入增长的主要原因是报告期极盛科技完成交付的项目增加。期末，极</w:t>
      </w:r>
      <w:r>
        <w:rPr>
          <w:spacing w:val="-15"/>
        </w:rPr>
        <w:t> </w:t>
      </w:r>
      <w:r>
        <w:rPr>
          <w:spacing w:val="-15"/>
        </w:rPr>
      </w:r>
      <w:r>
        <w:rPr/>
        <w:t>盛科技（个别）总资产较上年末增长</w:t>
      </w:r>
      <w:r>
        <w:rPr>
          <w:rFonts w:ascii="Times New Roman" w:hAnsi="Times New Roman" w:cs="Times New Roman" w:eastAsia="Times New Roman" w:hint="default"/>
        </w:rPr>
        <w:t>54.74%</w:t>
      </w:r>
      <w:r>
        <w:rPr/>
        <w:t>，净资产较上年末下降</w:t>
      </w:r>
      <w:r>
        <w:rPr>
          <w:rFonts w:ascii="Times New Roman" w:hAnsi="Times New Roman" w:cs="Times New Roman" w:eastAsia="Times New Roman" w:hint="default"/>
        </w:rPr>
        <w:t>88.66%</w:t>
      </w:r>
      <w:r>
        <w:rPr/>
        <w:t>，主要系各项投入较大导致。</w:t>
      </w:r>
    </w:p>
    <w:p>
      <w:pPr>
        <w:pStyle w:val="BodyText"/>
        <w:spacing w:line="261" w:lineRule="auto" w:before="46"/>
        <w:ind w:right="1126" w:firstLine="420"/>
        <w:jc w:val="both"/>
      </w:pPr>
      <w:r>
        <w:rPr>
          <w:spacing w:val="-5"/>
        </w:rPr>
        <w:t>（</w:t>
      </w:r>
      <w:r>
        <w:rPr>
          <w:rFonts w:ascii="Times New Roman" w:hAnsi="Times New Roman" w:cs="Times New Roman" w:eastAsia="Times New Roman" w:hint="default"/>
          <w:spacing w:val="-5"/>
        </w:rPr>
        <w:t>4</w:t>
      </w:r>
      <w:r>
        <w:rPr>
          <w:spacing w:val="-5"/>
        </w:rPr>
        <w:t>）报告期，深圳投资营业利润、净利润分别较上年同期下降</w:t>
      </w:r>
      <w:r>
        <w:rPr>
          <w:rFonts w:ascii="Times New Roman" w:hAnsi="Times New Roman" w:cs="Times New Roman" w:eastAsia="Times New Roman" w:hint="default"/>
          <w:spacing w:val="-5"/>
        </w:rPr>
        <w:t>24.58%</w:t>
      </w:r>
      <w:r>
        <w:rPr>
          <w:spacing w:val="-5"/>
        </w:rPr>
        <w:t>、</w:t>
      </w:r>
      <w:r>
        <w:rPr>
          <w:rFonts w:ascii="Times New Roman" w:hAnsi="Times New Roman" w:cs="Times New Roman" w:eastAsia="Times New Roman" w:hint="default"/>
          <w:spacing w:val="-5"/>
        </w:rPr>
        <w:t>24.61%</w:t>
      </w:r>
      <w:r>
        <w:rPr>
          <w:spacing w:val="-5"/>
        </w:rPr>
        <w:t>。期末总资产、净资产</w:t>
      </w:r>
      <w:r>
        <w:rPr>
          <w:w w:val="100"/>
        </w:rPr>
        <w:t> </w:t>
      </w:r>
      <w:r>
        <w:rPr>
          <w:spacing w:val="-3"/>
        </w:rPr>
        <w:t>分别较上年末下降</w:t>
      </w:r>
      <w:r>
        <w:rPr>
          <w:rFonts w:ascii="Times New Roman" w:hAnsi="Times New Roman" w:cs="Times New Roman" w:eastAsia="Times New Roman" w:hint="default"/>
          <w:spacing w:val="-3"/>
        </w:rPr>
        <w:t>65.74%</w:t>
      </w:r>
      <w:r>
        <w:rPr>
          <w:spacing w:val="-3"/>
        </w:rPr>
        <w:t>、</w:t>
      </w:r>
      <w:r>
        <w:rPr>
          <w:rFonts w:ascii="Times New Roman" w:hAnsi="Times New Roman" w:cs="Times New Roman" w:eastAsia="Times New Roman" w:hint="default"/>
          <w:spacing w:val="-3"/>
        </w:rPr>
        <w:t>175630.97%</w:t>
      </w:r>
      <w:r>
        <w:rPr>
          <w:spacing w:val="-3"/>
        </w:rPr>
        <w:t>，主要原因为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日起执行新金融工具准则，深圳投资对其</w:t>
      </w:r>
      <w:r>
        <w:rPr/>
        <w:t> </w:t>
      </w:r>
      <w:r>
        <w:rPr/>
      </w:r>
      <w:r>
        <w:rPr>
          <w:spacing w:val="-2"/>
        </w:rPr>
        <w:t>持有的北京快乐时代和微贷网两个项目改按公允价值计量，由于深圳投资不享有该等项目境外上市主体权</w:t>
      </w:r>
      <w:r>
        <w:rPr>
          <w:spacing w:val="-43"/>
        </w:rPr>
        <w:t> </w:t>
      </w:r>
      <w:r>
        <w:rPr>
          <w:spacing w:val="-43"/>
        </w:rPr>
      </w:r>
      <w:r>
        <w:rPr/>
        <w:t>益，遂将该等股权资产的公允价值调整为</w:t>
      </w:r>
      <w:r>
        <w:rPr>
          <w:rFonts w:ascii="Times New Roman" w:hAnsi="Times New Roman" w:cs="Times New Roman" w:eastAsia="Times New Roman" w:hint="default"/>
        </w:rPr>
        <w:t>0</w:t>
      </w:r>
      <w:r>
        <w:rPr/>
        <w:t>元。</w:t>
      </w:r>
    </w:p>
    <w:p>
      <w:pPr>
        <w:tabs>
          <w:tab w:pos="8187" w:val="left" w:leader="none"/>
        </w:tabs>
        <w:spacing w:before="196"/>
        <w:ind w:left="152" w:right="0" w:firstLine="0"/>
        <w:jc w:val="both"/>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八、公司控制的结构化主体情况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pStyle w:val="Heading2"/>
        <w:spacing w:line="240" w:lineRule="auto" w:before="197"/>
        <w:ind w:right="0"/>
        <w:jc w:val="both"/>
        <w:rPr>
          <w:b w:val="0"/>
          <w:bCs w:val="0"/>
        </w:rPr>
      </w:pPr>
      <w:r>
        <w:rPr/>
        <w:t>九、公司未来发展的展望</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left="573" w:right="0"/>
        <w:jc w:val="left"/>
      </w:pPr>
      <w:r>
        <w:rPr/>
        <w:t>（一）未来发展战略</w:t>
      </w:r>
      <w:r>
        <w:rPr>
          <w:w w:val="100"/>
        </w:rPr>
        <w:t> </w:t>
      </w:r>
      <w:r>
        <w:rPr>
          <w:spacing w:val="-2"/>
        </w:rPr>
        <w:t>公司通过内生式与外延式双向发展，以</w:t>
      </w:r>
      <w:r>
        <w:rPr>
          <w:rFonts w:ascii="Times New Roman" w:hAnsi="Times New Roman" w:cs="Times New Roman" w:eastAsia="Times New Roman" w:hint="default"/>
          <w:spacing w:val="-2"/>
        </w:rPr>
        <w:t>“</w:t>
      </w:r>
      <w:r>
        <w:rPr>
          <w:spacing w:val="-2"/>
        </w:rPr>
        <w:t>资本</w:t>
      </w:r>
      <w:r>
        <w:rPr>
          <w:rFonts w:ascii="Times New Roman" w:hAnsi="Times New Roman" w:cs="Times New Roman" w:eastAsia="Times New Roman" w:hint="default"/>
          <w:spacing w:val="-2"/>
        </w:rPr>
        <w:t>+</w:t>
      </w:r>
      <w:r>
        <w:rPr>
          <w:spacing w:val="-2"/>
        </w:rPr>
        <w:t>创新</w:t>
      </w:r>
      <w:r>
        <w:rPr>
          <w:rFonts w:ascii="Times New Roman" w:hAnsi="Times New Roman" w:cs="Times New Roman" w:eastAsia="Times New Roman" w:hint="default"/>
          <w:spacing w:val="-2"/>
        </w:rPr>
        <w:t>”</w:t>
      </w:r>
      <w:r>
        <w:rPr>
          <w:spacing w:val="-2"/>
        </w:rPr>
        <w:t>为双轮驱动，逐步构建起了以</w:t>
      </w:r>
      <w:r>
        <w:rPr>
          <w:rFonts w:ascii="Times New Roman" w:hAnsi="Times New Roman" w:cs="Times New Roman" w:eastAsia="Times New Roman" w:hint="default"/>
          <w:spacing w:val="-2"/>
        </w:rPr>
        <w:t>“</w:t>
      </w:r>
      <w:r>
        <w:rPr>
          <w:spacing w:val="-2"/>
        </w:rPr>
        <w:t>证券为核心，投资</w:t>
      </w:r>
    </w:p>
    <w:p>
      <w:pPr>
        <w:pStyle w:val="BodyText"/>
        <w:spacing w:line="256" w:lineRule="auto"/>
        <w:ind w:right="1126"/>
        <w:jc w:val="both"/>
      </w:pPr>
      <w:r>
        <w:rPr>
          <w:spacing w:val="-4"/>
        </w:rPr>
        <w:t>为纽带，科技为支撑</w:t>
      </w:r>
      <w:r>
        <w:rPr>
          <w:rFonts w:ascii="Times New Roman" w:hAnsi="Times New Roman" w:cs="Times New Roman" w:eastAsia="Times New Roman" w:hint="default"/>
          <w:spacing w:val="-4"/>
        </w:rPr>
        <w:t>”</w:t>
      </w:r>
      <w:r>
        <w:rPr>
          <w:spacing w:val="-4"/>
        </w:rPr>
        <w:t>的多元化金融服务体系，充分发挥各业务板块在金融领域的作用，实现资金、技术与</w:t>
      </w:r>
      <w:r>
        <w:rPr>
          <w:spacing w:val="-41"/>
        </w:rPr>
        <w:t> </w:t>
      </w:r>
      <w:r>
        <w:rPr>
          <w:spacing w:val="-41"/>
        </w:rPr>
      </w:r>
      <w:r>
        <w:rPr>
          <w:spacing w:val="-6"/>
        </w:rPr>
        <w:t>资产的有效链接。公司着力打造</w:t>
      </w:r>
      <w:r>
        <w:rPr>
          <w:rFonts w:ascii="Times New Roman" w:hAnsi="Times New Roman" w:cs="Times New Roman" w:eastAsia="Times New Roman" w:hint="default"/>
          <w:spacing w:val="-6"/>
        </w:rPr>
        <w:t>“</w:t>
      </w:r>
      <w:r>
        <w:rPr>
          <w:spacing w:val="-6"/>
        </w:rPr>
        <w:t>赋能实体经济、助力科技创新</w:t>
      </w:r>
      <w:r>
        <w:rPr>
          <w:rFonts w:ascii="Times New Roman" w:hAnsi="Times New Roman" w:cs="Times New Roman" w:eastAsia="Times New Roman" w:hint="default"/>
          <w:spacing w:val="-6"/>
        </w:rPr>
        <w:t>”</w:t>
      </w:r>
      <w:r>
        <w:rPr>
          <w:spacing w:val="-6"/>
        </w:rPr>
        <w:t>的核心能力，将公司建设成为专业、创新、</w:t>
      </w:r>
      <w:r>
        <w:rPr>
          <w:spacing w:val="-34"/>
        </w:rPr>
        <w:t> </w:t>
      </w:r>
      <w:r>
        <w:rPr>
          <w:spacing w:val="-34"/>
        </w:rPr>
      </w:r>
      <w:r>
        <w:rPr/>
        <w:t>开放的综合性金融服务平台。</w:t>
      </w:r>
    </w:p>
    <w:p>
      <w:pPr>
        <w:spacing w:line="240" w:lineRule="auto" w:before="7"/>
        <w:rPr>
          <w:rFonts w:ascii="宋体" w:hAnsi="宋体" w:cs="宋体" w:eastAsia="宋体" w:hint="default"/>
          <w:sz w:val="25"/>
          <w:szCs w:val="25"/>
        </w:rPr>
      </w:pPr>
    </w:p>
    <w:p>
      <w:pPr>
        <w:pStyle w:val="BodyText"/>
        <w:spacing w:line="240" w:lineRule="auto"/>
        <w:ind w:left="573" w:right="0"/>
        <w:jc w:val="left"/>
      </w:pPr>
      <w:r>
        <w:rPr/>
        <w:t>（二）</w:t>
      </w:r>
      <w:r>
        <w:rPr>
          <w:rFonts w:ascii="Times New Roman" w:hAnsi="Times New Roman" w:cs="Times New Roman" w:eastAsia="Times New Roman" w:hint="default"/>
        </w:rPr>
        <w:t>2020</w:t>
      </w:r>
      <w:r>
        <w:rPr/>
        <w:t>年度工作规划</w:t>
      </w:r>
    </w:p>
    <w:p>
      <w:pPr>
        <w:pStyle w:val="BodyText"/>
        <w:spacing w:line="264" w:lineRule="auto" w:before="21"/>
        <w:ind w:right="1126" w:firstLine="420"/>
        <w:jc w:val="both"/>
      </w:pPr>
      <w:r>
        <w:rPr>
          <w:rFonts w:ascii="Times New Roman" w:hAnsi="Times New Roman" w:cs="Times New Roman" w:eastAsia="Times New Roman" w:hint="default"/>
          <w:spacing w:val="-7"/>
        </w:rPr>
        <w:t>2020</w:t>
      </w:r>
      <w:r>
        <w:rPr>
          <w:spacing w:val="-7"/>
        </w:rPr>
        <w:t>年，世界经济下行风险进一步加剧，不稳定不确定因素显著增多。中国经济发展面临的困难加大，</w:t>
      </w:r>
      <w:r>
        <w:rPr>
          <w:w w:val="100"/>
        </w:rPr>
        <w:t> </w:t>
      </w:r>
      <w:r>
        <w:rPr>
          <w:spacing w:val="-3"/>
        </w:rPr>
        <w:t>年初暴发的新冠肺炎疫情给中国乃至全球经济增长带来重大负面影响，一季度国内</w:t>
      </w:r>
      <w:r>
        <w:rPr>
          <w:rFonts w:ascii="Times New Roman" w:hAnsi="Times New Roman" w:cs="Times New Roman" w:eastAsia="Times New Roman" w:hint="default"/>
          <w:spacing w:val="-3"/>
        </w:rPr>
        <w:t>GDP</w:t>
      </w:r>
      <w:r>
        <w:rPr>
          <w:spacing w:val="-3"/>
        </w:rPr>
        <w:t>下降</w:t>
      </w:r>
      <w:r>
        <w:rPr>
          <w:rFonts w:ascii="Times New Roman" w:hAnsi="Times New Roman" w:cs="Times New Roman" w:eastAsia="Times New Roman" w:hint="default"/>
          <w:spacing w:val="-3"/>
        </w:rPr>
        <w:t>6.8%</w:t>
      </w:r>
      <w:r>
        <w:rPr>
          <w:spacing w:val="-3"/>
        </w:rPr>
        <w:t>；中美贸</w:t>
      </w:r>
      <w:r>
        <w:rPr>
          <w:spacing w:val="-8"/>
        </w:rPr>
        <w:t> </w:t>
      </w:r>
      <w:r>
        <w:rPr>
          <w:spacing w:val="-8"/>
        </w:rPr>
      </w:r>
      <w:r>
        <w:rPr>
          <w:spacing w:val="-2"/>
        </w:rPr>
        <w:t>易谈判虽已达成第一阶段协议，贸易摩擦有所缓和，但仍存在诸多不确定性。同时，随着国内资本市场金</w:t>
      </w:r>
      <w:r>
        <w:rPr>
          <w:spacing w:val="-46"/>
        </w:rPr>
        <w:t> </w:t>
      </w:r>
      <w:r>
        <w:rPr>
          <w:spacing w:val="-46"/>
        </w:rPr>
      </w:r>
      <w:r>
        <w:rPr>
          <w:spacing w:val="-2"/>
        </w:rPr>
        <w:t>融供给侧改革不断深化，政策红利持续释放，资本市场投融资功能不断完善，对外开放步伐逐步加快，证</w:t>
      </w:r>
      <w:r>
        <w:rPr>
          <w:spacing w:val="-47"/>
        </w:rPr>
        <w:t> </w:t>
      </w:r>
      <w:r>
        <w:rPr>
          <w:spacing w:val="-47"/>
        </w:rPr>
      </w:r>
      <w:r>
        <w:rPr/>
        <w:t>券行业头部集中态势持续发展，行业转型升级加速，给中小券商差异化发展带来挑战与机遇。</w:t>
      </w:r>
    </w:p>
    <w:p>
      <w:pPr>
        <w:pStyle w:val="BodyText"/>
        <w:spacing w:line="264" w:lineRule="auto" w:before="16"/>
        <w:ind w:right="0" w:firstLine="420"/>
        <w:jc w:val="left"/>
      </w:pPr>
      <w:r>
        <w:rPr/>
        <w:t>结合当前国内外经济金融形势以及公司经营状况，公司明确</w:t>
      </w:r>
      <w:r>
        <w:rPr>
          <w:rFonts w:ascii="Times New Roman" w:hAnsi="Times New Roman" w:cs="Times New Roman" w:eastAsia="Times New Roman" w:hint="default"/>
        </w:rPr>
        <w:t>2020</w:t>
      </w:r>
      <w:r>
        <w:rPr/>
        <w:t>年将着眼长期布局，优化业务结构，</w:t>
      </w:r>
      <w:r>
        <w:rPr>
          <w:w w:val="100"/>
        </w:rPr>
        <w:t> </w:t>
      </w:r>
      <w:r>
        <w:rPr>
          <w:spacing w:val="-2"/>
        </w:rPr>
        <w:t>加强内部管控，激发内生张力，凝聚发展合力，在严控经营风险的基础上，推进各项业务健康发展。主要</w:t>
      </w:r>
      <w:r>
        <w:rPr>
          <w:spacing w:val="-43"/>
        </w:rPr>
        <w:t> </w:t>
      </w:r>
      <w:r>
        <w:rPr>
          <w:spacing w:val="-43"/>
        </w:rPr>
      </w:r>
      <w:r>
        <w:rPr/>
        <w:t>工作计划如下：</w:t>
      </w:r>
    </w:p>
    <w:p>
      <w:pPr>
        <w:pStyle w:val="BodyText"/>
        <w:spacing w:line="256" w:lineRule="auto" w:before="16"/>
        <w:ind w:left="573" w:right="1150"/>
        <w:jc w:val="left"/>
      </w:pPr>
      <w:r>
        <w:rPr>
          <w:rFonts w:ascii="Times New Roman" w:hAnsi="Times New Roman" w:cs="Times New Roman" w:eastAsia="Times New Roman" w:hint="default"/>
        </w:rPr>
        <w:t>1</w:t>
      </w:r>
      <w:r>
        <w:rPr/>
        <w:t>、证券业务</w:t>
      </w:r>
      <w:r>
        <w:rPr>
          <w:w w:val="100"/>
        </w:rPr>
        <w:t> </w:t>
      </w:r>
      <w:r>
        <w:rPr>
          <w:spacing w:val="-2"/>
        </w:rPr>
        <w:t>证券业务将坚持既定市场定位和经营策略，稳步推进各项子业务协调发展，加快向财富管理转型，并</w:t>
      </w:r>
    </w:p>
    <w:p>
      <w:pPr>
        <w:pStyle w:val="BodyText"/>
        <w:spacing w:line="240" w:lineRule="auto" w:before="22"/>
        <w:ind w:right="0"/>
        <w:jc w:val="both"/>
      </w:pPr>
      <w:r>
        <w:rPr/>
        <w:t>持续强化创新力、竞争力和执行力，以战略之稳，应对行业之变。</w:t>
      </w:r>
    </w:p>
    <w:p>
      <w:pPr>
        <w:pStyle w:val="BodyText"/>
        <w:spacing w:line="256" w:lineRule="auto" w:before="37"/>
        <w:ind w:left="573" w:right="0"/>
        <w:jc w:val="left"/>
      </w:pPr>
      <w:r>
        <w:rPr/>
        <w:t>（</w:t>
      </w:r>
      <w:r>
        <w:rPr>
          <w:rFonts w:ascii="Times New Roman" w:hAnsi="Times New Roman" w:cs="Times New Roman" w:eastAsia="Times New Roman" w:hint="default"/>
        </w:rPr>
        <w:t>1</w:t>
      </w:r>
      <w:r>
        <w:rPr/>
        <w:t>）投资研究业务</w:t>
      </w:r>
      <w:r>
        <w:rPr>
          <w:w w:val="100"/>
        </w:rPr>
        <w:t> </w:t>
      </w:r>
      <w:r>
        <w:rPr>
          <w:spacing w:val="-2"/>
        </w:rPr>
        <w:t>证券研究业务是国盛证券现在和未来的重点战略业务。</w:t>
      </w:r>
      <w:r>
        <w:rPr>
          <w:rFonts w:ascii="Times New Roman" w:hAnsi="Times New Roman" w:cs="Times New Roman" w:eastAsia="Times New Roman" w:hint="default"/>
          <w:spacing w:val="-2"/>
        </w:rPr>
        <w:t>2020</w:t>
      </w:r>
      <w:r>
        <w:rPr>
          <w:spacing w:val="-2"/>
        </w:rPr>
        <w:t>年将持续增强投研能力，巩固和开拓公私</w:t>
      </w:r>
    </w:p>
    <w:p>
      <w:pPr>
        <w:pStyle w:val="BodyText"/>
        <w:spacing w:line="240" w:lineRule="auto" w:before="5"/>
        <w:ind w:right="0"/>
        <w:jc w:val="both"/>
      </w:pPr>
      <w:r>
        <w:rPr/>
        <w:t>募基金客户群，加快进入银行理财子公司等潜在客户的有偿提供咨询服务渠道，抢占外资市场蓝海，形成</w:t>
      </w:r>
    </w:p>
    <w:p>
      <w:pPr>
        <w:spacing w:after="0" w:line="240" w:lineRule="auto"/>
        <w:jc w:val="both"/>
        <w:sectPr>
          <w:headerReference w:type="default" r:id="rId19"/>
          <w:footerReference w:type="default" r:id="rId20"/>
          <w:pgSz w:w="11910" w:h="16840"/>
          <w:pgMar w:header="877" w:footer="979" w:top="1100" w:bottom="1160" w:left="980" w:right="0"/>
          <w:pgNumType w:start="30"/>
        </w:sectPr>
      </w:pPr>
    </w:p>
    <w:p>
      <w:pPr>
        <w:spacing w:line="240" w:lineRule="auto" w:before="12"/>
        <w:rPr>
          <w:rFonts w:ascii="宋体" w:hAnsi="宋体" w:cs="宋体" w:eastAsia="宋体" w:hint="default"/>
          <w:sz w:val="20"/>
          <w:szCs w:val="20"/>
        </w:rPr>
      </w:pPr>
    </w:p>
    <w:p>
      <w:pPr>
        <w:pStyle w:val="BodyText"/>
        <w:spacing w:line="256" w:lineRule="auto" w:before="36"/>
        <w:ind w:left="573" w:right="0" w:hanging="421"/>
        <w:jc w:val="left"/>
      </w:pPr>
      <w:r>
        <w:rPr/>
        <w:t>“卖方</w:t>
      </w:r>
      <w:r>
        <w:rPr>
          <w:rFonts w:ascii="Times New Roman" w:hAnsi="Times New Roman" w:cs="Times New Roman" w:eastAsia="Times New Roman" w:hint="default"/>
        </w:rPr>
        <w:t>+</w:t>
      </w:r>
      <w:r>
        <w:rPr/>
        <w:t>买方市场”的业务协同效应。</w:t>
      </w:r>
      <w:r>
        <w:rPr>
          <w:w w:val="100"/>
        </w:rPr>
        <w:t> </w:t>
      </w:r>
      <w:r>
        <w:rPr>
          <w:spacing w:val="-2"/>
        </w:rPr>
        <w:t>研究业务为其他业务赋能将成为未来工作重点。</w:t>
      </w:r>
      <w:r>
        <w:rPr>
          <w:rFonts w:ascii="Times New Roman" w:hAnsi="Times New Roman" w:cs="Times New Roman" w:eastAsia="Times New Roman" w:hint="default"/>
          <w:spacing w:val="-2"/>
        </w:rPr>
        <w:t>2020</w:t>
      </w:r>
      <w:r>
        <w:rPr>
          <w:spacing w:val="-2"/>
        </w:rPr>
        <w:t>年将深入挖掘研究所与其他业务协同产生综合效</w:t>
      </w:r>
    </w:p>
    <w:p>
      <w:pPr>
        <w:pStyle w:val="BodyText"/>
        <w:spacing w:line="273" w:lineRule="auto" w:before="5"/>
        <w:ind w:right="1131"/>
        <w:jc w:val="both"/>
      </w:pPr>
      <w:r>
        <w:rPr>
          <w:spacing w:val="-2"/>
        </w:rPr>
        <w:t>益的潜力，通过已迈入行业前列、具有知名度的研究团队，推动投资银行和传统经纪业务全面发展，形成</w:t>
      </w:r>
      <w:r>
        <w:rPr>
          <w:spacing w:val="-50"/>
        </w:rPr>
        <w:t> </w:t>
      </w:r>
      <w:r>
        <w:rPr>
          <w:spacing w:val="-50"/>
        </w:rPr>
      </w:r>
      <w:r>
        <w:rPr/>
        <w:t>对公司有粘性的客户端和有国盛特色的产品端，为向财富管理转型提供坚强支撑。</w:t>
      </w:r>
    </w:p>
    <w:p>
      <w:pPr>
        <w:pStyle w:val="BodyText"/>
        <w:spacing w:line="256" w:lineRule="auto" w:before="7"/>
        <w:ind w:left="573" w:right="0"/>
        <w:jc w:val="left"/>
      </w:pPr>
      <w:r>
        <w:rPr/>
        <w:t>（</w:t>
      </w:r>
      <w:r>
        <w:rPr>
          <w:rFonts w:ascii="Times New Roman" w:hAnsi="Times New Roman" w:cs="Times New Roman" w:eastAsia="Times New Roman" w:hint="default"/>
        </w:rPr>
        <w:t>2</w:t>
      </w:r>
      <w:r>
        <w:rPr/>
        <w:t>）经纪与财富管理业务</w:t>
      </w:r>
      <w:r>
        <w:rPr>
          <w:w w:val="100"/>
        </w:rPr>
        <w:t> </w:t>
      </w:r>
      <w:r>
        <w:rPr>
          <w:spacing w:val="-5"/>
        </w:rPr>
        <w:t>经纪业务将继续线下强攻，把争揽机构客户和高净值客户作为中心任务。</w:t>
      </w:r>
      <w:r>
        <w:rPr>
          <w:rFonts w:ascii="Times New Roman" w:hAnsi="Times New Roman" w:cs="Times New Roman" w:eastAsia="Times New Roman" w:hint="default"/>
          <w:spacing w:val="-5"/>
        </w:rPr>
        <w:t>2020</w:t>
      </w:r>
      <w:r>
        <w:rPr>
          <w:spacing w:val="-5"/>
        </w:rPr>
        <w:t>年将通过加强学习交流，</w:t>
      </w:r>
    </w:p>
    <w:p>
      <w:pPr>
        <w:pStyle w:val="BodyText"/>
        <w:spacing w:line="273" w:lineRule="auto" w:before="5"/>
        <w:ind w:right="1126"/>
        <w:jc w:val="both"/>
      </w:pPr>
      <w:r>
        <w:rPr>
          <w:spacing w:val="-2"/>
        </w:rPr>
        <w:t>保持分支机构对市场的敏感性和对客户需求的了解度，提升其服务客户的综合能力。针对高端客户群，确</w:t>
      </w:r>
      <w:r>
        <w:rPr>
          <w:spacing w:val="-42"/>
        </w:rPr>
        <w:t> </w:t>
      </w:r>
      <w:r>
        <w:rPr>
          <w:spacing w:val="-42"/>
        </w:rPr>
      </w:r>
      <w:r>
        <w:rPr>
          <w:spacing w:val="-2"/>
        </w:rPr>
        <w:t>定“圈层营销”指向；针对专业投资机构客户聚集的经济发达地区，实现客户群体全面覆盖。主抓增量的</w:t>
      </w:r>
      <w:r>
        <w:rPr>
          <w:spacing w:val="-43"/>
        </w:rPr>
        <w:t> </w:t>
      </w:r>
      <w:r>
        <w:rPr>
          <w:spacing w:val="-43"/>
        </w:rPr>
      </w:r>
      <w:r>
        <w:rPr>
          <w:spacing w:val="-2"/>
        </w:rPr>
        <w:t>同时也将努力盘活存量客户，吸引其增量资金，发展为高净值客户。在已经完善的分公司布局基础上，进</w:t>
      </w:r>
      <w:r>
        <w:rPr>
          <w:spacing w:val="-44"/>
        </w:rPr>
        <w:t> </w:t>
      </w:r>
      <w:r>
        <w:rPr>
          <w:spacing w:val="-44"/>
        </w:rPr>
      </w:r>
      <w:r>
        <w:rPr>
          <w:spacing w:val="-2"/>
        </w:rPr>
        <w:t>一步优化营业网点建设，推动业务模式转型，加快营业部向“客户入口”转变，实现零售业务向财富管理</w:t>
      </w:r>
      <w:r>
        <w:rPr>
          <w:spacing w:val="-43"/>
        </w:rPr>
        <w:t> </w:t>
      </w:r>
      <w:r>
        <w:rPr>
          <w:spacing w:val="-43"/>
        </w:rPr>
      </w:r>
      <w:r>
        <w:rPr/>
        <w:t>转型。</w:t>
      </w:r>
    </w:p>
    <w:p>
      <w:pPr>
        <w:pStyle w:val="BodyText"/>
        <w:spacing w:line="273" w:lineRule="auto" w:before="8"/>
        <w:ind w:right="1126" w:firstLine="420"/>
        <w:jc w:val="both"/>
      </w:pPr>
      <w:r>
        <w:rPr>
          <w:spacing w:val="-2"/>
        </w:rPr>
        <w:t>公司坚定向财富管理转型，并将创设自有产品作为起步标志。“财富管理、产品先行”，为客户构建</w:t>
      </w:r>
      <w:r>
        <w:rPr>
          <w:w w:val="100"/>
        </w:rPr>
        <w:t> </w:t>
      </w:r>
      <w:r>
        <w:rPr>
          <w:spacing w:val="-2"/>
        </w:rPr>
        <w:t>资产配置方案，以多元化的产品满足客户多元化的需求是财富管理的核心。在保证合规性的前提下，公司</w:t>
      </w:r>
      <w:r>
        <w:rPr>
          <w:spacing w:val="-43"/>
        </w:rPr>
        <w:t> </w:t>
      </w:r>
      <w:r>
        <w:rPr>
          <w:spacing w:val="-43"/>
        </w:rPr>
      </w:r>
      <w:r>
        <w:rPr>
          <w:spacing w:val="-2"/>
        </w:rPr>
        <w:t>将不断筛选和引进对客户有吸引力、在市场有竞争力的产品，同时将加快自创产品步伐，强化内部协调与</w:t>
      </w:r>
      <w:r>
        <w:rPr>
          <w:spacing w:val="-44"/>
        </w:rPr>
        <w:t> </w:t>
      </w:r>
      <w:r>
        <w:rPr>
          <w:spacing w:val="-44"/>
        </w:rPr>
      </w:r>
      <w:r>
        <w:rPr/>
        <w:t>合作，争创出独属于国盛的品牌产品。</w:t>
      </w:r>
    </w:p>
    <w:p>
      <w:pPr>
        <w:pStyle w:val="BodyText"/>
        <w:spacing w:line="256" w:lineRule="auto" w:before="7"/>
        <w:ind w:left="573" w:right="0"/>
        <w:jc w:val="left"/>
      </w:pPr>
      <w:r>
        <w:rPr/>
        <w:t>（</w:t>
      </w:r>
      <w:r>
        <w:rPr>
          <w:rFonts w:ascii="Times New Roman" w:hAnsi="Times New Roman" w:cs="Times New Roman" w:eastAsia="Times New Roman" w:hint="default"/>
        </w:rPr>
        <w:t>3</w:t>
      </w:r>
      <w:r>
        <w:rPr/>
        <w:t>）投资银行业务</w:t>
      </w:r>
      <w:r>
        <w:rPr>
          <w:w w:val="100"/>
        </w:rPr>
        <w:t> </w:t>
      </w:r>
      <w:r>
        <w:rPr>
          <w:spacing w:val="-2"/>
        </w:rPr>
        <w:t>把握新《证券法》修订带来的机遇，抓住全面推行注册制、松绑再融资政策的重要时间节点，力争在</w:t>
      </w:r>
    </w:p>
    <w:p>
      <w:pPr>
        <w:pStyle w:val="BodyText"/>
        <w:spacing w:line="273" w:lineRule="auto" w:before="22"/>
        <w:ind w:right="1127"/>
        <w:jc w:val="both"/>
      </w:pPr>
      <w:r>
        <w:rPr>
          <w:spacing w:val="-2"/>
        </w:rPr>
        <w:t>保荐业务实现突破。债券承销方面，重点扩大金融债规模，提高公司债承销排名，突破短期公司债，锁定</w:t>
      </w:r>
      <w:r>
        <w:rPr>
          <w:spacing w:val="-43"/>
        </w:rPr>
        <w:t> </w:t>
      </w:r>
      <w:r>
        <w:rPr>
          <w:spacing w:val="-43"/>
        </w:rPr>
      </w:r>
      <w:r>
        <w:rPr>
          <w:spacing w:val="-2"/>
        </w:rPr>
        <w:t>客户滚动发行；扩大与资质齐全券商特别是头部券商的合作，承揽高评级债券，实现以量补价。通过优化</w:t>
      </w:r>
      <w:r>
        <w:rPr>
          <w:spacing w:val="-47"/>
        </w:rPr>
        <w:t> </w:t>
      </w:r>
      <w:r>
        <w:rPr>
          <w:spacing w:val="-47"/>
        </w:rPr>
      </w:r>
      <w:r>
        <w:rPr>
          <w:spacing w:val="-2"/>
        </w:rPr>
        <w:t>激励政策，加强内部协同，不断提高承揽和承销能力，丰富项目储备、加快项目落地速度。公司将严控信</w:t>
      </w:r>
      <w:r>
        <w:rPr>
          <w:spacing w:val="-43"/>
        </w:rPr>
        <w:t> </w:t>
      </w:r>
      <w:r>
        <w:rPr>
          <w:spacing w:val="-43"/>
        </w:rPr>
      </w:r>
      <w:r>
        <w:rPr/>
        <w:t>用风险，严格执行投资银行内部控制指引，谨慎对待承做承销项目，严格执行门槛准入。</w:t>
      </w:r>
    </w:p>
    <w:p>
      <w:pPr>
        <w:pStyle w:val="BodyText"/>
        <w:spacing w:line="256" w:lineRule="auto" w:before="8"/>
        <w:ind w:left="573" w:right="0"/>
        <w:jc w:val="left"/>
      </w:pPr>
      <w:r>
        <w:rPr/>
        <w:t>（</w:t>
      </w:r>
      <w:r>
        <w:rPr>
          <w:rFonts w:ascii="Times New Roman" w:hAnsi="Times New Roman" w:cs="Times New Roman" w:eastAsia="Times New Roman" w:hint="default"/>
        </w:rPr>
        <w:t>4</w:t>
      </w:r>
      <w:r>
        <w:rPr/>
        <w:t>）其他方面</w:t>
      </w:r>
      <w:r>
        <w:rPr>
          <w:w w:val="100"/>
        </w:rPr>
        <w:t> </w:t>
      </w:r>
      <w:r>
        <w:rPr>
          <w:spacing w:val="-2"/>
        </w:rPr>
        <w:t>按照既定策略在控制风险的同时稳步发展投资与交易业务，提高收益率；在严守合规底线、坚决把好</w:t>
      </w:r>
    </w:p>
    <w:p>
      <w:pPr>
        <w:pStyle w:val="BodyText"/>
        <w:spacing w:line="268" w:lineRule="auto" w:before="22"/>
        <w:ind w:right="1126"/>
        <w:jc w:val="both"/>
      </w:pPr>
      <w:r>
        <w:rPr>
          <w:spacing w:val="-2"/>
        </w:rPr>
        <w:t>风险关的前提下发展资本中介业务；持续推动资产管理业务向主动管理转型，构建以资产配置为核心的主</w:t>
      </w:r>
      <w:r>
        <w:rPr>
          <w:spacing w:val="-43"/>
        </w:rPr>
        <w:t> </w:t>
      </w:r>
      <w:r>
        <w:rPr>
          <w:spacing w:val="-43"/>
        </w:rPr>
      </w:r>
      <w:r>
        <w:rPr>
          <w:spacing w:val="-5"/>
        </w:rPr>
        <w:t>动管理投资业务体系，以资产证券化业务作为新的创利目标，专注于开发供应链</w:t>
      </w:r>
      <w:r>
        <w:rPr>
          <w:rFonts w:ascii="Times New Roman" w:hAnsi="Times New Roman" w:cs="Times New Roman" w:eastAsia="Times New Roman" w:hint="default"/>
          <w:spacing w:val="-5"/>
        </w:rPr>
        <w:t>ABS</w:t>
      </w:r>
      <w:r>
        <w:rPr>
          <w:spacing w:val="-5"/>
        </w:rPr>
        <w:t>类项目和</w:t>
      </w:r>
      <w:r>
        <w:rPr>
          <w:rFonts w:ascii="Times New Roman" w:hAnsi="Times New Roman" w:cs="Times New Roman" w:eastAsia="Times New Roman" w:hint="default"/>
          <w:spacing w:val="-5"/>
        </w:rPr>
        <w:t>CMBS/REITs</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类项目（一二线城市核心地段的优质物业），以优质项目打造竞争力，形成资管业务新的发展点；以商品</w:t>
      </w:r>
      <w:r>
        <w:rPr>
          <w:spacing w:val="-43"/>
        </w:rPr>
        <w:t> </w:t>
      </w:r>
      <w:r>
        <w:rPr>
          <w:spacing w:val="-43"/>
        </w:rPr>
      </w:r>
      <w:r>
        <w:rPr>
          <w:spacing w:val="-2"/>
        </w:rPr>
        <w:t>期货为基础，金融期货为主导，以期货经纪业务为获客抓手，借助公司横向协同优势，对产业客户、机构</w:t>
      </w:r>
      <w:r>
        <w:rPr>
          <w:spacing w:val="-43"/>
        </w:rPr>
        <w:t> </w:t>
      </w:r>
      <w:r>
        <w:rPr>
          <w:spacing w:val="-43"/>
        </w:rPr>
      </w:r>
      <w:r>
        <w:rPr/>
        <w:t>客户提供综合金融服务，稳步发展期货业务。</w:t>
      </w:r>
    </w:p>
    <w:p>
      <w:pPr>
        <w:pStyle w:val="BodyText"/>
        <w:spacing w:line="273" w:lineRule="auto" w:before="12"/>
        <w:ind w:right="1126" w:firstLine="420"/>
        <w:jc w:val="both"/>
      </w:pPr>
      <w:r>
        <w:rPr>
          <w:spacing w:val="-2"/>
        </w:rPr>
        <w:t>继续线上优化，把发展金融科技和科技为业务赋能作为提高竞争力的重要手段，加大信息化及队伍建</w:t>
      </w:r>
      <w:r>
        <w:rPr>
          <w:w w:val="100"/>
        </w:rPr>
        <w:t> </w:t>
      </w:r>
      <w:r>
        <w:rPr>
          <w:spacing w:val="-2"/>
        </w:rPr>
        <w:t>设投入；强化“合规创造价值、人人合规、合规从我做起”的合规文化建设，加强内部检查宣导，形成合</w:t>
      </w:r>
      <w:r>
        <w:rPr>
          <w:spacing w:val="-48"/>
        </w:rPr>
        <w:t> </w:t>
      </w:r>
      <w:r>
        <w:rPr>
          <w:spacing w:val="-48"/>
        </w:rPr>
      </w:r>
      <w:r>
        <w:rPr>
          <w:spacing w:val="-2"/>
        </w:rPr>
        <w:t>规风控人人践行的氛围；持续优化队伍结构，围绕公司向财富管理转型的战略持续推进扁平化管理，尽可</w:t>
      </w:r>
      <w:r>
        <w:rPr>
          <w:spacing w:val="-42"/>
        </w:rPr>
        <w:t> </w:t>
      </w:r>
      <w:r>
        <w:rPr>
          <w:spacing w:val="-42"/>
        </w:rPr>
      </w:r>
      <w:r>
        <w:rPr/>
        <w:t>能压缩行政管理成本。</w:t>
      </w:r>
    </w:p>
    <w:p>
      <w:pPr>
        <w:pStyle w:val="BodyText"/>
        <w:spacing w:line="256" w:lineRule="auto" w:before="8"/>
        <w:ind w:left="573" w:right="1150"/>
        <w:jc w:val="left"/>
      </w:pPr>
      <w:r>
        <w:rPr>
          <w:rFonts w:ascii="Times New Roman" w:hAnsi="Times New Roman" w:cs="Times New Roman" w:eastAsia="Times New Roman" w:hint="default"/>
        </w:rPr>
        <w:t>2</w:t>
      </w:r>
      <w:r>
        <w:rPr/>
        <w:t>、投资业务</w:t>
      </w:r>
      <w:r>
        <w:rPr>
          <w:w w:val="100"/>
        </w:rPr>
        <w:t> </w:t>
      </w:r>
      <w:r>
        <w:rPr>
          <w:spacing w:val="-2"/>
        </w:rPr>
        <w:t>投资业务是公司战略业务，公司将持续稳步推进投资业务健康发展，继续储备优质投资项目、引入优</w:t>
      </w:r>
    </w:p>
    <w:p>
      <w:pPr>
        <w:pStyle w:val="BodyText"/>
        <w:spacing w:line="240" w:lineRule="auto" w:before="22"/>
        <w:ind w:right="0"/>
        <w:jc w:val="both"/>
      </w:pPr>
      <w:r>
        <w:rPr/>
        <w:t>秀投资人才、加强投后管理。</w:t>
      </w:r>
    </w:p>
    <w:p>
      <w:pPr>
        <w:pStyle w:val="BodyText"/>
        <w:spacing w:line="268" w:lineRule="auto" w:before="37"/>
        <w:ind w:right="1028" w:firstLine="420"/>
        <w:jc w:val="both"/>
      </w:pPr>
      <w:r>
        <w:rPr>
          <w:rFonts w:ascii="Times New Roman" w:hAnsi="Times New Roman" w:cs="Times New Roman" w:eastAsia="Times New Roman" w:hint="default"/>
          <w:spacing w:val="-2"/>
        </w:rPr>
        <w:t>2020</w:t>
      </w:r>
      <w:r>
        <w:rPr>
          <w:spacing w:val="-2"/>
        </w:rPr>
        <w:t>年公司投资业务将迈入新的发展阶段，私募股权投资逐步成为投资业务重点工作。弘大嘉豪将积</w:t>
      </w:r>
      <w:r>
        <w:rPr>
          <w:w w:val="100"/>
        </w:rPr>
        <w:t> </w:t>
      </w:r>
      <w:r>
        <w:rPr>
          <w:spacing w:val="-2"/>
        </w:rPr>
        <w:t>极开展私募股权投资基金产品募集工作，包括特定项目专项基金及母基金。未来弘大嘉豪将根据行业发展</w:t>
      </w:r>
      <w:r>
        <w:rPr>
          <w:spacing w:val="-41"/>
        </w:rPr>
        <w:t> </w:t>
      </w:r>
      <w:r>
        <w:rPr>
          <w:spacing w:val="-41"/>
        </w:rPr>
      </w:r>
      <w:r>
        <w:rPr>
          <w:spacing w:val="-2"/>
        </w:rPr>
        <w:t>状况，充分利用上市公司自身及证券业务投行部积累的项目资源发行更多基金产品，不断扩大资产管理规</w:t>
      </w:r>
      <w:r>
        <w:rPr>
          <w:spacing w:val="-43"/>
        </w:rPr>
        <w:t> </w:t>
      </w:r>
      <w:r>
        <w:rPr>
          <w:spacing w:val="-43"/>
        </w:rPr>
      </w:r>
      <w:r>
        <w:rPr>
          <w:spacing w:val="-2"/>
        </w:rPr>
        <w:t>模，投资更多优秀企业；同时通过与专业机构合作，汇聚投融资资源，吸引优质项目和合作伙伴，提升公</w:t>
      </w:r>
      <w:r>
        <w:rPr>
          <w:spacing w:val="-43"/>
        </w:rPr>
        <w:t> </w:t>
      </w:r>
      <w:r>
        <w:rPr>
          <w:spacing w:val="-43"/>
        </w:rPr>
      </w:r>
      <w:r>
        <w:rPr>
          <w:spacing w:val="-2"/>
        </w:rPr>
        <w:t>司投融资服务能力、资本市场服务能力，扩大公司在资本市场的影响力和品牌力。在拓展基金投资业务的</w:t>
      </w:r>
      <w:r>
        <w:rPr>
          <w:spacing w:val="-44"/>
        </w:rPr>
        <w:t> </w:t>
      </w:r>
      <w:r>
        <w:rPr>
          <w:spacing w:val="-44"/>
        </w:rPr>
      </w:r>
      <w:r>
        <w:rPr/>
        <w:t>同时，弘大嘉豪也将不断完善基金管理的各项规章制度、加强风险控制，不断提升投资团队的投研能力。</w:t>
      </w:r>
    </w:p>
    <w:p>
      <w:pPr>
        <w:pStyle w:val="BodyText"/>
        <w:spacing w:line="256" w:lineRule="auto" w:before="12"/>
        <w:ind w:left="573" w:right="0"/>
        <w:jc w:val="left"/>
      </w:pPr>
      <w:r>
        <w:rPr>
          <w:rFonts w:ascii="Times New Roman" w:hAnsi="Times New Roman" w:cs="Times New Roman" w:eastAsia="Times New Roman" w:hint="default"/>
        </w:rPr>
        <w:t>3</w:t>
      </w:r>
      <w:r>
        <w:rPr/>
        <w:t>、金融科技业务</w:t>
      </w:r>
      <w:r>
        <w:rPr>
          <w:w w:val="100"/>
        </w:rPr>
        <w:t> </w:t>
      </w:r>
      <w:r>
        <w:rPr>
          <w:spacing w:val="-2"/>
        </w:rPr>
        <w:t>结合集团业务发展情况，为加强成本控制，公司将推进极盛科技业务整合优化，包括：继续发展已上</w:t>
      </w:r>
    </w:p>
    <w:p>
      <w:pPr>
        <w:pStyle w:val="BodyText"/>
        <w:spacing w:line="240" w:lineRule="auto" w:before="22"/>
        <w:ind w:right="0"/>
        <w:jc w:val="both"/>
      </w:pPr>
      <w:r>
        <w:rPr/>
        <w:t>线证券业务相关的金融科技产品，强化核心技术骨干团队的战斗力，加强与证券业务合作的紧密性及技术</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29"/>
        <w:jc w:val="both"/>
      </w:pPr>
      <w:r>
        <w:rPr>
          <w:spacing w:val="-2"/>
        </w:rPr>
        <w:t>支持的实效性；减少持续投入且未见回报的创新性业务尝试，控制成本。未来，公司将根据金融科技行业</w:t>
      </w:r>
      <w:r>
        <w:rPr>
          <w:spacing w:val="-47"/>
        </w:rPr>
        <w:t> </w:t>
      </w:r>
      <w:r>
        <w:rPr>
          <w:spacing w:val="-47"/>
        </w:rPr>
      </w:r>
      <w:r>
        <w:rPr/>
        <w:t>发展情况及公司业务情况综合调整极盛科技业务规划。</w:t>
      </w:r>
    </w:p>
    <w:p>
      <w:pPr>
        <w:spacing w:line="240" w:lineRule="auto" w:before="6"/>
        <w:rPr>
          <w:rFonts w:ascii="宋体" w:hAnsi="宋体" w:cs="宋体" w:eastAsia="宋体" w:hint="default"/>
          <w:sz w:val="24"/>
          <w:szCs w:val="24"/>
        </w:rPr>
      </w:pPr>
    </w:p>
    <w:p>
      <w:pPr>
        <w:pStyle w:val="BodyText"/>
        <w:spacing w:line="240" w:lineRule="auto"/>
        <w:ind w:left="573" w:right="0"/>
        <w:jc w:val="left"/>
      </w:pPr>
      <w:r>
        <w:rPr/>
        <w:t>（三）未来重点资本支出计划</w:t>
      </w:r>
    </w:p>
    <w:p>
      <w:pPr>
        <w:pStyle w:val="BodyText"/>
        <w:spacing w:line="240" w:lineRule="auto" w:before="37"/>
        <w:ind w:left="573" w:right="0"/>
        <w:jc w:val="left"/>
      </w:pPr>
      <w:r>
        <w:rPr>
          <w:rFonts w:ascii="Times New Roman" w:hAnsi="Times New Roman" w:cs="Times New Roman" w:eastAsia="Times New Roman" w:hint="default"/>
        </w:rPr>
        <w:t>2020</w:t>
      </w:r>
      <w:r>
        <w:rPr/>
        <w:t>年公司无重大基建扩能类项目投资计划。</w:t>
      </w:r>
    </w:p>
    <w:p>
      <w:pPr>
        <w:spacing w:line="240" w:lineRule="auto" w:before="6"/>
        <w:rPr>
          <w:rFonts w:ascii="宋体" w:hAnsi="宋体" w:cs="宋体" w:eastAsia="宋体" w:hint="default"/>
          <w:sz w:val="25"/>
          <w:szCs w:val="25"/>
        </w:rPr>
      </w:pPr>
    </w:p>
    <w:p>
      <w:pPr>
        <w:pStyle w:val="BodyText"/>
        <w:spacing w:line="273" w:lineRule="auto"/>
        <w:ind w:left="573" w:right="0"/>
        <w:jc w:val="left"/>
      </w:pPr>
      <w:r>
        <w:rPr/>
        <w:t>（四）公司面临的风险和应对措施</w:t>
      </w:r>
      <w:r>
        <w:rPr>
          <w:w w:val="100"/>
        </w:rPr>
        <w:t> </w:t>
      </w:r>
      <w:r>
        <w:rPr>
          <w:spacing w:val="-2"/>
        </w:rPr>
        <w:t>报告期，影响本集团业务经营活动的风险主要有政策风险、经营风险、管理风险、诉讼风险等，主要</w:t>
      </w:r>
    </w:p>
    <w:p>
      <w:pPr>
        <w:pStyle w:val="BodyText"/>
        <w:spacing w:line="240" w:lineRule="auto" w:before="7"/>
        <w:ind w:right="0"/>
        <w:jc w:val="both"/>
      </w:pPr>
      <w:r>
        <w:rPr/>
        <w:t>表现在以下方面：</w:t>
      </w:r>
    </w:p>
    <w:p>
      <w:pPr>
        <w:pStyle w:val="BodyText"/>
        <w:spacing w:line="256" w:lineRule="auto" w:before="37"/>
        <w:ind w:left="573" w:right="1150"/>
        <w:jc w:val="left"/>
      </w:pPr>
      <w:r>
        <w:rPr>
          <w:rFonts w:ascii="Times New Roman" w:hAnsi="Times New Roman" w:cs="Times New Roman" w:eastAsia="Times New Roman" w:hint="default"/>
        </w:rPr>
        <w:t>1</w:t>
      </w:r>
      <w:r>
        <w:rPr/>
        <w:t>、政策风险</w:t>
      </w:r>
      <w:r>
        <w:rPr>
          <w:w w:val="100"/>
        </w:rPr>
        <w:t> </w:t>
      </w:r>
      <w:r>
        <w:rPr>
          <w:spacing w:val="-2"/>
        </w:rPr>
        <w:t>政府从保障相关行业健康发展出发，持续颁布了一系列法律、法规和政策。随着本集团所处行业的发</w:t>
      </w:r>
    </w:p>
    <w:p>
      <w:pPr>
        <w:pStyle w:val="BodyText"/>
        <w:spacing w:line="273" w:lineRule="auto" w:before="23"/>
        <w:ind w:right="1126"/>
        <w:jc w:val="both"/>
      </w:pPr>
      <w:r>
        <w:rPr>
          <w:spacing w:val="-2"/>
        </w:rPr>
        <w:t>展，国家相关法律、法规和监管政策也在不断调整、完善。法律、法规、规章和其他规范性文件的变化可</w:t>
      </w:r>
      <w:r>
        <w:rPr>
          <w:spacing w:val="-42"/>
        </w:rPr>
        <w:t> </w:t>
      </w:r>
      <w:r>
        <w:rPr>
          <w:spacing w:val="-42"/>
        </w:rPr>
      </w:r>
      <w:r>
        <w:rPr>
          <w:spacing w:val="-2"/>
        </w:rPr>
        <w:t>能会影响本集团业务的经营模式和竞争方式，导致本集团业务经营发展存在不确定性。随着资本市场改革</w:t>
      </w:r>
      <w:r>
        <w:rPr>
          <w:spacing w:val="-41"/>
        </w:rPr>
        <w:t> </w:t>
      </w:r>
      <w:r>
        <w:rPr>
          <w:spacing w:val="-41"/>
        </w:rPr>
      </w:r>
      <w:r>
        <w:rPr/>
        <w:t>的不断深入，本集团面临的国内和国际监管力度不断加大。</w:t>
      </w:r>
    </w:p>
    <w:p>
      <w:pPr>
        <w:pStyle w:val="BodyText"/>
        <w:spacing w:line="240" w:lineRule="auto" w:before="7"/>
        <w:ind w:left="573" w:right="0"/>
        <w:jc w:val="left"/>
      </w:pPr>
      <w:r>
        <w:rPr>
          <w:rFonts w:ascii="Times New Roman" w:hAnsi="Times New Roman" w:cs="Times New Roman" w:eastAsia="Times New Roman" w:hint="default"/>
        </w:rPr>
        <w:t>2</w:t>
      </w:r>
      <w:r>
        <w:rPr/>
        <w:t>、经营风险</w:t>
      </w:r>
    </w:p>
    <w:p>
      <w:pPr>
        <w:pStyle w:val="BodyText"/>
        <w:spacing w:line="266" w:lineRule="auto" w:before="21"/>
        <w:ind w:right="1126" w:firstLine="420"/>
        <w:jc w:val="both"/>
      </w:pPr>
      <w:r>
        <w:rPr>
          <w:spacing w:val="-5"/>
        </w:rPr>
        <w:t>（</w:t>
      </w:r>
      <w:r>
        <w:rPr>
          <w:rFonts w:ascii="Times New Roman" w:hAnsi="Times New Roman" w:cs="Times New Roman" w:eastAsia="Times New Roman" w:hint="default"/>
          <w:spacing w:val="-5"/>
        </w:rPr>
        <w:t>1</w:t>
      </w:r>
      <w:r>
        <w:rPr>
          <w:spacing w:val="-5"/>
        </w:rPr>
        <w:t>）宏观经济波动风险。本集团所从事的证券、投资等业务均与经济发展状况密切相关。如果经济形</w:t>
      </w:r>
      <w:r>
        <w:rPr>
          <w:w w:val="100"/>
        </w:rPr>
        <w:t> </w:t>
      </w:r>
      <w:r>
        <w:rPr>
          <w:spacing w:val="-2"/>
        </w:rPr>
        <w:t>势发生变化，可能对本集团的主营业务和盈利水平造成一定影响。在国民经济发展的不同时期，国家的宏</w:t>
      </w:r>
      <w:r>
        <w:rPr>
          <w:spacing w:val="-43"/>
        </w:rPr>
        <w:t> </w:t>
      </w:r>
      <w:r>
        <w:rPr>
          <w:spacing w:val="-43"/>
        </w:rPr>
      </w:r>
      <w:r>
        <w:rPr>
          <w:spacing w:val="-2"/>
        </w:rPr>
        <w:t>观经济调控政策也在不断调整，该类调整将直接影响本集团所处行业经济形势，并可能造成本集团主营业</w:t>
      </w:r>
      <w:r>
        <w:rPr>
          <w:spacing w:val="-43"/>
        </w:rPr>
        <w:t> </w:t>
      </w:r>
      <w:r>
        <w:rPr>
          <w:spacing w:val="-43"/>
        </w:rPr>
      </w:r>
      <w:r>
        <w:rPr/>
        <w:t>务盈利能力波动。</w:t>
      </w:r>
    </w:p>
    <w:p>
      <w:pPr>
        <w:pStyle w:val="BodyText"/>
        <w:spacing w:line="271" w:lineRule="auto" w:before="14"/>
        <w:ind w:right="1126" w:firstLine="420"/>
        <w:jc w:val="both"/>
      </w:pPr>
      <w:r>
        <w:rPr>
          <w:spacing w:val="-5"/>
        </w:rPr>
        <w:t>（</w:t>
      </w:r>
      <w:r>
        <w:rPr>
          <w:rFonts w:ascii="Times New Roman" w:hAnsi="Times New Roman" w:cs="Times New Roman" w:eastAsia="Times New Roman" w:hint="default"/>
          <w:spacing w:val="-5"/>
        </w:rPr>
        <w:t>2</w:t>
      </w:r>
      <w:r>
        <w:rPr>
          <w:spacing w:val="-5"/>
        </w:rPr>
        <w:t>）证券业务经营风险。本集团证券业务涉及证券经纪、投资银行、自营投资、资产管理等，经营状</w:t>
      </w:r>
      <w:r>
        <w:rPr>
          <w:w w:val="100"/>
        </w:rPr>
        <w:t> </w:t>
      </w:r>
      <w:r>
        <w:rPr>
          <w:spacing w:val="-2"/>
        </w:rPr>
        <w:t>况与宏观经济及资本市场发展状况关系紧密。市场波动和不利的金融或经济状况会对经纪业务产生不利影</w:t>
      </w:r>
      <w:r>
        <w:rPr>
          <w:spacing w:val="-43"/>
        </w:rPr>
        <w:t> </w:t>
      </w:r>
      <w:r>
        <w:rPr>
          <w:spacing w:val="-43"/>
        </w:rPr>
      </w:r>
      <w:r>
        <w:rPr>
          <w:spacing w:val="-2"/>
        </w:rPr>
        <w:t>响，打击投资者投资信心，证券市场存在活跃程度持续低迷的可能。不利的金融或经济状况和证券市场政</w:t>
      </w:r>
      <w:r>
        <w:rPr>
          <w:spacing w:val="-44"/>
        </w:rPr>
        <w:t> </w:t>
      </w:r>
      <w:r>
        <w:rPr>
          <w:spacing w:val="-44"/>
        </w:rPr>
      </w:r>
      <w:r>
        <w:rPr>
          <w:spacing w:val="-2"/>
        </w:rPr>
        <w:t>策调整会导致承销保荐及财务顾问业务在项目数量及规模上明显下降，进而影响投资银行业务收入。自营</w:t>
      </w:r>
      <w:r>
        <w:rPr>
          <w:spacing w:val="-42"/>
        </w:rPr>
        <w:t> </w:t>
      </w:r>
      <w:r>
        <w:rPr>
          <w:spacing w:val="-42"/>
        </w:rPr>
      </w:r>
      <w:r>
        <w:rPr>
          <w:spacing w:val="-2"/>
        </w:rPr>
        <w:t>投资、资产管理业务存在市场研判、投资品种配置操作不当引致的风险，进而对本集团的经营业绩、财务</w:t>
      </w:r>
      <w:r>
        <w:rPr>
          <w:spacing w:val="-50"/>
        </w:rPr>
        <w:t> </w:t>
      </w:r>
      <w:r>
        <w:rPr>
          <w:spacing w:val="-50"/>
        </w:rPr>
      </w:r>
      <w:r>
        <w:rPr>
          <w:spacing w:val="-2"/>
        </w:rPr>
        <w:t>状况及流动性造成不利影响。另外，随着国际局势不断变化，中国经济的发展从高速进入中高速发展新常</w:t>
      </w:r>
      <w:r>
        <w:rPr>
          <w:spacing w:val="-44"/>
        </w:rPr>
        <w:t> </w:t>
      </w:r>
      <w:r>
        <w:rPr>
          <w:spacing w:val="-44"/>
        </w:rPr>
      </w:r>
      <w:r>
        <w:rPr>
          <w:spacing w:val="-2"/>
        </w:rPr>
        <w:t>态，资本市场改革的不断深入，本集团证券业务经营也面临挑战和压力，包括业务创新发展复杂化、产品</w:t>
      </w:r>
      <w:r>
        <w:rPr>
          <w:spacing w:val="-49"/>
        </w:rPr>
        <w:t> </w:t>
      </w:r>
      <w:r>
        <w:rPr>
          <w:spacing w:val="-49"/>
        </w:rPr>
      </w:r>
      <w:r>
        <w:rPr>
          <w:spacing w:val="-2"/>
        </w:rPr>
        <w:t>多元化和经营国际化的挑战；行业头部集中态势持续发展、行业转型升级加速也导致本集团证券业务经营</w:t>
      </w:r>
      <w:r>
        <w:rPr>
          <w:spacing w:val="-44"/>
        </w:rPr>
        <w:t> </w:t>
      </w:r>
      <w:r>
        <w:rPr>
          <w:spacing w:val="-44"/>
        </w:rPr>
      </w:r>
      <w:r>
        <w:rPr/>
        <w:t>面临压力。</w:t>
      </w:r>
    </w:p>
    <w:p>
      <w:pPr>
        <w:pStyle w:val="BodyText"/>
        <w:spacing w:line="268" w:lineRule="auto" w:before="10"/>
        <w:ind w:right="1126" w:firstLine="420"/>
        <w:jc w:val="both"/>
      </w:pPr>
      <w:r>
        <w:rPr/>
        <w:t>（</w:t>
      </w:r>
      <w:r>
        <w:rPr>
          <w:rFonts w:ascii="Times New Roman" w:hAnsi="Times New Roman" w:cs="Times New Roman" w:eastAsia="Times New Roman" w:hint="default"/>
        </w:rPr>
        <w:t>3</w:t>
      </w:r>
      <w:r>
        <w:rPr/>
        <w:t>）投资业务经营风险。本集团投资业务包括集团内各主体对外投资和以下属子公司为运营实体开</w:t>
      </w:r>
      <w:r>
        <w:rPr>
          <w:w w:val="100"/>
        </w:rPr>
        <w:t> </w:t>
      </w:r>
      <w:r>
        <w:rPr>
          <w:spacing w:val="-2"/>
        </w:rPr>
        <w:t>展的投资及投资管理业务。股权投资存在投资退出和资金流动性风险。直接投资业务的投资周期较长，在</w:t>
      </w:r>
      <w:r>
        <w:rPr>
          <w:spacing w:val="-43"/>
        </w:rPr>
        <w:t> </w:t>
      </w:r>
      <w:r>
        <w:rPr>
          <w:spacing w:val="-43"/>
        </w:rPr>
      </w:r>
      <w:r>
        <w:rPr>
          <w:spacing w:val="-2"/>
        </w:rPr>
        <w:t>此期间直接投资项目难以退出，而我国资本市场与发达资本市场相比仍存在退出方式较为单一的问题，这</w:t>
      </w:r>
      <w:r>
        <w:rPr>
          <w:spacing w:val="-43"/>
        </w:rPr>
        <w:t> </w:t>
      </w:r>
      <w:r>
        <w:rPr>
          <w:spacing w:val="-43"/>
        </w:rPr>
      </w:r>
      <w:r>
        <w:rPr>
          <w:spacing w:val="-2"/>
        </w:rPr>
        <w:t>在一定程度增加了直接投资业务的经营风险。投资管理业务受私募投资市场融资端、投资端景气度双重影</w:t>
      </w:r>
      <w:r>
        <w:rPr>
          <w:spacing w:val="-42"/>
        </w:rPr>
        <w:t> </w:t>
      </w:r>
      <w:r>
        <w:rPr>
          <w:spacing w:val="-42"/>
        </w:rPr>
      </w:r>
      <w:r>
        <w:rPr>
          <w:spacing w:val="-2"/>
        </w:rPr>
        <w:t>响。近年经济下行压力带来的不确定性导致私募股权市场出现募资困境，这也对公司私募股权业务发展带</w:t>
      </w:r>
      <w:r>
        <w:rPr>
          <w:spacing w:val="-44"/>
        </w:rPr>
        <w:t> </w:t>
      </w:r>
      <w:r>
        <w:rPr>
          <w:spacing w:val="-44"/>
        </w:rPr>
      </w:r>
      <w:r>
        <w:rPr/>
        <w:t>来不利影响。</w:t>
      </w:r>
    </w:p>
    <w:p>
      <w:pPr>
        <w:pStyle w:val="BodyText"/>
        <w:spacing w:line="266" w:lineRule="auto" w:before="12"/>
        <w:ind w:right="1126" w:firstLine="420"/>
        <w:jc w:val="both"/>
      </w:pPr>
      <w:r>
        <w:rPr>
          <w:spacing w:val="-5"/>
        </w:rPr>
        <w:t>（</w:t>
      </w:r>
      <w:r>
        <w:rPr>
          <w:rFonts w:ascii="Times New Roman" w:hAnsi="Times New Roman" w:cs="Times New Roman" w:eastAsia="Times New Roman" w:hint="default"/>
          <w:spacing w:val="-5"/>
        </w:rPr>
        <w:t>4</w:t>
      </w:r>
      <w:r>
        <w:rPr>
          <w:spacing w:val="-5"/>
        </w:rPr>
        <w:t>）金融科技业务经营风险。科技研发能力是金融科技业务的核心竞争力，同时金融科技研发高度依</w:t>
      </w:r>
      <w:r>
        <w:rPr>
          <w:w w:val="100"/>
        </w:rPr>
        <w:t> </w:t>
      </w:r>
      <w:r>
        <w:rPr>
          <w:spacing w:val="-7"/>
        </w:rPr>
        <w:t>赖于人才技术的水平，因此金融科技行业具有研究开发时间长、前期投入成本大、技术更新迭代快等特点。</w:t>
      </w:r>
      <w:r>
        <w:rPr>
          <w:spacing w:val="-17"/>
        </w:rPr>
        <w:t> </w:t>
      </w:r>
      <w:r>
        <w:rPr>
          <w:spacing w:val="-17"/>
        </w:rPr>
      </w:r>
      <w:r>
        <w:rPr>
          <w:spacing w:val="-2"/>
        </w:rPr>
        <w:t>本集团金融科技业务面临研究成果不能及时转化成市场化的产品、无法持续对科技研发进行投入或未能及</w:t>
      </w:r>
      <w:r>
        <w:rPr>
          <w:spacing w:val="-42"/>
        </w:rPr>
        <w:t> </w:t>
      </w:r>
      <w:r>
        <w:rPr>
          <w:spacing w:val="-42"/>
        </w:rPr>
      </w:r>
      <w:r>
        <w:rPr/>
        <w:t>时跟随行业技术变化等带来的不利影响。</w:t>
      </w:r>
    </w:p>
    <w:p>
      <w:pPr>
        <w:pStyle w:val="BodyText"/>
        <w:spacing w:line="240" w:lineRule="auto" w:before="14"/>
        <w:ind w:left="573" w:right="0"/>
        <w:jc w:val="left"/>
      </w:pPr>
      <w:r>
        <w:rPr>
          <w:rFonts w:ascii="Times New Roman" w:hAnsi="Times New Roman" w:cs="Times New Roman" w:eastAsia="Times New Roman" w:hint="default"/>
        </w:rPr>
        <w:t>3</w:t>
      </w:r>
      <w:r>
        <w:rPr/>
        <w:t>、管理风险</w:t>
      </w:r>
    </w:p>
    <w:p>
      <w:pPr>
        <w:pStyle w:val="BodyText"/>
        <w:spacing w:line="268" w:lineRule="auto" w:before="21"/>
        <w:ind w:right="1126" w:firstLine="420"/>
        <w:jc w:val="both"/>
      </w:pPr>
      <w:r>
        <w:rPr>
          <w:spacing w:val="-5"/>
        </w:rPr>
        <w:t>（</w:t>
      </w:r>
      <w:r>
        <w:rPr>
          <w:rFonts w:ascii="Times New Roman" w:hAnsi="Times New Roman" w:cs="Times New Roman" w:eastAsia="Times New Roman" w:hint="default"/>
          <w:spacing w:val="-5"/>
        </w:rPr>
        <w:t>1</w:t>
      </w:r>
      <w:r>
        <w:rPr>
          <w:spacing w:val="-5"/>
        </w:rPr>
        <w:t>）操作风险。操作风险通常包括因集团内部流程缺陷、信息系统故障、人为失误或不当行为、交易</w:t>
      </w:r>
      <w:r>
        <w:rPr>
          <w:w w:val="100"/>
        </w:rPr>
        <w:t> </w:t>
      </w:r>
      <w:r>
        <w:rPr>
          <w:spacing w:val="-2"/>
        </w:rPr>
        <w:t>故障等原因而导致的风险，也包括集团外部发生欺诈行为给集团造成损失的风险。尽管本集团在各业务领</w:t>
      </w:r>
      <w:r>
        <w:rPr>
          <w:spacing w:val="-43"/>
        </w:rPr>
        <w:t> </w:t>
      </w:r>
      <w:r>
        <w:rPr>
          <w:spacing w:val="-43"/>
        </w:rPr>
      </w:r>
      <w:r>
        <w:rPr>
          <w:spacing w:val="-2"/>
        </w:rPr>
        <w:t>域均制定了较为完善的内部控制与风险管理制度，但任何内部控制制度均有其固有限制，可能因公司规模</w:t>
      </w:r>
      <w:r>
        <w:rPr>
          <w:spacing w:val="-42"/>
        </w:rPr>
        <w:t> </w:t>
      </w:r>
      <w:r>
        <w:rPr>
          <w:spacing w:val="-42"/>
        </w:rPr>
      </w:r>
      <w:r>
        <w:rPr>
          <w:spacing w:val="-2"/>
        </w:rPr>
        <w:t>扩大、新业务新产品推出、更加复杂的业务流程、内部及外部环境变化、当事人认知程度不够、执行人不</w:t>
      </w:r>
      <w:r>
        <w:rPr>
          <w:spacing w:val="-43"/>
        </w:rPr>
        <w:t> </w:t>
      </w:r>
      <w:r>
        <w:rPr>
          <w:spacing w:val="-43"/>
        </w:rPr>
      </w:r>
      <w:r>
        <w:rPr>
          <w:spacing w:val="-2"/>
        </w:rPr>
        <w:t>严格执行制度、从业人员操作不当、从业人员主观故意、突发事件等，使内部控制机制的作用受到限制甚</w:t>
      </w:r>
    </w:p>
    <w:p>
      <w:pPr>
        <w:spacing w:after="0" w:line="268"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0"/>
        <w:jc w:val="left"/>
      </w:pPr>
      <w:r>
        <w:rPr/>
        <w:t>至失去效用，产生财务上与声誉上的损失，从而造成操作风险。</w:t>
      </w:r>
    </w:p>
    <w:p>
      <w:pPr>
        <w:pStyle w:val="BodyText"/>
        <w:spacing w:line="268" w:lineRule="auto" w:before="37"/>
        <w:ind w:right="1126" w:firstLine="420"/>
        <w:jc w:val="both"/>
      </w:pPr>
      <w:r>
        <w:rPr>
          <w:spacing w:val="-5"/>
        </w:rPr>
        <w:t>（</w:t>
      </w:r>
      <w:r>
        <w:rPr>
          <w:rFonts w:ascii="Times New Roman" w:hAnsi="Times New Roman" w:cs="Times New Roman" w:eastAsia="Times New Roman" w:hint="default"/>
          <w:spacing w:val="-5"/>
        </w:rPr>
        <w:t>2</w:t>
      </w:r>
      <w:r>
        <w:rPr>
          <w:spacing w:val="-5"/>
        </w:rPr>
        <w:t>）人才流失和人才储备不足的风险。本集团所在的证券、投资等业务均是知识及人才密集型行业，</w:t>
      </w:r>
      <w:r>
        <w:rPr>
          <w:w w:val="100"/>
        </w:rPr>
        <w:t> </w:t>
      </w:r>
      <w:r>
        <w:rPr>
          <w:spacing w:val="-2"/>
        </w:rPr>
        <w:t>需要大量高素质的专业人才。本集团通过较为完善的薪酬、培训及激励机制，培养了团队的凝聚力和忠诚</w:t>
      </w:r>
      <w:r>
        <w:rPr>
          <w:spacing w:val="-43"/>
        </w:rPr>
        <w:t> </w:t>
      </w:r>
      <w:r>
        <w:rPr>
          <w:spacing w:val="-43"/>
        </w:rPr>
      </w:r>
      <w:r>
        <w:rPr>
          <w:spacing w:val="-2"/>
        </w:rPr>
        <w:t>度，在保持原有人才结构的基础上，广泛吸引业内优秀人才加盟，为公司稳定发展奠定了基础。但是，面</w:t>
      </w:r>
      <w:r>
        <w:rPr>
          <w:spacing w:val="-43"/>
        </w:rPr>
        <w:t> </w:t>
      </w:r>
      <w:r>
        <w:rPr>
          <w:spacing w:val="-43"/>
        </w:rPr>
      </w:r>
      <w:r>
        <w:rPr>
          <w:spacing w:val="-2"/>
        </w:rPr>
        <w:t>对行业未来日趋激烈的竞争，不排除在特定环境和条件下存在优秀人才流失的可能，从而对本集团的经营</w:t>
      </w:r>
      <w:r>
        <w:rPr>
          <w:spacing w:val="-44"/>
        </w:rPr>
        <w:t> </w:t>
      </w:r>
      <w:r>
        <w:rPr>
          <w:spacing w:val="-44"/>
        </w:rPr>
      </w:r>
      <w:r>
        <w:rPr>
          <w:spacing w:val="-2"/>
        </w:rPr>
        <w:t>管理和业务发展产生不利影响。同时，同行业间的激烈竞争、行业创新业务快速发展也在一定程度上加剧</w:t>
      </w:r>
      <w:r>
        <w:rPr>
          <w:spacing w:val="-44"/>
        </w:rPr>
        <w:t> </w:t>
      </w:r>
      <w:r>
        <w:rPr>
          <w:spacing w:val="-44"/>
        </w:rPr>
      </w:r>
      <w:r>
        <w:rPr/>
        <w:t>了对相关行业专业人才的争夺，本集团面临人才流失的风险。</w:t>
      </w:r>
    </w:p>
    <w:p>
      <w:pPr>
        <w:pStyle w:val="BodyText"/>
        <w:spacing w:line="240" w:lineRule="auto" w:before="12"/>
        <w:ind w:left="573" w:right="0"/>
        <w:jc w:val="left"/>
      </w:pPr>
      <w:r>
        <w:rPr>
          <w:rFonts w:ascii="Times New Roman" w:hAnsi="Times New Roman" w:cs="Times New Roman" w:eastAsia="Times New Roman" w:hint="default"/>
        </w:rPr>
        <w:t>4</w:t>
      </w:r>
      <w:r>
        <w:rPr/>
        <w:t>、诉讼风险</w:t>
      </w:r>
    </w:p>
    <w:p>
      <w:pPr>
        <w:pStyle w:val="BodyText"/>
        <w:spacing w:line="240" w:lineRule="auto" w:before="21"/>
        <w:ind w:left="573" w:right="0"/>
        <w:jc w:val="left"/>
      </w:pPr>
      <w:r>
        <w:rPr/>
        <w:t>另见本报告</w:t>
      </w:r>
      <w:r>
        <w:rPr>
          <w:rFonts w:ascii="Times New Roman" w:hAnsi="Times New Roman" w:cs="Times New Roman" w:eastAsia="Times New Roman" w:hint="default"/>
        </w:rPr>
        <w:t>“</w:t>
      </w:r>
      <w:r>
        <w:rPr/>
        <w:t>第五节 重要事项</w:t>
      </w:r>
      <w:r>
        <w:rPr>
          <w:spacing w:val="-46"/>
        </w:rPr>
        <w:t> </w:t>
      </w:r>
      <w:r>
        <w:rPr/>
        <w:t>十二、重大诉讼、仲裁事项</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5"/>
          <w:szCs w:val="25"/>
        </w:rPr>
      </w:pPr>
    </w:p>
    <w:p>
      <w:pPr>
        <w:pStyle w:val="BodyText"/>
        <w:spacing w:line="240" w:lineRule="auto"/>
        <w:ind w:left="573" w:right="0"/>
        <w:jc w:val="left"/>
      </w:pPr>
      <w:r>
        <w:rPr/>
        <w:t>针对上述风险，本集团已（拟）采取的风险防范对策和措施如下：</w:t>
      </w:r>
    </w:p>
    <w:p>
      <w:pPr>
        <w:pStyle w:val="BodyText"/>
        <w:spacing w:line="256" w:lineRule="auto" w:before="37"/>
        <w:ind w:right="1126" w:firstLine="420"/>
        <w:jc w:val="both"/>
      </w:pPr>
      <w:r>
        <w:rPr>
          <w:rFonts w:ascii="Times New Roman" w:hAnsi="Times New Roman" w:cs="Times New Roman" w:eastAsia="Times New Roman" w:hint="default"/>
          <w:spacing w:val="-5"/>
        </w:rPr>
        <w:t>1</w:t>
      </w:r>
      <w:r>
        <w:rPr>
          <w:spacing w:val="-5"/>
        </w:rPr>
        <w:t>、密切关注各类政策变化，根据最新政策及时做出反应并进行相应调整，将政策性风险对本集团各项</w:t>
      </w:r>
      <w:r>
        <w:rPr>
          <w:w w:val="100"/>
        </w:rPr>
        <w:t> </w:t>
      </w:r>
      <w:r>
        <w:rPr/>
        <w:t>业务经营活动的影响降至最低范围内。</w:t>
      </w:r>
    </w:p>
    <w:p>
      <w:pPr>
        <w:pStyle w:val="BodyText"/>
        <w:spacing w:line="264" w:lineRule="auto" w:before="22"/>
        <w:ind w:right="1126" w:firstLine="420"/>
        <w:jc w:val="both"/>
      </w:pPr>
      <w:r>
        <w:rPr>
          <w:rFonts w:ascii="Times New Roman" w:hAnsi="Times New Roman" w:cs="Times New Roman" w:eastAsia="Times New Roman" w:hint="default"/>
          <w:spacing w:val="-5"/>
        </w:rPr>
        <w:t>2</w:t>
      </w:r>
      <w:r>
        <w:rPr>
          <w:spacing w:val="-5"/>
        </w:rPr>
        <w:t>、建立健全全面风险管理体系框架，包括但不限于良好的风险管理文化、健全的风险管理治理架构、</w:t>
      </w:r>
      <w:r>
        <w:rPr>
          <w:w w:val="100"/>
        </w:rPr>
        <w:t> </w:t>
      </w:r>
      <w:r>
        <w:rPr>
          <w:spacing w:val="-2"/>
        </w:rPr>
        <w:t>可操作的风险管理制度、量化的风险指标体系、可靠的信息技术系统、专业的人才队伍、有效的风险应对</w:t>
      </w:r>
      <w:r>
        <w:rPr>
          <w:spacing w:val="-50"/>
        </w:rPr>
        <w:t> </w:t>
      </w:r>
      <w:r>
        <w:rPr>
          <w:spacing w:val="-50"/>
        </w:rPr>
      </w:r>
      <w:r>
        <w:rPr/>
        <w:t>机制，将风险控制在与本集团风险偏好相匹配的范围内，支持各项业务稳步发展。</w:t>
      </w:r>
    </w:p>
    <w:p>
      <w:pPr>
        <w:pStyle w:val="BodyText"/>
        <w:spacing w:line="256" w:lineRule="auto" w:before="16"/>
        <w:ind w:right="1128" w:firstLine="420"/>
        <w:jc w:val="both"/>
      </w:pPr>
      <w:r>
        <w:rPr>
          <w:rFonts w:ascii="Times New Roman" w:hAnsi="Times New Roman" w:cs="Times New Roman" w:eastAsia="Times New Roman" w:hint="default"/>
          <w:spacing w:val="-5"/>
        </w:rPr>
        <w:t>3</w:t>
      </w:r>
      <w:r>
        <w:rPr>
          <w:spacing w:val="-5"/>
        </w:rPr>
        <w:t>、制定《投资管理制度》《投资管理细则》以及基金管理相关制度，从制度、流程层面提升投资业务</w:t>
      </w:r>
      <w:r>
        <w:rPr>
          <w:w w:val="100"/>
        </w:rPr>
        <w:t> </w:t>
      </w:r>
      <w:r>
        <w:rPr/>
        <w:t>规范，持续采取措施提高投资决策科学性、决策执行和投后管理有效性。</w:t>
      </w:r>
    </w:p>
    <w:p>
      <w:pPr>
        <w:pStyle w:val="BodyText"/>
        <w:spacing w:line="264" w:lineRule="auto" w:before="22"/>
        <w:ind w:right="1128" w:firstLine="420"/>
        <w:jc w:val="both"/>
      </w:pPr>
      <w:r>
        <w:rPr>
          <w:rFonts w:ascii="Times New Roman" w:hAnsi="Times New Roman" w:cs="Times New Roman" w:eastAsia="Times New Roman" w:hint="default"/>
          <w:spacing w:val="-5"/>
        </w:rPr>
        <w:t>4</w:t>
      </w:r>
      <w:r>
        <w:rPr>
          <w:spacing w:val="-5"/>
        </w:rPr>
        <w:t>、持续提升本集团治理水平，开展企业文化建设、制度建设以及信息化建设，提高企业凝聚力、管理</w:t>
      </w:r>
      <w:r>
        <w:rPr>
          <w:w w:val="100"/>
        </w:rPr>
        <w:t> </w:t>
      </w:r>
      <w:r>
        <w:rPr>
          <w:spacing w:val="-7"/>
        </w:rPr>
        <w:t>有效性、作业标准性，降低人才流失率和操作风险发生率。同时重视内部审计、稽核监察，做好事后纠偏，</w:t>
      </w:r>
      <w:r>
        <w:rPr>
          <w:spacing w:val="-23"/>
        </w:rPr>
        <w:t> </w:t>
      </w:r>
      <w:r>
        <w:rPr>
          <w:spacing w:val="-23"/>
        </w:rPr>
      </w:r>
      <w:r>
        <w:rPr/>
        <w:t>有效控制管理风险。</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十、接待调研、沟通、采访等活动</w:t>
      </w:r>
      <w:r>
        <w:rPr>
          <w:b w:val="0"/>
          <w:bCs w:val="0"/>
        </w:rPr>
      </w:r>
    </w:p>
    <w:p>
      <w:pPr>
        <w:spacing w:line="240" w:lineRule="auto" w:before="5"/>
        <w:rPr>
          <w:rFonts w:ascii="Microsoft JhengHei" w:hAnsi="Microsoft JhengHei" w:cs="Microsoft JhengHei" w:eastAsia="Microsoft JhengHei" w:hint="default"/>
          <w:b/>
          <w:bCs/>
          <w:sz w:val="13"/>
          <w:szCs w:val="13"/>
        </w:rPr>
      </w:pPr>
    </w:p>
    <w:p>
      <w:pPr>
        <w:tabs>
          <w:tab w:pos="8165" w:val="left" w:leader="none"/>
        </w:tabs>
        <w:spacing w:line="446" w:lineRule="auto" w:before="0"/>
        <w:ind w:left="573" w:right="1150"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Microsoft JhengHei" w:hAnsi="Microsoft JhengHei" w:cs="Microsoft JhengHei" w:eastAsia="Microsoft JhengHei" w:hint="default"/>
          <w:b/>
          <w:bCs/>
          <w:spacing w:val="-1"/>
          <w:sz w:val="21"/>
          <w:szCs w:val="21"/>
        </w:rPr>
        <w:t>、报告期内接待调研、沟通、采访等活动登记表</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本集团报告期未发生接待调研、沟通、采访等活动。</w:t>
      </w:r>
    </w:p>
    <w:p>
      <w:pPr>
        <w:spacing w:after="0" w:line="446"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976"/>
        <w:jc w:val="center"/>
        <w:rPr>
          <w:b w:val="0"/>
          <w:bCs w:val="0"/>
        </w:rPr>
      </w:pPr>
      <w:bookmarkStart w:name="_TOC_250008" w:id="5"/>
      <w:r>
        <w:rPr/>
        <w:t>第五节 </w:t>
      </w:r>
      <w:r>
        <w:rPr>
          <w:spacing w:val="9"/>
        </w:rPr>
        <w:t> </w:t>
      </w:r>
      <w:r>
        <w:rPr/>
        <w:t>重要事项</w:t>
      </w:r>
      <w:bookmarkEnd w:id="5"/>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tabs>
          <w:tab w:pos="8034" w:val="left" w:leader="none"/>
        </w:tabs>
        <w:spacing w:line="240" w:lineRule="auto"/>
        <w:ind w:left="0" w:right="975"/>
        <w:jc w:val="center"/>
      </w:pPr>
      <w:r>
        <w:rPr>
          <w:spacing w:val="-4"/>
        </w:rPr>
        <w:t>报告期内普通股利润分配政策，特别是现金分红政策的制定、执行或调整情况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BodyText"/>
        <w:spacing w:line="273" w:lineRule="auto" w:before="62"/>
        <w:ind w:right="1126" w:firstLine="420"/>
        <w:jc w:val="both"/>
      </w:pPr>
      <w:r>
        <w:rPr>
          <w:spacing w:val="-2"/>
        </w:rPr>
        <w:t>《公司章程》载明利润分配方案尤其是现金分红方案的决策程序和机制，明确现金分红在利润分配中</w:t>
      </w:r>
      <w:r>
        <w:rPr>
          <w:w w:val="100"/>
        </w:rPr>
        <w:t> </w:t>
      </w:r>
      <w:r>
        <w:rPr>
          <w:spacing w:val="-2"/>
        </w:rPr>
        <w:t>的优先顺序。公司利润分配政策的制定、修订均透明、合规，符合《公司章程》及审议程序的规定。报告</w:t>
      </w:r>
      <w:r>
        <w:rPr>
          <w:spacing w:val="-45"/>
        </w:rPr>
        <w:t> </w:t>
      </w:r>
      <w:r>
        <w:rPr>
          <w:spacing w:val="-45"/>
        </w:rPr>
      </w:r>
      <w:r>
        <w:rPr/>
        <w:t>期内，公司严格执行《公司章程》规定的利润分配政策。</w:t>
      </w:r>
    </w:p>
    <w:tbl>
      <w:tblPr>
        <w:tblW w:w="0" w:type="auto"/>
        <w:jc w:val="left"/>
        <w:tblInd w:w="181" w:type="dxa"/>
        <w:tblLayout w:type="fixed"/>
        <w:tblCellMar>
          <w:top w:w="0" w:type="dxa"/>
          <w:left w:w="0" w:type="dxa"/>
          <w:bottom w:w="0" w:type="dxa"/>
          <w:right w:w="0" w:type="dxa"/>
        </w:tblCellMar>
        <w:tblLook w:val="01E0"/>
      </w:tblPr>
      <w:tblGrid>
        <w:gridCol w:w="7480"/>
        <w:gridCol w:w="2089"/>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3" w:hRule="exact"/>
        </w:trPr>
        <w:tc>
          <w:tcPr>
            <w:tcW w:w="7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7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7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7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7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7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73" w:lineRule="auto" w:before="48"/>
        <w:ind w:left="573" w:right="1416" w:hanging="421"/>
        <w:jc w:val="left"/>
      </w:pPr>
      <w:r>
        <w:rPr>
          <w:spacing w:val="-1"/>
          <w:w w:val="100"/>
        </w:rPr>
        <w:t>公司近</w:t>
      </w:r>
      <w:r>
        <w:rPr>
          <w:spacing w:val="-52"/>
          <w:w w:val="100"/>
        </w:rPr>
        <w:t> </w:t>
      </w:r>
      <w:r>
        <w:rPr>
          <w:rFonts w:ascii="Times New Roman" w:hAnsi="Times New Roman" w:cs="Times New Roman" w:eastAsia="Times New Roman" w:hint="default"/>
          <w:w w:val="100"/>
        </w:rPr>
        <w:t>3 </w:t>
      </w:r>
      <w:r>
        <w:rPr>
          <w:spacing w:val="-4"/>
          <w:w w:val="100"/>
        </w:rPr>
        <w:t>年（包括本报告期）的普通股股利分配方案（预案）、资本公积金转增股本方案（预案）情况</w:t>
      </w:r>
      <w:r>
        <w:rPr>
          <w:w w:val="10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年度利润分配预案</w:t>
      </w:r>
      <w:r>
        <w:rPr>
          <w:w w:val="100"/>
        </w:rPr>
        <w:t> </w:t>
      </w:r>
      <w:r>
        <w:rPr/>
        <w:t>公司</w:t>
      </w:r>
      <w:r>
        <w:rPr>
          <w:rFonts w:ascii="Times New Roman" w:hAnsi="Times New Roman" w:cs="Times New Roman" w:eastAsia="Times New Roman" w:hint="default"/>
        </w:rPr>
        <w:t>2019</w:t>
      </w:r>
      <w:r>
        <w:rPr/>
        <w:t>年度利润分配预案为：不派发现金红利、不送红股，不以公积金转增股本。</w:t>
      </w:r>
    </w:p>
    <w:p>
      <w:pPr>
        <w:pStyle w:val="BodyText"/>
        <w:spacing w:line="256" w:lineRule="auto"/>
        <w:ind w:left="57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2017-2018</w:t>
      </w:r>
      <w:r>
        <w:rPr/>
        <w:t>年度利润分配方案</w:t>
      </w:r>
      <w:r>
        <w:rPr>
          <w:w w:val="100"/>
        </w:rPr>
        <w:t> </w:t>
      </w:r>
      <w:r>
        <w:rPr/>
        <w:t>公司</w:t>
      </w:r>
      <w:r>
        <w:rPr>
          <w:rFonts w:ascii="Times New Roman" w:hAnsi="Times New Roman" w:cs="Times New Roman" w:eastAsia="Times New Roman" w:hint="default"/>
        </w:rPr>
        <w:t>2018</w:t>
      </w:r>
      <w:r>
        <w:rPr/>
        <w:t>年度利润分配方案为：不派发现金红利、不送红股，不以公积金转增股本。</w:t>
      </w:r>
      <w:r>
        <w:rPr>
          <w:w w:val="100"/>
        </w:rPr>
        <w:t> </w:t>
      </w:r>
      <w:r>
        <w:rPr>
          <w:spacing w:val="-1"/>
        </w:rPr>
        <w:t>公司</w:t>
      </w:r>
      <w:r>
        <w:rPr>
          <w:rFonts w:ascii="Times New Roman" w:hAnsi="Times New Roman" w:cs="Times New Roman" w:eastAsia="Times New Roman" w:hint="default"/>
          <w:spacing w:val="-1"/>
        </w:rPr>
        <w:t>2017</w:t>
      </w:r>
      <w:r>
        <w:rPr>
          <w:spacing w:val="-1"/>
        </w:rPr>
        <w:t>年度利润分配方案为：以总股本</w:t>
      </w:r>
      <w:r>
        <w:rPr>
          <w:rFonts w:ascii="Times New Roman" w:hAnsi="Times New Roman" w:cs="Times New Roman" w:eastAsia="Times New Roman" w:hint="default"/>
          <w:spacing w:val="-1"/>
        </w:rPr>
        <w:t>1,491,934,212</w:t>
      </w:r>
      <w:r>
        <w:rPr>
          <w:spacing w:val="-1"/>
        </w:rPr>
        <w:t>股为基数，向公司全体股东每</w:t>
      </w:r>
      <w:r>
        <w:rPr>
          <w:rFonts w:ascii="Times New Roman" w:hAnsi="Times New Roman" w:cs="Times New Roman" w:eastAsia="Times New Roman" w:hint="default"/>
          <w:spacing w:val="-1"/>
        </w:rPr>
        <w:t>10</w:t>
      </w:r>
      <w:r>
        <w:rPr>
          <w:spacing w:val="-1"/>
        </w:rPr>
        <w:t>股派发现金红</w:t>
      </w:r>
    </w:p>
    <w:p>
      <w:pPr>
        <w:pStyle w:val="BodyText"/>
        <w:spacing w:line="264" w:lineRule="auto" w:before="5"/>
        <w:ind w:right="1126"/>
        <w:jc w:val="both"/>
      </w:pPr>
      <w:r>
        <w:rPr>
          <w:spacing w:val="-6"/>
        </w:rPr>
        <w:t>利</w:t>
      </w:r>
      <w:r>
        <w:rPr>
          <w:rFonts w:ascii="Times New Roman" w:hAnsi="Times New Roman" w:cs="Times New Roman" w:eastAsia="Times New Roman" w:hint="default"/>
          <w:spacing w:val="-6"/>
        </w:rPr>
        <w:t>0.10</w:t>
      </w:r>
      <w:r>
        <w:rPr>
          <w:spacing w:val="-6"/>
        </w:rPr>
        <w:t>元（含税），共计分配利润</w:t>
      </w:r>
      <w:r>
        <w:rPr>
          <w:rFonts w:ascii="Times New Roman" w:hAnsi="Times New Roman" w:cs="Times New Roman" w:eastAsia="Times New Roman" w:hint="default"/>
          <w:spacing w:val="-6"/>
        </w:rPr>
        <w:t>14,919,342.12</w:t>
      </w:r>
      <w:r>
        <w:rPr>
          <w:spacing w:val="-6"/>
        </w:rPr>
        <w:t>元（含税）；同时以资本公积金向全体股东每</w:t>
      </w:r>
      <w:r>
        <w:rPr>
          <w:rFonts w:ascii="Times New Roman" w:hAnsi="Times New Roman" w:cs="Times New Roman" w:eastAsia="Times New Roman" w:hint="default"/>
          <w:spacing w:val="-6"/>
        </w:rPr>
        <w:t>10</w:t>
      </w:r>
      <w:r>
        <w:rPr>
          <w:spacing w:val="-6"/>
        </w:rPr>
        <w:t>股转增</w:t>
      </w:r>
      <w:r>
        <w:rPr>
          <w:rFonts w:ascii="Times New Roman" w:hAnsi="Times New Roman" w:cs="Times New Roman" w:eastAsia="Times New Roman" w:hint="default"/>
          <w:spacing w:val="-6"/>
        </w:rPr>
        <w:t>3</w:t>
      </w:r>
      <w:r>
        <w:rPr>
          <w:spacing w:val="-6"/>
        </w:rPr>
        <w:t>股。</w:t>
      </w:r>
      <w:r>
        <w:rPr>
          <w:spacing w:val="-4"/>
        </w:rPr>
        <w:t> </w:t>
      </w:r>
      <w:r>
        <w:rPr>
          <w:spacing w:val="-2"/>
        </w:rPr>
        <w:t>如董事会审议利润分配方案后公司总股本发生变动，将按照分配总额不变的原则对分配比例进行调整。此</w:t>
      </w:r>
      <w:r>
        <w:rPr>
          <w:spacing w:val="-44"/>
        </w:rPr>
        <w:t> </w:t>
      </w:r>
      <w:r>
        <w:rPr>
          <w:spacing w:val="-44"/>
        </w:rPr>
      </w:r>
      <w:r>
        <w:rPr/>
        <w:t>议案经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日召开的公司</w:t>
      </w:r>
      <w:r>
        <w:rPr>
          <w:rFonts w:ascii="Times New Roman" w:hAnsi="Times New Roman" w:cs="Times New Roman" w:eastAsia="Times New Roman" w:hint="default"/>
        </w:rPr>
        <w:t>2018</w:t>
      </w:r>
      <w:r>
        <w:rPr/>
        <w:t>年度股东大会审议通过后实施，并于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日实施完毕。</w:t>
      </w:r>
    </w:p>
    <w:p>
      <w:pPr>
        <w:spacing w:line="240" w:lineRule="auto" w:before="1"/>
        <w:rPr>
          <w:rFonts w:ascii="宋体" w:hAnsi="宋体" w:cs="宋体" w:eastAsia="宋体" w:hint="default"/>
          <w:sz w:val="24"/>
          <w:szCs w:val="24"/>
        </w:rPr>
      </w:pPr>
    </w:p>
    <w:p>
      <w:pPr>
        <w:pStyle w:val="BodyText"/>
        <w:spacing w:line="240" w:lineRule="auto" w:before="36"/>
        <w:ind w:right="0"/>
        <w:jc w:val="left"/>
      </w:pPr>
      <w:r>
        <w:rPr/>
        <w:t>公司近三年（包括本报告期）普通股现金分红情况表</w:t>
      </w:r>
    </w:p>
    <w:p>
      <w:pPr>
        <w:pStyle w:val="BodyText"/>
        <w:spacing w:line="240" w:lineRule="auto" w:before="75"/>
        <w:ind w:left="0" w:right="1339"/>
        <w:jc w:val="right"/>
      </w:pPr>
      <w:r>
        <w:rPr>
          <w:spacing w:val="-1"/>
        </w:rPr>
        <w:t>单位：元</w:t>
      </w:r>
    </w:p>
    <w:p>
      <w:pPr>
        <w:spacing w:line="240" w:lineRule="auto" w:before="13"/>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819"/>
        <w:gridCol w:w="1274"/>
        <w:gridCol w:w="1419"/>
        <w:gridCol w:w="1133"/>
        <w:gridCol w:w="1335"/>
        <w:gridCol w:w="1075"/>
        <w:gridCol w:w="1318"/>
        <w:gridCol w:w="1195"/>
      </w:tblGrid>
      <w:tr>
        <w:trPr>
          <w:trHeight w:val="258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2" w:lineRule="auto"/>
              <w:ind w:left="204" w:right="19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分红</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330"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现金分红金额</w:t>
            </w:r>
            <w:r>
              <w:rPr>
                <w:rFonts w:ascii="Microsoft JhengHei" w:hAnsi="Microsoft JhengHei" w:cs="Microsoft JhengHei" w:eastAsia="Microsoft JhengHei" w:hint="default"/>
                <w:sz w:val="20"/>
                <w:szCs w:val="20"/>
              </w:rPr>
            </w:r>
          </w:p>
          <w:p>
            <w:pPr>
              <w:pStyle w:val="TableParagraph"/>
              <w:spacing w:line="330"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（含税）</w:t>
            </w:r>
            <w:r>
              <w:rPr>
                <w:rFonts w:ascii="Microsoft JhengHei" w:hAnsi="Microsoft JhengHei" w:cs="Microsoft JhengHei" w:eastAsia="Microsoft JhengHei"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2" w:lineRule="exact"/>
              <w:ind w:left="100" w:right="10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分红年度合并</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报表中归属于</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上市公司普通</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股股东的净利</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润</w:t>
            </w:r>
            <w:r>
              <w:rPr>
                <w:rFonts w:ascii="Microsoft JhengHei" w:hAnsi="Microsoft JhengHei" w:cs="Microsoft JhengHei" w:eastAsia="Microsoft JhengHei" w:hint="default"/>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72"/>
              <w:ind w:left="59" w:right="58"/>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现金分红金</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额占合并报</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表中归属于</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上市公司普</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通股股东的</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净利润的比</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率</w:t>
            </w:r>
            <w:r>
              <w:rPr>
                <w:rFonts w:ascii="Microsoft JhengHei" w:hAnsi="Microsoft JhengHei" w:cs="Microsoft JhengHei" w:eastAsia="Microsoft JhengHei" w:hint="default"/>
                <w:sz w:val="20"/>
                <w:szCs w:val="20"/>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30"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以其他方式</w:t>
            </w:r>
            <w:r>
              <w:rPr>
                <w:rFonts w:ascii="Microsoft JhengHei" w:hAnsi="Microsoft JhengHei" w:cs="Microsoft JhengHei" w:eastAsia="Microsoft JhengHei" w:hint="default"/>
                <w:sz w:val="20"/>
                <w:szCs w:val="20"/>
              </w:rPr>
            </w:r>
          </w:p>
          <w:p>
            <w:pPr>
              <w:pStyle w:val="TableParagraph"/>
              <w:spacing w:line="312" w:lineRule="exact" w:before="29"/>
              <w:ind w:left="59" w:right="59"/>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（如回购股</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份）现金分红</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pacing w:val="2"/>
                <w:sz w:val="20"/>
                <w:szCs w:val="20"/>
              </w:rPr>
              <w:t>的金额</w:t>
            </w:r>
            <w:r>
              <w:rPr>
                <w:rFonts w:ascii="Microsoft JhengHei" w:hAnsi="Microsoft JhengHei" w:cs="Microsoft JhengHei" w:eastAsia="Microsoft JhengHei" w:hint="default"/>
                <w:sz w:val="20"/>
                <w:szCs w:val="20"/>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6"/>
              <w:ind w:left="33" w:right="27"/>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以其他方式</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现金分红金</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额占合并报</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表中归属于</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上市公司普</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通股股东的</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净利润的比</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例</w:t>
            </w:r>
            <w:r>
              <w:rPr>
                <w:rFonts w:ascii="Microsoft JhengHei" w:hAnsi="Microsoft JhengHei" w:cs="Microsoft JhengHei" w:eastAsia="Microsoft JhengHei" w:hint="default"/>
                <w:sz w:val="20"/>
                <w:szCs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30"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现金分红总额</w:t>
            </w:r>
            <w:r>
              <w:rPr>
                <w:rFonts w:ascii="Microsoft JhengHei" w:hAnsi="Microsoft JhengHei" w:cs="Microsoft JhengHei" w:eastAsia="Microsoft JhengHei" w:hint="default"/>
                <w:sz w:val="20"/>
                <w:szCs w:val="20"/>
              </w:rPr>
            </w:r>
          </w:p>
          <w:p>
            <w:pPr>
              <w:pStyle w:val="TableParagraph"/>
              <w:spacing w:line="312" w:lineRule="exact" w:before="29"/>
              <w:ind w:left="151" w:right="15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（含其他方</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式）</w:t>
            </w:r>
            <w:r>
              <w:rPr>
                <w:rFonts w:ascii="Microsoft JhengHei" w:hAnsi="Microsoft JhengHei" w:cs="Microsoft JhengHei" w:eastAsia="Microsoft JhengHei"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6"/>
              <w:ind w:left="91" w:right="89"/>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现金分红总</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额（含其他</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方式）占合</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并报表中归</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属于上市公</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司普通股股</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东的净利润</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pacing w:val="2"/>
                <w:sz w:val="20"/>
                <w:szCs w:val="20"/>
              </w:rPr>
              <w:t>的比率</w:t>
            </w:r>
            <w:r>
              <w:rPr>
                <w:rFonts w:ascii="Microsoft JhengHei" w:hAnsi="Microsoft JhengHei" w:cs="Microsoft JhengHei" w:eastAsia="Microsoft JhengHei" w:hint="default"/>
                <w:sz w:val="20"/>
                <w:szCs w:val="20"/>
              </w:rPr>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w w:val="95"/>
                <w:sz w:val="20"/>
              </w:rPr>
              <w:t>95,206,095.24</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5"/>
              <w:jc w:val="right"/>
              <w:rPr>
                <w:rFonts w:ascii="Times New Roman" w:hAnsi="Times New Roman" w:cs="Times New Roman" w:eastAsia="Times New Roman" w:hint="default"/>
                <w:sz w:val="20"/>
                <w:szCs w:val="20"/>
              </w:rPr>
            </w:pPr>
            <w:r>
              <w:rPr>
                <w:rFonts w:ascii="Times New Roman"/>
                <w:sz w:val="20"/>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sz w:val="20"/>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0.00%</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20"/>
                <w:szCs w:val="20"/>
              </w:rPr>
            </w:pPr>
            <w:r>
              <w:rPr>
                <w:rFonts w:ascii="Times New Roman"/>
                <w:sz w:val="20"/>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20"/>
                <w:szCs w:val="20"/>
              </w:rPr>
            </w:pPr>
            <w:r>
              <w:rPr>
                <w:rFonts w:ascii="Times New Roman"/>
                <w:w w:val="95"/>
                <w:sz w:val="20"/>
              </w:rPr>
              <w:t>-544,272,818.63</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0"/>
                <w:szCs w:val="20"/>
              </w:rPr>
            </w:pPr>
            <w:r>
              <w:rPr>
                <w:rFonts w:ascii="Times New Roman"/>
                <w:sz w:val="20"/>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161,277,853.83</w:t>
            </w:r>
            <w:r>
              <w:rPr>
                <w:rFonts w:ascii="Times New Roman"/>
                <w:sz w:val="20"/>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0"/>
                <w:szCs w:val="20"/>
              </w:rPr>
            </w:pPr>
            <w:r>
              <w:rPr>
                <w:rFonts w:ascii="Times New Roman"/>
                <w:w w:val="95"/>
                <w:sz w:val="20"/>
              </w:rPr>
              <w:t>-29.63%</w:t>
            </w:r>
            <w:r>
              <w:rPr>
                <w:rFonts w:ascii="Times New Roman"/>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Times New Roman" w:hAnsi="Times New Roman" w:cs="Times New Roman" w:eastAsia="Times New Roman" w:hint="default"/>
                <w:sz w:val="20"/>
                <w:szCs w:val="20"/>
              </w:rPr>
            </w:pPr>
            <w:r>
              <w:rPr>
                <w:rFonts w:ascii="Times New Roman"/>
                <w:w w:val="95"/>
                <w:sz w:val="20"/>
              </w:rPr>
              <w:t>161,277,853.83</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0"/>
                <w:szCs w:val="20"/>
              </w:rPr>
            </w:pPr>
            <w:r>
              <w:rPr>
                <w:rFonts w:ascii="Times New Roman"/>
                <w:w w:val="95"/>
                <w:sz w:val="20"/>
              </w:rPr>
              <w:t>-29.63%</w:t>
            </w:r>
            <w:r>
              <w:rPr>
                <w:rFonts w:ascii="Times New Roman"/>
                <w:sz w:val="20"/>
              </w:rPr>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14,919,342.12</w:t>
            </w:r>
            <w:r>
              <w:rPr>
                <w:rFonts w:ascii="Times New Roman"/>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w w:val="95"/>
                <w:sz w:val="20"/>
              </w:rPr>
              <w:t>580,642,470.28</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2.57%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5"/>
              <w:jc w:val="right"/>
              <w:rPr>
                <w:rFonts w:ascii="Times New Roman" w:hAnsi="Times New Roman" w:cs="Times New Roman" w:eastAsia="Times New Roman" w:hint="default"/>
                <w:sz w:val="20"/>
                <w:szCs w:val="20"/>
              </w:rPr>
            </w:pPr>
            <w:r>
              <w:rPr>
                <w:rFonts w:ascii="Times New Roman"/>
                <w:sz w:val="20"/>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3"/>
              <w:jc w:val="right"/>
              <w:rPr>
                <w:rFonts w:ascii="Times New Roman" w:hAnsi="Times New Roman" w:cs="Times New Roman" w:eastAsia="Times New Roman" w:hint="default"/>
                <w:sz w:val="20"/>
                <w:szCs w:val="20"/>
              </w:rPr>
            </w:pPr>
            <w:r>
              <w:rPr>
                <w:rFonts w:ascii="Times New Roman"/>
                <w:w w:val="95"/>
                <w:sz w:val="20"/>
              </w:rPr>
              <w:t>14,919,342.12</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2.57%</w:t>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0"/>
        <w:jc w:val="left"/>
      </w:pPr>
      <w:r>
        <w:rPr/>
        <w:t>公司报告期内盈利且母公司可供普通股股东分配利润为正但未提出普通股现金红利分配预案</w:t>
      </w:r>
    </w:p>
    <w:p>
      <w:pPr>
        <w:pStyle w:val="BodyText"/>
        <w:spacing w:line="290" w:lineRule="auto" w:before="78"/>
        <w:ind w:left="573" w:right="0" w:firstLine="75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w w:val="100"/>
        </w:rPr>
        <w:t> </w:t>
      </w:r>
      <w:r>
        <w:rPr/>
        <w:t>经大华审计，</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年度（母）公司净亏损</w:t>
      </w:r>
      <w:r>
        <w:rPr>
          <w:spacing w:val="-56"/>
        </w:rPr>
        <w:t> </w:t>
      </w:r>
      <w:r>
        <w:rPr>
          <w:rFonts w:ascii="Times New Roman" w:hAnsi="Times New Roman" w:cs="Times New Roman" w:eastAsia="Times New Roman" w:hint="default"/>
        </w:rPr>
        <w:t>36,843,507.22</w:t>
      </w:r>
      <w:r>
        <w:rPr>
          <w:rFonts w:ascii="Times New Roman" w:hAnsi="Times New Roman" w:cs="Times New Roman" w:eastAsia="Times New Roman" w:hint="default"/>
          <w:spacing w:val="-4"/>
        </w:rPr>
        <w:t> </w:t>
      </w:r>
      <w:r>
        <w:rPr/>
        <w:t>元，不提取法定公积金，加上年初未分配利</w:t>
      </w:r>
    </w:p>
    <w:p>
      <w:pPr>
        <w:pStyle w:val="BodyText"/>
        <w:spacing w:line="263" w:lineRule="exact"/>
        <w:ind w:right="0"/>
        <w:jc w:val="left"/>
      </w:pPr>
      <w:r>
        <w:rPr/>
        <w:t>润</w:t>
      </w:r>
      <w:r>
        <w:rPr>
          <w:spacing w:val="-55"/>
        </w:rPr>
        <w:t> </w:t>
      </w:r>
      <w:r>
        <w:rPr>
          <w:rFonts w:ascii="Times New Roman" w:hAnsi="Times New Roman" w:cs="Times New Roman" w:eastAsia="Times New Roman" w:hint="default"/>
        </w:rPr>
        <w:t>119,641,194.91</w:t>
      </w:r>
      <w:r>
        <w:rPr>
          <w:rFonts w:ascii="Times New Roman" w:hAnsi="Times New Roman" w:cs="Times New Roman" w:eastAsia="Times New Roman" w:hint="default"/>
          <w:spacing w:val="-5"/>
        </w:rPr>
        <w:t> </w:t>
      </w:r>
      <w:r>
        <w:rPr/>
        <w:t>元，减去当年分配上年股利</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元，再减去会计政策变更调整</w:t>
      </w:r>
      <w:r>
        <w:rPr>
          <w:spacing w:val="-55"/>
        </w:rPr>
        <w:t> </w:t>
      </w:r>
      <w:r>
        <w:rPr>
          <w:rFonts w:ascii="Times New Roman" w:hAnsi="Times New Roman" w:cs="Times New Roman" w:eastAsia="Times New Roman" w:hint="default"/>
        </w:rPr>
        <w:t>9,537,699.45</w:t>
      </w:r>
      <w:r>
        <w:rPr>
          <w:rFonts w:ascii="Times New Roman" w:hAnsi="Times New Roman" w:cs="Times New Roman" w:eastAsia="Times New Roman" w:hint="default"/>
          <w:spacing w:val="-4"/>
        </w:rPr>
        <w:t> </w:t>
      </w:r>
      <w:r>
        <w:rPr/>
        <w:t>元，年末可供</w:t>
      </w:r>
    </w:p>
    <w:p>
      <w:pPr>
        <w:pStyle w:val="BodyText"/>
        <w:spacing w:line="240" w:lineRule="auto" w:before="21"/>
        <w:ind w:right="0"/>
        <w:jc w:val="left"/>
      </w:pPr>
      <w:r>
        <w:rPr/>
        <w:t>分配利润为</w:t>
      </w:r>
      <w:r>
        <w:rPr>
          <w:spacing w:val="-52"/>
        </w:rPr>
        <w:t> </w:t>
      </w:r>
      <w:r>
        <w:rPr>
          <w:rFonts w:ascii="Times New Roman" w:hAnsi="Times New Roman" w:cs="Times New Roman" w:eastAsia="Times New Roman" w:hint="default"/>
        </w:rPr>
        <w:t>73,259,988.24</w:t>
      </w:r>
      <w:r>
        <w:rPr>
          <w:rFonts w:ascii="Times New Roman" w:hAnsi="Times New Roman" w:cs="Times New Roman" w:eastAsia="Times New Roman" w:hint="default"/>
          <w:spacing w:val="-3"/>
        </w:rPr>
        <w:t> </w:t>
      </w:r>
      <w:r>
        <w:rPr/>
        <w:t>元。</w:t>
      </w:r>
    </w:p>
    <w:p>
      <w:pPr>
        <w:pStyle w:val="BodyText"/>
        <w:spacing w:line="256" w:lineRule="auto" w:before="62"/>
        <w:ind w:right="1206" w:firstLine="420"/>
        <w:jc w:val="left"/>
      </w:pPr>
      <w:r>
        <w:rPr/>
        <w:t>根据公司业务发展需要，为满足经营资金需求，公司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年度未提出现金红利分配预案。公司未分</w:t>
      </w:r>
      <w:r>
        <w:rPr>
          <w:w w:val="100"/>
        </w:rPr>
        <w:t> </w:t>
      </w:r>
      <w:r>
        <w:rPr/>
        <w:t>配利润将用于补充营运资金以及项目投资。</w:t>
      </w:r>
    </w:p>
    <w:p>
      <w:pPr>
        <w:spacing w:line="240" w:lineRule="auto" w:before="11"/>
        <w:rPr>
          <w:rFonts w:ascii="宋体" w:hAnsi="宋体" w:cs="宋体" w:eastAsia="宋体" w:hint="default"/>
          <w:sz w:val="16"/>
          <w:szCs w:val="16"/>
        </w:rPr>
      </w:pPr>
    </w:p>
    <w:p>
      <w:pPr>
        <w:tabs>
          <w:tab w:pos="8189" w:val="left" w:leader="none"/>
        </w:tabs>
        <w:spacing w:line="410" w:lineRule="auto" w:before="0"/>
        <w:ind w:left="573" w:right="1131" w:hanging="421"/>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4"/>
          <w:szCs w:val="24"/>
        </w:rPr>
        <w:t>二、本报告期利润分配及资本公积金转增股本情况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1"/>
          <w:szCs w:val="21"/>
        </w:rPr>
        <w:t>公司计划</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年度不派发现金红利，不送红股，不以公积金转增股本。</w:t>
      </w:r>
    </w:p>
    <w:p>
      <w:pPr>
        <w:spacing w:after="0" w:line="410" w:lineRule="auto"/>
        <w:jc w:val="left"/>
        <w:rPr>
          <w:rFonts w:ascii="宋体" w:hAnsi="宋体" w:cs="宋体" w:eastAsia="宋体" w:hint="default"/>
          <w:sz w:val="21"/>
          <w:szCs w:val="21"/>
        </w:rPr>
        <w:sectPr>
          <w:pgSz w:w="11910" w:h="16840"/>
          <w:pgMar w:header="877" w:footer="979" w:top="1100" w:bottom="1160" w:left="980" w:right="0"/>
        </w:sectPr>
      </w:pPr>
    </w:p>
    <w:p>
      <w:pPr>
        <w:pStyle w:val="Heading2"/>
        <w:spacing w:line="369" w:lineRule="exact"/>
        <w:ind w:left="140" w:right="7717"/>
        <w:jc w:val="left"/>
        <w:rPr>
          <w:b w:val="0"/>
          <w:bCs w:val="0"/>
        </w:rPr>
      </w:pPr>
      <w:r>
        <w:rPr/>
        <w:pict>
          <v:group style="position:absolute;margin-left:70.559998pt;margin-top:2.202064pt;width:700.95pt;height:.1pt;mso-position-horizontal-relative:page;mso-position-vertical-relative:paragraph;z-index:-1331344" coordorigin="1411,44" coordsize="14019,2">
            <v:shape style="position:absolute;left:1411;top:44;width:14019;height:2" coordorigin="1411,44" coordsize="14019,0" path="m1411,44l15430,44e" filled="false" stroked="true" strokeweight=".72pt" strokecolor="#000000">
              <v:path arrowok="t"/>
            </v:shape>
            <w10:wrap type="none"/>
          </v:group>
        </w:pict>
      </w:r>
      <w:r>
        <w:rPr/>
        <w:t>三、承诺事项履行情况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tabs>
          <w:tab w:pos="12494" w:val="left" w:leader="none"/>
        </w:tabs>
        <w:spacing w:line="240" w:lineRule="auto"/>
        <w:ind w:left="140" w:right="0"/>
        <w:jc w:val="left"/>
        <w:rPr>
          <w:rFonts w:ascii="宋体" w:hAnsi="宋体" w:cs="宋体" w:eastAsia="宋体" w:hint="default"/>
          <w:b w:val="0"/>
          <w:bCs w:val="0"/>
        </w:rPr>
      </w:pPr>
      <w:r>
        <w:rPr>
          <w:rFonts w:ascii="Times New Roman" w:hAnsi="Times New Roman" w:cs="Times New Roman" w:eastAsia="Times New Roman" w:hint="default"/>
          <w:spacing w:val="-2"/>
        </w:rPr>
        <w:t>1</w:t>
      </w:r>
      <w:r>
        <w:rPr>
          <w:spacing w:val="-2"/>
        </w:rPr>
        <w:t>、公司实际控制人、股东、关联方、收购人以及公司等承诺相关方在报告期内履行完毕及截至报告期末尚未履行完毕的承诺事项</w:t>
        <w:tab/>
      </w:r>
      <w:r>
        <w:rPr>
          <w:rFonts w:ascii="Times New Roman" w:hAnsi="Times New Roman" w:cs="Times New Roman" w:eastAsia="Times New Roman" w:hint="default"/>
          <w:b w:val="0"/>
          <w:bCs w:val="0"/>
        </w:rPr>
        <w:t>√  </w:t>
      </w:r>
      <w:r>
        <w:rPr>
          <w:rFonts w:ascii="宋体" w:hAnsi="宋体" w:cs="宋体" w:eastAsia="宋体" w:hint="default"/>
          <w:b w:val="0"/>
          <w:bCs w:val="0"/>
          <w:spacing w:val="-2"/>
        </w:rPr>
        <w:t>适用</w:t>
      </w:r>
      <w:r>
        <w:rPr>
          <w:rFonts w:ascii="宋体" w:hAnsi="宋体" w:cs="宋体" w:eastAsia="宋体" w:hint="default"/>
          <w:b w:val="0"/>
          <w:bCs w:val="0"/>
        </w:rPr>
        <w:t> </w:t>
      </w:r>
      <w:r>
        <w:rPr>
          <w:rFonts w:ascii="Times New Roman" w:hAnsi="Times New Roman" w:cs="Times New Roman" w:eastAsia="Times New Roman" w:hint="default"/>
          <w:b w:val="0"/>
          <w:bCs w:val="0"/>
        </w:rPr>
        <w:t>□ </w:t>
      </w:r>
      <w:r>
        <w:rPr>
          <w:rFonts w:ascii="Times New Roman" w:hAnsi="Times New Roman" w:cs="Times New Roman" w:eastAsia="Times New Roman" w:hint="default"/>
          <w:b w:val="0"/>
          <w:bCs w:val="0"/>
          <w:spacing w:val="3"/>
        </w:rPr>
        <w:t> </w:t>
      </w:r>
      <w:r>
        <w:rPr>
          <w:rFonts w:ascii="宋体" w:hAnsi="宋体" w:cs="宋体" w:eastAsia="宋体" w:hint="default"/>
          <w:b w:val="0"/>
          <w:bCs w:val="0"/>
          <w:spacing w:val="-1"/>
        </w:rPr>
        <w:t>不适用</w:t>
      </w:r>
    </w:p>
    <w:p>
      <w:pPr>
        <w:spacing w:line="240" w:lineRule="auto" w:before="1"/>
        <w:rPr>
          <w:rFonts w:ascii="宋体" w:hAnsi="宋体" w:cs="宋体" w:eastAsia="宋体" w:hint="default"/>
          <w:sz w:val="25"/>
          <w:szCs w:val="25"/>
        </w:rPr>
      </w:pPr>
    </w:p>
    <w:tbl>
      <w:tblPr>
        <w:tblW w:w="0" w:type="auto"/>
        <w:jc w:val="left"/>
        <w:tblInd w:w="168" w:type="dxa"/>
        <w:tblLayout w:type="fixed"/>
        <w:tblCellMar>
          <w:top w:w="0" w:type="dxa"/>
          <w:left w:w="0" w:type="dxa"/>
          <w:bottom w:w="0" w:type="dxa"/>
          <w:right w:w="0" w:type="dxa"/>
        </w:tblCellMar>
        <w:tblLook w:val="01E0"/>
      </w:tblPr>
      <w:tblGrid>
        <w:gridCol w:w="536"/>
        <w:gridCol w:w="1133"/>
        <w:gridCol w:w="566"/>
        <w:gridCol w:w="8649"/>
        <w:gridCol w:w="991"/>
        <w:gridCol w:w="994"/>
        <w:gridCol w:w="1136"/>
      </w:tblGrid>
      <w:tr>
        <w:trPr>
          <w:trHeight w:val="713" w:hRule="exact"/>
        </w:trPr>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50" w:right="5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事由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69" w:right="62"/>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2"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375" w:hRule="exact"/>
        </w:trPr>
        <w:tc>
          <w:tcPr>
            <w:tcW w:w="536"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本人未来不会直接或间接从事与公司的主营业务构成或可能构成竞争的业务。</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649"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1" w:right="20"/>
              <w:jc w:val="left"/>
              <w:rPr>
                <w:rFonts w:ascii="宋体" w:hAnsi="宋体" w:cs="宋体" w:eastAsia="宋体" w:hint="default"/>
                <w:sz w:val="21"/>
                <w:szCs w:val="21"/>
              </w:rPr>
            </w:pPr>
            <w:r>
              <w:rPr>
                <w:rFonts w:ascii="宋体" w:hAnsi="宋体" w:cs="宋体" w:eastAsia="宋体" w:hint="default"/>
                <w:spacing w:val="3"/>
                <w:sz w:val="21"/>
                <w:szCs w:val="21"/>
              </w:rPr>
              <w:t>凤凰财智、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杜力、张巍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3" w:right="108"/>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9" w:lineRule="auto" w:before="11"/>
              <w:ind w:left="23" w:right="14"/>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、本企业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本人不会利用对公司的控制权干涉公司的生产经营活动，对于任何与公司主营业务</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构成实质竞争的业务或业务机会，本企业将采取一切措施促使该业务或业务机会按合理和公平</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8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22"/>
              <w:jc w:val="center"/>
              <w:rPr>
                <w:rFonts w:ascii="宋体" w:hAnsi="宋体" w:cs="宋体" w:eastAsia="宋体" w:hint="default"/>
                <w:sz w:val="21"/>
                <w:szCs w:val="21"/>
              </w:rPr>
            </w:pPr>
            <w:r>
              <w:rPr>
                <w:rFonts w:ascii="宋体" w:hAnsi="宋体" w:cs="宋体" w:eastAsia="宋体" w:hint="default"/>
                <w:sz w:val="21"/>
                <w:szCs w:val="21"/>
              </w:rPr>
              <w:t>正常履行中</w:t>
            </w:r>
          </w:p>
        </w:tc>
      </w:tr>
      <w:tr>
        <w:trPr>
          <w:trHeight w:val="354"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的条件由公司优先开展。</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、在公司今后的经营活动中，本企业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本人及控制的其他企业将尽最大的努力减少或避免与公</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27"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司之间的关联交易行为。</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、若本企业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本人及控制的其他企业与公司发生无法避免的关联交易，则此种关联交易须遵循</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53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1" w:right="0"/>
              <w:jc w:val="left"/>
              <w:rPr>
                <w:rFonts w:ascii="宋体" w:hAnsi="宋体" w:cs="宋体" w:eastAsia="宋体" w:hint="default"/>
                <w:sz w:val="21"/>
                <w:szCs w:val="21"/>
              </w:rPr>
            </w:pPr>
            <w:r>
              <w:rPr>
                <w:rFonts w:ascii="宋体" w:hAnsi="宋体" w:cs="宋体" w:eastAsia="宋体" w:hint="default"/>
                <w:sz w:val="21"/>
                <w:szCs w:val="21"/>
              </w:rPr>
              <w:t>收购</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3" w:lineRule="auto" w:before="19"/>
              <w:ind w:left="21" w:right="20"/>
              <w:jc w:val="left"/>
              <w:rPr>
                <w:rFonts w:ascii="宋体" w:hAnsi="宋体" w:cs="宋体" w:eastAsia="宋体" w:hint="default"/>
                <w:sz w:val="21"/>
                <w:szCs w:val="21"/>
              </w:rPr>
            </w:pPr>
            <w:r>
              <w:rPr>
                <w:rFonts w:ascii="宋体" w:hAnsi="宋体" w:cs="宋体" w:eastAsia="宋体" w:hint="default"/>
                <w:spacing w:val="3"/>
                <w:sz w:val="21"/>
                <w:szCs w:val="21"/>
              </w:rPr>
              <w:t>凤凰财智、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杜力、张巍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73" w:lineRule="auto" w:before="19"/>
              <w:ind w:left="23" w:right="108"/>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3" w:lineRule="auto" w:before="19"/>
              <w:ind w:left="23" w:right="15"/>
              <w:jc w:val="left"/>
              <w:rPr>
                <w:rFonts w:ascii="宋体" w:hAnsi="宋体" w:cs="宋体" w:eastAsia="宋体" w:hint="default"/>
                <w:sz w:val="21"/>
                <w:szCs w:val="21"/>
              </w:rPr>
            </w:pPr>
            <w:r>
              <w:rPr>
                <w:rFonts w:ascii="宋体" w:hAnsi="宋体" w:cs="宋体" w:eastAsia="宋体" w:hint="default"/>
                <w:spacing w:val="-2"/>
                <w:sz w:val="21"/>
                <w:szCs w:val="21"/>
              </w:rPr>
              <w:t>正常商业行为准则，遵循公开、公平、公正的市场定价原则，不要求或接受公司以低于市场价</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或公司给予其他任何第三方的价格向本企业及控制的其他企业销售货物或提供劳务，不以高于</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22"/>
              <w:jc w:val="center"/>
              <w:rPr>
                <w:rFonts w:ascii="宋体" w:hAnsi="宋体" w:cs="宋体" w:eastAsia="宋体" w:hint="default"/>
                <w:sz w:val="21"/>
                <w:szCs w:val="21"/>
              </w:rPr>
            </w:pPr>
            <w:r>
              <w:rPr>
                <w:rFonts w:ascii="宋体" w:hAnsi="宋体" w:cs="宋体" w:eastAsia="宋体" w:hint="default"/>
                <w:sz w:val="21"/>
                <w:szCs w:val="21"/>
              </w:rPr>
              <w:t>正常履行中</w:t>
            </w: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Style w:val="TableParagraph"/>
              <w:spacing w:line="217" w:lineRule="exact"/>
              <w:ind w:right="58"/>
              <w:jc w:val="center"/>
              <w:rPr>
                <w:rFonts w:ascii="宋体" w:hAnsi="宋体" w:cs="宋体" w:eastAsia="宋体" w:hint="default"/>
                <w:sz w:val="21"/>
                <w:szCs w:val="21"/>
              </w:rPr>
            </w:pPr>
            <w:r>
              <w:rPr>
                <w:rFonts w:ascii="宋体" w:hAnsi="宋体" w:cs="宋体" w:eastAsia="宋体" w:hint="default"/>
                <w:sz w:val="21"/>
                <w:szCs w:val="21"/>
              </w:rPr>
              <w:t>书或</w:t>
            </w: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市场价或本企业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本人及控制的其他企业给予任何第三方的价格向公司销售货物或提供劳务。</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740" w:hRule="exact"/>
        </w:trPr>
        <w:tc>
          <w:tcPr>
            <w:tcW w:w="536" w:type="dxa"/>
            <w:vMerge w:val="restart"/>
            <w:tcBorders>
              <w:top w:val="nil" w:sz="6" w:space="0" w:color="auto"/>
              <w:left w:val="single" w:sz="4" w:space="0" w:color="000000"/>
              <w:right w:val="single" w:sz="4" w:space="0" w:color="000000"/>
            </w:tcBorders>
          </w:tcPr>
          <w:p>
            <w:pPr>
              <w:pStyle w:val="TableParagraph"/>
              <w:spacing w:line="217" w:lineRule="exact"/>
              <w:ind w:left="21"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3" w:lineRule="auto" w:before="37"/>
              <w:ind w:left="21" w:right="81"/>
              <w:jc w:val="both"/>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书中</w:t>
            </w: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56" w:lineRule="auto" w:before="58"/>
              <w:ind w:left="23" w:right="17"/>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、除非凤凰财智不再为公司控股股东，本承诺始终为有效之承诺。本企业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本人同意对因未履</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行上述承诺而给公司造成的一切损失承担赔偿责任。</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432" w:hRule="exact"/>
        </w:trPr>
        <w:tc>
          <w:tcPr>
            <w:tcW w:w="536" w:type="dxa"/>
            <w:vMerge/>
            <w:tcBorders>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、保证公司人员独立</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8"/>
              <w:jc w:val="center"/>
              <w:rPr>
                <w:rFonts w:ascii="宋体" w:hAnsi="宋体" w:cs="宋体" w:eastAsia="宋体" w:hint="default"/>
                <w:sz w:val="21"/>
                <w:szCs w:val="21"/>
              </w:rPr>
            </w:pPr>
            <w:r>
              <w:rPr>
                <w:rFonts w:ascii="宋体" w:hAnsi="宋体" w:cs="宋体" w:eastAsia="宋体" w:hint="default"/>
                <w:sz w:val="21"/>
                <w:szCs w:val="21"/>
              </w:rPr>
              <w:t>所作</w:t>
            </w: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）保证公司的生产经营与行政管理（包括劳动、人事及工资管理等）完全独立于凤凰财智</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1921" w:hRule="exact"/>
        </w:trPr>
        <w:tc>
          <w:tcPr>
            <w:tcW w:w="5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58"/>
              <w:jc w:val="center"/>
              <w:rPr>
                <w:rFonts w:ascii="宋体" w:hAnsi="宋体" w:cs="宋体" w:eastAsia="宋体" w:hint="default"/>
                <w:sz w:val="21"/>
                <w:szCs w:val="21"/>
              </w:rPr>
            </w:pPr>
            <w:r>
              <w:rPr>
                <w:rFonts w:ascii="宋体" w:hAnsi="宋体" w:cs="宋体" w:eastAsia="宋体" w:hint="default"/>
                <w:sz w:val="21"/>
                <w:szCs w:val="21"/>
              </w:rPr>
              <w:t>承诺</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73" w:lineRule="auto"/>
              <w:ind w:left="21" w:right="20"/>
              <w:jc w:val="left"/>
              <w:rPr>
                <w:rFonts w:ascii="宋体" w:hAnsi="宋体" w:cs="宋体" w:eastAsia="宋体" w:hint="default"/>
                <w:sz w:val="21"/>
                <w:szCs w:val="21"/>
              </w:rPr>
            </w:pPr>
            <w:r>
              <w:rPr>
                <w:rFonts w:ascii="宋体" w:hAnsi="宋体" w:cs="宋体" w:eastAsia="宋体" w:hint="default"/>
                <w:spacing w:val="3"/>
                <w:sz w:val="21"/>
                <w:szCs w:val="21"/>
              </w:rPr>
              <w:t>凤凰财智、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杜力、张巍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73" w:lineRule="auto" w:before="151"/>
              <w:ind w:left="23" w:right="108"/>
              <w:jc w:val="both"/>
              <w:rPr>
                <w:rFonts w:ascii="宋体" w:hAnsi="宋体" w:cs="宋体" w:eastAsia="宋体" w:hint="default"/>
                <w:sz w:val="21"/>
                <w:szCs w:val="21"/>
              </w:rPr>
            </w:pPr>
            <w:r>
              <w:rPr>
                <w:rFonts w:ascii="宋体" w:hAnsi="宋体" w:cs="宋体" w:eastAsia="宋体" w:hint="default"/>
                <w:sz w:val="21"/>
                <w:szCs w:val="21"/>
              </w:rPr>
              <w:t>保持</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性</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spacing w:val="-8"/>
                <w:w w:val="100"/>
                <w:sz w:val="21"/>
                <w:szCs w:val="21"/>
              </w:rPr>
              <w:t>）</w:t>
            </w:r>
            <w:r>
              <w:rPr>
                <w:rFonts w:ascii="宋体" w:hAnsi="宋体" w:cs="宋体" w:eastAsia="宋体" w:hint="default"/>
                <w:w w:val="100"/>
                <w:sz w:val="21"/>
                <w:szCs w:val="21"/>
              </w:rPr>
              <w:t>保</w:t>
            </w:r>
            <w:r>
              <w:rPr>
                <w:rFonts w:ascii="宋体" w:hAnsi="宋体" w:cs="宋体" w:eastAsia="宋体" w:hint="default"/>
                <w:spacing w:val="-3"/>
                <w:w w:val="100"/>
                <w:sz w:val="21"/>
                <w:szCs w:val="21"/>
              </w:rPr>
              <w:t>证</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宋体" w:hAnsi="宋体" w:cs="宋体" w:eastAsia="宋体" w:hint="default"/>
                <w:w w:val="100"/>
                <w:sz w:val="21"/>
                <w:szCs w:val="21"/>
              </w:rPr>
              <w:t>的</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事及</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严</w:t>
            </w:r>
            <w:r>
              <w:rPr>
                <w:rFonts w:ascii="宋体" w:hAnsi="宋体" w:cs="宋体" w:eastAsia="宋体" w:hint="default"/>
                <w:w w:val="100"/>
                <w:sz w:val="21"/>
                <w:szCs w:val="21"/>
              </w:rPr>
              <w:t>格</w:t>
            </w:r>
            <w:r>
              <w:rPr>
                <w:rFonts w:ascii="宋体" w:hAnsi="宋体" w:cs="宋体" w:eastAsia="宋体" w:hint="default"/>
                <w:spacing w:val="-3"/>
                <w:w w:val="100"/>
                <w:sz w:val="21"/>
                <w:szCs w:val="21"/>
              </w:rPr>
              <w:t>按</w:t>
            </w:r>
            <w:r>
              <w:rPr>
                <w:rFonts w:ascii="宋体" w:hAnsi="宋体" w:cs="宋体" w:eastAsia="宋体" w:hint="default"/>
                <w:spacing w:val="-5"/>
                <w:w w:val="100"/>
                <w:sz w:val="21"/>
                <w:szCs w:val="21"/>
              </w:rPr>
              <w:t>照</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华</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共</w:t>
            </w:r>
            <w:r>
              <w:rPr>
                <w:rFonts w:ascii="宋体" w:hAnsi="宋体" w:cs="宋体" w:eastAsia="宋体" w:hint="default"/>
                <w:w w:val="100"/>
                <w:sz w:val="21"/>
                <w:szCs w:val="21"/>
              </w:rPr>
              <w:t>和</w:t>
            </w:r>
            <w:r>
              <w:rPr>
                <w:rFonts w:ascii="宋体" w:hAnsi="宋体" w:cs="宋体" w:eastAsia="宋体" w:hint="default"/>
                <w:spacing w:val="-3"/>
                <w:w w:val="100"/>
                <w:sz w:val="21"/>
                <w:szCs w:val="21"/>
              </w:rPr>
              <w:t>国</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w w:val="100"/>
                <w:sz w:val="21"/>
                <w:szCs w:val="21"/>
              </w:rPr>
              <w:t>的</w:t>
            </w:r>
          </w:p>
          <w:p>
            <w:pPr>
              <w:pStyle w:val="TableParagraph"/>
              <w:spacing w:line="273" w:lineRule="auto" w:before="21"/>
              <w:ind w:left="23" w:right="15"/>
              <w:jc w:val="both"/>
              <w:rPr>
                <w:rFonts w:ascii="宋体" w:hAnsi="宋体" w:cs="宋体" w:eastAsia="宋体" w:hint="default"/>
                <w:sz w:val="21"/>
                <w:szCs w:val="21"/>
              </w:rPr>
            </w:pPr>
            <w:r>
              <w:rPr>
                <w:rFonts w:ascii="宋体" w:hAnsi="宋体" w:cs="宋体" w:eastAsia="宋体" w:hint="default"/>
                <w:spacing w:val="-2"/>
                <w:sz w:val="21"/>
                <w:szCs w:val="21"/>
              </w:rPr>
              <w:t>有关规定选举产生；保证凤凰财智推荐出任公司董事、监事和高级管理人员的人选都通过合法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的程序产生，本企业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本人不干预公司董事会、监事会和股东大会已经做出的人事任免决定。</w:t>
            </w:r>
          </w:p>
          <w:p>
            <w:pPr>
              <w:pStyle w:val="TableParagraph"/>
              <w:spacing w:line="256" w:lineRule="auto" w:before="30"/>
              <w:ind w:left="23" w:right="-34"/>
              <w:jc w:val="both"/>
              <w:rPr>
                <w:rFonts w:ascii="宋体" w:hAnsi="宋体" w:cs="宋体" w:eastAsia="宋体" w:hint="default"/>
                <w:sz w:val="21"/>
                <w:szCs w:val="21"/>
              </w:rPr>
            </w:pP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）保证公司的总经理、副总经理、财务负责人、董事会秘书等高级管理人员在公司专职工作，</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不在本企业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凤凰财智及本人控制的其他企业担任除董事、监事以外的职务，不会在本企业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w:t>
            </w:r>
            <w:r>
              <w:rPr>
                <w:rFonts w:ascii="宋体" w:hAnsi="宋体" w:cs="宋体" w:eastAsia="宋体" w:hint="default"/>
                <w:spacing w:val="-30"/>
                <w:sz w:val="21"/>
                <w:szCs w:val="21"/>
              </w:rPr>
              <w:t> </w:t>
            </w:r>
            <w:r>
              <w:rPr>
                <w:rFonts w:ascii="宋体" w:hAnsi="宋体" w:cs="宋体" w:eastAsia="宋体" w:hint="default"/>
                <w:sz w:val="21"/>
                <w:szCs w:val="21"/>
              </w:rPr>
              <w:t>凰财智及本人控制的其他企业领薪。</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正常履行中</w:t>
            </w:r>
          </w:p>
        </w:tc>
      </w:tr>
      <w:tr>
        <w:trPr>
          <w:trHeight w:val="357"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）保证公司的财务人员独立，不在凤凰财智兼职和领取报酬。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70" w:hRule="exact"/>
        </w:trPr>
        <w:tc>
          <w:tcPr>
            <w:tcW w:w="53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、保证公司资产独立完整</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67" w:footer="980" w:top="1060" w:bottom="1160" w:left="1300" w:right="1240"/>
          <w:pgNumType w:start="36"/>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536"/>
        <w:gridCol w:w="1133"/>
        <w:gridCol w:w="566"/>
        <w:gridCol w:w="8649"/>
        <w:gridCol w:w="991"/>
        <w:gridCol w:w="994"/>
        <w:gridCol w:w="1136"/>
      </w:tblGrid>
      <w:tr>
        <w:trPr>
          <w:trHeight w:val="341" w:hRule="exact"/>
        </w:trPr>
        <w:tc>
          <w:tcPr>
            <w:tcW w:w="53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566" w:type="dxa"/>
            <w:vMerge w:val="restart"/>
            <w:tcBorders>
              <w:top w:val="single" w:sz="15" w:space="0" w:color="000000"/>
              <w:left w:val="single" w:sz="4" w:space="0" w:color="000000"/>
              <w:right w:val="single" w:sz="4" w:space="0" w:color="000000"/>
            </w:tcBorders>
          </w:tcPr>
          <w:p>
            <w:pPr/>
          </w:p>
        </w:tc>
        <w:tc>
          <w:tcPr>
            <w:tcW w:w="8649" w:type="dxa"/>
            <w:tcBorders>
              <w:top w:val="single" w:sz="15" w:space="0" w:color="000000"/>
              <w:left w:val="single" w:sz="4" w:space="0" w:color="000000"/>
              <w:bottom w:val="nil" w:sz="6" w:space="0" w:color="auto"/>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）保证公司具有独立完整的资产，公司的资产全部处于公司的控制之下，并为公司独立拥有</w:t>
            </w:r>
          </w:p>
        </w:tc>
        <w:tc>
          <w:tcPr>
            <w:tcW w:w="991" w:type="dxa"/>
            <w:tcBorders>
              <w:top w:val="single" w:sz="15" w:space="0" w:color="000000"/>
              <w:left w:val="single" w:sz="4" w:space="0" w:color="000000"/>
              <w:bottom w:val="nil" w:sz="6" w:space="0" w:color="auto"/>
              <w:right w:val="single" w:sz="4" w:space="0" w:color="000000"/>
            </w:tcBorders>
          </w:tcPr>
          <w:p>
            <w:pPr/>
          </w:p>
        </w:tc>
        <w:tc>
          <w:tcPr>
            <w:tcW w:w="994" w:type="dxa"/>
            <w:vMerge w:val="restart"/>
            <w:tcBorders>
              <w:top w:val="single" w:sz="15" w:space="0" w:color="000000"/>
              <w:left w:val="single" w:sz="4" w:space="0" w:color="000000"/>
              <w:right w:val="single" w:sz="4" w:space="0" w:color="000000"/>
            </w:tcBorders>
          </w:tcPr>
          <w:p>
            <w:pPr/>
          </w:p>
        </w:tc>
        <w:tc>
          <w:tcPr>
            <w:tcW w:w="1136" w:type="dxa"/>
            <w:vMerge w:val="restart"/>
            <w:tcBorders>
              <w:top w:val="single" w:sz="15" w:space="0" w:color="000000"/>
              <w:left w:val="single" w:sz="4" w:space="0" w:color="000000"/>
              <w:right w:val="single" w:sz="4" w:space="0" w:color="000000"/>
            </w:tcBorders>
          </w:tcPr>
          <w:p>
            <w:pPr/>
          </w:p>
        </w:tc>
      </w:tr>
      <w:tr>
        <w:trPr>
          <w:trHeight w:val="325"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和运营。</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）保证本企业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凤凰财智及本人控制的其他企业不以任何方式违法违规占有公司的资金、资</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9"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、保证公司的财务独立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）保证公司建立独立的财务部门和独立的财务核算体系。</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）保证公司具有规范、独立的财务会计制度和对分公司、子公司的财务管理制度。</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3"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）保证公司保持自己独立的银行帐户，不与本企业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凤凰财智及本人控制的其他企业共用银</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行账户。</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）保证公司依法独立纳税。</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1"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）保证公司能够独立作出财务决策，本企业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凤凰财智及本人控制的其他企业不干预公司的</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资金使用调度。</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9"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、保证公司机构独立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）保证公司的机构设置独立于本企业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凤凰财智及本人控制的其他企业，并能独立自主地运</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26"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作。</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8"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）保证公司办公机构和生产经营场所与本企业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凤凰财智及本人控制的其他企业分开；</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）保证公司董事会、监事会以及各职能部门独立运作，不存在与本企业</w:t>
            </w:r>
            <w:r>
              <w:rPr>
                <w:rFonts w:ascii="Times New Roman" w:hAnsi="Times New Roman" w:cs="Times New Roman" w:eastAsia="Times New Roman" w:hint="default"/>
                <w:sz w:val="21"/>
                <w:szCs w:val="21"/>
              </w:rPr>
              <w:t>/</w:t>
            </w:r>
            <w:r>
              <w:rPr>
                <w:rFonts w:ascii="宋体" w:hAnsi="宋体" w:cs="宋体" w:eastAsia="宋体" w:hint="default"/>
                <w:sz w:val="21"/>
                <w:szCs w:val="21"/>
              </w:rPr>
              <w:t>凤凰财智及本人控</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制的其他企业职能部门之间的从属关系。</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、保证公司业务独立。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1"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）保证公司拥有独立开展经营活动的资产、人员、资质和能力，公司具有面向市场独立自主</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经营的能力。</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9"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）保证凤凰财智除通过行使股东权利之外，不对公司的业务活动进行干预。</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spacing w:val="-3"/>
                <w:w w:val="100"/>
                <w:sz w:val="21"/>
                <w:szCs w:val="21"/>
              </w:rPr>
              <w:t>）</w:t>
            </w:r>
            <w:r>
              <w:rPr>
                <w:rFonts w:ascii="宋体" w:hAnsi="宋体" w:cs="宋体" w:eastAsia="宋体" w:hint="default"/>
                <w:w w:val="100"/>
                <w:sz w:val="21"/>
                <w:szCs w:val="21"/>
              </w:rPr>
              <w:t>保</w:t>
            </w:r>
            <w:r>
              <w:rPr>
                <w:rFonts w:ascii="宋体" w:hAnsi="宋体" w:cs="宋体" w:eastAsia="宋体" w:hint="default"/>
                <w:spacing w:val="-3"/>
                <w:w w:val="100"/>
                <w:sz w:val="21"/>
                <w:szCs w:val="21"/>
              </w:rPr>
              <w:t>证</w:t>
            </w:r>
            <w:r>
              <w:rPr>
                <w:rFonts w:ascii="宋体" w:hAnsi="宋体" w:cs="宋体" w:eastAsia="宋体" w:hint="default"/>
                <w:w w:val="100"/>
                <w:sz w:val="21"/>
                <w:szCs w:val="21"/>
              </w:rPr>
              <w:t>本</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Times New Roman" w:hAnsi="Times New Roman" w:cs="Times New Roman" w:eastAsia="Times New Roman" w:hint="default"/>
                <w:spacing w:val="-2"/>
                <w:w w:val="100"/>
                <w:sz w:val="21"/>
                <w:szCs w:val="21"/>
              </w:rPr>
              <w:t>/</w:t>
            </w:r>
            <w:r>
              <w:rPr>
                <w:rFonts w:ascii="宋体" w:hAnsi="宋体" w:cs="宋体" w:eastAsia="宋体" w:hint="default"/>
                <w:w w:val="100"/>
                <w:sz w:val="21"/>
                <w:szCs w:val="21"/>
              </w:rPr>
              <w:t>凤</w:t>
            </w:r>
            <w:r>
              <w:rPr>
                <w:rFonts w:ascii="宋体" w:hAnsi="宋体" w:cs="宋体" w:eastAsia="宋体" w:hint="default"/>
                <w:spacing w:val="-3"/>
                <w:w w:val="100"/>
                <w:sz w:val="21"/>
                <w:szCs w:val="21"/>
              </w:rPr>
              <w:t>凰财</w:t>
            </w:r>
            <w:r>
              <w:rPr>
                <w:rFonts w:ascii="宋体" w:hAnsi="宋体" w:cs="宋体" w:eastAsia="宋体" w:hint="default"/>
                <w:w w:val="100"/>
                <w:sz w:val="21"/>
                <w:szCs w:val="21"/>
              </w:rPr>
              <w:t>智及</w:t>
            </w:r>
            <w:r>
              <w:rPr>
                <w:rFonts w:ascii="宋体" w:hAnsi="宋体" w:cs="宋体" w:eastAsia="宋体" w:hint="default"/>
                <w:spacing w:val="-3"/>
                <w:w w:val="100"/>
                <w:sz w:val="21"/>
                <w:szCs w:val="21"/>
              </w:rPr>
              <w:t>本</w:t>
            </w:r>
            <w:r>
              <w:rPr>
                <w:rFonts w:ascii="宋体" w:hAnsi="宋体" w:cs="宋体" w:eastAsia="宋体" w:hint="default"/>
                <w:w w:val="100"/>
                <w:sz w:val="21"/>
                <w:szCs w:val="21"/>
              </w:rPr>
              <w:t>人</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的</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不从</w:t>
            </w:r>
            <w:r>
              <w:rPr>
                <w:rFonts w:ascii="宋体" w:hAnsi="宋体" w:cs="宋体" w:eastAsia="宋体" w:hint="default"/>
                <w:spacing w:val="-3"/>
                <w:w w:val="100"/>
                <w:sz w:val="21"/>
                <w:szCs w:val="21"/>
              </w:rPr>
              <w:t>事</w:t>
            </w:r>
            <w:r>
              <w:rPr>
                <w:rFonts w:ascii="宋体" w:hAnsi="宋体" w:cs="宋体" w:eastAsia="宋体" w:hint="default"/>
                <w:spacing w:val="-1"/>
                <w:w w:val="100"/>
                <w:sz w:val="21"/>
                <w:szCs w:val="21"/>
              </w:rPr>
              <w:t>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相</w:t>
            </w:r>
            <w:r>
              <w:rPr>
                <w:rFonts w:ascii="宋体" w:hAnsi="宋体" w:cs="宋体" w:eastAsia="宋体" w:hint="default"/>
                <w:w w:val="100"/>
                <w:sz w:val="21"/>
                <w:szCs w:val="21"/>
              </w:rPr>
              <w:t>竞</w:t>
            </w:r>
            <w:r>
              <w:rPr>
                <w:rFonts w:ascii="宋体" w:hAnsi="宋体" w:cs="宋体" w:eastAsia="宋体" w:hint="default"/>
                <w:spacing w:val="-3"/>
                <w:w w:val="100"/>
                <w:sz w:val="21"/>
                <w:szCs w:val="21"/>
              </w:rPr>
              <w:t>争</w:t>
            </w:r>
            <w:r>
              <w:rPr>
                <w:rFonts w:ascii="宋体" w:hAnsi="宋体" w:cs="宋体" w:eastAsia="宋体" w:hint="default"/>
                <w:w w:val="100"/>
                <w:sz w:val="21"/>
                <w:szCs w:val="21"/>
              </w:rPr>
              <w:t>的</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1"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）保证尽可能避免或减少公司与本企业</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凤凰财智及本人控制的其他企业间的持续性关联交易</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1" w:hRule="exact"/>
        </w:trPr>
        <w:tc>
          <w:tcPr>
            <w:tcW w:w="53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对于无法避免的关联交易将本着</w:t>
            </w:r>
            <w:r>
              <w:rPr>
                <w:rFonts w:ascii="Times New Roman" w:hAnsi="Times New Roman" w:cs="Times New Roman" w:eastAsia="Times New Roman" w:hint="default"/>
                <w:sz w:val="21"/>
                <w:szCs w:val="21"/>
              </w:rPr>
              <w:t>“</w:t>
            </w:r>
            <w:r>
              <w:rPr>
                <w:rFonts w:ascii="宋体" w:hAnsi="宋体" w:cs="宋体" w:eastAsia="宋体" w:hint="default"/>
                <w:sz w:val="21"/>
                <w:szCs w:val="21"/>
              </w:rPr>
              <w:t>公平、公正、公开</w:t>
            </w:r>
            <w:r>
              <w:rPr>
                <w:rFonts w:ascii="Times New Roman" w:hAnsi="Times New Roman" w:cs="Times New Roman" w:eastAsia="Times New Roman" w:hint="default"/>
                <w:sz w:val="21"/>
                <w:szCs w:val="21"/>
              </w:rPr>
              <w:t>”</w:t>
            </w:r>
            <w:r>
              <w:rPr>
                <w:rFonts w:ascii="宋体" w:hAnsi="宋体" w:cs="宋体" w:eastAsia="宋体" w:hint="default"/>
                <w:sz w:val="21"/>
                <w:szCs w:val="21"/>
              </w:rPr>
              <w:t>的原则依法进行。</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r>
      <w:tr>
        <w:trPr>
          <w:trHeight w:val="1027" w:hRule="exact"/>
        </w:trPr>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1" w:right="81"/>
              <w:jc w:val="both"/>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重组</w:t>
            </w:r>
            <w:r>
              <w:rPr>
                <w:rFonts w:ascii="宋体" w:hAnsi="宋体" w:cs="宋体" w:eastAsia="宋体" w:hint="default"/>
                <w:spacing w:val="-103"/>
                <w:sz w:val="21"/>
                <w:szCs w:val="21"/>
              </w:rPr>
              <w:t> </w:t>
            </w:r>
            <w:r>
              <w:rPr>
                <w:rFonts w:ascii="宋体" w:hAnsi="宋体" w:cs="宋体" w:eastAsia="宋体" w:hint="default"/>
                <w:sz w:val="21"/>
                <w:szCs w:val="21"/>
              </w:rPr>
              <w:t>时所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1" w:right="20"/>
              <w:jc w:val="both"/>
              <w:rPr>
                <w:rFonts w:ascii="宋体" w:hAnsi="宋体" w:cs="宋体" w:eastAsia="宋体" w:hint="default"/>
                <w:sz w:val="21"/>
                <w:szCs w:val="21"/>
              </w:rPr>
            </w:pPr>
            <w:r>
              <w:rPr>
                <w:rFonts w:ascii="宋体" w:hAnsi="宋体" w:cs="宋体" w:eastAsia="宋体" w:hint="default"/>
                <w:spacing w:val="3"/>
                <w:sz w:val="21"/>
                <w:szCs w:val="21"/>
              </w:rPr>
              <w:t>前海发展、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前海远大、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凤凰财鑫、</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3" w:right="10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8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本公司认购的上市公司所有股份自上市首日起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个月内不得转让。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6"/>
              <w:jc w:val="both"/>
              <w:rPr>
                <w:rFonts w:ascii="宋体" w:hAnsi="宋体" w:cs="宋体" w:eastAsia="宋体" w:hint="default"/>
                <w:sz w:val="21"/>
                <w:szCs w:val="21"/>
              </w:rPr>
            </w:pPr>
            <w:r>
              <w:rPr>
                <w:rFonts w:ascii="宋体" w:hAnsi="宋体" w:cs="宋体" w:eastAsia="宋体" w:hint="default"/>
                <w:sz w:val="21"/>
                <w:szCs w:val="21"/>
              </w:rPr>
              <w:t>正常履行，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报告期承诺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到期。</w:t>
            </w:r>
          </w:p>
        </w:tc>
      </w:tr>
    </w:tbl>
    <w:p>
      <w:pPr>
        <w:spacing w:after="0" w:line="273" w:lineRule="auto"/>
        <w:jc w:val="both"/>
        <w:rPr>
          <w:rFonts w:ascii="宋体" w:hAnsi="宋体" w:cs="宋体" w:eastAsia="宋体" w:hint="default"/>
          <w:sz w:val="21"/>
          <w:szCs w:val="21"/>
        </w:rPr>
        <w:sectPr>
          <w:pgSz w:w="16840" w:h="11910" w:orient="landscape"/>
          <w:pgMar w:header="867" w:footer="980" w:top="1060" w:bottom="1240" w:left="136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536"/>
        <w:gridCol w:w="1133"/>
        <w:gridCol w:w="566"/>
        <w:gridCol w:w="8649"/>
        <w:gridCol w:w="991"/>
        <w:gridCol w:w="994"/>
        <w:gridCol w:w="1136"/>
      </w:tblGrid>
      <w:tr>
        <w:trPr>
          <w:trHeight w:val="335" w:hRule="exact"/>
        </w:trPr>
        <w:tc>
          <w:tcPr>
            <w:tcW w:w="536" w:type="dxa"/>
            <w:tcBorders>
              <w:top w:val="single" w:sz="15" w:space="0" w:color="000000"/>
              <w:left w:val="single" w:sz="4" w:space="0" w:color="000000"/>
              <w:bottom w:val="nil" w:sz="6" w:space="0" w:color="auto"/>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作承</w:t>
            </w:r>
          </w:p>
        </w:tc>
        <w:tc>
          <w:tcPr>
            <w:tcW w:w="1133" w:type="dxa"/>
            <w:tcBorders>
              <w:top w:val="single" w:sz="15" w:space="0" w:color="000000"/>
              <w:left w:val="single" w:sz="4" w:space="0" w:color="000000"/>
              <w:bottom w:val="nil" w:sz="6" w:space="0" w:color="auto"/>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西藏迅杰、</w:t>
            </w:r>
          </w:p>
        </w:tc>
        <w:tc>
          <w:tcPr>
            <w:tcW w:w="566" w:type="dxa"/>
            <w:vMerge w:val="restart"/>
            <w:tcBorders>
              <w:top w:val="single" w:sz="15" w:space="0" w:color="000000"/>
              <w:left w:val="single" w:sz="4" w:space="0" w:color="000000"/>
              <w:right w:val="single" w:sz="4" w:space="0" w:color="000000"/>
            </w:tcBorders>
          </w:tcPr>
          <w:p>
            <w:pPr/>
          </w:p>
        </w:tc>
        <w:tc>
          <w:tcPr>
            <w:tcW w:w="8649" w:type="dxa"/>
            <w:vMerge w:val="restart"/>
            <w:tcBorders>
              <w:top w:val="single" w:sz="15" w:space="0" w:color="000000"/>
              <w:left w:val="single" w:sz="4" w:space="0" w:color="000000"/>
              <w:right w:val="single" w:sz="4" w:space="0" w:color="000000"/>
            </w:tcBorders>
          </w:tcPr>
          <w:p>
            <w:pPr/>
          </w:p>
        </w:tc>
        <w:tc>
          <w:tcPr>
            <w:tcW w:w="991" w:type="dxa"/>
            <w:vMerge w:val="restart"/>
            <w:tcBorders>
              <w:top w:val="single" w:sz="15" w:space="0" w:color="000000"/>
              <w:left w:val="single" w:sz="4" w:space="0" w:color="000000"/>
              <w:right w:val="single" w:sz="4" w:space="0" w:color="000000"/>
            </w:tcBorders>
          </w:tcPr>
          <w:p>
            <w:pPr/>
          </w:p>
        </w:tc>
        <w:tc>
          <w:tcPr>
            <w:tcW w:w="994" w:type="dxa"/>
            <w:vMerge w:val="restart"/>
            <w:tcBorders>
              <w:top w:val="single" w:sz="15" w:space="0" w:color="000000"/>
              <w:left w:val="single" w:sz="4" w:space="0" w:color="000000"/>
              <w:right w:val="single" w:sz="4" w:space="0" w:color="000000"/>
            </w:tcBorders>
          </w:tcPr>
          <w:p>
            <w:pPr/>
          </w:p>
        </w:tc>
        <w:tc>
          <w:tcPr>
            <w:tcW w:w="1136" w:type="dxa"/>
            <w:vMerge w:val="restart"/>
            <w:tcBorders>
              <w:top w:val="single" w:sz="15" w:space="0" w:color="000000"/>
              <w:left w:val="single" w:sz="4" w:space="0" w:color="000000"/>
              <w:right w:val="single" w:sz="4" w:space="0" w:color="000000"/>
            </w:tcBorders>
          </w:tcPr>
          <w:p>
            <w:pPr/>
          </w:p>
        </w:tc>
      </w:tr>
      <w:tr>
        <w:trPr>
          <w:trHeight w:val="354" w:hRule="exact"/>
        </w:trPr>
        <w:tc>
          <w:tcPr>
            <w:tcW w:w="53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诺</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北京岫晞</w:t>
            </w:r>
          </w:p>
        </w:tc>
        <w:tc>
          <w:tcPr>
            <w:tcW w:w="566" w:type="dxa"/>
            <w:vMerge/>
            <w:tcBorders>
              <w:left w:val="single" w:sz="4" w:space="0" w:color="000000"/>
              <w:bottom w:val="single" w:sz="4" w:space="0" w:color="000000"/>
              <w:right w:val="single" w:sz="4" w:space="0" w:color="000000"/>
            </w:tcBorders>
          </w:tcPr>
          <w:p>
            <w:pPr/>
          </w:p>
        </w:tc>
        <w:tc>
          <w:tcPr>
            <w:tcW w:w="864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r>
      <w:tr>
        <w:trPr>
          <w:trHeight w:val="359"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84"/>
              <w:jc w:val="center"/>
              <w:rPr>
                <w:rFonts w:ascii="宋体" w:hAnsi="宋体" w:cs="宋体" w:eastAsia="宋体" w:hint="default"/>
                <w:sz w:val="21"/>
                <w:szCs w:val="21"/>
              </w:rPr>
            </w:pPr>
            <w:r>
              <w:rPr>
                <w:rFonts w:ascii="宋体" w:hAnsi="宋体" w:cs="宋体" w:eastAsia="宋体" w:hint="default"/>
                <w:sz w:val="21"/>
                <w:szCs w:val="21"/>
              </w:rPr>
              <w:t>业绩</w:t>
            </w:r>
          </w:p>
        </w:tc>
        <w:tc>
          <w:tcPr>
            <w:tcW w:w="11769" w:type="dxa"/>
            <w:gridSpan w:val="4"/>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1" w:right="0"/>
              <w:jc w:val="left"/>
              <w:rPr>
                <w:rFonts w:ascii="宋体" w:hAnsi="宋体" w:cs="宋体" w:eastAsia="宋体" w:hint="default"/>
                <w:sz w:val="21"/>
                <w:szCs w:val="21"/>
              </w:rPr>
            </w:pPr>
            <w:r>
              <w:rPr>
                <w:rFonts w:ascii="宋体" w:hAnsi="宋体" w:cs="宋体" w:eastAsia="宋体" w:hint="default"/>
                <w:sz w:val="21"/>
                <w:szCs w:val="21"/>
              </w:rPr>
              <w:t>雪松信托</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补偿</w:t>
            </w:r>
          </w:p>
        </w:tc>
        <w:tc>
          <w:tcPr>
            <w:tcW w:w="11769"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57"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84"/>
              <w:jc w:val="center"/>
              <w:rPr>
                <w:rFonts w:ascii="宋体" w:hAnsi="宋体" w:cs="宋体" w:eastAsia="宋体" w:hint="default"/>
                <w:sz w:val="21"/>
                <w:szCs w:val="21"/>
              </w:rPr>
            </w:pPr>
            <w:r>
              <w:rPr>
                <w:rFonts w:ascii="宋体" w:hAnsi="宋体" w:cs="宋体" w:eastAsia="宋体" w:hint="default"/>
                <w:sz w:val="21"/>
                <w:szCs w:val="21"/>
              </w:rPr>
              <w:t>安排</w:t>
            </w:r>
          </w:p>
        </w:tc>
        <w:tc>
          <w:tcPr>
            <w:tcW w:w="11769" w:type="dxa"/>
            <w:gridSpan w:val="4"/>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、截至本声明及承诺函出具之日，本单位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本人及本单位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本人控制的其他企业未从事与上市公</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26"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司及其控股子公司所从事的业务构成或可能构成直接利益冲突的竞争性经营活动。</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本</w:t>
            </w:r>
            <w:r>
              <w:rPr>
                <w:rFonts w:ascii="宋体" w:hAnsi="宋体" w:cs="宋体" w:eastAsia="宋体" w:hint="default"/>
                <w:spacing w:val="-3"/>
                <w:w w:val="100"/>
                <w:sz w:val="21"/>
                <w:szCs w:val="21"/>
              </w:rPr>
              <w:t>单</w:t>
            </w:r>
            <w:r>
              <w:rPr>
                <w:rFonts w:ascii="宋体" w:hAnsi="宋体" w:cs="宋体" w:eastAsia="宋体" w:hint="default"/>
                <w:spacing w:val="-1"/>
                <w:w w:val="100"/>
                <w:sz w:val="21"/>
                <w:szCs w:val="21"/>
              </w:rPr>
              <w:t>位</w:t>
            </w:r>
            <w:r>
              <w:rPr>
                <w:rFonts w:ascii="Times New Roman" w:hAnsi="Times New Roman" w:cs="Times New Roman" w:eastAsia="Times New Roman" w:hint="default"/>
                <w:spacing w:val="-2"/>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或</w:t>
            </w:r>
            <w:r>
              <w:rPr>
                <w:rFonts w:ascii="宋体" w:hAnsi="宋体" w:cs="宋体" w:eastAsia="宋体" w:hint="default"/>
                <w:spacing w:val="-3"/>
                <w:w w:val="100"/>
                <w:sz w:val="21"/>
                <w:szCs w:val="21"/>
              </w:rPr>
              <w:t>本</w:t>
            </w:r>
            <w:r>
              <w:rPr>
                <w:rFonts w:ascii="宋体" w:hAnsi="宋体" w:cs="宋体" w:eastAsia="宋体" w:hint="default"/>
                <w:w w:val="100"/>
                <w:sz w:val="21"/>
                <w:szCs w:val="21"/>
              </w:rPr>
              <w:t>单位</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本人</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的</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期</w:t>
            </w:r>
            <w:r>
              <w:rPr>
                <w:rFonts w:ascii="宋体" w:hAnsi="宋体" w:cs="宋体" w:eastAsia="宋体" w:hint="default"/>
                <w:w w:val="100"/>
                <w:sz w:val="21"/>
                <w:szCs w:val="21"/>
              </w:rPr>
              <w:t>间</w:t>
            </w:r>
            <w:r>
              <w:rPr>
                <w:rFonts w:ascii="宋体" w:hAnsi="宋体" w:cs="宋体" w:eastAsia="宋体" w:hint="default"/>
                <w:spacing w:val="-3"/>
                <w:w w:val="100"/>
                <w:sz w:val="21"/>
                <w:szCs w:val="21"/>
              </w:rPr>
              <w:t>及</w:t>
            </w:r>
            <w:r>
              <w:rPr>
                <w:rFonts w:ascii="宋体" w:hAnsi="宋体" w:cs="宋体" w:eastAsia="宋体" w:hint="default"/>
                <w:w w:val="100"/>
                <w:sz w:val="21"/>
                <w:szCs w:val="21"/>
              </w:rPr>
              <w:t>转</w:t>
            </w:r>
            <w:r>
              <w:rPr>
                <w:rFonts w:ascii="宋体" w:hAnsi="宋体" w:cs="宋体" w:eastAsia="宋体" w:hint="default"/>
                <w:spacing w:val="-3"/>
                <w:w w:val="100"/>
                <w:sz w:val="21"/>
                <w:szCs w:val="21"/>
              </w:rPr>
              <w:t>让</w:t>
            </w:r>
            <w:r>
              <w:rPr>
                <w:rFonts w:ascii="宋体" w:hAnsi="宋体" w:cs="宋体" w:eastAsia="宋体" w:hint="default"/>
                <w:w w:val="100"/>
                <w:sz w:val="21"/>
                <w:szCs w:val="21"/>
              </w:rPr>
              <w:t>完</w:t>
            </w:r>
            <w:r>
              <w:rPr>
                <w:rFonts w:ascii="宋体" w:hAnsi="宋体" w:cs="宋体" w:eastAsia="宋体" w:hint="default"/>
                <w:spacing w:val="-3"/>
                <w:w w:val="100"/>
                <w:sz w:val="21"/>
                <w:szCs w:val="21"/>
              </w:rPr>
              <w:t>毕</w:t>
            </w:r>
            <w:r>
              <w:rPr>
                <w:rFonts w:ascii="宋体" w:hAnsi="宋体" w:cs="宋体" w:eastAsia="宋体" w:hint="default"/>
                <w:w w:val="100"/>
                <w:sz w:val="21"/>
                <w:szCs w:val="21"/>
              </w:rPr>
              <w:t>本单位</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或本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本人控制的企业持有的上市公司股份之后一年内，本单位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本人控制的企业</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不直接或间接从事或发展与上市公司及其控股子公司经营范围相同或相类似的业务或项目，也</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不为本单位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本人或代表任何第三方成立、发展、参与、协助任何企业与上市公司进行直接或间</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凤凰财智、</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杜力、张巍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同业</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竞争</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auto"/>
              <w:ind w:left="23" w:right="15"/>
              <w:jc w:val="left"/>
              <w:rPr>
                <w:rFonts w:ascii="宋体" w:hAnsi="宋体" w:cs="宋体" w:eastAsia="宋体" w:hint="default"/>
                <w:sz w:val="21"/>
                <w:szCs w:val="21"/>
              </w:rPr>
            </w:pPr>
            <w:r>
              <w:rPr>
                <w:rFonts w:ascii="宋体" w:hAnsi="宋体" w:cs="宋体" w:eastAsia="宋体" w:hint="default"/>
                <w:spacing w:val="-4"/>
                <w:sz w:val="21"/>
                <w:szCs w:val="21"/>
              </w:rPr>
              <w:t>接的竞争；本单位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本人不利用从上市公司处获取的信息从事、直接或间接参与与上市公司相竞</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争的活动；在可能与上市公司存在竞争的业务领域中出现新的发展机会时，给予上市公司优先</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46"/>
              <w:jc w:val="right"/>
              <w:rPr>
                <w:rFonts w:ascii="宋体" w:hAnsi="宋体" w:cs="宋体" w:eastAsia="宋体" w:hint="default"/>
                <w:sz w:val="21"/>
                <w:szCs w:val="21"/>
              </w:rPr>
            </w:pPr>
            <w:r>
              <w:rPr>
                <w:rFonts w:ascii="宋体" w:hAnsi="宋体" w:cs="宋体" w:eastAsia="宋体" w:hint="default"/>
                <w:spacing w:val="-1"/>
                <w:sz w:val="21"/>
                <w:szCs w:val="21"/>
              </w:rPr>
              <w:t>正常履行中</w:t>
            </w:r>
          </w:p>
        </w:tc>
      </w:tr>
      <w:tr>
        <w:trPr>
          <w:trHeight w:val="318"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发展权；如上市公司经营的业务与本单位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本人以及受本单位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本人控制的任何其他企业或其他</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关联公司构成或可能构成实质性竞争，本单位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本人同意上市公司有权以公平合理的价格优先收</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购本单位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本人在该企业或其他关联公司中的全部股权或其他权益，或如上市公司决定不予收购</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的，本单位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本人同意在合理期限内清理、注销该等同类营业或将资产转给其他非关联方；本单</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本人不进行任何损害或可能损害上市公司利益的其他竞争行为。本单位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本人愿意承担因违</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反上述承诺给上市公司造成的全部经济损失。</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、对于未来可能的关联交易，本单位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本人将善意履行作为上市公司实际控制人的义务，不利</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用本单位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本人的控制地位，就上市公司与本单位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本人控制的其他企业相关的任</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何关联交易采取任何行动，故意促使上市公司的股东大会或董事会做出损害上市公司和其他股</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995"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3" w:lineRule="auto" w:before="162"/>
              <w:ind w:left="21" w:right="20"/>
              <w:jc w:val="left"/>
              <w:rPr>
                <w:rFonts w:ascii="宋体" w:hAnsi="宋体" w:cs="宋体" w:eastAsia="宋体" w:hint="default"/>
                <w:sz w:val="21"/>
                <w:szCs w:val="21"/>
              </w:rPr>
            </w:pPr>
            <w:r>
              <w:rPr>
                <w:rFonts w:ascii="宋体" w:hAnsi="宋体" w:cs="宋体" w:eastAsia="宋体" w:hint="default"/>
                <w:spacing w:val="3"/>
                <w:sz w:val="21"/>
                <w:szCs w:val="21"/>
              </w:rPr>
              <w:t>凤凰财智、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杜力、张巍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73" w:lineRule="auto" w:before="162"/>
              <w:ind w:left="23" w:right="108"/>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东合法权益的决议。</w:t>
            </w:r>
          </w:p>
          <w:p>
            <w:pPr>
              <w:pStyle w:val="TableParagraph"/>
              <w:spacing w:line="256" w:lineRule="auto" w:before="76"/>
              <w:ind w:left="23" w:right="1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本人及本单位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本人的关联方不以任何方式违法违规占用上市公司资金及要求上市公</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司违法违规提供担保。</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pacing w:val="-1"/>
                <w:sz w:val="21"/>
                <w:szCs w:val="21"/>
              </w:rPr>
              <w:t>正常履行中</w:t>
            </w:r>
          </w:p>
        </w:tc>
      </w:tr>
      <w:tr>
        <w:trPr>
          <w:trHeight w:val="338"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、如果上市公司与本单位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本人及本单位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本人控制的其他企业发生无法避免或有合理原因的关</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联交易，则本单位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本人承诺将促使上述关联交易遵循市场公正、公平、公开的原则，依照正常</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53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商业条件进行。本单位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本人将不会要求，也不会接受上市公司给予优于其在一项市场公平交易</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6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536"/>
        <w:gridCol w:w="1133"/>
        <w:gridCol w:w="566"/>
        <w:gridCol w:w="8649"/>
        <w:gridCol w:w="991"/>
        <w:gridCol w:w="994"/>
        <w:gridCol w:w="1136"/>
      </w:tblGrid>
      <w:tr>
        <w:trPr>
          <w:trHeight w:val="354" w:hRule="exact"/>
        </w:trPr>
        <w:tc>
          <w:tcPr>
            <w:tcW w:w="53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566" w:type="dxa"/>
            <w:vMerge w:val="restart"/>
            <w:tcBorders>
              <w:top w:val="single" w:sz="15" w:space="0" w:color="000000"/>
              <w:left w:val="single" w:sz="4" w:space="0" w:color="000000"/>
              <w:right w:val="single" w:sz="4" w:space="0" w:color="000000"/>
            </w:tcBorders>
          </w:tcPr>
          <w:p>
            <w:pPr/>
          </w:p>
        </w:tc>
        <w:tc>
          <w:tcPr>
            <w:tcW w:w="8649" w:type="dxa"/>
            <w:tcBorders>
              <w:top w:val="single" w:sz="15" w:space="0" w:color="000000"/>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中向第三方给予的交易条件。</w:t>
            </w:r>
          </w:p>
        </w:tc>
        <w:tc>
          <w:tcPr>
            <w:tcW w:w="991" w:type="dxa"/>
            <w:vMerge w:val="restart"/>
            <w:tcBorders>
              <w:top w:val="single" w:sz="15" w:space="0" w:color="000000"/>
              <w:left w:val="single" w:sz="4" w:space="0" w:color="000000"/>
              <w:right w:val="single" w:sz="4" w:space="0" w:color="000000"/>
            </w:tcBorders>
          </w:tcPr>
          <w:p>
            <w:pPr/>
          </w:p>
        </w:tc>
        <w:tc>
          <w:tcPr>
            <w:tcW w:w="994" w:type="dxa"/>
            <w:vMerge w:val="restart"/>
            <w:tcBorders>
              <w:top w:val="single" w:sz="15" w:space="0" w:color="000000"/>
              <w:left w:val="single" w:sz="4" w:space="0" w:color="000000"/>
              <w:right w:val="single" w:sz="4" w:space="0" w:color="000000"/>
            </w:tcBorders>
          </w:tcPr>
          <w:p>
            <w:pPr/>
          </w:p>
        </w:tc>
        <w:tc>
          <w:tcPr>
            <w:tcW w:w="1136" w:type="dxa"/>
            <w:vMerge w:val="restart"/>
            <w:tcBorders>
              <w:top w:val="single" w:sz="15" w:space="0" w:color="000000"/>
              <w:left w:val="single" w:sz="4" w:space="0" w:color="000000"/>
              <w:right w:val="single" w:sz="4" w:space="0" w:color="000000"/>
            </w:tcBorders>
          </w:tcPr>
          <w:p>
            <w:pPr/>
          </w:p>
        </w:tc>
      </w:tr>
      <w:tr>
        <w:trPr>
          <w:trHeight w:val="33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本人将严格遵守和执行上市公司关联交易管理制度的各项规定，如有违反以上承诺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1"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及上市公司关联交易管理制度而给上市公司造成损失的情形，将依法承担相应责任。</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r>
      <w:tr>
        <w:trPr>
          <w:trHeight w:val="364" w:hRule="exact"/>
        </w:trPr>
        <w:tc>
          <w:tcPr>
            <w:tcW w:w="536"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、截至本声明与承诺函出具之日，除国盛证券外，本公司及本公司控制的其他企业未从事与上</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25"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市公司及其控股子公司所从事的业务构成或可能构成直接利益冲突的竞争性经营活动。</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、本次交易实施完毕后，本公司及本公司控制的企业与上市公司、国盛证券及上市公司其它控</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股子公司不会构成直接或间接同业竞争关系。</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、在作为上市公司股东期间及转让完毕本公司持有的上市公司股份之后一年内，本公司及本公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司控制的企业不直接或间接从事或发展与上市公司、国盛证券及上市公司其他控股子公司经营</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1" w:lineRule="auto" w:before="104"/>
              <w:ind w:left="21" w:right="20"/>
              <w:jc w:val="left"/>
              <w:rPr>
                <w:rFonts w:ascii="宋体" w:hAnsi="宋体" w:cs="宋体" w:eastAsia="宋体" w:hint="default"/>
                <w:sz w:val="21"/>
                <w:szCs w:val="21"/>
              </w:rPr>
            </w:pPr>
            <w:r>
              <w:rPr>
                <w:rFonts w:ascii="宋体" w:hAnsi="宋体" w:cs="宋体" w:eastAsia="宋体" w:hint="default"/>
                <w:spacing w:val="3"/>
                <w:sz w:val="21"/>
                <w:szCs w:val="21"/>
              </w:rPr>
              <w:t>雪松信托、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赣粤高速</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71" w:lineRule="auto" w:before="104"/>
              <w:ind w:left="23" w:right="108"/>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范围相同或相类似的业务或项目，也不为本公司或代表任何第三方成立、发展、参与、协助任</w:t>
            </w:r>
          </w:p>
          <w:p>
            <w:pPr>
              <w:pStyle w:val="TableParagraph"/>
              <w:spacing w:line="273" w:lineRule="auto" w:before="37"/>
              <w:ind w:left="23" w:right="14"/>
              <w:jc w:val="left"/>
              <w:rPr>
                <w:rFonts w:ascii="宋体" w:hAnsi="宋体" w:cs="宋体" w:eastAsia="宋体" w:hint="default"/>
                <w:sz w:val="21"/>
                <w:szCs w:val="21"/>
              </w:rPr>
            </w:pPr>
            <w:r>
              <w:rPr>
                <w:rFonts w:ascii="宋体" w:hAnsi="宋体" w:cs="宋体" w:eastAsia="宋体" w:hint="default"/>
                <w:spacing w:val="-2"/>
                <w:sz w:val="21"/>
                <w:szCs w:val="21"/>
              </w:rPr>
              <w:t>何企业与上市公司进行直接或间接的竞争；本公司不利用从上市公司处获取的信息从事、直接</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或间接参与与上市公司相竞争的活动；在可能与上市公司存在竞争的业务领域中出现新的发展</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正常履行中</w:t>
            </w: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机会时，给予上市公司优先发展权；如上市公司经营的业务与本公司以及受本公司控制的任何</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其他企业或其他关联公司构成或可能构成实质性竞争，本公司同意上市公司有权以公平合理的</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价格优先收购本公司在该企业或其他关联公司中的全部股权或其他权益，或如上市公司决定不</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予收购的，本公司同意在合理期限内清理、注销该等同类营业或将资产转给其他非关联方；本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公司不进行任何损害或可能损害上市公司利益的其他竞争行为。本公司愿意承担因违反上述承</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诺给上市公司造成的全部经济损失。</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536"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、对于未来可能的关联交易，本公司将善意履行作为上市公司股东的义务，不利用本公司的股</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东地位，就上市公司与本公司及本公司控制的企业相关的任何关联交易采取任何行动，故意促</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61"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使上市公司的股东大会或董事会做出损害上市公司和其他股东合法权益的决议。</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4" w:right="0"/>
              <w:jc w:val="left"/>
              <w:rPr>
                <w:rFonts w:ascii="宋体" w:hAnsi="宋体" w:cs="宋体" w:eastAsia="宋体" w:hint="default"/>
                <w:sz w:val="21"/>
                <w:szCs w:val="21"/>
              </w:rPr>
            </w:pPr>
            <w:r>
              <w:rPr>
                <w:rFonts w:ascii="宋体" w:hAnsi="宋体" w:cs="宋体" w:eastAsia="宋体" w:hint="default"/>
                <w:sz w:val="21"/>
                <w:szCs w:val="21"/>
              </w:rPr>
              <w:t>正 常 履</w:t>
            </w:r>
            <w:r>
              <w:rPr>
                <w:rFonts w:ascii="宋体" w:hAnsi="宋体" w:cs="宋体" w:eastAsia="宋体" w:hint="default"/>
                <w:spacing w:val="-77"/>
                <w:sz w:val="21"/>
                <w:szCs w:val="21"/>
              </w:rPr>
              <w:t> </w:t>
            </w:r>
            <w:r>
              <w:rPr>
                <w:rFonts w:ascii="宋体" w:hAnsi="宋体" w:cs="宋体" w:eastAsia="宋体" w:hint="default"/>
                <w:sz w:val="21"/>
                <w:szCs w:val="21"/>
              </w:rPr>
              <w:t>行</w:t>
            </w: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、本公司及本公司的关联方不以任何方式违法违规占用上市公司资金及要求上市公司违法违</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中；截至期</w:t>
            </w:r>
          </w:p>
        </w:tc>
      </w:tr>
      <w:tr>
        <w:trPr>
          <w:trHeight w:val="95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3" w:lineRule="auto" w:before="153"/>
              <w:ind w:left="21" w:right="20"/>
              <w:jc w:val="left"/>
              <w:rPr>
                <w:rFonts w:ascii="宋体" w:hAnsi="宋体" w:cs="宋体" w:eastAsia="宋体" w:hint="default"/>
                <w:sz w:val="21"/>
                <w:szCs w:val="21"/>
              </w:rPr>
            </w:pPr>
            <w:r>
              <w:rPr>
                <w:rFonts w:ascii="宋体" w:hAnsi="宋体" w:cs="宋体" w:eastAsia="宋体" w:hint="default"/>
                <w:spacing w:val="3"/>
                <w:sz w:val="21"/>
                <w:szCs w:val="21"/>
              </w:rPr>
              <w:t>雪松信托、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赣粤高速</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73" w:lineRule="auto" w:before="153"/>
              <w:ind w:left="23" w:right="108"/>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3" w:right="0"/>
              <w:jc w:val="left"/>
              <w:rPr>
                <w:rFonts w:ascii="宋体" w:hAnsi="宋体" w:cs="宋体" w:eastAsia="宋体" w:hint="default"/>
                <w:sz w:val="21"/>
                <w:szCs w:val="21"/>
              </w:rPr>
            </w:pPr>
            <w:r>
              <w:rPr>
                <w:rFonts w:ascii="宋体" w:hAnsi="宋体" w:cs="宋体" w:eastAsia="宋体" w:hint="default"/>
                <w:sz w:val="21"/>
                <w:szCs w:val="21"/>
              </w:rPr>
              <w:t>规提供担保。</w:t>
            </w:r>
          </w:p>
          <w:p>
            <w:pPr>
              <w:pStyle w:val="TableParagraph"/>
              <w:spacing w:line="256" w:lineRule="auto" w:before="78"/>
              <w:ind w:left="23" w:right="1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、如果上市公司与本公司及本公司控制的企业发生无法避免或有合理原因的关联交易，则本公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司承诺将促使上述关联交易遵循市场公正、公平、公开的原则，依照正常商业条件进行。本公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18"/>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末，赣粤高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速不再是持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3"/>
                <w:sz w:val="21"/>
                <w:szCs w:val="21"/>
              </w:rPr>
              <w:t>有公司</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5%</w:t>
            </w: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司将不会要求，也不会接受上市公司给予优于其在一项市场公平交易中向第三方给予的交易条</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以上股份的</w:t>
            </w:r>
          </w:p>
        </w:tc>
      </w:tr>
      <w:tr>
        <w:trPr>
          <w:trHeight w:val="34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件。</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股东。</w:t>
            </w:r>
          </w:p>
        </w:tc>
      </w:tr>
      <w:tr>
        <w:trPr>
          <w:trHeight w:val="33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、本公司将严格遵守和执行上市公司关联交易管理制度的各项规定，如有违反以上承诺及上市</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536" w:type="dxa"/>
            <w:vMerge/>
            <w:tcBorders>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公司关联交易管理制度而给上市公司造成损失的情形，将依法承担相应责任。</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40" w:left="136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536"/>
        <w:gridCol w:w="1133"/>
        <w:gridCol w:w="566"/>
        <w:gridCol w:w="8649"/>
        <w:gridCol w:w="991"/>
        <w:gridCol w:w="994"/>
        <w:gridCol w:w="1136"/>
      </w:tblGrid>
      <w:tr>
        <w:trPr>
          <w:trHeight w:val="380" w:hRule="exact"/>
        </w:trPr>
        <w:tc>
          <w:tcPr>
            <w:tcW w:w="536" w:type="dxa"/>
            <w:vMerge w:val="restart"/>
            <w:tcBorders>
              <w:top w:val="single" w:sz="15" w:space="0" w:color="000000"/>
              <w:left w:val="single" w:sz="4" w:space="0" w:color="000000"/>
              <w:right w:val="single" w:sz="4" w:space="0" w:color="000000"/>
            </w:tcBorders>
          </w:tcPr>
          <w:p>
            <w:pPr/>
          </w:p>
        </w:tc>
        <w:tc>
          <w:tcPr>
            <w:tcW w:w="1133" w:type="dxa"/>
            <w:tcBorders>
              <w:top w:val="single" w:sz="15" w:space="0" w:color="000000"/>
              <w:left w:val="single" w:sz="4" w:space="0" w:color="000000"/>
              <w:bottom w:val="nil" w:sz="6" w:space="0" w:color="auto"/>
              <w:right w:val="single" w:sz="4" w:space="0" w:color="000000"/>
            </w:tcBorders>
          </w:tcPr>
          <w:p>
            <w:pPr/>
          </w:p>
        </w:tc>
        <w:tc>
          <w:tcPr>
            <w:tcW w:w="566" w:type="dxa"/>
            <w:tcBorders>
              <w:top w:val="single" w:sz="15" w:space="0" w:color="000000"/>
              <w:left w:val="single" w:sz="4" w:space="0" w:color="000000"/>
              <w:bottom w:val="nil" w:sz="6" w:space="0" w:color="auto"/>
              <w:right w:val="single" w:sz="4" w:space="0" w:color="000000"/>
            </w:tcBorders>
          </w:tcPr>
          <w:p>
            <w:pPr/>
          </w:p>
        </w:tc>
        <w:tc>
          <w:tcPr>
            <w:tcW w:w="864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、截至本声明与承诺函出具之日，本单位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本公司及本单位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本公司控制的其他企业未从事与上</w:t>
            </w:r>
          </w:p>
        </w:tc>
        <w:tc>
          <w:tcPr>
            <w:tcW w:w="991" w:type="dxa"/>
            <w:tcBorders>
              <w:top w:val="single" w:sz="15" w:space="0" w:color="000000"/>
              <w:left w:val="single" w:sz="4" w:space="0" w:color="000000"/>
              <w:bottom w:val="nil" w:sz="6" w:space="0" w:color="auto"/>
              <w:right w:val="single" w:sz="4" w:space="0" w:color="000000"/>
            </w:tcBorders>
          </w:tcPr>
          <w:p>
            <w:pPr/>
          </w:p>
        </w:tc>
        <w:tc>
          <w:tcPr>
            <w:tcW w:w="994" w:type="dxa"/>
            <w:tcBorders>
              <w:top w:val="single" w:sz="15" w:space="0" w:color="000000"/>
              <w:left w:val="single" w:sz="4" w:space="0" w:color="000000"/>
              <w:bottom w:val="nil" w:sz="6" w:space="0" w:color="auto"/>
              <w:right w:val="single" w:sz="4" w:space="0" w:color="000000"/>
            </w:tcBorders>
          </w:tcPr>
          <w:p>
            <w:pPr/>
          </w:p>
        </w:tc>
        <w:tc>
          <w:tcPr>
            <w:tcW w:w="1136" w:type="dxa"/>
            <w:tcBorders>
              <w:top w:val="single" w:sz="15" w:space="0" w:color="000000"/>
              <w:left w:val="single" w:sz="4" w:space="0" w:color="000000"/>
              <w:bottom w:val="nil" w:sz="6" w:space="0" w:color="auto"/>
              <w:right w:val="single" w:sz="4" w:space="0" w:color="000000"/>
            </w:tcBorders>
          </w:tcPr>
          <w:p>
            <w:pPr/>
          </w:p>
        </w:tc>
      </w:tr>
      <w:tr>
        <w:trPr>
          <w:trHeight w:val="325"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23" w:right="0"/>
              <w:jc w:val="left"/>
              <w:rPr>
                <w:rFonts w:ascii="宋体" w:hAnsi="宋体" w:cs="宋体" w:eastAsia="宋体" w:hint="default"/>
                <w:sz w:val="21"/>
                <w:szCs w:val="21"/>
              </w:rPr>
            </w:pPr>
            <w:r>
              <w:rPr>
                <w:rFonts w:ascii="宋体" w:hAnsi="宋体" w:cs="宋体" w:eastAsia="宋体" w:hint="default"/>
                <w:sz w:val="21"/>
                <w:szCs w:val="21"/>
              </w:rPr>
              <w:t>市公司及其控股子公司所从事的业务构成或可能构成直接利益冲突的竞争性经营活动。</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、本次交易实施完毕后，本单位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本公司及本单位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本公司控制的企业与上市公司、国盛证券及</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上市公司其它控股子公司不会构成直接或间接同业竞争关系。</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、在作为上市公司股东期间及转让完毕本单位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本公司持有的上市公司股份之后一年内，本单</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29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本公司及本单位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本公司控制的企业不直接或间接从事或发展与上市公司、国盛证券及上市</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前海发展、</w:t>
            </w: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公司其他控股子公司经营范围相同或相类似的业务或项目，也不为本单位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本公司或代表任何第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前海远大、</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pacing w:val="3"/>
                <w:sz w:val="21"/>
                <w:szCs w:val="21"/>
              </w:rPr>
              <w:t>凤凰财鑫、</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同业</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竞争</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9" w:lineRule="auto" w:before="1"/>
              <w:ind w:left="23" w:right="14"/>
              <w:jc w:val="left"/>
              <w:rPr>
                <w:rFonts w:ascii="宋体" w:hAnsi="宋体" w:cs="宋体" w:eastAsia="宋体" w:hint="default"/>
                <w:sz w:val="21"/>
                <w:szCs w:val="21"/>
              </w:rPr>
            </w:pPr>
            <w:r>
              <w:rPr>
                <w:rFonts w:ascii="宋体" w:hAnsi="宋体" w:cs="宋体" w:eastAsia="宋体" w:hint="default"/>
                <w:spacing w:val="-4"/>
                <w:sz w:val="21"/>
                <w:szCs w:val="21"/>
              </w:rPr>
              <w:t>三方成立、发展、参与、协助任何企业与上市公司进行直接或间接的竞争；本单位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本公司不利</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用从上市公司处获取的信息从事、直接或间接参与与上市公司相竞争的活动；在可能与上市公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46"/>
              <w:jc w:val="right"/>
              <w:rPr>
                <w:rFonts w:ascii="宋体" w:hAnsi="宋体" w:cs="宋体" w:eastAsia="宋体" w:hint="default"/>
                <w:sz w:val="21"/>
                <w:szCs w:val="21"/>
              </w:rPr>
            </w:pPr>
            <w:r>
              <w:rPr>
                <w:rFonts w:ascii="宋体" w:hAnsi="宋体" w:cs="宋体" w:eastAsia="宋体" w:hint="default"/>
                <w:spacing w:val="-1"/>
                <w:sz w:val="21"/>
                <w:szCs w:val="21"/>
              </w:rPr>
              <w:t>正常履行中</w:t>
            </w:r>
          </w:p>
        </w:tc>
      </w:tr>
      <w:tr>
        <w:trPr>
          <w:trHeight w:val="33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西藏迅杰</w:t>
            </w: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2"/>
                <w:sz w:val="21"/>
                <w:szCs w:val="21"/>
              </w:rPr>
              <w:t>司存在竞争的业务领域中出现新的发展机会时，给予上市公司优先发展权；如上市公司经营的</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业务与本单位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本公司以及受本单位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本公司控制的任何其他企业或其他关联公司构成或可能构</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成实质性竞争，本单位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本公司同意上市公司有权以公平合理的价格优先收购本单位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本公司在</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该企业或其他关联公司中的全部股权或其他权益，或如上市公司决定不予收购的，本单位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司同意在合理期限内清理、注销该等同类营业或将资产转给其他非关联方；本单位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本公司不进</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行任何损害或可能损害上市公司利益的其他竞争行为。本单位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本公司愿意承担因违反上述承诺</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给上市公司造成的全部经济损失。</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65" w:hRule="exact"/>
        </w:trPr>
        <w:tc>
          <w:tcPr>
            <w:tcW w:w="536"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、对于未来可能的关联交易，本单位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本公司将善意履行作为上市公司股东的义务，不利用本</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本公司的股东地位，就上市公司与本单位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本公司控制的企业相关的任何</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关联交易采取任何行动，故意促使上市公司的股东大会或董事会做出损害上市公司和其他股东</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合法权益的决议。</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4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pacing w:val="3"/>
                <w:sz w:val="21"/>
                <w:szCs w:val="21"/>
              </w:rPr>
              <w:t>前海发展、</w:t>
            </w: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本公司及本单位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本公司的关联方不以任何方式违法违规占用上市公司资金及要求上</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649"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1" w:right="20"/>
              <w:jc w:val="left"/>
              <w:rPr>
                <w:rFonts w:ascii="宋体" w:hAnsi="宋体" w:cs="宋体" w:eastAsia="宋体" w:hint="default"/>
                <w:sz w:val="21"/>
                <w:szCs w:val="21"/>
              </w:rPr>
            </w:pPr>
            <w:r>
              <w:rPr>
                <w:rFonts w:ascii="宋体" w:hAnsi="宋体" w:cs="宋体" w:eastAsia="宋体" w:hint="default"/>
                <w:spacing w:val="3"/>
                <w:sz w:val="21"/>
                <w:szCs w:val="21"/>
              </w:rPr>
              <w:t>前海远大、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凤凰财鑫、</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3" w:right="108"/>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市公司违法违规提供担保。</w:t>
            </w:r>
          </w:p>
          <w:p>
            <w:pPr>
              <w:pStyle w:val="TableParagraph"/>
              <w:spacing w:line="240" w:lineRule="auto" w:before="75"/>
              <w:ind w:left="2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、如果上市公司与本单位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本公司及本单位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本公司控制的企业发生无法避免或有合理原因的关</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8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46"/>
              <w:jc w:val="right"/>
              <w:rPr>
                <w:rFonts w:ascii="宋体" w:hAnsi="宋体" w:cs="宋体" w:eastAsia="宋体" w:hint="default"/>
                <w:sz w:val="21"/>
                <w:szCs w:val="21"/>
              </w:rPr>
            </w:pPr>
            <w:r>
              <w:rPr>
                <w:rFonts w:ascii="宋体" w:hAnsi="宋体" w:cs="宋体" w:eastAsia="宋体" w:hint="default"/>
                <w:spacing w:val="-1"/>
                <w:sz w:val="21"/>
                <w:szCs w:val="21"/>
              </w:rPr>
              <w:t>正常履行中</w:t>
            </w:r>
          </w:p>
        </w:tc>
      </w:tr>
      <w:tr>
        <w:trPr>
          <w:trHeight w:val="32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西藏迅杰</w:t>
            </w: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联交易，则本单位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本公司承诺将促使上述关联交易遵循市场公正、公平、公开的原则，依照正</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常商业条件进行。本单位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本公司将不会要求，也不会接受上市公司给予优于其在一项市场公平</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交易中向第三方给予的交易条件。</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本公司将严格遵守和执行上市公司关联交易管理制度的各项规定，如有违反以上承</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诺及上市公司关联交易管理制度而给上市公司造成损失的情形，将依法承担相应责任。</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536"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雪松信托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hAnsi="宋体" w:cs="宋体" w:eastAsia="宋体" w:hint="default"/>
                <w:spacing w:val="-2"/>
                <w:sz w:val="21"/>
                <w:szCs w:val="21"/>
              </w:rPr>
              <w:t>如果因国盛证券在本次交易完成前的房产租赁存在的法律瑕疵，包括但不限于出租人不是所出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right"/>
              <w:rPr>
                <w:rFonts w:ascii="宋体" w:hAnsi="宋体" w:cs="宋体" w:eastAsia="宋体" w:hint="default"/>
                <w:sz w:val="21"/>
                <w:szCs w:val="21"/>
              </w:rPr>
            </w:pPr>
            <w:r>
              <w:rPr>
                <w:rFonts w:ascii="宋体" w:hAnsi="宋体" w:cs="宋体" w:eastAsia="宋体" w:hint="default"/>
                <w:spacing w:val="-1"/>
                <w:sz w:val="21"/>
                <w:szCs w:val="21"/>
              </w:rPr>
              <w:t>正常履行中</w:t>
            </w:r>
          </w:p>
        </w:tc>
      </w:tr>
    </w:tbl>
    <w:p>
      <w:pPr>
        <w:spacing w:after="0" w:line="240" w:lineRule="auto"/>
        <w:jc w:val="right"/>
        <w:rPr>
          <w:rFonts w:ascii="宋体" w:hAnsi="宋体" w:cs="宋体" w:eastAsia="宋体" w:hint="default"/>
          <w:sz w:val="21"/>
          <w:szCs w:val="21"/>
        </w:rPr>
        <w:sectPr>
          <w:footerReference w:type="default" r:id="rId23"/>
          <w:pgSz w:w="16840" w:h="11910" w:orient="landscape"/>
          <w:pgMar w:footer="980" w:header="867" w:top="1060" w:bottom="1240" w:left="1360" w:right="1240"/>
          <w:pgNumType w:start="40"/>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536"/>
        <w:gridCol w:w="1133"/>
        <w:gridCol w:w="566"/>
        <w:gridCol w:w="8649"/>
        <w:gridCol w:w="991"/>
        <w:gridCol w:w="994"/>
        <w:gridCol w:w="1136"/>
      </w:tblGrid>
      <w:tr>
        <w:trPr>
          <w:trHeight w:val="341" w:hRule="exact"/>
        </w:trPr>
        <w:tc>
          <w:tcPr>
            <w:tcW w:w="53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566" w:type="dxa"/>
            <w:vMerge w:val="restart"/>
            <w:tcBorders>
              <w:top w:val="single" w:sz="15" w:space="0" w:color="000000"/>
              <w:left w:val="single" w:sz="4" w:space="0" w:color="000000"/>
              <w:right w:val="single" w:sz="4" w:space="0" w:color="000000"/>
            </w:tcBorders>
          </w:tcPr>
          <w:p>
            <w:pPr/>
          </w:p>
        </w:tc>
        <w:tc>
          <w:tcPr>
            <w:tcW w:w="8649" w:type="dxa"/>
            <w:tcBorders>
              <w:top w:val="single" w:sz="15" w:space="0" w:color="000000"/>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租房产的合法出租方、未能提供租赁房产合法有效权证、未办理租赁备案登记手续、租赁违约</w:t>
            </w:r>
          </w:p>
        </w:tc>
        <w:tc>
          <w:tcPr>
            <w:tcW w:w="991" w:type="dxa"/>
            <w:tcBorders>
              <w:top w:val="single" w:sz="15" w:space="0" w:color="000000"/>
              <w:left w:val="single" w:sz="4" w:space="0" w:color="000000"/>
              <w:bottom w:val="nil" w:sz="6" w:space="0" w:color="auto"/>
              <w:right w:val="single" w:sz="4" w:space="0" w:color="000000"/>
            </w:tcBorders>
          </w:tcPr>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vMerge w:val="restart"/>
            <w:tcBorders>
              <w:top w:val="single" w:sz="15" w:space="0" w:color="000000"/>
              <w:left w:val="single" w:sz="4" w:space="0" w:color="000000"/>
              <w:right w:val="single" w:sz="4" w:space="0" w:color="000000"/>
            </w:tcBorders>
          </w:tcPr>
          <w:p>
            <w:pPr/>
          </w:p>
        </w:tc>
        <w:tc>
          <w:tcPr>
            <w:tcW w:w="1136" w:type="dxa"/>
            <w:vMerge w:val="restart"/>
            <w:tcBorders>
              <w:top w:val="single" w:sz="15" w:space="0" w:color="000000"/>
              <w:left w:val="single" w:sz="4" w:space="0" w:color="000000"/>
              <w:right w:val="single" w:sz="4" w:space="0" w:color="000000"/>
            </w:tcBorders>
          </w:tcPr>
          <w:p>
            <w:pPr/>
          </w:p>
        </w:tc>
      </w:tr>
      <w:tr>
        <w:trPr>
          <w:trHeight w:val="306"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或其他经济纠纷，而导致本次交易完成后国盛证券或上市公司遭受损失的，本公司将在收到上</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4"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市公司书面通知之日起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个工作日内以现金方式向其进行足额补偿。</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r>
      <w:tr>
        <w:trPr>
          <w:trHeight w:val="1027" w:hRule="exact"/>
        </w:trPr>
        <w:tc>
          <w:tcPr>
            <w:tcW w:w="536"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杜力、张巍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pacing w:val="-2"/>
                <w:sz w:val="21"/>
                <w:szCs w:val="21"/>
              </w:rPr>
              <w:t>鉴于本人长期看好上市公司发展，为了更好的实施上市公司发展战略，本人通过前海发展、前</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海远大、凤凰财鑫、凤凰财智持有的上市公司股权除遵守已作出的股份锁定承诺外，在本次发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行完成后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个月内，本人将确保实际控制人地位不发生变化。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pacing w:val="-1"/>
                <w:sz w:val="21"/>
                <w:szCs w:val="21"/>
              </w:rPr>
              <w:t>正常履行中</w:t>
            </w:r>
          </w:p>
        </w:tc>
      </w:tr>
      <w:tr>
        <w:trPr>
          <w:trHeight w:val="378" w:hRule="exact"/>
        </w:trPr>
        <w:tc>
          <w:tcPr>
            <w:tcW w:w="536"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一、资产完整</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3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pacing w:val="-4"/>
                <w:sz w:val="21"/>
                <w:szCs w:val="21"/>
              </w:rPr>
              <w:t>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本人将继续确保上市公司合法拥有与生产经营有关的资产，确保上市公司资产独立于本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本人及本单位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本人控制的除上市公司及其下属企业以外的其他企业，确保上市公司资产</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在上市公司的控制之下；本单位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本人将杜绝其与上市公司出现资产混同使用的情形，并保证不</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以任何方式侵占上市公司资产，确保上市公司拥有资产的完整权属。</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二、人员独立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w w:val="100"/>
                <w:sz w:val="21"/>
                <w:szCs w:val="21"/>
              </w:rPr>
              <w:t>本单位</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将</w:t>
            </w:r>
            <w:r>
              <w:rPr>
                <w:rFonts w:ascii="宋体" w:hAnsi="宋体" w:cs="宋体" w:eastAsia="宋体" w:hint="default"/>
                <w:spacing w:val="-3"/>
                <w:w w:val="100"/>
                <w:sz w:val="21"/>
                <w:szCs w:val="21"/>
              </w:rPr>
              <w:t>继</w:t>
            </w:r>
            <w:r>
              <w:rPr>
                <w:rFonts w:ascii="宋体" w:hAnsi="宋体" w:cs="宋体" w:eastAsia="宋体" w:hint="default"/>
                <w:w w:val="100"/>
                <w:sz w:val="21"/>
                <w:szCs w:val="21"/>
              </w:rPr>
              <w:t>续</w:t>
            </w:r>
            <w:r>
              <w:rPr>
                <w:rFonts w:ascii="宋体" w:hAnsi="宋体" w:cs="宋体" w:eastAsia="宋体" w:hint="default"/>
                <w:spacing w:val="-3"/>
                <w:w w:val="100"/>
                <w:sz w:val="21"/>
                <w:szCs w:val="21"/>
              </w:rPr>
              <w:t>保</w:t>
            </w:r>
            <w:r>
              <w:rPr>
                <w:rFonts w:ascii="宋体" w:hAnsi="宋体" w:cs="宋体" w:eastAsia="宋体" w:hint="default"/>
                <w:w w:val="100"/>
                <w:sz w:val="21"/>
                <w:szCs w:val="21"/>
              </w:rPr>
              <w:t>证</w:t>
            </w:r>
            <w:r>
              <w:rPr>
                <w:rFonts w:ascii="宋体" w:hAnsi="宋体" w:cs="宋体" w:eastAsia="宋体" w:hint="default"/>
                <w:spacing w:val="-3"/>
                <w:w w:val="100"/>
                <w:sz w:val="21"/>
                <w:szCs w:val="21"/>
              </w:rPr>
              <w:t>上</w:t>
            </w:r>
            <w:r>
              <w:rPr>
                <w:rFonts w:ascii="宋体" w:hAnsi="宋体" w:cs="宋体" w:eastAsia="宋体" w:hint="default"/>
                <w:w w:val="100"/>
                <w:sz w:val="21"/>
                <w:szCs w:val="21"/>
              </w:rPr>
              <w:t>市公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w:t>
            </w:r>
            <w:r>
              <w:rPr>
                <w:rFonts w:ascii="宋体" w:hAnsi="宋体" w:cs="宋体" w:eastAsia="宋体" w:hint="default"/>
                <w:spacing w:val="-3"/>
                <w:w w:val="100"/>
                <w:sz w:val="21"/>
                <w:szCs w:val="21"/>
              </w:rPr>
              <w:t>董事</w:t>
            </w:r>
            <w:r>
              <w:rPr>
                <w:rFonts w:ascii="宋体" w:hAnsi="宋体" w:cs="宋体" w:eastAsia="宋体" w:hint="default"/>
                <w:spacing w:val="-20"/>
                <w:w w:val="100"/>
                <w:sz w:val="21"/>
                <w:szCs w:val="21"/>
              </w:rPr>
              <w:t>、</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高</w:t>
            </w:r>
            <w:r>
              <w:rPr>
                <w:rFonts w:ascii="宋体" w:hAnsi="宋体" w:cs="宋体" w:eastAsia="宋体" w:hint="default"/>
                <w:w w:val="100"/>
                <w:sz w:val="21"/>
                <w:szCs w:val="21"/>
              </w:rPr>
              <w:t>级管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均</w:t>
            </w:r>
            <w:r>
              <w:rPr>
                <w:rFonts w:ascii="宋体" w:hAnsi="宋体" w:cs="宋体" w:eastAsia="宋体" w:hint="default"/>
                <w:spacing w:val="-3"/>
                <w:w w:val="100"/>
                <w:sz w:val="21"/>
                <w:szCs w:val="21"/>
              </w:rPr>
              <w:t>严</w:t>
            </w:r>
            <w:r>
              <w:rPr>
                <w:rFonts w:ascii="宋体" w:hAnsi="宋体" w:cs="宋体" w:eastAsia="宋体" w:hint="default"/>
                <w:w w:val="100"/>
                <w:sz w:val="21"/>
                <w:szCs w:val="21"/>
              </w:rPr>
              <w:t>格</w:t>
            </w:r>
            <w:r>
              <w:rPr>
                <w:rFonts w:ascii="宋体" w:hAnsi="宋体" w:cs="宋体" w:eastAsia="宋体" w:hint="default"/>
                <w:spacing w:val="-3"/>
                <w:w w:val="100"/>
                <w:sz w:val="21"/>
                <w:szCs w:val="21"/>
              </w:rPr>
              <w:t>按</w:t>
            </w:r>
            <w:r>
              <w:rPr>
                <w:rFonts w:ascii="宋体" w:hAnsi="宋体" w:cs="宋体" w:eastAsia="宋体" w:hint="default"/>
                <w:spacing w:val="-20"/>
                <w:w w:val="100"/>
                <w:sz w:val="21"/>
                <w:szCs w:val="21"/>
              </w:rPr>
              <w:t>照</w:t>
            </w:r>
            <w:r>
              <w:rPr>
                <w:rFonts w:ascii="宋体" w:hAnsi="宋体" w:cs="宋体" w:eastAsia="宋体" w:hint="default"/>
                <w:spacing w:val="-3"/>
                <w:w w:val="100"/>
                <w:sz w:val="21"/>
                <w:szCs w:val="21"/>
              </w:rPr>
              <w:t>《</w:t>
            </w:r>
            <w:r>
              <w:rPr>
                <w:rFonts w:ascii="宋体" w:hAnsi="宋体" w:cs="宋体" w:eastAsia="宋体" w:hint="default"/>
                <w:w w:val="100"/>
                <w:sz w:val="21"/>
                <w:szCs w:val="21"/>
              </w:rPr>
              <w:t>公司</w:t>
            </w:r>
            <w:r>
              <w:rPr>
                <w:rFonts w:ascii="宋体" w:hAnsi="宋体" w:cs="宋体" w:eastAsia="宋体" w:hint="default"/>
                <w:spacing w:val="-3"/>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2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司章</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程</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有</w:t>
            </w:r>
            <w:r>
              <w:rPr>
                <w:rFonts w:ascii="宋体" w:hAnsi="宋体" w:cs="宋体" w:eastAsia="宋体" w:hint="default"/>
                <w:spacing w:val="-3"/>
                <w:w w:val="100"/>
                <w:sz w:val="21"/>
                <w:szCs w:val="21"/>
              </w:rPr>
              <w:t>关</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w w:val="100"/>
                <w:sz w:val="21"/>
                <w:szCs w:val="21"/>
              </w:rPr>
              <w:t>选</w:t>
            </w:r>
            <w:r>
              <w:rPr>
                <w:rFonts w:ascii="宋体" w:hAnsi="宋体" w:cs="宋体" w:eastAsia="宋体" w:hint="default"/>
                <w:spacing w:val="-3"/>
                <w:w w:val="100"/>
                <w:sz w:val="21"/>
                <w:szCs w:val="21"/>
              </w:rPr>
              <w:t>举</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不存</w:t>
            </w:r>
            <w:r>
              <w:rPr>
                <w:rFonts w:ascii="宋体" w:hAnsi="宋体" w:cs="宋体" w:eastAsia="宋体" w:hint="default"/>
                <w:w w:val="100"/>
                <w:sz w:val="21"/>
                <w:szCs w:val="21"/>
              </w:rPr>
              <w:t>在本</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人</w:t>
            </w:r>
            <w:r>
              <w:rPr>
                <w:rFonts w:ascii="宋体" w:hAnsi="宋体" w:cs="宋体" w:eastAsia="宋体" w:hint="default"/>
                <w:spacing w:val="-3"/>
                <w:w w:val="100"/>
                <w:sz w:val="21"/>
                <w:szCs w:val="21"/>
              </w:rPr>
              <w:t>干</w:t>
            </w:r>
            <w:r>
              <w:rPr>
                <w:rFonts w:ascii="宋体" w:hAnsi="宋体" w:cs="宋体" w:eastAsia="宋体" w:hint="default"/>
                <w:w w:val="100"/>
                <w:sz w:val="21"/>
                <w:szCs w:val="21"/>
              </w:rPr>
              <w:t>预</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事会</w:t>
            </w:r>
            <w:r>
              <w:rPr>
                <w:rFonts w:ascii="宋体" w:hAnsi="宋体" w:cs="宋体" w:eastAsia="宋体" w:hint="default"/>
                <w:spacing w:val="-3"/>
                <w:w w:val="100"/>
                <w:sz w:val="21"/>
                <w:szCs w:val="21"/>
              </w:rPr>
              <w:t>和</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做</w:t>
            </w:r>
            <w:r>
              <w:rPr>
                <w:rFonts w:ascii="宋体" w:hAnsi="宋体" w:cs="宋体" w:eastAsia="宋体" w:hint="default"/>
                <w:spacing w:val="-3"/>
                <w:w w:val="100"/>
                <w:sz w:val="21"/>
                <w:szCs w:val="21"/>
              </w:rPr>
              <w:t>出</w:t>
            </w:r>
            <w:r>
              <w:rPr>
                <w:rFonts w:ascii="宋体" w:hAnsi="宋体" w:cs="宋体" w:eastAsia="宋体" w:hint="default"/>
                <w:w w:val="100"/>
                <w:sz w:val="21"/>
                <w:szCs w:val="21"/>
              </w:rPr>
              <w:t>人</w:t>
            </w:r>
            <w:r>
              <w:rPr>
                <w:rFonts w:ascii="宋体" w:hAnsi="宋体" w:cs="宋体" w:eastAsia="宋体" w:hint="default"/>
                <w:spacing w:val="-3"/>
                <w:w w:val="100"/>
                <w:sz w:val="21"/>
                <w:szCs w:val="21"/>
              </w:rPr>
              <w:t>事</w:t>
            </w:r>
            <w:r>
              <w:rPr>
                <w:rFonts w:ascii="宋体" w:hAnsi="宋体" w:cs="宋体" w:eastAsia="宋体" w:hint="default"/>
                <w:w w:val="100"/>
                <w:sz w:val="21"/>
                <w:szCs w:val="21"/>
              </w:rPr>
              <w:t>任免</w:t>
            </w:r>
            <w:r>
              <w:rPr>
                <w:rFonts w:ascii="宋体" w:hAnsi="宋体" w:cs="宋体" w:eastAsia="宋体" w:hint="default"/>
                <w:spacing w:val="-3"/>
                <w:w w:val="100"/>
                <w:sz w:val="21"/>
                <w:szCs w:val="21"/>
              </w:rPr>
              <w:t>决</w:t>
            </w:r>
            <w:r>
              <w:rPr>
                <w:rFonts w:ascii="宋体" w:hAnsi="宋体" w:cs="宋体" w:eastAsia="宋体" w:hint="default"/>
                <w:w w:val="100"/>
                <w:sz w:val="21"/>
                <w:szCs w:val="21"/>
              </w:rPr>
              <w:t>定</w:t>
            </w:r>
            <w:r>
              <w:rPr>
                <w:rFonts w:ascii="宋体" w:hAnsi="宋体" w:cs="宋体" w:eastAsia="宋体" w:hint="default"/>
                <w:spacing w:val="-3"/>
                <w:w w:val="100"/>
                <w:sz w:val="21"/>
                <w:szCs w:val="21"/>
              </w:rPr>
              <w:t>的</w:t>
            </w:r>
            <w:r>
              <w:rPr>
                <w:rFonts w:ascii="宋体" w:hAnsi="宋体" w:cs="宋体" w:eastAsia="宋体" w:hint="default"/>
                <w:w w:val="100"/>
                <w:sz w:val="21"/>
                <w:szCs w:val="21"/>
              </w:rPr>
              <w:t>情况</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本人将继续保证上市公司的总经理、副总经理、财务负责人、营销负责人和董事会秘书</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保持</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等高级管理人员不在本单位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本人及本单位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本人控制的除上市公司以外的其它企业中担任除董</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3" w:lineRule="auto" w:before="137"/>
              <w:ind w:left="21" w:right="20"/>
              <w:jc w:val="left"/>
              <w:rPr>
                <w:rFonts w:ascii="宋体" w:hAnsi="宋体" w:cs="宋体" w:eastAsia="宋体" w:hint="default"/>
                <w:sz w:val="21"/>
                <w:szCs w:val="21"/>
              </w:rPr>
            </w:pPr>
            <w:r>
              <w:rPr>
                <w:rFonts w:ascii="宋体" w:hAnsi="宋体" w:cs="宋体" w:eastAsia="宋体" w:hint="default"/>
                <w:spacing w:val="3"/>
                <w:sz w:val="21"/>
                <w:szCs w:val="21"/>
              </w:rPr>
              <w:t>凤凰财智、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杜力、张巍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上市</w:t>
            </w:r>
          </w:p>
          <w:p>
            <w:pPr>
              <w:pStyle w:val="TableParagraph"/>
              <w:spacing w:line="273" w:lineRule="auto" w:before="37"/>
              <w:ind w:left="23" w:right="108"/>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独立</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事以外的其他职务，不在本单位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本人及本单位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本人控制的除上市公司以外的其它企业领薪；</w:t>
            </w:r>
          </w:p>
          <w:p>
            <w:pPr>
              <w:pStyle w:val="TableParagraph"/>
              <w:spacing w:line="256" w:lineRule="auto" w:before="21"/>
              <w:ind w:left="23" w:right="17"/>
              <w:jc w:val="left"/>
              <w:rPr>
                <w:rFonts w:ascii="宋体" w:hAnsi="宋体" w:cs="宋体" w:eastAsia="宋体" w:hint="default"/>
                <w:sz w:val="21"/>
                <w:szCs w:val="21"/>
              </w:rPr>
            </w:pPr>
            <w:r>
              <w:rPr>
                <w:rFonts w:ascii="宋体" w:hAnsi="宋体" w:cs="宋体" w:eastAsia="宋体" w:hint="default"/>
                <w:spacing w:val="4"/>
                <w:sz w:val="21"/>
                <w:szCs w:val="21"/>
              </w:rPr>
              <w:t>上市公司的财务人员不在本单位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本人及本单位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本人控制的除上市公司以外的其它企业中兼</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
                <w:sz w:val="21"/>
                <w:szCs w:val="21"/>
              </w:rPr>
              <w:t>职；本单位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本人保证上市公司的劳动、人事及工资管理与本单位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本人控制的除</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pacing w:val="-1"/>
                <w:sz w:val="21"/>
                <w:szCs w:val="21"/>
              </w:rPr>
              <w:t>正常履行中</w:t>
            </w:r>
          </w:p>
        </w:tc>
      </w:tr>
      <w:tr>
        <w:trPr>
          <w:trHeight w:val="325"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性</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上市公司以外的其它企业之间完全独立。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三、财务独立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2"/>
                <w:sz w:val="21"/>
                <w:szCs w:val="21"/>
              </w:rPr>
              <w:t>上市公司已建立了独立的财务部门，配备了专门的财务人员，建立了独立的会计核算体系和财</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务管理制度等内控制度，能够独立做出财务决策；上市公司开立了独立的银行账户，并依法独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立履行纳税义务。本单位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本人承诺上市公司资金使用不受本单位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本人控制的除</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上市公司以外的其他企业的干预；同时上市公司的财务人员均系其自行聘用员工，独立于本单</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本人控制的除上市公司以外的其他企业。本单位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本人承诺将继续确保上市公司财务的独立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性。</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四、机构独立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35" w:hRule="exact"/>
        </w:trPr>
        <w:tc>
          <w:tcPr>
            <w:tcW w:w="536" w:type="dxa"/>
            <w:vMerge/>
            <w:tcBorders>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、上市公司拥有独立的法人治理结构，其机构完整、独立，法人治理结构健全。本单位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40" w:left="136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536"/>
        <w:gridCol w:w="1133"/>
        <w:gridCol w:w="566"/>
        <w:gridCol w:w="8649"/>
        <w:gridCol w:w="991"/>
        <w:gridCol w:w="994"/>
        <w:gridCol w:w="1136"/>
      </w:tblGrid>
      <w:tr>
        <w:trPr>
          <w:trHeight w:val="335" w:hRule="exact"/>
        </w:trPr>
        <w:tc>
          <w:tcPr>
            <w:tcW w:w="53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566" w:type="dxa"/>
            <w:vMerge w:val="restart"/>
            <w:tcBorders>
              <w:top w:val="single" w:sz="15" w:space="0" w:color="000000"/>
              <w:left w:val="single" w:sz="4" w:space="0" w:color="000000"/>
              <w:right w:val="single" w:sz="4" w:space="0" w:color="000000"/>
            </w:tcBorders>
          </w:tcPr>
          <w:p>
            <w:pPr/>
          </w:p>
        </w:tc>
        <w:tc>
          <w:tcPr>
            <w:tcW w:w="8649" w:type="dxa"/>
            <w:tcBorders>
              <w:top w:val="single" w:sz="15" w:space="0" w:color="000000"/>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承诺按照国家相关法律法规之规定，确保上市公司的股东大会、董事会、监事会等机构独立行</w:t>
            </w:r>
          </w:p>
        </w:tc>
        <w:tc>
          <w:tcPr>
            <w:tcW w:w="991" w:type="dxa"/>
            <w:vMerge w:val="restart"/>
            <w:tcBorders>
              <w:top w:val="single" w:sz="15" w:space="0" w:color="000000"/>
              <w:left w:val="single" w:sz="4" w:space="0" w:color="000000"/>
              <w:right w:val="single" w:sz="4" w:space="0" w:color="000000"/>
            </w:tcBorders>
          </w:tcPr>
          <w:p>
            <w:pPr/>
          </w:p>
        </w:tc>
        <w:tc>
          <w:tcPr>
            <w:tcW w:w="994" w:type="dxa"/>
            <w:vMerge w:val="restart"/>
            <w:tcBorders>
              <w:top w:val="single" w:sz="15" w:space="0" w:color="000000"/>
              <w:left w:val="single" w:sz="4" w:space="0" w:color="000000"/>
              <w:right w:val="single" w:sz="4" w:space="0" w:color="000000"/>
            </w:tcBorders>
          </w:tcPr>
          <w:p>
            <w:pPr/>
          </w:p>
        </w:tc>
        <w:tc>
          <w:tcPr>
            <w:tcW w:w="1136" w:type="dxa"/>
            <w:vMerge w:val="restart"/>
            <w:tcBorders>
              <w:top w:val="single" w:sz="15" w:space="0" w:color="000000"/>
              <w:left w:val="single" w:sz="4" w:space="0" w:color="000000"/>
              <w:right w:val="single" w:sz="4" w:space="0" w:color="000000"/>
            </w:tcBorders>
          </w:tcPr>
          <w:p>
            <w:pPr/>
          </w:p>
        </w:tc>
      </w:tr>
      <w:tr>
        <w:trPr>
          <w:trHeight w:val="331"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使职权；</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、上市公司在劳动用工、薪酬分配、人事制度、经营管理等方面与本单位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本人及本单位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06"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控制的除上市公司以外的其他企业之间将不会存在交叉和上下级关系，确保上市公司经营机构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的完整，不以任何理由干涉上市公司的机构设置、自主经营；</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8"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、确保上市公司具有完全独立的办公机构与生产经营场所，不与本单位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本人控制的除上市公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司以外的其他企业混合经营、合署办公。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五、业务独立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pacing w:val="-2"/>
                <w:sz w:val="21"/>
                <w:szCs w:val="21"/>
              </w:rPr>
              <w:t>上市公司及其全资子公司、控股子公司均具有独立、完整的业务流程及自主经营的能力，上市</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公司及其下属全资子公司、控股子公司的各项业务决策均系其依照《公司章程》和经政府相关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18"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部门批准的经营许可而作出，完全独立于本单位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本人及本单位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本人控制的除上市公司以外的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其他企业。本单位</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本人将继续确保上市公司独立经营，在业务的各个方面保持独立。本单位</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人承诺将遵守中国证监会的相关规定以及本单位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本人的承诺，并尽量减少与上市公司之间的关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06"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联交易，保证不会以侵占上市公司利益为目的与上市公司之间开展显失公平的关联交易；本单</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18"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本人将保证上市公司继续具备独立开展业务的资质、人员、资产等所有必备条件，确保上市</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公司业务独立。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38"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六、本单位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本人承诺确保上市公司独立性，并承诺不利用上市公司控股股东</w:t>
            </w:r>
            <w:r>
              <w:rPr>
                <w:rFonts w:ascii="Times New Roman" w:hAnsi="Times New Roman" w:cs="Times New Roman" w:eastAsia="Times New Roman" w:hint="default"/>
                <w:sz w:val="21"/>
                <w:szCs w:val="21"/>
              </w:rPr>
              <w:t>/</w:t>
            </w:r>
            <w:r>
              <w:rPr>
                <w:rFonts w:ascii="宋体" w:hAnsi="宋体" w:cs="宋体" w:eastAsia="宋体" w:hint="default"/>
                <w:sz w:val="21"/>
                <w:szCs w:val="21"/>
              </w:rPr>
              <w:t>实际控制人地位</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r>
      <w:tr>
        <w:trPr>
          <w:trHeight w:val="351" w:hRule="exact"/>
        </w:trPr>
        <w:tc>
          <w:tcPr>
            <w:tcW w:w="536" w:type="dxa"/>
            <w:vMerge/>
            <w:tcBorders>
              <w:left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损害上市公司及其他股东的利益。</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r>
      <w:tr>
        <w:trPr>
          <w:trHeight w:val="363" w:hRule="exact"/>
        </w:trPr>
        <w:tc>
          <w:tcPr>
            <w:tcW w:w="536"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本公司已向上市公司提供本次交易相关的信息，并保证所提供信息的真实性、准确性</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6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01"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完整性，保证不存在虚假记载、误导性陈述或者重大遗漏。根据本次交易进程，需要本单位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84"/>
              <w:jc w:val="center"/>
              <w:rPr>
                <w:rFonts w:ascii="宋体" w:hAnsi="宋体" w:cs="宋体" w:eastAsia="宋体" w:hint="default"/>
                <w:sz w:val="21"/>
                <w:szCs w:val="21"/>
              </w:rPr>
            </w:pPr>
            <w:r>
              <w:rPr>
                <w:rFonts w:ascii="宋体" w:hAnsi="宋体" w:cs="宋体" w:eastAsia="宋体" w:hint="default"/>
                <w:sz w:val="21"/>
                <w:szCs w:val="21"/>
              </w:rPr>
              <w:t>所提</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公司及本单位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本公司下属企业补充提供相关信息时，本单位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本公司下属企业</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前海发展、</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84"/>
              <w:jc w:val="center"/>
              <w:rPr>
                <w:rFonts w:ascii="宋体" w:hAnsi="宋体" w:cs="宋体" w:eastAsia="宋体" w:hint="default"/>
                <w:sz w:val="21"/>
                <w:szCs w:val="21"/>
              </w:rPr>
            </w:pPr>
            <w:r>
              <w:rPr>
                <w:rFonts w:ascii="宋体" w:hAnsi="宋体" w:cs="宋体" w:eastAsia="宋体" w:hint="default"/>
                <w:sz w:val="21"/>
                <w:szCs w:val="21"/>
              </w:rPr>
              <w:t>供信</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保证继续提供的信息仍然符合真实、准确、完整、有效的要求。本单位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本公司承诺，对上述项</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前海远大、</w:t>
            </w:r>
          </w:p>
          <w:p>
            <w:pPr>
              <w:pStyle w:val="TableParagraph"/>
              <w:spacing w:line="273" w:lineRule="auto" w:before="37"/>
              <w:ind w:left="21" w:right="20"/>
              <w:jc w:val="left"/>
              <w:rPr>
                <w:rFonts w:ascii="宋体" w:hAnsi="宋体" w:cs="宋体" w:eastAsia="宋体" w:hint="default"/>
                <w:sz w:val="21"/>
                <w:szCs w:val="21"/>
              </w:rPr>
            </w:pPr>
            <w:r>
              <w:rPr>
                <w:rFonts w:ascii="宋体" w:hAnsi="宋体" w:cs="宋体" w:eastAsia="宋体" w:hint="default"/>
                <w:spacing w:val="3"/>
                <w:sz w:val="21"/>
                <w:szCs w:val="21"/>
              </w:rPr>
              <w:t>凤凰财鑫、</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西藏迅杰、</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息真</w:t>
            </w:r>
          </w:p>
          <w:p>
            <w:pPr>
              <w:pStyle w:val="TableParagraph"/>
              <w:spacing w:line="273" w:lineRule="auto" w:before="37"/>
              <w:ind w:left="23" w:right="108"/>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103"/>
                <w:sz w:val="21"/>
                <w:szCs w:val="21"/>
              </w:rPr>
              <w:t> </w:t>
            </w:r>
            <w:r>
              <w:rPr>
                <w:rFonts w:ascii="宋体" w:hAnsi="宋体" w:cs="宋体" w:eastAsia="宋体" w:hint="default"/>
                <w:sz w:val="21"/>
                <w:szCs w:val="21"/>
              </w:rPr>
              <w:t>准</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6" w:lineRule="auto"/>
              <w:ind w:left="23" w:right="15"/>
              <w:jc w:val="both"/>
              <w:rPr>
                <w:rFonts w:ascii="宋体" w:hAnsi="宋体" w:cs="宋体" w:eastAsia="宋体" w:hint="default"/>
                <w:sz w:val="21"/>
                <w:szCs w:val="21"/>
              </w:rPr>
            </w:pPr>
            <w:r>
              <w:rPr>
                <w:rFonts w:ascii="宋体" w:hAnsi="宋体" w:cs="宋体" w:eastAsia="宋体" w:hint="default"/>
                <w:spacing w:val="-4"/>
                <w:sz w:val="21"/>
                <w:szCs w:val="21"/>
              </w:rPr>
              <w:t>下所提供信息的真实性、准确性、完整性依法承担法律责任。如本单位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本公司在本次交易中所</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2"/>
                <w:sz w:val="21"/>
                <w:szCs w:val="21"/>
              </w:rPr>
              <w:t>提供或披露的信息涉嫌虚假记载、误导性陈述或者重大遗漏，被司法机关立案侦查或者被中国</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证监会立案调查的，在形成调查结论以前，本单位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本公司不转让在上市公司拥有权益的股份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33" w:lineRule="exact"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17" w:lineRule="exact"/>
              <w:ind w:left="-16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正常履行中</w:t>
            </w:r>
          </w:p>
        </w:tc>
      </w:tr>
      <w:tr>
        <w:trPr>
          <w:trHeight w:val="306"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北京岫晞</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84"/>
              <w:jc w:val="center"/>
              <w:rPr>
                <w:rFonts w:ascii="宋体" w:hAnsi="宋体" w:cs="宋体" w:eastAsia="宋体" w:hint="default"/>
                <w:sz w:val="21"/>
                <w:szCs w:val="21"/>
              </w:rPr>
            </w:pPr>
            <w:r>
              <w:rPr>
                <w:rFonts w:ascii="宋体" w:hAnsi="宋体" w:cs="宋体" w:eastAsia="宋体" w:hint="default"/>
                <w:sz w:val="21"/>
                <w:szCs w:val="21"/>
              </w:rPr>
              <w:t>确、</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并于收到立案稽查通知的两个交易日内将暂停转让的书面申请和股票账户提交上市公司董事</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84"/>
              <w:jc w:val="center"/>
              <w:rPr>
                <w:rFonts w:ascii="宋体" w:hAnsi="宋体" w:cs="宋体" w:eastAsia="宋体" w:hint="default"/>
                <w:sz w:val="21"/>
                <w:szCs w:val="21"/>
              </w:rPr>
            </w:pPr>
            <w:r>
              <w:rPr>
                <w:rFonts w:ascii="宋体" w:hAnsi="宋体" w:cs="宋体" w:eastAsia="宋体" w:hint="default"/>
                <w:sz w:val="21"/>
                <w:szCs w:val="21"/>
              </w:rPr>
              <w:t>完整</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87"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会，由董事会代本单位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本公司向证券交易所和登记结算公司申请锁定；未在两个交易日内提交</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锁定申请的，授权董事会核实后直接向证券交易所和登记结算公司报送本单位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本公司的身份信</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536" w:type="dxa"/>
            <w:vMerge/>
            <w:tcBorders>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息和账户信息并申请锁定；董事会未向证券交易所和登记结算公司报送本单位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本公司的身份信</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6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536"/>
        <w:gridCol w:w="1133"/>
        <w:gridCol w:w="566"/>
        <w:gridCol w:w="8649"/>
        <w:gridCol w:w="991"/>
        <w:gridCol w:w="994"/>
        <w:gridCol w:w="1136"/>
      </w:tblGrid>
      <w:tr>
        <w:trPr>
          <w:trHeight w:val="689" w:hRule="exact"/>
        </w:trPr>
        <w:tc>
          <w:tcPr>
            <w:tcW w:w="536" w:type="dxa"/>
            <w:vMerge w:val="restart"/>
            <w:tcBorders>
              <w:top w:val="single" w:sz="15" w:space="0" w:color="000000"/>
              <w:left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8649" w:type="dxa"/>
            <w:tcBorders>
              <w:top w:val="single" w:sz="15" w:space="0" w:color="000000"/>
              <w:left w:val="single" w:sz="4" w:space="0" w:color="000000"/>
              <w:bottom w:val="single" w:sz="4" w:space="0" w:color="000000"/>
              <w:right w:val="single" w:sz="4" w:space="0" w:color="000000"/>
            </w:tcBorders>
          </w:tcPr>
          <w:p>
            <w:pPr>
              <w:pStyle w:val="TableParagraph"/>
              <w:spacing w:line="273" w:lineRule="auto"/>
              <w:ind w:left="23" w:right="15"/>
              <w:jc w:val="left"/>
              <w:rPr>
                <w:rFonts w:ascii="宋体" w:hAnsi="宋体" w:cs="宋体" w:eastAsia="宋体" w:hint="default"/>
                <w:sz w:val="21"/>
                <w:szCs w:val="21"/>
              </w:rPr>
            </w:pPr>
            <w:r>
              <w:rPr>
                <w:rFonts w:ascii="宋体" w:hAnsi="宋体" w:cs="宋体" w:eastAsia="宋体" w:hint="default"/>
                <w:spacing w:val="-2"/>
                <w:sz w:val="21"/>
                <w:szCs w:val="21"/>
              </w:rPr>
              <w:t>息和账户信息的，授权证券交易所和登记结算公司直接锁定相关股份。如调查结论发现存在违</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法违规情节，本单位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本公司承诺锁定股份自愿用于相关投资者赔偿安排。</w:t>
            </w: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
        </w:tc>
      </w:tr>
      <w:tr>
        <w:trPr>
          <w:trHeight w:val="364" w:hRule="exact"/>
        </w:trPr>
        <w:tc>
          <w:tcPr>
            <w:tcW w:w="536"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本公司已向上市公司提供本次交易相关的信息，并保证所提供信息的真实性、准确性</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16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完整性，保证不存在虚假记载、误导性陈述或者重大遗漏。根据本次交易进程，需要本单位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雪松信托、</w:t>
            </w: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公司及本单位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本公司下属企业补充提供相关信息时，本单位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本公司及本单位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本公司下属企业</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赣粤高速、</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84"/>
              <w:jc w:val="center"/>
              <w:rPr>
                <w:rFonts w:ascii="宋体" w:hAnsi="宋体" w:cs="宋体" w:eastAsia="宋体" w:hint="default"/>
                <w:sz w:val="21"/>
                <w:szCs w:val="21"/>
              </w:rPr>
            </w:pPr>
            <w:r>
              <w:rPr>
                <w:rFonts w:ascii="宋体" w:hAnsi="宋体" w:cs="宋体" w:eastAsia="宋体" w:hint="default"/>
                <w:sz w:val="21"/>
                <w:szCs w:val="21"/>
              </w:rPr>
              <w:t>所提</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保证继续提供的信息仍然符合真实、准确、完整、有效的要求。本单位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本公司承诺，对上述项</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江西财投、</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84"/>
              <w:jc w:val="center"/>
              <w:rPr>
                <w:rFonts w:ascii="宋体" w:hAnsi="宋体" w:cs="宋体" w:eastAsia="宋体" w:hint="default"/>
                <w:sz w:val="21"/>
                <w:szCs w:val="21"/>
              </w:rPr>
            </w:pPr>
            <w:r>
              <w:rPr>
                <w:rFonts w:ascii="宋体" w:hAnsi="宋体" w:cs="宋体" w:eastAsia="宋体" w:hint="default"/>
                <w:sz w:val="21"/>
                <w:szCs w:val="21"/>
              </w:rPr>
              <w:t>供信</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下所提供信息的真实性、准确性、完整性依法承担法律责任。如本单位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本公司在本次交易中所</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江西投资、</w:t>
            </w:r>
          </w:p>
          <w:p>
            <w:pPr>
              <w:pStyle w:val="TableParagraph"/>
              <w:spacing w:line="273" w:lineRule="auto" w:before="37"/>
              <w:ind w:left="21" w:right="20"/>
              <w:jc w:val="left"/>
              <w:rPr>
                <w:rFonts w:ascii="宋体" w:hAnsi="宋体" w:cs="宋体" w:eastAsia="宋体" w:hint="default"/>
                <w:sz w:val="21"/>
                <w:szCs w:val="21"/>
              </w:rPr>
            </w:pPr>
            <w:r>
              <w:rPr>
                <w:rFonts w:ascii="宋体" w:hAnsi="宋体" w:cs="宋体" w:eastAsia="宋体" w:hint="default"/>
                <w:spacing w:val="3"/>
                <w:sz w:val="21"/>
                <w:szCs w:val="21"/>
              </w:rPr>
              <w:t>江西能源、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江西地矿、</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息真</w:t>
            </w:r>
          </w:p>
          <w:p>
            <w:pPr>
              <w:pStyle w:val="TableParagraph"/>
              <w:spacing w:line="273" w:lineRule="auto" w:before="37"/>
              <w:ind w:left="23" w:right="108"/>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103"/>
                <w:sz w:val="21"/>
                <w:szCs w:val="21"/>
              </w:rPr>
              <w:t> </w:t>
            </w:r>
            <w:r>
              <w:rPr>
                <w:rFonts w:ascii="宋体" w:hAnsi="宋体" w:cs="宋体" w:eastAsia="宋体" w:hint="default"/>
                <w:sz w:val="21"/>
                <w:szCs w:val="21"/>
              </w:rPr>
              <w:t>准</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提供或披露的信息涉嫌虚假记载、误导性陈述或者重大遗漏，被司法机关立案侦查或者被中国</w:t>
            </w:r>
          </w:p>
          <w:p>
            <w:pPr>
              <w:pStyle w:val="TableParagraph"/>
              <w:spacing w:line="256" w:lineRule="auto" w:before="37"/>
              <w:ind w:left="23" w:right="27"/>
              <w:jc w:val="left"/>
              <w:rPr>
                <w:rFonts w:ascii="宋体" w:hAnsi="宋体" w:cs="宋体" w:eastAsia="宋体" w:hint="default"/>
                <w:sz w:val="21"/>
                <w:szCs w:val="21"/>
              </w:rPr>
            </w:pPr>
            <w:r>
              <w:rPr>
                <w:rFonts w:ascii="宋体" w:hAnsi="宋体" w:cs="宋体" w:eastAsia="宋体" w:hint="default"/>
                <w:sz w:val="21"/>
                <w:szCs w:val="21"/>
              </w:rPr>
              <w:t>证监会立案调查的，在形成调查结论以前，本单位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本公司不转让在上市公司拥有权益的股份</w:t>
            </w:r>
            <w:r>
              <w:rPr>
                <w:rFonts w:ascii="宋体" w:hAnsi="宋体" w:cs="宋体" w:eastAsia="宋体" w:hint="default"/>
                <w:w w:val="100"/>
                <w:sz w:val="21"/>
                <w:szCs w:val="21"/>
              </w:rPr>
              <w:t> </w:t>
            </w:r>
            <w:r>
              <w:rPr>
                <w:rFonts w:ascii="宋体" w:hAnsi="宋体" w:cs="宋体" w:eastAsia="宋体" w:hint="default"/>
                <w:spacing w:val="2"/>
                <w:sz w:val="21"/>
                <w:szCs w:val="21"/>
              </w:rPr>
              <w:t>并于收到立案稽查通知的两个交易日内将暂停转让的书面申请和股票账户提交上市公司董事</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23" w:lineRule="exact" w:before="137"/>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148" w:lineRule="exact"/>
              <w:ind w:left="-161"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3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正常履行中</w:t>
            </w:r>
          </w:p>
        </w:tc>
      </w:tr>
      <w:tr>
        <w:trPr>
          <w:trHeight w:val="318"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江西地勘、</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84"/>
              <w:jc w:val="center"/>
              <w:rPr>
                <w:rFonts w:ascii="宋体" w:hAnsi="宋体" w:cs="宋体" w:eastAsia="宋体" w:hint="default"/>
                <w:sz w:val="21"/>
                <w:szCs w:val="21"/>
              </w:rPr>
            </w:pPr>
            <w:r>
              <w:rPr>
                <w:rFonts w:ascii="宋体" w:hAnsi="宋体" w:cs="宋体" w:eastAsia="宋体" w:hint="default"/>
                <w:sz w:val="21"/>
                <w:szCs w:val="21"/>
              </w:rPr>
              <w:t>确、</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会，由董事会代本单位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本公司向证券交易所和登记结算公司申请锁定；未在两个交易日内提交</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锦峰投资、</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84"/>
              <w:jc w:val="center"/>
              <w:rPr>
                <w:rFonts w:ascii="宋体" w:hAnsi="宋体" w:cs="宋体" w:eastAsia="宋体" w:hint="default"/>
                <w:sz w:val="21"/>
                <w:szCs w:val="21"/>
              </w:rPr>
            </w:pPr>
            <w:r>
              <w:rPr>
                <w:rFonts w:ascii="宋体" w:hAnsi="宋体" w:cs="宋体" w:eastAsia="宋体" w:hint="default"/>
                <w:sz w:val="21"/>
                <w:szCs w:val="21"/>
              </w:rPr>
              <w:t>完整</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锁定申请的，授权董事会核实后直接向证券交易所和登记结算公司报送本单位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本公司的身份信</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江西医药</w:t>
            </w: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息和账户信息并申请锁定；董事会未向证券交易所和登记结算公司报送本单位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本公司的身份信</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息和账户信息的，授权证券交易所和登记结算公司直接锁定相关股份。如调查结论发现存在违</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法违规情节，本单位</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本公司承诺锁定股份自愿用于相关投资者赔偿安排。</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536" w:type="dxa"/>
            <w:vMerge/>
            <w:tcBorders>
              <w:left w:val="single" w:sz="4" w:space="0" w:color="000000"/>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4"/>
                <w:sz w:val="21"/>
                <w:szCs w:val="21"/>
              </w:rPr>
              <w:t>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本人保证本次交易信息披露和申请文件的真实性、准确性、完整性，保证不存在虚假记</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r>
      <w:tr>
        <w:trPr>
          <w:trHeight w:val="2497" w:hRule="exact"/>
        </w:trPr>
        <w:tc>
          <w:tcPr>
            <w:tcW w:w="536"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73" w:lineRule="auto" w:before="137"/>
              <w:ind w:left="21" w:right="-34"/>
              <w:jc w:val="both"/>
              <w:rPr>
                <w:rFonts w:ascii="宋体" w:hAnsi="宋体" w:cs="宋体" w:eastAsia="宋体" w:hint="default"/>
                <w:sz w:val="21"/>
                <w:szCs w:val="21"/>
              </w:rPr>
            </w:pPr>
            <w:r>
              <w:rPr>
                <w:rFonts w:ascii="宋体" w:hAnsi="宋体" w:cs="宋体" w:eastAsia="宋体" w:hint="default"/>
                <w:spacing w:val="-23"/>
                <w:sz w:val="21"/>
                <w:szCs w:val="21"/>
              </w:rPr>
              <w:t>杜力、张巍、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谢基柱、赵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3"/>
                <w:sz w:val="21"/>
                <w:szCs w:val="21"/>
              </w:rPr>
              <w:t>岑、罗嘉俊、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李英明、张</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李平、周春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3"/>
                <w:sz w:val="21"/>
                <w:szCs w:val="21"/>
              </w:rPr>
              <w:t>生、徐强国，</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凤凰财智</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73" w:lineRule="auto" w:before="137"/>
              <w:ind w:left="23" w:right="108"/>
              <w:jc w:val="left"/>
              <w:rPr>
                <w:rFonts w:ascii="宋体" w:hAnsi="宋体" w:cs="宋体" w:eastAsia="宋体" w:hint="default"/>
                <w:sz w:val="21"/>
                <w:szCs w:val="21"/>
              </w:rPr>
            </w:pPr>
            <w:r>
              <w:rPr>
                <w:rFonts w:ascii="宋体" w:hAnsi="宋体" w:cs="宋体" w:eastAsia="宋体" w:hint="default"/>
                <w:sz w:val="21"/>
                <w:szCs w:val="21"/>
              </w:rPr>
              <w:t>所提</w:t>
            </w:r>
            <w:r>
              <w:rPr>
                <w:rFonts w:ascii="宋体" w:hAnsi="宋体" w:cs="宋体" w:eastAsia="宋体" w:hint="default"/>
                <w:spacing w:val="-103"/>
                <w:sz w:val="21"/>
                <w:szCs w:val="21"/>
              </w:rPr>
              <w:t> </w:t>
            </w:r>
            <w:r>
              <w:rPr>
                <w:rFonts w:ascii="宋体" w:hAnsi="宋体" w:cs="宋体" w:eastAsia="宋体" w:hint="default"/>
                <w:sz w:val="21"/>
                <w:szCs w:val="21"/>
              </w:rPr>
              <w:t>供信</w:t>
            </w:r>
            <w:r>
              <w:rPr>
                <w:rFonts w:ascii="宋体" w:hAnsi="宋体" w:cs="宋体" w:eastAsia="宋体" w:hint="default"/>
                <w:spacing w:val="-103"/>
                <w:sz w:val="21"/>
                <w:szCs w:val="21"/>
              </w:rPr>
              <w:t> </w:t>
            </w:r>
            <w:r>
              <w:rPr>
                <w:rFonts w:ascii="宋体" w:hAnsi="宋体" w:cs="宋体" w:eastAsia="宋体" w:hint="default"/>
                <w:sz w:val="21"/>
                <w:szCs w:val="21"/>
              </w:rPr>
              <w:t>息真</w:t>
            </w:r>
            <w:r>
              <w:rPr>
                <w:rFonts w:ascii="宋体" w:hAnsi="宋体" w:cs="宋体" w:eastAsia="宋体" w:hint="default"/>
                <w:spacing w:val="-103"/>
                <w:sz w:val="21"/>
                <w:szCs w:val="21"/>
              </w:rPr>
              <w:t> </w:t>
            </w:r>
            <w:r>
              <w:rPr>
                <w:rFonts w:ascii="宋体" w:hAnsi="宋体" w:cs="宋体" w:eastAsia="宋体" w:hint="default"/>
                <w:sz w:val="21"/>
                <w:szCs w:val="21"/>
              </w:rPr>
              <w:t>实、</w:t>
            </w:r>
            <w:r>
              <w:rPr>
                <w:rFonts w:ascii="宋体" w:hAnsi="宋体" w:cs="宋体" w:eastAsia="宋体" w:hint="default"/>
                <w:spacing w:val="-103"/>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spacing w:val="-103"/>
                <w:sz w:val="21"/>
                <w:szCs w:val="21"/>
              </w:rPr>
              <w:t> </w:t>
            </w:r>
            <w:r>
              <w:rPr>
                <w:rFonts w:ascii="宋体" w:hAnsi="宋体" w:cs="宋体" w:eastAsia="宋体" w:hint="default"/>
                <w:sz w:val="21"/>
                <w:szCs w:val="21"/>
              </w:rPr>
              <w:t>完整</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both"/>
              <w:rPr>
                <w:rFonts w:ascii="宋体" w:hAnsi="宋体" w:cs="宋体" w:eastAsia="宋体" w:hint="default"/>
                <w:sz w:val="21"/>
                <w:szCs w:val="21"/>
              </w:rPr>
            </w:pPr>
            <w:r>
              <w:rPr>
                <w:rFonts w:ascii="宋体" w:hAnsi="宋体" w:cs="宋体" w:eastAsia="宋体" w:hint="default"/>
                <w:spacing w:val="-2"/>
                <w:sz w:val="21"/>
                <w:szCs w:val="21"/>
              </w:rPr>
              <w:t>载、误导性陈述或者重大遗漏，并对本次交易信息披露和申请文件的真实性、准确性、完整性</w:t>
            </w:r>
          </w:p>
          <w:p>
            <w:pPr>
              <w:pStyle w:val="TableParagraph"/>
              <w:spacing w:line="264" w:lineRule="auto" w:before="37"/>
              <w:ind w:left="23" w:right="14"/>
              <w:jc w:val="both"/>
              <w:rPr>
                <w:rFonts w:ascii="宋体" w:hAnsi="宋体" w:cs="宋体" w:eastAsia="宋体" w:hint="default"/>
                <w:sz w:val="21"/>
                <w:szCs w:val="21"/>
              </w:rPr>
            </w:pPr>
            <w:r>
              <w:rPr>
                <w:rFonts w:ascii="宋体" w:hAnsi="宋体" w:cs="宋体" w:eastAsia="宋体" w:hint="default"/>
                <w:spacing w:val="-2"/>
                <w:sz w:val="21"/>
                <w:szCs w:val="21"/>
              </w:rPr>
              <w:t>依法承担法律责任。如在本次交易中所提供或披露的信息涉嫌虚假记载、误导性陈述或者重大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遗漏，被司法机关立案侦查或者被中国证监会立案调查的，在形成调查结论以前，本单位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w:t>
            </w:r>
            <w:r>
              <w:rPr>
                <w:rFonts w:ascii="宋体" w:hAnsi="宋体" w:cs="宋体" w:eastAsia="宋体" w:hint="default"/>
                <w:spacing w:val="-20"/>
                <w:sz w:val="21"/>
                <w:szCs w:val="21"/>
              </w:rPr>
              <w:t> </w:t>
            </w:r>
            <w:r>
              <w:rPr>
                <w:rFonts w:ascii="宋体" w:hAnsi="宋体" w:cs="宋体" w:eastAsia="宋体" w:hint="default"/>
                <w:spacing w:val="-2"/>
                <w:sz w:val="21"/>
                <w:szCs w:val="21"/>
              </w:rPr>
              <w:t>不转让在上市公司拥有权益的股份，并于收到立案稽查通知的两个交易日内将暂停转让的书面</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申请和股票账户提交上市公司董事会，由董事会代本单位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本人向证券交易所和登记结算公司申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请锁定；未在两个交易日内提交锁定申请的，授权董事会核实后直接向证券交易所和登记结算</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公司报送本单位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本人的身份信息和账户信息并申请锁定；董事会未向证券交易所和登记结算公</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sz w:val="21"/>
                <w:szCs w:val="21"/>
              </w:rPr>
              <w:t>司报送本单位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本人的身份信息和账户信息的，授权证券交易所和登记结算公司直接锁定相关股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4" w:right="0"/>
              <w:jc w:val="left"/>
              <w:rPr>
                <w:rFonts w:ascii="宋体" w:hAnsi="宋体" w:cs="宋体" w:eastAsia="宋体" w:hint="default"/>
                <w:sz w:val="21"/>
                <w:szCs w:val="21"/>
              </w:rPr>
            </w:pPr>
            <w:r>
              <w:rPr>
                <w:rFonts w:ascii="宋体" w:hAnsi="宋体" w:cs="宋体" w:eastAsia="宋体" w:hint="default"/>
                <w:sz w:val="21"/>
                <w:szCs w:val="21"/>
              </w:rPr>
              <w:t>正常履行中</w:t>
            </w:r>
          </w:p>
        </w:tc>
      </w:tr>
      <w:tr>
        <w:trPr>
          <w:trHeight w:val="349" w:hRule="exact"/>
        </w:trPr>
        <w:tc>
          <w:tcPr>
            <w:tcW w:w="536" w:type="dxa"/>
            <w:vMerge/>
            <w:tcBorders>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份。如调查结论发现存在违法违规情节，承诺锁定股份自愿用于相关投资者赔偿安排。</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r>
      <w:tr>
        <w:trPr>
          <w:trHeight w:val="369" w:hRule="exact"/>
        </w:trPr>
        <w:tc>
          <w:tcPr>
            <w:tcW w:w="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58"/>
              <w:jc w:val="center"/>
              <w:rPr>
                <w:rFonts w:ascii="宋体" w:hAnsi="宋体" w:cs="宋体" w:eastAsia="宋体" w:hint="default"/>
                <w:sz w:val="21"/>
                <w:szCs w:val="21"/>
              </w:rPr>
            </w:pPr>
            <w:r>
              <w:rPr>
                <w:rFonts w:ascii="宋体" w:hAnsi="宋体" w:cs="宋体" w:eastAsia="宋体" w:hint="default"/>
                <w:sz w:val="21"/>
                <w:szCs w:val="21"/>
              </w:rPr>
              <w:t>首次</w:t>
            </w:r>
          </w:p>
        </w:tc>
        <w:tc>
          <w:tcPr>
            <w:tcW w:w="1133"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2"/>
                <w:sz w:val="21"/>
                <w:szCs w:val="21"/>
              </w:rPr>
              <w:t>在作为本公司董事、监事、高级管理人员期间，每年转让的股份不超过其直接或间接持有本公</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公司上市</w:t>
            </w: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正常履行</w:t>
            </w:r>
          </w:p>
        </w:tc>
      </w:tr>
      <w:tr>
        <w:trPr>
          <w:trHeight w:val="311" w:hRule="exact"/>
        </w:trPr>
        <w:tc>
          <w:tcPr>
            <w:tcW w:w="53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58"/>
              <w:jc w:val="center"/>
              <w:rPr>
                <w:rFonts w:ascii="宋体" w:hAnsi="宋体" w:cs="宋体" w:eastAsia="宋体" w:hint="default"/>
                <w:sz w:val="21"/>
                <w:szCs w:val="21"/>
              </w:rPr>
            </w:pPr>
            <w:r>
              <w:rPr>
                <w:rFonts w:ascii="宋体" w:hAnsi="宋体" w:cs="宋体" w:eastAsia="宋体" w:hint="default"/>
                <w:sz w:val="21"/>
                <w:szCs w:val="21"/>
              </w:rPr>
              <w:t>公开</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刘琛、刘世</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84"/>
              <w:jc w:val="center"/>
              <w:rPr>
                <w:rFonts w:ascii="宋体" w:hAnsi="宋体" w:cs="宋体" w:eastAsia="宋体" w:hint="default"/>
                <w:sz w:val="21"/>
                <w:szCs w:val="21"/>
              </w:rPr>
            </w:pPr>
            <w:r>
              <w:rPr>
                <w:rFonts w:ascii="宋体" w:hAnsi="宋体" w:cs="宋体" w:eastAsia="宋体" w:hint="default"/>
                <w:sz w:val="21"/>
                <w:szCs w:val="21"/>
              </w:rPr>
              <w:t>股份</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司股份总数的</w:t>
            </w:r>
            <w:r>
              <w:rPr>
                <w:rFonts w:ascii="宋体" w:hAnsi="宋体" w:cs="宋体" w:eastAsia="宋体" w:hint="default"/>
                <w:spacing w:val="12"/>
                <w:sz w:val="21"/>
                <w:szCs w:val="21"/>
              </w:rPr>
              <w:t> </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。如其离职，离职后半年内不转让其所持有的本公司股份，在申报离任六个</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z w:val="21"/>
                <w:szCs w:val="21"/>
              </w:rPr>
              <w:t>一年后至</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中；截至本</w:t>
            </w:r>
          </w:p>
        </w:tc>
      </w:tr>
      <w:tr>
        <w:trPr>
          <w:trHeight w:val="312" w:hRule="exact"/>
        </w:trPr>
        <w:tc>
          <w:tcPr>
            <w:tcW w:w="536"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58"/>
              <w:jc w:val="center"/>
              <w:rPr>
                <w:rFonts w:ascii="宋体" w:hAnsi="宋体" w:cs="宋体" w:eastAsia="宋体" w:hint="default"/>
                <w:sz w:val="21"/>
                <w:szCs w:val="21"/>
              </w:rPr>
            </w:pPr>
            <w:r>
              <w:rPr>
                <w:rFonts w:ascii="宋体" w:hAnsi="宋体" w:cs="宋体" w:eastAsia="宋体" w:hint="default"/>
                <w:sz w:val="21"/>
                <w:szCs w:val="21"/>
              </w:rPr>
              <w:t>发行</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明</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52" w:lineRule="exact"/>
              <w:ind w:right="84"/>
              <w:jc w:val="center"/>
              <w:rPr>
                <w:rFonts w:ascii="宋体" w:hAnsi="宋体" w:cs="宋体" w:eastAsia="宋体" w:hint="default"/>
                <w:sz w:val="21"/>
                <w:szCs w:val="21"/>
              </w:rPr>
            </w:pPr>
            <w:r>
              <w:rPr>
                <w:rFonts w:ascii="宋体" w:hAnsi="宋体" w:cs="宋体" w:eastAsia="宋体" w:hint="default"/>
                <w:sz w:val="21"/>
                <w:szCs w:val="21"/>
              </w:rPr>
              <w:t>限售</w:t>
            </w:r>
          </w:p>
        </w:tc>
        <w:tc>
          <w:tcPr>
            <w:tcW w:w="864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月后的十二个月内通过证券交易所挂牌交易出售的股份不超过其所持有本公司股份总数的</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1" w:right="0"/>
              <w:jc w:val="left"/>
              <w:rPr>
                <w:rFonts w:ascii="宋体" w:hAnsi="宋体" w:cs="宋体" w:eastAsia="宋体" w:hint="default"/>
                <w:sz w:val="21"/>
                <w:szCs w:val="21"/>
              </w:rPr>
            </w:pPr>
            <w:r>
              <w:rPr>
                <w:rFonts w:ascii="宋体" w:hAnsi="宋体" w:cs="宋体" w:eastAsia="宋体" w:hint="default"/>
                <w:sz w:val="21"/>
                <w:szCs w:val="21"/>
              </w:rPr>
              <w:t>其离任后</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报告披露</w:t>
            </w:r>
          </w:p>
        </w:tc>
      </w:tr>
      <w:tr>
        <w:trPr>
          <w:trHeight w:val="347" w:hRule="exact"/>
        </w:trPr>
        <w:tc>
          <w:tcPr>
            <w:tcW w:w="536"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right="58"/>
              <w:jc w:val="center"/>
              <w:rPr>
                <w:rFonts w:ascii="宋体" w:hAnsi="宋体" w:cs="宋体" w:eastAsia="宋体" w:hint="default"/>
                <w:sz w:val="21"/>
                <w:szCs w:val="21"/>
              </w:rPr>
            </w:pPr>
            <w:r>
              <w:rPr>
                <w:rFonts w:ascii="宋体" w:hAnsi="宋体" w:cs="宋体" w:eastAsia="宋体" w:hint="default"/>
                <w:sz w:val="21"/>
                <w:szCs w:val="21"/>
              </w:rPr>
              <w:t>或再</w:t>
            </w:r>
          </w:p>
        </w:tc>
        <w:tc>
          <w:tcPr>
            <w:tcW w:w="1133"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649" w:type="dxa"/>
            <w:tcBorders>
              <w:top w:val="nil" w:sz="6" w:space="0" w:color="auto"/>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日，刘琛、</w:t>
            </w:r>
          </w:p>
        </w:tc>
      </w:tr>
    </w:tbl>
    <w:p>
      <w:pPr>
        <w:spacing w:after="0" w:line="271" w:lineRule="exact"/>
        <w:jc w:val="left"/>
        <w:rPr>
          <w:rFonts w:ascii="宋体" w:hAnsi="宋体" w:cs="宋体" w:eastAsia="宋体" w:hint="default"/>
          <w:sz w:val="21"/>
          <w:szCs w:val="21"/>
        </w:rPr>
        <w:sectPr>
          <w:pgSz w:w="16840" w:h="11910" w:orient="landscape"/>
          <w:pgMar w:header="867" w:footer="980" w:top="1060" w:bottom="1160" w:left="136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536"/>
        <w:gridCol w:w="1133"/>
        <w:gridCol w:w="566"/>
        <w:gridCol w:w="4767"/>
        <w:gridCol w:w="3881"/>
        <w:gridCol w:w="991"/>
        <w:gridCol w:w="994"/>
        <w:gridCol w:w="1136"/>
      </w:tblGrid>
      <w:tr>
        <w:trPr>
          <w:trHeight w:val="1313" w:hRule="exact"/>
        </w:trPr>
        <w:tc>
          <w:tcPr>
            <w:tcW w:w="536" w:type="dxa"/>
            <w:tcBorders>
              <w:top w:val="single" w:sz="15" w:space="0" w:color="000000"/>
              <w:left w:val="single" w:sz="4" w:space="0" w:color="000000"/>
              <w:bottom w:val="single" w:sz="4" w:space="0" w:color="000000"/>
              <w:right w:val="single" w:sz="4" w:space="0" w:color="000000"/>
            </w:tcBorders>
          </w:tcPr>
          <w:p>
            <w:pPr>
              <w:pStyle w:val="TableParagraph"/>
              <w:spacing w:line="273" w:lineRule="auto"/>
              <w:ind w:left="21" w:right="81"/>
              <w:jc w:val="both"/>
              <w:rPr>
                <w:rFonts w:ascii="宋体" w:hAnsi="宋体" w:cs="宋体" w:eastAsia="宋体" w:hint="default"/>
                <w:sz w:val="21"/>
                <w:szCs w:val="21"/>
              </w:rPr>
            </w:pP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时所</w:t>
            </w:r>
            <w:r>
              <w:rPr>
                <w:rFonts w:ascii="宋体" w:hAnsi="宋体" w:cs="宋体" w:eastAsia="宋体" w:hint="default"/>
                <w:spacing w:val="-103"/>
                <w:sz w:val="21"/>
                <w:szCs w:val="21"/>
              </w:rPr>
              <w:t> </w:t>
            </w:r>
            <w:r>
              <w:rPr>
                <w:rFonts w:ascii="宋体" w:hAnsi="宋体" w:cs="宋体" w:eastAsia="宋体" w:hint="default"/>
                <w:sz w:val="21"/>
                <w:szCs w:val="21"/>
              </w:rPr>
              <w:t>作承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1133"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8649" w:type="dxa"/>
            <w:gridSpan w:val="2"/>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136" w:type="dxa"/>
            <w:tcBorders>
              <w:top w:val="single" w:sz="15" w:space="0" w:color="000000"/>
              <w:left w:val="single" w:sz="4" w:space="0" w:color="000000"/>
              <w:bottom w:val="single" w:sz="4" w:space="0" w:color="000000"/>
              <w:right w:val="single" w:sz="4" w:space="0" w:color="000000"/>
            </w:tcBorders>
          </w:tcPr>
          <w:p>
            <w:pPr>
              <w:pStyle w:val="TableParagraph"/>
              <w:spacing w:line="273" w:lineRule="auto"/>
              <w:ind w:left="24" w:right="46"/>
              <w:jc w:val="both"/>
              <w:rPr>
                <w:rFonts w:ascii="宋体" w:hAnsi="宋体" w:cs="宋体" w:eastAsia="宋体" w:hint="default"/>
                <w:sz w:val="21"/>
                <w:szCs w:val="21"/>
              </w:rPr>
            </w:pPr>
            <w:r>
              <w:rPr>
                <w:rFonts w:ascii="宋体" w:hAnsi="宋体" w:cs="宋体" w:eastAsia="宋体" w:hint="default"/>
                <w:sz w:val="21"/>
                <w:szCs w:val="21"/>
              </w:rPr>
              <w:t>刘世明不再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担任公司董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监高。</w:t>
            </w:r>
          </w:p>
        </w:tc>
      </w:tr>
      <w:tr>
        <w:trPr>
          <w:trHeight w:val="2276" w:hRule="exact"/>
        </w:trPr>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8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对公</w:t>
            </w:r>
            <w:r>
              <w:rPr>
                <w:rFonts w:ascii="宋体" w:hAnsi="宋体" w:cs="宋体" w:eastAsia="宋体" w:hint="default"/>
                <w:spacing w:val="-103"/>
                <w:sz w:val="21"/>
                <w:szCs w:val="21"/>
              </w:rPr>
              <w:t> </w:t>
            </w:r>
            <w:r>
              <w:rPr>
                <w:rFonts w:ascii="宋体" w:hAnsi="宋体" w:cs="宋体" w:eastAsia="宋体" w:hint="default"/>
                <w:sz w:val="21"/>
                <w:szCs w:val="21"/>
              </w:rPr>
              <w:t>司中</w:t>
            </w:r>
            <w:r>
              <w:rPr>
                <w:rFonts w:ascii="宋体" w:hAnsi="宋体" w:cs="宋体" w:eastAsia="宋体" w:hint="default"/>
                <w:spacing w:val="-103"/>
                <w:sz w:val="21"/>
                <w:szCs w:val="21"/>
              </w:rPr>
              <w:t> </w:t>
            </w:r>
            <w:r>
              <w:rPr>
                <w:rFonts w:ascii="宋体" w:hAnsi="宋体" w:cs="宋体" w:eastAsia="宋体" w:hint="default"/>
                <w:sz w:val="21"/>
                <w:szCs w:val="21"/>
              </w:rPr>
              <w:t>小股</w:t>
            </w:r>
            <w:r>
              <w:rPr>
                <w:rFonts w:ascii="宋体" w:hAnsi="宋体" w:cs="宋体" w:eastAsia="宋体" w:hint="default"/>
                <w:spacing w:val="-103"/>
                <w:sz w:val="21"/>
                <w:szCs w:val="21"/>
              </w:rPr>
              <w:t> </w:t>
            </w:r>
            <w:r>
              <w:rPr>
                <w:rFonts w:ascii="宋体" w:hAnsi="宋体" w:cs="宋体" w:eastAsia="宋体" w:hint="default"/>
                <w:sz w:val="21"/>
                <w:szCs w:val="21"/>
              </w:rPr>
              <w:t>东所</w:t>
            </w:r>
            <w:r>
              <w:rPr>
                <w:rFonts w:ascii="宋体" w:hAnsi="宋体" w:cs="宋体" w:eastAsia="宋体" w:hint="default"/>
                <w:spacing w:val="-103"/>
                <w:sz w:val="21"/>
                <w:szCs w:val="21"/>
              </w:rPr>
              <w:t> </w:t>
            </w:r>
            <w:r>
              <w:rPr>
                <w:rFonts w:ascii="宋体" w:hAnsi="宋体" w:cs="宋体" w:eastAsia="宋体" w:hint="default"/>
                <w:sz w:val="21"/>
                <w:szCs w:val="21"/>
              </w:rPr>
              <w:t>作承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1" w:right="20"/>
              <w:jc w:val="both"/>
              <w:rPr>
                <w:rFonts w:ascii="宋体" w:hAnsi="宋体" w:cs="宋体" w:eastAsia="宋体" w:hint="default"/>
                <w:sz w:val="21"/>
                <w:szCs w:val="21"/>
              </w:rPr>
            </w:pPr>
            <w:r>
              <w:rPr>
                <w:rFonts w:ascii="宋体" w:hAnsi="宋体" w:cs="宋体" w:eastAsia="宋体" w:hint="default"/>
                <w:spacing w:val="3"/>
                <w:sz w:val="21"/>
                <w:szCs w:val="21"/>
              </w:rPr>
              <w:t>前海发展、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前海远大、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凤凰财鑫、</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凤凰财智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8"/>
              <w:ind w:left="23" w:right="10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8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59" w:lineRule="auto"/>
              <w:ind w:left="23" w:right="15"/>
              <w:jc w:val="left"/>
              <w:rPr>
                <w:rFonts w:ascii="宋体" w:hAnsi="宋体" w:cs="宋体" w:eastAsia="宋体" w:hint="default"/>
                <w:sz w:val="21"/>
                <w:szCs w:val="21"/>
              </w:rPr>
            </w:pPr>
            <w:r>
              <w:rPr>
                <w:rFonts w:ascii="宋体" w:hAnsi="宋体" w:cs="宋体" w:eastAsia="宋体" w:hint="default"/>
                <w:sz w:val="21"/>
                <w:szCs w:val="21"/>
              </w:rPr>
              <w:t>将遵守《深圳证券交易所中小企业板上市公司规范运作指引》</w:t>
            </w:r>
            <w:r>
              <w:rPr>
                <w:rFonts w:ascii="Times New Roman" w:hAnsi="Times New Roman" w:cs="Times New Roman" w:eastAsia="Times New Roman" w:hint="default"/>
                <w:sz w:val="21"/>
                <w:szCs w:val="21"/>
              </w:rPr>
              <w:t>4.2.25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规定，连续六个月内通过</w:t>
            </w:r>
            <w:r>
              <w:rPr>
                <w:rFonts w:ascii="宋体" w:hAnsi="宋体" w:cs="宋体" w:eastAsia="宋体" w:hint="default"/>
                <w:w w:val="100"/>
                <w:sz w:val="21"/>
                <w:szCs w:val="21"/>
              </w:rPr>
              <w:t> </w:t>
            </w:r>
            <w:r>
              <w:rPr>
                <w:rFonts w:ascii="宋体" w:hAnsi="宋体" w:cs="宋体" w:eastAsia="宋体" w:hint="default"/>
                <w:sz w:val="21"/>
                <w:szCs w:val="21"/>
              </w:rPr>
              <w:t>证券交易系统出售的股份低于国盛金控总股本的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24" w:right="46"/>
              <w:jc w:val="both"/>
              <w:rPr>
                <w:rFonts w:ascii="宋体" w:hAnsi="宋体" w:cs="宋体" w:eastAsia="宋体" w:hint="default"/>
                <w:sz w:val="21"/>
                <w:szCs w:val="21"/>
              </w:rPr>
            </w:pPr>
            <w:r>
              <w:rPr>
                <w:rFonts w:ascii="宋体" w:hAnsi="宋体" w:cs="宋体" w:eastAsia="宋体" w:hint="default"/>
                <w:sz w:val="21"/>
                <w:szCs w:val="21"/>
              </w:rPr>
              <w:t>正常履行，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报告期承诺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到期。</w:t>
            </w:r>
          </w:p>
        </w:tc>
      </w:tr>
      <w:tr>
        <w:trPr>
          <w:trHeight w:val="401" w:hRule="exact"/>
        </w:trPr>
        <w:tc>
          <w:tcPr>
            <w:tcW w:w="7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承诺是否按时履行</w:t>
            </w:r>
          </w:p>
        </w:tc>
        <w:tc>
          <w:tcPr>
            <w:tcW w:w="7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7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19"/>
              <w:jc w:val="left"/>
              <w:rPr>
                <w:rFonts w:ascii="宋体" w:hAnsi="宋体" w:cs="宋体" w:eastAsia="宋体" w:hint="default"/>
                <w:sz w:val="21"/>
                <w:szCs w:val="21"/>
              </w:rPr>
            </w:pPr>
            <w:r>
              <w:rPr>
                <w:rFonts w:ascii="宋体" w:hAnsi="宋体" w:cs="宋体" w:eastAsia="宋体" w:hint="default"/>
                <w:spacing w:val="-1"/>
                <w:sz w:val="21"/>
                <w:szCs w:val="21"/>
              </w:rPr>
              <w:t>如承诺超期未履行完毕的，应当详细说明未完成履行的具体原因及下一步的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工作计划</w:t>
            </w:r>
          </w:p>
        </w:tc>
        <w:tc>
          <w:tcPr>
            <w:tcW w:w="7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1" w:right="0"/>
              <w:jc w:val="left"/>
              <w:rPr>
                <w:rFonts w:ascii="宋体" w:hAnsi="宋体" w:cs="宋体" w:eastAsia="宋体" w:hint="default"/>
                <w:sz w:val="21"/>
                <w:szCs w:val="21"/>
              </w:rPr>
            </w:pPr>
            <w:r>
              <w:rPr>
                <w:rFonts w:ascii="宋体" w:hAnsi="宋体" w:cs="宋体" w:eastAsia="宋体" w:hint="default"/>
                <w:sz w:val="21"/>
                <w:szCs w:val="21"/>
              </w:rPr>
              <w:t>雪松信托未按《业绩承诺补偿协议》约定履行业绩补偿承诺</w:t>
            </w:r>
            <w:r>
              <w:rPr>
                <w:rFonts w:ascii="宋体" w:hAnsi="宋体" w:cs="宋体" w:eastAsia="宋体" w:hint="default"/>
                <w:position w:val="11"/>
                <w:sz w:val="11"/>
                <w:szCs w:val="11"/>
              </w:rPr>
              <w:t>注</w:t>
            </w:r>
            <w:r>
              <w:rPr>
                <w:rFonts w:ascii="宋体" w:hAnsi="宋体" w:cs="宋体" w:eastAsia="宋体" w:hint="default"/>
                <w:sz w:val="21"/>
                <w:szCs w:val="21"/>
              </w:rPr>
              <w:t>。</w:t>
            </w:r>
          </w:p>
        </w:tc>
      </w:tr>
    </w:tbl>
    <w:p>
      <w:pPr>
        <w:pStyle w:val="BodyText"/>
        <w:spacing w:line="240" w:lineRule="auto" w:before="28"/>
        <w:ind w:left="100" w:right="0"/>
        <w:jc w:val="left"/>
      </w:pPr>
      <w:r>
        <w:rPr/>
        <w:t>注：具体情况详见</w:t>
      </w:r>
      <w:r>
        <w:rPr>
          <w:rFonts w:ascii="Times New Roman" w:hAnsi="Times New Roman" w:cs="Times New Roman" w:eastAsia="Times New Roman" w:hint="default"/>
        </w:rPr>
        <w:t>“</w:t>
      </w:r>
      <w:r>
        <w:rPr/>
        <w:t>第五节</w:t>
      </w:r>
      <w:r>
        <w:rPr>
          <w:spacing w:val="-7"/>
        </w:rPr>
        <w:t> </w:t>
      </w:r>
      <w:r>
        <w:rPr/>
        <w:t>重要事项</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十二、重大诉讼、仲裁事项</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9"/>
          <w:szCs w:val="19"/>
        </w:rPr>
      </w:pPr>
    </w:p>
    <w:p>
      <w:pPr>
        <w:pStyle w:val="Heading4"/>
        <w:tabs>
          <w:tab w:pos="12454" w:val="left" w:leader="none"/>
        </w:tabs>
        <w:spacing w:line="240" w:lineRule="auto"/>
        <w:ind w:left="100" w:right="0"/>
        <w:jc w:val="left"/>
        <w:rPr>
          <w:rFonts w:ascii="宋体" w:hAnsi="宋体" w:cs="宋体" w:eastAsia="宋体" w:hint="default"/>
          <w:b w:val="0"/>
          <w:bCs w:val="0"/>
        </w:rPr>
      </w:pPr>
      <w:r>
        <w:rPr>
          <w:rFonts w:ascii="Times New Roman" w:hAnsi="Times New Roman" w:cs="Times New Roman" w:eastAsia="Times New Roman" w:hint="default"/>
          <w:spacing w:val="-2"/>
        </w:rPr>
        <w:t>2</w:t>
      </w:r>
      <w:r>
        <w:rPr>
          <w:spacing w:val="-2"/>
        </w:rPr>
        <w:t>、公司资产或项目存在盈利预测，且报告期仍处在盈利预测期间，公司就资产或项目达到原盈利预测及其原因做出说明</w:t>
        <w:tab/>
      </w:r>
      <w:r>
        <w:rPr>
          <w:rFonts w:ascii="Times New Roman" w:hAnsi="Times New Roman" w:cs="Times New Roman" w:eastAsia="Times New Roman" w:hint="default"/>
          <w:b w:val="0"/>
          <w:bCs w:val="0"/>
        </w:rPr>
        <w:t>□  </w:t>
      </w:r>
      <w:r>
        <w:rPr>
          <w:rFonts w:ascii="宋体" w:hAnsi="宋体" w:cs="宋体" w:eastAsia="宋体" w:hint="default"/>
          <w:b w:val="0"/>
          <w:bCs w:val="0"/>
          <w:spacing w:val="-2"/>
        </w:rPr>
        <w:t>适用</w:t>
      </w:r>
      <w:r>
        <w:rPr>
          <w:rFonts w:ascii="宋体" w:hAnsi="宋体" w:cs="宋体" w:eastAsia="宋体" w:hint="default"/>
          <w:b w:val="0"/>
          <w:bCs w:val="0"/>
        </w:rPr>
        <w:t> </w:t>
      </w:r>
      <w:r>
        <w:rPr>
          <w:rFonts w:ascii="Times New Roman" w:hAnsi="Times New Roman" w:cs="Times New Roman" w:eastAsia="Times New Roman" w:hint="default"/>
          <w:b w:val="0"/>
          <w:bCs w:val="0"/>
        </w:rPr>
        <w:t>√ </w:t>
      </w:r>
      <w:r>
        <w:rPr>
          <w:rFonts w:ascii="Times New Roman" w:hAnsi="Times New Roman" w:cs="Times New Roman" w:eastAsia="Times New Roman" w:hint="default"/>
          <w:b w:val="0"/>
          <w:bCs w:val="0"/>
          <w:spacing w:val="5"/>
        </w:rPr>
        <w:t> </w:t>
      </w:r>
      <w:r>
        <w:rPr>
          <w:rFonts w:ascii="宋体" w:hAnsi="宋体" w:cs="宋体" w:eastAsia="宋体" w:hint="default"/>
          <w:b w:val="0"/>
          <w:bCs w:val="0"/>
          <w:spacing w:val="-1"/>
        </w:rPr>
        <w:t>不适用</w:t>
      </w:r>
    </w:p>
    <w:p>
      <w:pPr>
        <w:spacing w:after="0" w:line="240" w:lineRule="auto"/>
        <w:jc w:val="left"/>
        <w:rPr>
          <w:rFonts w:ascii="宋体" w:hAnsi="宋体" w:cs="宋体" w:eastAsia="宋体" w:hint="default"/>
        </w:rPr>
        <w:sectPr>
          <w:pgSz w:w="16840" w:h="11910" w:orient="landscape"/>
          <w:pgMar w:header="867" w:footer="980" w:top="1060" w:bottom="1160" w:left="1340" w:right="1240"/>
        </w:sectPr>
      </w:pPr>
    </w:p>
    <w:p>
      <w:pPr>
        <w:spacing w:line="240" w:lineRule="auto" w:before="10"/>
        <w:rPr>
          <w:rFonts w:ascii="宋体" w:hAnsi="宋体" w:cs="宋体" w:eastAsia="宋体" w:hint="default"/>
          <w:sz w:val="19"/>
          <w:szCs w:val="19"/>
        </w:rPr>
      </w:pPr>
    </w:p>
    <w:p>
      <w:pPr>
        <w:tabs>
          <w:tab w:pos="8137" w:val="left" w:leader="none"/>
        </w:tabs>
        <w:spacing w:line="367"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4"/>
          <w:szCs w:val="24"/>
        </w:rPr>
        <w:t>四、控股股东及其关联方对上市公司的非经营性占用资金情况</w:t>
        <w:tab/>
      </w:r>
      <w:r>
        <w:rPr>
          <w:rFonts w:ascii="Times New Roman" w:hAnsi="Times New Roman" w:cs="Times New Roman" w:eastAsia="Times New Roman" w:hint="default"/>
          <w:b/>
          <w:bCs/>
          <w:sz w:val="21"/>
          <w:szCs w:val="21"/>
        </w:rPr>
        <w:t>□  </w:t>
      </w:r>
      <w:r>
        <w:rPr>
          <w:rFonts w:ascii="Microsoft JhengHei" w:hAnsi="Microsoft JhengHei" w:cs="Microsoft JhengHei" w:eastAsia="Microsoft JhengHei" w:hint="default"/>
          <w:b/>
          <w:bCs/>
          <w:sz w:val="21"/>
          <w:szCs w:val="21"/>
        </w:rPr>
        <w:t>适用  </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不适用</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t>本集团报告期不存在控股股东及其关联方对上市公司的非经营性占用资金。</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五、董事会、监事会、独立董事对会计师事务所本报告期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88"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363" w:lineRule="exact"/>
        <w:ind w:left="152" w:right="0"/>
        <w:jc w:val="left"/>
        <w:rPr>
          <w:b w:val="0"/>
          <w:bCs w:val="0"/>
        </w:rPr>
      </w:pPr>
      <w:r>
        <w:rPr/>
        <w:t>（一）保留意见涉及事项</w:t>
      </w:r>
      <w:r>
        <w:rPr>
          <w:b w:val="0"/>
          <w:bCs w:val="0"/>
        </w:rPr>
      </w:r>
    </w:p>
    <w:p>
      <w:pPr>
        <w:pStyle w:val="BodyText"/>
        <w:spacing w:line="240" w:lineRule="auto" w:before="51"/>
        <w:ind w:left="573" w:right="0"/>
        <w:jc w:val="left"/>
      </w:pPr>
      <w:r>
        <w:rPr/>
        <w:t>公司自</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日起将原确认为交易性金融资产核算的</w:t>
      </w:r>
      <w:r>
        <w:rPr>
          <w:spacing w:val="-43"/>
        </w:rPr>
        <w:t> </w:t>
      </w:r>
      <w:r>
        <w:rPr>
          <w:rFonts w:ascii="Times New Roman" w:hAnsi="Times New Roman" w:cs="Times New Roman" w:eastAsia="Times New Roman" w:hint="default"/>
        </w:rPr>
        <w:t>QD</w:t>
      </w:r>
      <w:r>
        <w:rPr>
          <w:rFonts w:ascii="Times New Roman" w:hAnsi="Times New Roman" w:cs="Times New Roman" w:eastAsia="Times New Roman" w:hint="default"/>
          <w:spacing w:val="12"/>
        </w:rPr>
        <w:t> </w:t>
      </w:r>
      <w:r>
        <w:rPr/>
        <w:t>股权转换为长期股权投资并按权</w:t>
      </w:r>
    </w:p>
    <w:p>
      <w:pPr>
        <w:pStyle w:val="BodyText"/>
        <w:spacing w:line="256" w:lineRule="auto" w:before="21"/>
        <w:ind w:right="1128"/>
        <w:jc w:val="both"/>
      </w:pPr>
      <w:r>
        <w:rPr>
          <w:spacing w:val="-6"/>
        </w:rPr>
        <w:t>益法核算。年审机构认为，公司并非从</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日起才对</w:t>
      </w:r>
      <w:r>
        <w:rPr>
          <w:spacing w:val="-52"/>
        </w:rPr>
        <w:t> </w:t>
      </w:r>
      <w:r>
        <w:rPr>
          <w:rFonts w:ascii="Times New Roman" w:hAnsi="Times New Roman" w:cs="Times New Roman" w:eastAsia="Times New Roman" w:hint="default"/>
        </w:rPr>
        <w:t>QD</w:t>
      </w:r>
      <w:r>
        <w:rPr>
          <w:rFonts w:ascii="Times New Roman" w:hAnsi="Times New Roman" w:cs="Times New Roman" w:eastAsia="Times New Roman" w:hint="default"/>
          <w:spacing w:val="2"/>
        </w:rPr>
        <w:t> </w:t>
      </w:r>
      <w:r>
        <w:rPr>
          <w:spacing w:val="-5"/>
        </w:rPr>
        <w:t>存在重大影响，而是从</w:t>
      </w:r>
      <w:r>
        <w:rPr>
          <w:spacing w:val="-49"/>
        </w:rPr>
        <w:t> </w:t>
      </w:r>
      <w:r>
        <w:rPr>
          <w:rFonts w:ascii="Times New Roman" w:hAnsi="Times New Roman" w:cs="Times New Roman" w:eastAsia="Times New Roman" w:hint="default"/>
        </w:rPr>
        <w:t>2016 </w:t>
      </w:r>
      <w:r>
        <w:rPr/>
        <w:t>年</w:t>
      </w:r>
      <w:r>
        <w:rPr>
          <w:spacing w:val="-50"/>
        </w:rPr>
        <w:t> </w:t>
      </w:r>
      <w:r>
        <w:rPr>
          <w:rFonts w:ascii="Times New Roman" w:hAnsi="Times New Roman" w:cs="Times New Roman" w:eastAsia="Times New Roman" w:hint="default"/>
        </w:rPr>
        <w:t>10 </w:t>
      </w:r>
      <w:r>
        <w:rPr/>
        <w:t>月</w:t>
      </w:r>
      <w:r>
        <w:rPr>
          <w:w w:val="100"/>
        </w:rPr>
        <w:t> </w:t>
      </w:r>
      <w:r>
        <w:rPr/>
        <w:t>初始投资时至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年末的期间对</w:t>
      </w:r>
      <w:r>
        <w:rPr>
          <w:spacing w:val="-54"/>
        </w:rPr>
        <w:t> </w:t>
      </w:r>
      <w:r>
        <w:rPr>
          <w:rFonts w:ascii="Times New Roman" w:hAnsi="Times New Roman" w:cs="Times New Roman" w:eastAsia="Times New Roman" w:hint="default"/>
        </w:rPr>
        <w:t>QD</w:t>
      </w:r>
      <w:r>
        <w:rPr>
          <w:rFonts w:ascii="Times New Roman" w:hAnsi="Times New Roman" w:cs="Times New Roman" w:eastAsia="Times New Roman" w:hint="default"/>
          <w:spacing w:val="-3"/>
        </w:rPr>
        <w:t> </w:t>
      </w:r>
      <w:r>
        <w:rPr/>
        <w:t>均存在重大影响，并据此对公司</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年度财务报表出具保留意见审</w:t>
      </w:r>
      <w:r>
        <w:rPr>
          <w:w w:val="100"/>
        </w:rPr>
        <w:t> </w:t>
      </w:r>
      <w:r>
        <w:rPr/>
        <w:t>计报告。</w:t>
      </w:r>
    </w:p>
    <w:p>
      <w:pPr>
        <w:pStyle w:val="Heading4"/>
        <w:spacing w:line="362" w:lineRule="exact"/>
        <w:ind w:left="152" w:right="0"/>
        <w:jc w:val="left"/>
        <w:rPr>
          <w:b w:val="0"/>
          <w:bCs w:val="0"/>
        </w:rPr>
      </w:pPr>
      <w:r>
        <w:rPr/>
        <w:t>（二）公司对上述事项的说明</w:t>
      </w:r>
      <w:r>
        <w:rPr>
          <w:b w:val="0"/>
          <w:bCs w:val="0"/>
        </w:rPr>
      </w:r>
    </w:p>
    <w:p>
      <w:pPr>
        <w:pStyle w:val="BodyText"/>
        <w:spacing w:line="240" w:lineRule="auto" w:before="54"/>
        <w:ind w:left="573" w:right="0"/>
        <w:jc w:val="left"/>
      </w:pPr>
      <w:r>
        <w:rPr/>
        <w:t>公司不认同年审机构关于公司能够对</w:t>
      </w:r>
      <w:r>
        <w:rPr>
          <w:spacing w:val="-54"/>
        </w:rPr>
        <w:t> </w:t>
      </w:r>
      <w:r>
        <w:rPr>
          <w:rFonts w:ascii="Times New Roman" w:hAnsi="Times New Roman" w:cs="Times New Roman" w:eastAsia="Times New Roman" w:hint="default"/>
        </w:rPr>
        <w:t>QD</w:t>
      </w:r>
      <w:r>
        <w:rPr>
          <w:rFonts w:ascii="Times New Roman" w:hAnsi="Times New Roman" w:cs="Times New Roman" w:eastAsia="Times New Roman" w:hint="default"/>
          <w:spacing w:val="-3"/>
        </w:rPr>
        <w:t> </w:t>
      </w:r>
      <w:r>
        <w:rPr/>
        <w:t>实施重大影响时点的判断意见。</w:t>
      </w:r>
    </w:p>
    <w:p>
      <w:pPr>
        <w:pStyle w:val="BodyText"/>
        <w:spacing w:line="240" w:lineRule="auto" w:before="59"/>
        <w:ind w:left="573" w:right="0"/>
        <w:jc w:val="left"/>
      </w:pPr>
      <w:r>
        <w:rPr>
          <w:rFonts w:ascii="Times New Roman" w:hAnsi="Times New Roman" w:cs="Times New Roman" w:eastAsia="Times New Roman" w:hint="default"/>
        </w:rPr>
        <w:t>1</w:t>
      </w:r>
      <w:r>
        <w:rPr/>
        <w:t>、公司变更</w:t>
      </w:r>
      <w:r>
        <w:rPr>
          <w:spacing w:val="-57"/>
        </w:rPr>
        <w:t> </w:t>
      </w:r>
      <w:r>
        <w:rPr>
          <w:rFonts w:ascii="Times New Roman" w:hAnsi="Times New Roman" w:cs="Times New Roman" w:eastAsia="Times New Roman" w:hint="default"/>
        </w:rPr>
        <w:t>QD</w:t>
      </w:r>
      <w:r>
        <w:rPr>
          <w:rFonts w:ascii="Times New Roman" w:hAnsi="Times New Roman" w:cs="Times New Roman" w:eastAsia="Times New Roman" w:hint="default"/>
          <w:spacing w:val="-1"/>
        </w:rPr>
        <w:t> </w:t>
      </w:r>
      <w:r>
        <w:rPr/>
        <w:t>核算方法的有合理背景</w:t>
      </w:r>
    </w:p>
    <w:p>
      <w:pPr>
        <w:pStyle w:val="BodyText"/>
        <w:spacing w:line="256" w:lineRule="auto" w:before="62"/>
        <w:ind w:right="1018" w:firstLine="420"/>
        <w:jc w:val="left"/>
      </w:pPr>
      <w:r>
        <w:rPr/>
        <w:t>自</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月初始投资至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日，因公司不具有充分的参与</w:t>
      </w:r>
      <w:r>
        <w:rPr>
          <w:spacing w:val="-48"/>
        </w:rPr>
        <w:t> </w:t>
      </w:r>
      <w:r>
        <w:rPr>
          <w:rFonts w:ascii="Times New Roman" w:hAnsi="Times New Roman" w:cs="Times New Roman" w:eastAsia="Times New Roman" w:hint="default"/>
        </w:rPr>
        <w:t>QD</w:t>
      </w:r>
      <w:r>
        <w:rPr>
          <w:rFonts w:ascii="Times New Roman" w:hAnsi="Times New Roman" w:cs="Times New Roman" w:eastAsia="Times New Roman" w:hint="default"/>
          <w:spacing w:val="6"/>
        </w:rPr>
        <w:t> </w:t>
      </w:r>
      <w:r>
        <w:rPr/>
        <w:t>财务和经营政策决策</w:t>
      </w:r>
      <w:r>
        <w:rPr>
          <w:w w:val="100"/>
        </w:rPr>
        <w:t> </w:t>
      </w:r>
      <w:r>
        <w:rPr>
          <w:spacing w:val="-3"/>
        </w:rPr>
        <w:t>的权力，公司对</w:t>
      </w:r>
      <w:r>
        <w:rPr>
          <w:spacing w:val="-46"/>
        </w:rPr>
        <w:t> </w:t>
      </w:r>
      <w:r>
        <w:rPr>
          <w:rFonts w:ascii="Times New Roman" w:hAnsi="Times New Roman" w:cs="Times New Roman" w:eastAsia="Times New Roman" w:hint="default"/>
        </w:rPr>
        <w:t>QD</w:t>
      </w:r>
      <w:r>
        <w:rPr>
          <w:rFonts w:ascii="Times New Roman" w:hAnsi="Times New Roman" w:cs="Times New Roman" w:eastAsia="Times New Roman" w:hint="default"/>
          <w:spacing w:val="11"/>
        </w:rPr>
        <w:t> </w:t>
      </w:r>
      <w:r>
        <w:rPr>
          <w:spacing w:val="-4"/>
        </w:rPr>
        <w:t>不具有重大影响。其间，公司对所持</w:t>
      </w:r>
      <w:r>
        <w:rPr>
          <w:spacing w:val="-43"/>
        </w:rPr>
        <w:t> </w:t>
      </w:r>
      <w:r>
        <w:rPr>
          <w:rFonts w:ascii="Times New Roman" w:hAnsi="Times New Roman" w:cs="Times New Roman" w:eastAsia="Times New Roman" w:hint="default"/>
        </w:rPr>
        <w:t>QD</w:t>
      </w:r>
      <w:r>
        <w:rPr>
          <w:rFonts w:ascii="Times New Roman" w:hAnsi="Times New Roman" w:cs="Times New Roman" w:eastAsia="Times New Roman" w:hint="default"/>
          <w:spacing w:val="8"/>
        </w:rPr>
        <w:t> </w:t>
      </w:r>
      <w:r>
        <w:rPr>
          <w:spacing w:val="-3"/>
        </w:rPr>
        <w:t>股权按照可供出售金融资产核算，并在</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日执行新金融工具准则后，将该资产分类为以公允价值计量且其变动计入当期损益的金融资产，</w:t>
      </w:r>
      <w:r>
        <w:rPr>
          <w:w w:val="100"/>
        </w:rPr>
        <w:t> </w:t>
      </w:r>
      <w:r>
        <w:rPr/>
        <w:t>作为交易性金融资产进行核算。</w:t>
      </w:r>
    </w:p>
    <w:p>
      <w:pPr>
        <w:pStyle w:val="BodyText"/>
        <w:spacing w:line="256" w:lineRule="auto" w:before="63"/>
        <w:ind w:right="1126" w:firstLine="420"/>
        <w:jc w:val="both"/>
      </w:pPr>
      <w:r>
        <w:rPr>
          <w:rFonts w:ascii="Times New Roman" w:hAnsi="Times New Roman" w:cs="Times New Roman" w:eastAsia="Times New Roman" w:hint="default"/>
        </w:rPr>
        <w:t>2019 </w:t>
      </w:r>
      <w:r>
        <w:rPr>
          <w:spacing w:val="-9"/>
        </w:rPr>
        <w:t>年以来，</w:t>
      </w:r>
      <w:r>
        <w:rPr>
          <w:rFonts w:ascii="Times New Roman" w:hAnsi="Times New Roman" w:cs="Times New Roman" w:eastAsia="Times New Roman" w:hint="default"/>
          <w:spacing w:val="-9"/>
        </w:rPr>
        <w:t>QD </w:t>
      </w:r>
      <w:r>
        <w:rPr>
          <w:spacing w:val="-5"/>
        </w:rPr>
        <w:t>股权结构等情况发生重大变化。在 </w:t>
      </w:r>
      <w:r>
        <w:rPr>
          <w:rFonts w:ascii="Times New Roman" w:hAnsi="Times New Roman" w:cs="Times New Roman" w:eastAsia="Times New Roman" w:hint="default"/>
        </w:rPr>
        <w:t>QD </w:t>
      </w:r>
      <w:r>
        <w:rPr>
          <w:spacing w:val="-5"/>
        </w:rPr>
        <w:t>实施股份回购计划、其他</w:t>
      </w:r>
      <w:r>
        <w:rPr>
          <w:spacing w:val="-41"/>
        </w:rPr>
        <w:t> </w:t>
      </w:r>
      <w:r>
        <w:rPr>
          <w:rFonts w:ascii="Times New Roman" w:hAnsi="Times New Roman" w:cs="Times New Roman" w:eastAsia="Times New Roman" w:hint="default"/>
        </w:rPr>
        <w:t>5%</w:t>
      </w:r>
      <w:r>
        <w:rPr/>
        <w:t>以上股东减持、</w:t>
      </w:r>
      <w:r>
        <w:rPr>
          <w:w w:val="100"/>
        </w:rPr>
        <w:t> </w:t>
      </w:r>
      <w:r>
        <w:rPr>
          <w:rFonts w:ascii="Times New Roman" w:hAnsi="Times New Roman" w:cs="Times New Roman" w:eastAsia="Times New Roman" w:hint="default"/>
        </w:rPr>
        <w:t>QD </w:t>
      </w:r>
      <w:r>
        <w:rPr/>
        <w:t>业务经过快速发展后业务方向将要发生重要转变的阶段，公司主动选择继续持有 </w:t>
      </w:r>
      <w:r>
        <w:rPr>
          <w:rFonts w:ascii="Times New Roman" w:hAnsi="Times New Roman" w:cs="Times New Roman" w:eastAsia="Times New Roman" w:hint="default"/>
        </w:rPr>
        <w:t>QD</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月，公司对</w:t>
      </w:r>
      <w:r>
        <w:rPr>
          <w:spacing w:val="-47"/>
        </w:rPr>
        <w:t> </w:t>
      </w:r>
      <w:r>
        <w:rPr>
          <w:rFonts w:ascii="Times New Roman" w:hAnsi="Times New Roman" w:cs="Times New Roman" w:eastAsia="Times New Roman" w:hint="default"/>
        </w:rPr>
        <w:t>QD</w:t>
      </w:r>
      <w:r>
        <w:rPr>
          <w:rFonts w:ascii="Times New Roman" w:hAnsi="Times New Roman" w:cs="Times New Roman" w:eastAsia="Times New Roman" w:hint="default"/>
          <w:spacing w:val="8"/>
        </w:rPr>
        <w:t> </w:t>
      </w:r>
      <w:r>
        <w:rPr/>
        <w:t>的持股从</w:t>
      </w:r>
      <w:r>
        <w:rPr>
          <w:spacing w:val="-47"/>
        </w:rPr>
        <w:t> </w:t>
      </w:r>
      <w:r>
        <w:rPr>
          <w:rFonts w:ascii="Times New Roman" w:hAnsi="Times New Roman" w:cs="Times New Roman" w:eastAsia="Times New Roman" w:hint="default"/>
        </w:rPr>
        <w:t>4.49%</w:t>
      </w:r>
      <w:r>
        <w:rPr/>
        <w:t>升至</w:t>
      </w:r>
      <w:r>
        <w:rPr>
          <w:spacing w:val="-46"/>
        </w:rPr>
        <w:t> </w:t>
      </w:r>
      <w:r>
        <w:rPr>
          <w:rFonts w:ascii="Times New Roman" w:hAnsi="Times New Roman" w:cs="Times New Roman" w:eastAsia="Times New Roman" w:hint="default"/>
        </w:rPr>
        <w:t>5.03%</w:t>
      </w:r>
      <w:r>
        <w:rPr/>
        <w:t>，股东位次从第六名升至第二名，成为</w:t>
      </w:r>
      <w:r>
        <w:rPr>
          <w:spacing w:val="-49"/>
        </w:rPr>
        <w:t> </w:t>
      </w:r>
      <w:r>
        <w:rPr>
          <w:rFonts w:ascii="Times New Roman" w:hAnsi="Times New Roman" w:cs="Times New Roman" w:eastAsia="Times New Roman" w:hint="default"/>
        </w:rPr>
        <w:t>QD</w:t>
      </w:r>
      <w:r>
        <w:rPr>
          <w:rFonts w:ascii="Times New Roman" w:hAnsi="Times New Roman" w:cs="Times New Roman" w:eastAsia="Times New Roman" w:hint="default"/>
          <w:spacing w:val="7"/>
        </w:rPr>
        <w:t> </w:t>
      </w:r>
      <w:r>
        <w:rPr/>
        <w:t>除</w:t>
      </w:r>
      <w:r>
        <w:rPr>
          <w:w w:val="100"/>
        </w:rPr>
        <w:t> </w:t>
      </w:r>
      <w:r>
        <w:rPr/>
        <w:t>其实际控制人以外的唯一</w:t>
      </w:r>
      <w:r>
        <w:rPr>
          <w:spacing w:val="-53"/>
        </w:rPr>
        <w:t> </w:t>
      </w:r>
      <w:r>
        <w:rPr>
          <w:rFonts w:ascii="Times New Roman" w:hAnsi="Times New Roman" w:cs="Times New Roman" w:eastAsia="Times New Roman" w:hint="default"/>
        </w:rPr>
        <w:t>5%</w:t>
      </w:r>
      <w:r>
        <w:rPr/>
        <w:t>以上股东。</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13 </w:t>
      </w:r>
      <w:r>
        <w:rPr/>
        <w:t>日公司派出人员成为</w:t>
      </w:r>
      <w:r>
        <w:rPr>
          <w:spacing w:val="-51"/>
        </w:rPr>
        <w:t> </w:t>
      </w:r>
      <w:r>
        <w:rPr>
          <w:rFonts w:ascii="Times New Roman" w:hAnsi="Times New Roman" w:cs="Times New Roman" w:eastAsia="Times New Roman" w:hint="default"/>
        </w:rPr>
        <w:t>QD</w:t>
      </w:r>
      <w:r>
        <w:rPr>
          <w:rFonts w:ascii="Times New Roman" w:hAnsi="Times New Roman" w:cs="Times New Roman" w:eastAsia="Times New Roman" w:hint="default"/>
          <w:spacing w:val="1"/>
        </w:rPr>
        <w:t> </w:t>
      </w:r>
      <w:r>
        <w:rPr/>
        <w:t>董事，作为其</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人董事</w:t>
      </w:r>
      <w:r>
        <w:rPr>
          <w:w w:val="100"/>
        </w:rPr>
        <w:t> </w:t>
      </w:r>
      <w:r>
        <w:rPr/>
        <w:t>会成员之一，参与</w:t>
      </w:r>
      <w:r>
        <w:rPr>
          <w:spacing w:val="-62"/>
        </w:rPr>
        <w:t> </w:t>
      </w:r>
      <w:r>
        <w:rPr>
          <w:rFonts w:ascii="Times New Roman" w:hAnsi="Times New Roman" w:cs="Times New Roman" w:eastAsia="Times New Roman" w:hint="default"/>
        </w:rPr>
        <w:t>QD</w:t>
      </w:r>
      <w:r>
        <w:rPr>
          <w:rFonts w:ascii="Times New Roman" w:hAnsi="Times New Roman" w:cs="Times New Roman" w:eastAsia="Times New Roman" w:hint="default"/>
          <w:spacing w:val="-7"/>
        </w:rPr>
        <w:t> </w:t>
      </w:r>
      <w:r>
        <w:rPr/>
        <w:t>财务和经营政策的决策，以实现更直接、深入地参与趣店管理的目的。同时，公司</w:t>
      </w:r>
      <w:r>
        <w:rPr>
          <w:w w:val="100"/>
        </w:rPr>
        <w:t> </w:t>
      </w:r>
      <w:r>
        <w:rPr/>
        <w:t>具有长期持有</w:t>
      </w:r>
      <w:r>
        <w:rPr>
          <w:spacing w:val="-48"/>
        </w:rPr>
        <w:t> </w:t>
      </w:r>
      <w:r>
        <w:rPr>
          <w:rFonts w:ascii="Times New Roman" w:hAnsi="Times New Roman" w:cs="Times New Roman" w:eastAsia="Times New Roman" w:hint="default"/>
        </w:rPr>
        <w:t>QD</w:t>
      </w:r>
      <w:r>
        <w:rPr>
          <w:rFonts w:ascii="Times New Roman" w:hAnsi="Times New Roman" w:cs="Times New Roman" w:eastAsia="Times New Roman" w:hint="default"/>
          <w:spacing w:val="6"/>
        </w:rPr>
        <w:t> </w:t>
      </w:r>
      <w:r>
        <w:rPr/>
        <w:t>股份的意图，</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月进一步公开承诺锁定</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年。基于上述业务变化，经履行必要</w:t>
      </w:r>
      <w:r>
        <w:rPr>
          <w:w w:val="100"/>
        </w:rPr>
        <w:t> </w:t>
      </w:r>
      <w:r>
        <w:rPr/>
        <w:t>审议程序和论证，公司决定自</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日派出董事生效日起将对</w:t>
      </w:r>
      <w:r>
        <w:rPr>
          <w:spacing w:val="-44"/>
        </w:rPr>
        <w:t> </w:t>
      </w:r>
      <w:r>
        <w:rPr>
          <w:rFonts w:ascii="Times New Roman" w:hAnsi="Times New Roman" w:cs="Times New Roman" w:eastAsia="Times New Roman" w:hint="default"/>
        </w:rPr>
        <w:t>QD</w:t>
      </w:r>
      <w:r>
        <w:rPr>
          <w:rFonts w:ascii="Times New Roman" w:hAnsi="Times New Roman" w:cs="Times New Roman" w:eastAsia="Times New Roman" w:hint="default"/>
          <w:spacing w:val="12"/>
        </w:rPr>
        <w:t> </w:t>
      </w:r>
      <w:r>
        <w:rPr/>
        <w:t>投资的核算科目由交易性金</w:t>
      </w:r>
      <w:r>
        <w:rPr>
          <w:w w:val="100"/>
        </w:rPr>
        <w:t> </w:t>
      </w:r>
      <w:r>
        <w:rPr/>
        <w:t>融资产转换为权益法核算的长期股权投资。</w:t>
      </w:r>
    </w:p>
    <w:p>
      <w:pPr>
        <w:pStyle w:val="BodyText"/>
        <w:spacing w:line="290" w:lineRule="auto" w:before="61"/>
        <w:ind w:left="573" w:right="1124"/>
        <w:jc w:val="left"/>
      </w:pPr>
      <w:r>
        <w:rPr>
          <w:rFonts w:ascii="Times New Roman" w:hAnsi="Times New Roman" w:cs="Times New Roman" w:eastAsia="Times New Roman" w:hint="default"/>
        </w:rPr>
        <w:t>2</w:t>
      </w:r>
      <w:r>
        <w:rPr/>
        <w:t>、公司不存在滥用会计政策或其他主观恶意的情形，相关转换提升了会计信息的可靠性</w:t>
      </w:r>
      <w:r>
        <w:rPr>
          <w:w w:val="100"/>
        </w:rPr>
        <w:t> </w:t>
      </w:r>
      <w:r>
        <w:rPr>
          <w:spacing w:val="-3"/>
        </w:rPr>
        <w:t>根据会计准则和相关指引，低于</w:t>
      </w:r>
      <w:r>
        <w:rPr>
          <w:spacing w:val="3"/>
        </w:rPr>
        <w:t> </w:t>
      </w:r>
      <w:r>
        <w:rPr>
          <w:rFonts w:ascii="Times New Roman" w:hAnsi="Times New Roman" w:cs="Times New Roman" w:eastAsia="Times New Roman" w:hint="default"/>
          <w:spacing w:val="-2"/>
        </w:rPr>
        <w:t>20%</w:t>
      </w:r>
      <w:r>
        <w:rPr>
          <w:spacing w:val="-2"/>
        </w:rPr>
        <w:t>股权的权益法适用需要结合各种情形进行判断。公司严格遵守会</w:t>
      </w:r>
    </w:p>
    <w:p>
      <w:pPr>
        <w:pStyle w:val="BodyText"/>
        <w:spacing w:line="263" w:lineRule="exact"/>
        <w:ind w:right="0"/>
        <w:jc w:val="left"/>
      </w:pPr>
      <w:r>
        <w:rPr>
          <w:spacing w:val="-2"/>
        </w:rPr>
        <w:t>计法律法规和国家统一的会计准则制度，对转换</w:t>
      </w:r>
      <w:r>
        <w:rPr/>
        <w:t> </w:t>
      </w:r>
      <w:r>
        <w:rPr>
          <w:rFonts w:ascii="Times New Roman" w:hAnsi="Times New Roman" w:cs="Times New Roman" w:eastAsia="Times New Roman" w:hint="default"/>
          <w:spacing w:val="-1"/>
        </w:rPr>
        <w:t>QD</w:t>
      </w:r>
      <w:r>
        <w:rPr>
          <w:rFonts w:ascii="Times New Roman" w:hAnsi="Times New Roman" w:cs="Times New Roman" w:eastAsia="Times New Roman" w:hint="default"/>
          <w:spacing w:val="15"/>
        </w:rPr>
        <w:t> </w:t>
      </w:r>
      <w:r>
        <w:rPr>
          <w:spacing w:val="-2"/>
        </w:rPr>
        <w:t>项目核算方法进行了充分的公司论证，并履行了必要</w:t>
      </w:r>
    </w:p>
    <w:p>
      <w:pPr>
        <w:pStyle w:val="BodyText"/>
        <w:spacing w:line="259" w:lineRule="auto" w:before="21"/>
        <w:ind w:right="1122"/>
        <w:jc w:val="left"/>
      </w:pPr>
      <w:r>
        <w:rPr/>
        <w:t>的审批、审议程序，不存在滥用会计政策的情形和其他主观恶意情形。对</w:t>
      </w:r>
      <w:r>
        <w:rPr>
          <w:spacing w:val="-62"/>
        </w:rPr>
        <w:t> </w:t>
      </w:r>
      <w:r>
        <w:rPr>
          <w:rFonts w:ascii="Times New Roman" w:hAnsi="Times New Roman" w:cs="Times New Roman" w:eastAsia="Times New Roman" w:hint="default"/>
        </w:rPr>
        <w:t>QD</w:t>
      </w:r>
      <w:r>
        <w:rPr>
          <w:rFonts w:ascii="Times New Roman" w:hAnsi="Times New Roman" w:cs="Times New Roman" w:eastAsia="Times New Roman" w:hint="default"/>
          <w:spacing w:val="-7"/>
        </w:rPr>
        <w:t> </w:t>
      </w:r>
      <w:r>
        <w:rPr/>
        <w:t>投资转换为长期股权投资并</w:t>
      </w:r>
      <w:r>
        <w:rPr>
          <w:w w:val="100"/>
        </w:rPr>
        <w:t> </w:t>
      </w:r>
      <w:r>
        <w:rPr/>
        <w:t>按权益法核算将有效提升公司会计信息的可靠性。</w:t>
      </w:r>
    </w:p>
    <w:p>
      <w:pPr>
        <w:pStyle w:val="BodyText"/>
        <w:spacing w:line="256" w:lineRule="auto" w:before="61"/>
        <w:ind w:right="1124" w:firstLine="420"/>
        <w:jc w:val="left"/>
      </w:pPr>
      <w:r>
        <w:rPr>
          <w:rFonts w:ascii="Times New Roman" w:hAnsi="Times New Roman" w:cs="Times New Roman" w:eastAsia="Times New Roman" w:hint="default"/>
        </w:rPr>
        <w:t>3</w:t>
      </w:r>
      <w:r>
        <w:rPr/>
        <w:t>、公司在初始投资</w:t>
      </w:r>
      <w:r>
        <w:rPr>
          <w:spacing w:val="-56"/>
        </w:rPr>
        <w:t> </w:t>
      </w:r>
      <w:r>
        <w:rPr>
          <w:rFonts w:ascii="Times New Roman" w:hAnsi="Times New Roman" w:cs="Times New Roman" w:eastAsia="Times New Roman" w:hint="default"/>
        </w:rPr>
        <w:t>QD </w:t>
      </w:r>
      <w:r>
        <w:rPr/>
        <w:t>时至公司</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日派出董事前不能对</w:t>
      </w:r>
      <w:r>
        <w:rPr>
          <w:spacing w:val="-56"/>
        </w:rPr>
        <w:t> </w:t>
      </w:r>
      <w:r>
        <w:rPr>
          <w:rFonts w:ascii="Times New Roman" w:hAnsi="Times New Roman" w:cs="Times New Roman" w:eastAsia="Times New Roman" w:hint="default"/>
        </w:rPr>
        <w:t>QD </w:t>
      </w:r>
      <w:r>
        <w:rPr/>
        <w:t>实施符合会计准则定义的</w:t>
      </w:r>
      <w:r>
        <w:rPr>
          <w:w w:val="100"/>
        </w:rPr>
        <w:t> </w:t>
      </w:r>
      <w:r>
        <w:rPr/>
        <w:t>重大影响。</w:t>
      </w:r>
    </w:p>
    <w:p>
      <w:pPr>
        <w:spacing w:line="276" w:lineRule="auto" w:before="0"/>
        <w:ind w:left="573" w:right="1122"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（三）保留意见涉及事项对公司财务报表的影响</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4"/>
          <w:w w:val="100"/>
          <w:sz w:val="21"/>
          <w:szCs w:val="21"/>
        </w:rPr>
        <w:t>年审机构认为，“上述保留审计意见涉及事项，在重大方面对财务报表的影响主要为：</w:t>
      </w:r>
      <w:r>
        <w:rPr>
          <w:rFonts w:ascii="Times New Roman" w:hAnsi="Times New Roman" w:cs="Times New Roman" w:eastAsia="Times New Roman" w:hint="default"/>
          <w:spacing w:val="-4"/>
          <w:w w:val="100"/>
          <w:sz w:val="21"/>
          <w:szCs w:val="21"/>
        </w:rPr>
        <w:t>2019</w:t>
      </w:r>
      <w:r>
        <w:rPr>
          <w:rFonts w:ascii="Times New Roman" w:hAnsi="Times New Roman" w:cs="Times New Roman" w:eastAsia="Times New Roman" w:hint="default"/>
          <w:spacing w:val="37"/>
          <w:w w:val="100"/>
          <w:sz w:val="21"/>
          <w:szCs w:val="21"/>
        </w:rPr>
        <w:t> </w:t>
      </w:r>
      <w:r>
        <w:rPr>
          <w:rFonts w:ascii="宋体" w:hAnsi="宋体" w:cs="宋体" w:eastAsia="宋体" w:hint="default"/>
          <w:spacing w:val="-1"/>
          <w:w w:val="100"/>
          <w:sz w:val="21"/>
          <w:szCs w:val="21"/>
        </w:rPr>
        <w:t>年度利润</w:t>
      </w:r>
    </w:p>
    <w:p>
      <w:pPr>
        <w:pStyle w:val="BodyText"/>
        <w:spacing w:line="277" w:lineRule="exact"/>
        <w:ind w:right="0"/>
        <w:jc w:val="left"/>
      </w:pPr>
      <w:r>
        <w:rPr/>
        <w:t>表中的投资收益增加</w:t>
      </w:r>
      <w:r>
        <w:rPr>
          <w:spacing w:val="-33"/>
        </w:rPr>
        <w:t> </w:t>
      </w:r>
      <w:r>
        <w:rPr>
          <w:rFonts w:ascii="Times New Roman" w:hAnsi="Times New Roman" w:cs="Times New Roman" w:eastAsia="Times New Roman" w:hint="default"/>
        </w:rPr>
        <w:t>157,420,802.71</w:t>
      </w:r>
      <w:r>
        <w:rPr>
          <w:rFonts w:ascii="Times New Roman" w:hAnsi="Times New Roman" w:cs="Times New Roman" w:eastAsia="Times New Roman" w:hint="default"/>
          <w:spacing w:val="17"/>
        </w:rPr>
        <w:t> </w:t>
      </w:r>
      <w:r>
        <w:rPr/>
        <w:t>元，营业外收入减少</w:t>
      </w:r>
      <w:r>
        <w:rPr>
          <w:spacing w:val="-35"/>
        </w:rPr>
        <w:t> </w:t>
      </w:r>
      <w:r>
        <w:rPr>
          <w:rFonts w:ascii="Times New Roman" w:hAnsi="Times New Roman" w:cs="Times New Roman" w:eastAsia="Times New Roman" w:hint="default"/>
        </w:rPr>
        <w:t>200,565,802.38</w:t>
      </w:r>
      <w:r>
        <w:rPr>
          <w:rFonts w:ascii="Times New Roman" w:hAnsi="Times New Roman" w:cs="Times New Roman" w:eastAsia="Times New Roman" w:hint="default"/>
          <w:spacing w:val="17"/>
        </w:rPr>
        <w:t> </w:t>
      </w:r>
      <w:r>
        <w:rPr/>
        <w:t>元，归属于母公司所有者的净利</w:t>
      </w:r>
    </w:p>
    <w:p>
      <w:pPr>
        <w:pStyle w:val="BodyText"/>
        <w:spacing w:line="240" w:lineRule="auto" w:before="21"/>
        <w:ind w:right="0"/>
        <w:jc w:val="left"/>
        <w:rPr>
          <w:rFonts w:ascii="Times New Roman" w:hAnsi="Times New Roman" w:cs="Times New Roman" w:eastAsia="Times New Roman" w:hint="default"/>
        </w:rPr>
      </w:pPr>
      <w:r>
        <w:rPr>
          <w:spacing w:val="3"/>
        </w:rPr>
        <w:t>润由 </w:t>
      </w:r>
      <w:r>
        <w:rPr>
          <w:rFonts w:ascii="Times New Roman" w:hAnsi="Times New Roman" w:cs="Times New Roman" w:eastAsia="Times New Roman" w:hint="default"/>
        </w:rPr>
        <w:t>95,206,095.24  </w:t>
      </w:r>
      <w:r>
        <w:rPr>
          <w:spacing w:val="2"/>
        </w:rPr>
        <w:t>元变为 </w:t>
      </w:r>
      <w:r>
        <w:rPr>
          <w:rFonts w:ascii="Times New Roman" w:hAnsi="Times New Roman" w:cs="Times New Roman" w:eastAsia="Times New Roman" w:hint="default"/>
        </w:rPr>
        <w:t>52,061,095.57  </w:t>
      </w:r>
      <w:r>
        <w:rPr>
          <w:rFonts w:ascii="Times New Roman" w:hAnsi="Times New Roman" w:cs="Times New Roman" w:eastAsia="Times New Roman" w:hint="default"/>
          <w:spacing w:val="21"/>
        </w:rPr>
        <w:t> </w:t>
      </w:r>
      <w:r>
        <w:rPr>
          <w:spacing w:val="4"/>
        </w:rPr>
        <w:t>元，扣除非经常性损益后归属于公司普通股股东的净利润由</w:t>
      </w:r>
      <w:r>
        <w:rPr>
          <w:rFonts w:ascii="Times New Roman" w:hAnsi="Times New Roman" w:cs="Times New Roman" w:eastAsia="Times New Roman" w:hint="default"/>
          <w:spacing w:val="4"/>
        </w:rPr>
        <w:t>-</w:t>
      </w:r>
    </w:p>
    <w:p>
      <w:pPr>
        <w:pStyle w:val="BodyText"/>
        <w:spacing w:line="288" w:lineRule="exact" w:before="21"/>
        <w:ind w:right="0"/>
        <w:jc w:val="left"/>
      </w:pP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14,</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40,4</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8.63</w:t>
      </w:r>
      <w:r>
        <w:rPr>
          <w:rFonts w:ascii="Times New Roman" w:hAnsi="Times New Roman" w:cs="Times New Roman" w:eastAsia="Times New Roman" w:hint="default"/>
          <w:spacing w:val="-2"/>
        </w:rPr>
        <w:t> </w:t>
      </w:r>
      <w:r>
        <w:rPr>
          <w:w w:val="100"/>
        </w:rPr>
        <w:t>元</w:t>
      </w:r>
      <w:r>
        <w:rPr>
          <w:spacing w:val="-3"/>
          <w:w w:val="100"/>
        </w:rPr>
        <w:t>变</w:t>
      </w:r>
      <w:r>
        <w:rPr>
          <w:w w:val="100"/>
        </w:rPr>
        <w:t>为</w:t>
      </w:r>
      <w:r>
        <w:rPr>
          <w:spacing w:val="-53"/>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80,344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08</w:t>
      </w:r>
      <w:r>
        <w:rPr>
          <w:rFonts w:ascii="Times New Roman" w:hAnsi="Times New Roman" w:cs="Times New Roman" w:eastAsia="Times New Roman" w:hint="default"/>
          <w:spacing w:val="-2"/>
        </w:rPr>
        <w:t> </w:t>
      </w:r>
      <w:r>
        <w:rPr>
          <w:w w:val="100"/>
        </w:rPr>
        <w:t>元</w:t>
      </w:r>
      <w:r>
        <w:rPr>
          <w:spacing w:val="-106"/>
          <w:w w:val="100"/>
        </w:rPr>
        <w:t>。</w:t>
      </w:r>
      <w:r>
        <w:rPr>
          <w:w w:val="100"/>
        </w:rPr>
        <w:t>”</w:t>
      </w:r>
    </w:p>
    <w:p>
      <w:pPr>
        <w:spacing w:line="290" w:lineRule="auto" w:before="0"/>
        <w:ind w:left="573" w:right="1121"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（四）董事会审计委员会、董事会、独立董事、监事会意见</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z w:val="21"/>
          <w:szCs w:val="21"/>
        </w:rPr>
        <w:t>董事会审计委员会、董事会、独立董事、监事会一致认为：</w:t>
      </w:r>
      <w:r>
        <w:rPr>
          <w:rFonts w:ascii="宋体" w:hAnsi="宋体" w:cs="宋体" w:eastAsia="宋体" w:hint="default"/>
          <w:w w:val="100"/>
          <w:sz w:val="21"/>
          <w:szCs w:val="21"/>
        </w:rPr>
        <w:t> </w:t>
      </w:r>
      <w:r>
        <w:rPr>
          <w:rFonts w:ascii="宋体" w:hAnsi="宋体" w:cs="宋体" w:eastAsia="宋体" w:hint="default"/>
          <w:sz w:val="21"/>
          <w:szCs w:val="21"/>
        </w:rPr>
        <w:t>公司已按照企业会计准则的规定编制财务报表，该报表公允反映了公司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年度财务状况及经营成</w:t>
      </w:r>
    </w:p>
    <w:p>
      <w:pPr>
        <w:spacing w:after="0" w:line="290" w:lineRule="auto"/>
        <w:jc w:val="left"/>
        <w:rPr>
          <w:rFonts w:ascii="宋体" w:hAnsi="宋体" w:cs="宋体" w:eastAsia="宋体" w:hint="default"/>
          <w:sz w:val="21"/>
          <w:szCs w:val="21"/>
        </w:rPr>
        <w:sectPr>
          <w:headerReference w:type="default" r:id="rId24"/>
          <w:footerReference w:type="default" r:id="rId25"/>
          <w:pgSz w:w="11910" w:h="16840"/>
          <w:pgMar w:header="877" w:footer="979" w:top="1100" w:bottom="1160" w:left="980" w:right="0"/>
          <w:pgNumType w:start="45"/>
        </w:sectPr>
      </w:pPr>
    </w:p>
    <w:p>
      <w:pPr>
        <w:spacing w:line="240" w:lineRule="auto" w:before="12"/>
        <w:rPr>
          <w:rFonts w:ascii="宋体" w:hAnsi="宋体" w:cs="宋体" w:eastAsia="宋体" w:hint="default"/>
          <w:sz w:val="20"/>
          <w:szCs w:val="20"/>
        </w:rPr>
      </w:pPr>
    </w:p>
    <w:p>
      <w:pPr>
        <w:pStyle w:val="BodyText"/>
        <w:spacing w:line="264" w:lineRule="auto" w:before="36"/>
        <w:ind w:right="1126"/>
        <w:jc w:val="both"/>
      </w:pPr>
      <w:r>
        <w:rPr>
          <w:spacing w:val="-2"/>
        </w:rPr>
        <w:t>果；同时公司已设计、执行并维护了必要的内部控制，以使财务报表不存在重大错报或错报。董事会审计</w:t>
      </w:r>
      <w:r>
        <w:rPr>
          <w:spacing w:val="-47"/>
        </w:rPr>
        <w:t> </w:t>
      </w:r>
      <w:r>
        <w:rPr>
          <w:spacing w:val="-47"/>
        </w:rPr>
      </w:r>
      <w:r>
        <w:rPr/>
        <w:t>委员会、董事会、独立董事、监事会不认同年审机构关于公司能对</w:t>
      </w:r>
      <w:r>
        <w:rPr>
          <w:spacing w:val="-60"/>
        </w:rPr>
        <w:t> </w:t>
      </w:r>
      <w:r>
        <w:rPr>
          <w:rFonts w:ascii="Times New Roman" w:hAnsi="Times New Roman" w:cs="Times New Roman" w:eastAsia="Times New Roman" w:hint="default"/>
        </w:rPr>
        <w:t>QD</w:t>
      </w:r>
      <w:r>
        <w:rPr>
          <w:rFonts w:ascii="Times New Roman" w:hAnsi="Times New Roman" w:cs="Times New Roman" w:eastAsia="Times New Roman" w:hint="default"/>
          <w:spacing w:val="-9"/>
        </w:rPr>
        <w:t> </w:t>
      </w:r>
      <w:r>
        <w:rPr/>
        <w:t>实施重大影响时点的意见并认为公</w:t>
      </w:r>
      <w:r>
        <w:rPr>
          <w:w w:val="100"/>
        </w:rPr>
        <w:t> </w:t>
      </w:r>
      <w:r>
        <w:rPr/>
        <w:t>司相关时点判断是恰当的。</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56" w:lineRule="auto" w:before="59"/>
        <w:ind w:left="575" w:right="1150" w:hanging="423"/>
        <w:jc w:val="left"/>
      </w:pPr>
      <w:r>
        <w:rPr>
          <w:rFonts w:ascii="Times New Roman" w:hAnsi="Times New Roman" w:cs="Times New Roman" w:eastAsia="Times New Roman" w:hint="default"/>
        </w:rPr>
        <w:t>1</w:t>
      </w:r>
      <w:r>
        <w:rPr/>
        <w:t>、会计政策变更</w:t>
      </w:r>
      <w:r>
        <w:rPr>
          <w:w w:val="100"/>
        </w:rPr>
        <w:t> </w:t>
      </w:r>
      <w:r>
        <w:rPr>
          <w:spacing w:val="-2"/>
        </w:rPr>
        <w:t>报告期公司未发生自主变更会计政策的情况，但根据财政部有关规定进行了会计政策变更，具体说明</w:t>
      </w:r>
    </w:p>
    <w:p>
      <w:pPr>
        <w:pStyle w:val="BodyText"/>
        <w:spacing w:line="240" w:lineRule="auto" w:before="22"/>
        <w:ind w:right="0"/>
        <w:jc w:val="left"/>
      </w:pPr>
      <w:r>
        <w:rPr/>
        <w:t>如下：</w:t>
      </w:r>
    </w:p>
    <w:p>
      <w:pPr>
        <w:pStyle w:val="BodyText"/>
        <w:spacing w:line="259" w:lineRule="auto" w:before="37"/>
        <w:ind w:left="573" w:right="0"/>
        <w:jc w:val="left"/>
      </w:pPr>
      <w:r>
        <w:rPr/>
        <w:t>（</w:t>
      </w:r>
      <w:r>
        <w:rPr>
          <w:rFonts w:ascii="Times New Roman" w:hAnsi="Times New Roman" w:cs="Times New Roman" w:eastAsia="Times New Roman" w:hint="default"/>
        </w:rPr>
        <w:t>1</w:t>
      </w:r>
      <w:r>
        <w:rPr/>
        <w:t>）执行新金融工具准则</w:t>
      </w:r>
      <w:r>
        <w:rPr>
          <w:w w:val="100"/>
        </w:rPr>
        <w:t> </w:t>
      </w:r>
      <w:r>
        <w:rPr>
          <w:spacing w:val="-2"/>
        </w:rPr>
        <w:t>本集团自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日起执行财政部</w:t>
      </w:r>
      <w:r>
        <w:rPr>
          <w:rFonts w:ascii="Times New Roman" w:hAnsi="Times New Roman" w:cs="Times New Roman" w:eastAsia="Times New Roman" w:hint="default"/>
          <w:spacing w:val="-2"/>
        </w:rPr>
        <w:t>2017</w:t>
      </w:r>
      <w:r>
        <w:rPr>
          <w:spacing w:val="-2"/>
        </w:rPr>
        <w:t>年修订的新金融工具准则。于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w:t>
      </w:r>
    </w:p>
    <w:p>
      <w:pPr>
        <w:pStyle w:val="BodyText"/>
        <w:spacing w:line="273" w:lineRule="auto" w:before="2"/>
        <w:ind w:right="1126"/>
        <w:jc w:val="both"/>
      </w:pPr>
      <w:r>
        <w:rPr>
          <w:spacing w:val="-2"/>
        </w:rPr>
        <w:t>确认和计量与新金融工具准则要求不一致的，本集团按照新金融工具准则的要求进行衔接调整。涉及前期</w:t>
      </w:r>
      <w:r>
        <w:rPr>
          <w:spacing w:val="-42"/>
        </w:rPr>
        <w:t> </w:t>
      </w:r>
      <w:r>
        <w:rPr>
          <w:spacing w:val="-42"/>
        </w:rPr>
      </w:r>
      <w:r>
        <w:rPr>
          <w:spacing w:val="-2"/>
        </w:rPr>
        <w:t>比较财务报表数据与新金融工具准则要求不一致的，本集团未调整可比期间信息。金融工具原账面价值和</w:t>
      </w:r>
      <w:r>
        <w:rPr>
          <w:spacing w:val="-43"/>
        </w:rPr>
        <w:t> </w:t>
      </w:r>
      <w:r>
        <w:rPr>
          <w:spacing w:val="-43"/>
        </w:rPr>
      </w:r>
      <w:r>
        <w:rPr/>
        <w:t>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w:t>
      </w:r>
    </w:p>
    <w:p>
      <w:pPr>
        <w:pStyle w:val="BodyText"/>
        <w:spacing w:line="268" w:lineRule="auto"/>
        <w:ind w:right="1126" w:firstLine="420"/>
        <w:jc w:val="both"/>
      </w:pPr>
      <w:r>
        <w:rPr>
          <w:spacing w:val="-2"/>
        </w:rPr>
        <w:t>由于本集团金融资产占比较高，新金融工具准则的实施对集团财务报表产生较大影响，主要如下：①</w:t>
      </w:r>
      <w:r>
        <w:rPr>
          <w:w w:val="100"/>
        </w:rPr>
        <w:t> </w:t>
      </w:r>
      <w:r>
        <w:rPr>
          <w:spacing w:val="-2"/>
        </w:rPr>
        <w:t>金融资产分类方法的改变导致本集团以公允价值计量且其变动计入当期损益的金融资产比例提高，增加了</w:t>
      </w:r>
      <w:r>
        <w:rPr>
          <w:spacing w:val="-43"/>
        </w:rPr>
        <w:t> </w:t>
      </w:r>
      <w:r>
        <w:rPr>
          <w:spacing w:val="-43"/>
        </w:rPr>
      </w:r>
      <w:r>
        <w:rPr>
          <w:spacing w:val="-2"/>
        </w:rPr>
        <w:t>利润表的波动性；②新金融工具准则使用</w:t>
      </w:r>
      <w:r>
        <w:rPr>
          <w:rFonts w:ascii="Times New Roman" w:hAnsi="Times New Roman" w:cs="Times New Roman" w:eastAsia="Times New Roman" w:hint="default"/>
          <w:spacing w:val="-2"/>
        </w:rPr>
        <w:t>“</w:t>
      </w:r>
      <w:r>
        <w:rPr>
          <w:spacing w:val="-2"/>
        </w:rPr>
        <w:t>预期信用损失法</w:t>
      </w:r>
      <w:r>
        <w:rPr>
          <w:rFonts w:ascii="Times New Roman" w:hAnsi="Times New Roman" w:cs="Times New Roman" w:eastAsia="Times New Roman" w:hint="default"/>
          <w:spacing w:val="-2"/>
        </w:rPr>
        <w:t>”</w:t>
      </w:r>
      <w:r>
        <w:rPr>
          <w:spacing w:val="-2"/>
        </w:rPr>
        <w:t>确认减值准备，该方法与根据实际已发生减值</w:t>
      </w:r>
      <w:r>
        <w:rPr>
          <w:spacing w:val="-21"/>
        </w:rPr>
        <w:t> </w:t>
      </w:r>
      <w:r>
        <w:rPr>
          <w:spacing w:val="-21"/>
        </w:rPr>
      </w:r>
      <w:r>
        <w:rPr>
          <w:spacing w:val="-2"/>
        </w:rPr>
        <w:t>损失确认减值准备的方法相比，能够更全面、更具前瞻性地对各项金融工具进行减值准备计提；③新金融</w:t>
      </w:r>
      <w:r>
        <w:rPr>
          <w:spacing w:val="-44"/>
        </w:rPr>
        <w:t> </w:t>
      </w:r>
      <w:r>
        <w:rPr>
          <w:spacing w:val="-44"/>
        </w:rPr>
      </w:r>
      <w:r>
        <w:rPr>
          <w:spacing w:val="-2"/>
        </w:rPr>
        <w:t>工具准则的执行导致按公允价值计量的金融资产范围扩大、规模增加，部分金融资产公允价值计量使用第</w:t>
      </w:r>
      <w:r>
        <w:rPr>
          <w:spacing w:val="-44"/>
        </w:rPr>
        <w:t> </w:t>
      </w:r>
      <w:r>
        <w:rPr>
          <w:spacing w:val="-44"/>
        </w:rPr>
      </w:r>
      <w:r>
        <w:rPr/>
        <w:t>二、第三层次输入值，要求本集团更为科学合理地开展金融工具估值工作。</w:t>
      </w:r>
    </w:p>
    <w:p>
      <w:pPr>
        <w:pStyle w:val="BodyText"/>
        <w:spacing w:line="256" w:lineRule="auto" w:before="12"/>
        <w:ind w:right="0" w:firstLine="420"/>
        <w:jc w:val="left"/>
      </w:pPr>
      <w:r>
        <w:rPr/>
        <w:t>本集团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日首次执行新金融工具准则对财务报表的影响详见</w:t>
      </w:r>
      <w:r>
        <w:rPr>
          <w:rFonts w:ascii="Times New Roman" w:hAnsi="Times New Roman" w:cs="Times New Roman" w:eastAsia="Times New Roman" w:hint="default"/>
        </w:rPr>
        <w:t>“</w:t>
      </w:r>
      <w:r>
        <w:rPr/>
        <w:t>第十二节</w:t>
      </w:r>
      <w:r>
        <w:rPr>
          <w:spacing w:val="79"/>
        </w:rPr>
        <w:t> </w:t>
      </w:r>
      <w:r>
        <w:rPr/>
        <w:t>财务报告</w:t>
      </w:r>
      <w:r>
        <w:rPr>
          <w:rFonts w:ascii="Times New Roman" w:hAnsi="Times New Roman" w:cs="Times New Roman" w:eastAsia="Times New Roman" w:hint="default"/>
        </w:rPr>
        <w:t>”</w:t>
      </w:r>
      <w:r>
        <w:rPr/>
        <w:t>的财务报</w:t>
      </w:r>
      <w:r>
        <w:rPr>
          <w:w w:val="100"/>
        </w:rPr>
        <w:t> </w:t>
      </w:r>
      <w:r>
        <w:rPr/>
        <w:t>表附注之</w:t>
      </w:r>
      <w:r>
        <w:rPr>
          <w:rFonts w:ascii="Times New Roman" w:hAnsi="Times New Roman" w:cs="Times New Roman" w:eastAsia="Times New Roman" w:hint="default"/>
        </w:rPr>
        <w:t>“</w:t>
      </w:r>
      <w:r>
        <w:rPr/>
        <w:t>四、重要会计政策、会计估计</w:t>
      </w:r>
      <w:r>
        <w:rPr>
          <w:spacing w:val="-30"/>
        </w:rPr>
        <w:t> </w:t>
      </w:r>
      <w:r>
        <w:rPr/>
        <w:t>（四十二）重要会计政策、会计估计的变更</w:t>
      </w:r>
      <w:r>
        <w:rPr>
          <w:rFonts w:ascii="Times New Roman" w:hAnsi="Times New Roman" w:cs="Times New Roman" w:eastAsia="Times New Roman" w:hint="default"/>
        </w:rPr>
        <w:t>”</w:t>
      </w:r>
      <w:r>
        <w:rPr/>
        <w:t>。</w:t>
      </w:r>
    </w:p>
    <w:p>
      <w:pPr>
        <w:pStyle w:val="BodyText"/>
        <w:spacing w:line="240" w:lineRule="auto" w:before="5"/>
        <w:ind w:left="573" w:right="0"/>
        <w:jc w:val="left"/>
      </w:pPr>
      <w:r>
        <w:rPr/>
        <w:t>（</w:t>
      </w:r>
      <w:r>
        <w:rPr>
          <w:rFonts w:ascii="Times New Roman" w:hAnsi="Times New Roman" w:cs="Times New Roman" w:eastAsia="Times New Roman" w:hint="default"/>
        </w:rPr>
        <w:t>2</w:t>
      </w:r>
      <w:r>
        <w:rPr/>
        <w:t>）执行新债务重组及非货币性资产交换准则</w:t>
      </w:r>
    </w:p>
    <w:p>
      <w:pPr>
        <w:pStyle w:val="BodyText"/>
        <w:spacing w:line="256" w:lineRule="auto" w:before="21"/>
        <w:ind w:right="0" w:firstLine="420"/>
        <w:jc w:val="left"/>
      </w:pPr>
      <w:r>
        <w:rPr>
          <w:spacing w:val="-1"/>
          <w:w w:val="100"/>
        </w:rPr>
        <w:t>本集团自</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spacing w:val="-2"/>
          <w:w w:val="100"/>
        </w:rPr>
        <w:t>年</w:t>
      </w:r>
      <w:r>
        <w:rPr>
          <w:rFonts w:ascii="Times New Roman" w:hAnsi="Times New Roman" w:cs="Times New Roman" w:eastAsia="Times New Roman" w:hint="default"/>
          <w:spacing w:val="-2"/>
          <w:w w:val="100"/>
        </w:rPr>
        <w:t>6</w:t>
      </w:r>
      <w:r>
        <w:rPr>
          <w:rFonts w:ascii="Times New Roman" w:hAnsi="Times New Roman" w:cs="Times New Roman" w:eastAsia="Times New Roman" w:hint="default"/>
          <w:w w:val="100"/>
        </w:rPr>
        <w:t> </w:t>
      </w:r>
      <w:r>
        <w:rPr>
          <w:spacing w:val="-1"/>
          <w:w w:val="100"/>
        </w:rPr>
        <w:t>月</w:t>
      </w:r>
      <w:r>
        <w:rPr>
          <w:rFonts w:ascii="Times New Roman" w:hAnsi="Times New Roman" w:cs="Times New Roman" w:eastAsia="Times New Roman" w:hint="default"/>
          <w:spacing w:val="-1"/>
          <w:w w:val="100"/>
        </w:rPr>
        <w:t>10</w:t>
      </w:r>
      <w:r>
        <w:rPr>
          <w:rFonts w:ascii="Times New Roman" w:hAnsi="Times New Roman" w:cs="Times New Roman" w:eastAsia="Times New Roman" w:hint="default"/>
          <w:spacing w:val="-7"/>
          <w:w w:val="100"/>
        </w:rPr>
        <w:t> </w:t>
      </w:r>
      <w:r>
        <w:rPr>
          <w:spacing w:val="-6"/>
          <w:w w:val="100"/>
        </w:rPr>
        <w:t>日起执行财政部</w:t>
      </w:r>
      <w:r>
        <w:rPr>
          <w:rFonts w:ascii="Times New Roman" w:hAnsi="Times New Roman" w:cs="Times New Roman" w:eastAsia="Times New Roman" w:hint="default"/>
          <w:spacing w:val="-6"/>
          <w:w w:val="100"/>
        </w:rPr>
        <w:t>2019</w:t>
      </w:r>
      <w:r>
        <w:rPr>
          <w:spacing w:val="-6"/>
          <w:w w:val="100"/>
        </w:rPr>
        <w:t>年修订的《企业会计准则第</w:t>
      </w:r>
      <w:r>
        <w:rPr>
          <w:rFonts w:ascii="Times New Roman" w:hAnsi="Times New Roman" w:cs="Times New Roman" w:eastAsia="Times New Roman" w:hint="default"/>
          <w:spacing w:val="-6"/>
          <w:w w:val="100"/>
        </w:rPr>
        <w:t>7</w:t>
      </w:r>
      <w:r>
        <w:rPr>
          <w:spacing w:val="-6"/>
          <w:w w:val="100"/>
        </w:rPr>
        <w:t>号</w:t>
      </w:r>
      <w:r>
        <w:rPr>
          <w:rFonts w:ascii="Times New Roman" w:hAnsi="Times New Roman" w:cs="Times New Roman" w:eastAsia="Times New Roman" w:hint="default"/>
          <w:spacing w:val="-6"/>
          <w:w w:val="100"/>
        </w:rPr>
        <w:t>——</w:t>
      </w:r>
      <w:r>
        <w:rPr>
          <w:spacing w:val="-6"/>
          <w:w w:val="100"/>
        </w:rPr>
        <w:t>非货币性资产交换》，</w:t>
      </w:r>
      <w:r>
        <w:rPr>
          <w:w w:val="100"/>
        </w:rPr>
        <w:t> </w:t>
      </w:r>
      <w:r>
        <w:rPr>
          <w:spacing w:val="-4"/>
        </w:rPr>
        <w:t>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17</w:t>
      </w:r>
      <w:r>
        <w:rPr>
          <w:spacing w:val="-4"/>
        </w:rPr>
        <w:t>日起执行财政部</w:t>
      </w:r>
      <w:r>
        <w:rPr>
          <w:rFonts w:ascii="Times New Roman" w:hAnsi="Times New Roman" w:cs="Times New Roman" w:eastAsia="Times New Roman" w:hint="default"/>
          <w:spacing w:val="-4"/>
        </w:rPr>
        <w:t>2019</w:t>
      </w:r>
      <w:r>
        <w:rPr>
          <w:spacing w:val="-4"/>
        </w:rPr>
        <w:t>年修订的《企业会计准则第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债务重组》。该项会计政策变更采</w:t>
      </w:r>
      <w:r>
        <w:rPr>
          <w:spacing w:val="-32"/>
        </w:rPr>
        <w:t> </w:t>
      </w:r>
      <w:r>
        <w:rPr>
          <w:spacing w:val="-32"/>
        </w:rPr>
      </w:r>
      <w:r>
        <w:rPr>
          <w:spacing w:val="-2"/>
        </w:rPr>
        <w:t>用未来适用法处理，并根据准则的规定对于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日至准则实施日之间发生的非货币性资产交换和债</w:t>
      </w:r>
      <w:r>
        <w:rPr>
          <w:spacing w:val="-44"/>
        </w:rPr>
        <w:t> </w:t>
      </w:r>
      <w:r>
        <w:rPr>
          <w:spacing w:val="-44"/>
        </w:rPr>
      </w:r>
      <w:r>
        <w:rPr/>
        <w:t>务重组进行调整。</w:t>
      </w:r>
    </w:p>
    <w:p>
      <w:pPr>
        <w:pStyle w:val="BodyText"/>
        <w:spacing w:line="240" w:lineRule="auto" w:before="22"/>
        <w:ind w:left="573" w:right="0"/>
        <w:jc w:val="left"/>
      </w:pPr>
      <w:r>
        <w:rPr/>
        <w:t>本集团执行新债务重组及非货币性资产交换准则对报告期财务报表无重大影响。</w:t>
      </w:r>
    </w:p>
    <w:p>
      <w:pPr>
        <w:pStyle w:val="BodyText"/>
        <w:spacing w:line="256" w:lineRule="auto" w:before="37"/>
        <w:ind w:left="573" w:right="6408" w:hanging="421"/>
        <w:jc w:val="left"/>
      </w:pPr>
      <w:r>
        <w:rPr>
          <w:rFonts w:ascii="Times New Roman" w:hAnsi="Times New Roman" w:cs="Times New Roman" w:eastAsia="Times New Roman" w:hint="default"/>
        </w:rPr>
        <w:t>2</w:t>
      </w:r>
      <w:r>
        <w:rPr/>
        <w:t>、会计估计变更</w:t>
      </w:r>
      <w:r>
        <w:rPr>
          <w:w w:val="100"/>
        </w:rPr>
        <w:t> </w:t>
      </w:r>
      <w:r>
        <w:rPr>
          <w:spacing w:val="-2"/>
        </w:rPr>
        <w:t>报告期本集团主要会计估计未发生变更。</w:t>
      </w:r>
    </w:p>
    <w:p>
      <w:pPr>
        <w:pStyle w:val="BodyText"/>
        <w:spacing w:line="259" w:lineRule="auto" w:before="22"/>
        <w:ind w:left="573" w:right="1150" w:hanging="421"/>
        <w:jc w:val="left"/>
      </w:pPr>
      <w:r>
        <w:rPr>
          <w:rFonts w:ascii="Times New Roman" w:hAnsi="Times New Roman" w:cs="Times New Roman" w:eastAsia="Times New Roman" w:hint="default"/>
        </w:rPr>
        <w:t>3</w:t>
      </w:r>
      <w:r>
        <w:rPr/>
        <w:t>、核算方法变更</w:t>
      </w:r>
      <w:r>
        <w:rPr>
          <w:w w:val="100"/>
        </w:rPr>
        <w:t> </w:t>
      </w:r>
      <w:r>
        <w:rPr>
          <w:spacing w:val="-5"/>
        </w:rPr>
        <w:t>报告期公司转换对</w:t>
      </w:r>
      <w:r>
        <w:rPr>
          <w:rFonts w:ascii="Times New Roman" w:hAnsi="Times New Roman" w:cs="Times New Roman" w:eastAsia="Times New Roman" w:hint="default"/>
          <w:spacing w:val="-5"/>
        </w:rPr>
        <w:t>QD</w:t>
      </w:r>
      <w:r>
        <w:rPr>
          <w:spacing w:val="-5"/>
        </w:rPr>
        <w:t>投资的核算方法，详见本节“五、董事会、监事会、独立董事对会计师事务所本</w:t>
      </w:r>
    </w:p>
    <w:p>
      <w:pPr>
        <w:pStyle w:val="BodyText"/>
        <w:spacing w:line="240" w:lineRule="auto" w:before="2"/>
        <w:ind w:right="0"/>
        <w:jc w:val="left"/>
      </w:pPr>
      <w:r>
        <w:rPr>
          <w:w w:val="100"/>
        </w:rPr>
        <w:t>报告</w:t>
      </w:r>
      <w:r>
        <w:rPr>
          <w:spacing w:val="-2"/>
          <w:w w:val="100"/>
        </w:rPr>
        <w:t>期</w:t>
      </w:r>
      <w:r>
        <w:rPr>
          <w:w w:val="100"/>
        </w:rPr>
        <w:t>‘</w:t>
      </w:r>
      <w:r>
        <w:rPr>
          <w:spacing w:val="-3"/>
          <w:w w:val="100"/>
        </w:rPr>
        <w:t>非</w:t>
      </w:r>
      <w:r>
        <w:rPr>
          <w:w w:val="100"/>
        </w:rPr>
        <w:t>标</w:t>
      </w:r>
      <w:r>
        <w:rPr>
          <w:spacing w:val="-3"/>
          <w:w w:val="100"/>
        </w:rPr>
        <w:t>准</w:t>
      </w:r>
      <w:r>
        <w:rPr>
          <w:w w:val="100"/>
        </w:rPr>
        <w:t>审</w:t>
      </w:r>
      <w:r>
        <w:rPr>
          <w:spacing w:val="-3"/>
          <w:w w:val="100"/>
        </w:rPr>
        <w:t>计</w:t>
      </w:r>
      <w:r>
        <w:rPr>
          <w:spacing w:val="-1"/>
          <w:w w:val="100"/>
        </w:rPr>
        <w:t>报</w:t>
      </w:r>
      <w:r>
        <w:rPr>
          <w:spacing w:val="-3"/>
          <w:w w:val="100"/>
        </w:rPr>
        <w:t>告</w:t>
      </w:r>
      <w:r>
        <w:rPr>
          <w:w w:val="100"/>
        </w:rPr>
        <w:t>’的</w:t>
      </w:r>
      <w:r>
        <w:rPr>
          <w:spacing w:val="-3"/>
          <w:w w:val="100"/>
        </w:rPr>
        <w:t>说</w:t>
      </w:r>
      <w:r>
        <w:rPr>
          <w:w w:val="100"/>
        </w:rPr>
        <w:t>明</w:t>
      </w:r>
      <w:r>
        <w:rPr>
          <w:spacing w:val="-108"/>
          <w:w w:val="100"/>
        </w:rPr>
        <w:t>”。</w:t>
      </w:r>
      <w:r>
        <w:rPr>
          <w:w w:val="100"/>
        </w:rPr>
      </w:r>
    </w:p>
    <w:p>
      <w:pPr>
        <w:spacing w:line="240" w:lineRule="auto" w:before="13"/>
        <w:rPr>
          <w:rFonts w:ascii="宋体" w:hAnsi="宋体" w:cs="宋体" w:eastAsia="宋体" w:hint="default"/>
          <w:sz w:val="17"/>
          <w:szCs w:val="17"/>
        </w:rPr>
      </w:pPr>
    </w:p>
    <w:p>
      <w:pPr>
        <w:tabs>
          <w:tab w:pos="8189" w:val="left" w:leader="none"/>
        </w:tabs>
        <w:spacing w:line="410" w:lineRule="auto" w:before="0"/>
        <w:ind w:left="573" w:right="1131" w:hanging="421"/>
        <w:jc w:val="left"/>
        <w:rPr>
          <w:rFonts w:ascii="宋体" w:hAnsi="宋体" w:cs="宋体" w:eastAsia="宋体" w:hint="default"/>
          <w:sz w:val="21"/>
          <w:szCs w:val="21"/>
        </w:rPr>
      </w:pPr>
      <w:r>
        <w:rPr>
          <w:rFonts w:ascii="Microsoft JhengHei" w:hAnsi="Microsoft JhengHei" w:cs="Microsoft JhengHei" w:eastAsia="Microsoft JhengHei" w:hint="default"/>
          <w:b/>
          <w:bCs/>
          <w:spacing w:val="-2"/>
          <w:sz w:val="24"/>
          <w:szCs w:val="24"/>
        </w:rPr>
        <w:t>七、报告期内发生重大会计差错更正需追溯重述的情况说明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1"/>
          <w:szCs w:val="21"/>
        </w:rPr>
        <w:t>本集团报告期无重大会计差错更正需追溯重述的情况。</w:t>
      </w:r>
    </w:p>
    <w:p>
      <w:pPr>
        <w:tabs>
          <w:tab w:pos="8163" w:val="left" w:leader="none"/>
        </w:tabs>
        <w:spacing w:line="410" w:lineRule="auto" w:before="84"/>
        <w:ind w:left="573" w:right="1152"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八、与上年度财务报告相比，合并报表范围发生变化的情况说明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详见</w:t>
      </w:r>
      <w:r>
        <w:rPr>
          <w:rFonts w:ascii="Times New Roman" w:hAnsi="Times New Roman" w:cs="Times New Roman" w:eastAsia="Times New Roman" w:hint="default"/>
          <w:sz w:val="21"/>
          <w:szCs w:val="21"/>
        </w:rPr>
        <w:t>“</w:t>
      </w:r>
      <w:r>
        <w:rPr>
          <w:rFonts w:ascii="宋体" w:hAnsi="宋体" w:cs="宋体" w:eastAsia="宋体" w:hint="default"/>
          <w:sz w:val="21"/>
          <w:szCs w:val="21"/>
        </w:rPr>
        <w:t>第四节</w:t>
      </w:r>
      <w:r>
        <w:rPr>
          <w:rFonts w:ascii="宋体" w:hAnsi="宋体" w:cs="宋体" w:eastAsia="宋体" w:hint="default"/>
          <w:spacing w:val="-29"/>
          <w:sz w:val="21"/>
          <w:szCs w:val="21"/>
        </w:rPr>
        <w:t> </w:t>
      </w:r>
      <w:r>
        <w:rPr>
          <w:rFonts w:ascii="宋体" w:hAnsi="宋体" w:cs="宋体" w:eastAsia="宋体" w:hint="default"/>
          <w:sz w:val="21"/>
          <w:szCs w:val="21"/>
        </w:rPr>
        <w:t>经营情况讨论与分析</w:t>
      </w:r>
      <w:r>
        <w:rPr>
          <w:rFonts w:ascii="Times New Roman" w:hAnsi="Times New Roman" w:cs="Times New Roman" w:eastAsia="Times New Roman" w:hint="default"/>
          <w:sz w:val="21"/>
          <w:szCs w:val="21"/>
        </w:rPr>
        <w:t>”</w:t>
      </w:r>
      <w:r>
        <w:rPr>
          <w:rFonts w:ascii="宋体" w:hAnsi="宋体" w:cs="宋体" w:eastAsia="宋体" w:hint="default"/>
          <w:sz w:val="21"/>
          <w:szCs w:val="21"/>
        </w:rPr>
        <w:t>之</w:t>
      </w: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）报告期内合并范围是否发生变动</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Heading2"/>
        <w:spacing w:line="240" w:lineRule="auto" w:before="54"/>
        <w:ind w:right="0"/>
        <w:jc w:val="left"/>
        <w:rPr>
          <w:b w:val="0"/>
          <w:bCs w:val="0"/>
        </w:rPr>
      </w:pPr>
      <w:r>
        <w:rPr/>
        <w:t>九、聘任、解聘会计师事务所情况</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Microsoft JhengHei" w:hAnsi="Microsoft JhengHei" w:cs="Microsoft JhengHei" w:eastAsia="Microsoft JhengHei" w:hint="default"/>
          <w:b/>
          <w:bCs/>
          <w:sz w:val="15"/>
          <w:szCs w:val="15"/>
        </w:rPr>
      </w:pPr>
    </w:p>
    <w:p>
      <w:pPr>
        <w:pStyle w:val="BodyText"/>
        <w:spacing w:line="240" w:lineRule="auto" w:before="36"/>
        <w:ind w:right="0"/>
        <w:jc w:val="left"/>
      </w:pPr>
      <w:r>
        <w:rPr/>
        <w:t>现聘任的会计师事务所</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4931"/>
        <w:gridCol w:w="4638"/>
      </w:tblGrid>
      <w:tr>
        <w:trPr>
          <w:trHeight w:val="40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200</w:t>
            </w:r>
          </w:p>
        </w:tc>
      </w:tr>
      <w:tr>
        <w:trPr>
          <w:trHeight w:val="40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朱娟、孙彤</w:t>
            </w:r>
          </w:p>
        </w:tc>
      </w:tr>
      <w:tr>
        <w:trPr>
          <w:trHeight w:val="40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pStyle w:val="BodyText"/>
        <w:tabs>
          <w:tab w:pos="8768" w:val="left" w:leader="none"/>
        </w:tabs>
        <w:spacing w:line="240" w:lineRule="auto" w:before="28"/>
        <w:ind w:right="0"/>
        <w:jc w:val="both"/>
      </w:pPr>
      <w:r>
        <w:rPr>
          <w:spacing w:val="-2"/>
        </w:rPr>
        <w:t>报告期是否更换会计师事务所</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pStyle w:val="BodyText"/>
        <w:tabs>
          <w:tab w:pos="8765" w:val="left" w:leader="none"/>
        </w:tabs>
        <w:spacing w:line="240" w:lineRule="auto" w:before="62"/>
        <w:ind w:right="0"/>
        <w:jc w:val="both"/>
      </w:pPr>
      <w:r>
        <w:rPr>
          <w:spacing w:val="-2"/>
        </w:rPr>
        <w:t>是否在审计期间改聘会计师事务所</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tabs>
          <w:tab w:pos="8768" w:val="left" w:leader="none"/>
        </w:tabs>
        <w:spacing w:line="240" w:lineRule="auto" w:before="59"/>
        <w:ind w:right="0"/>
        <w:jc w:val="both"/>
      </w:pPr>
      <w:r>
        <w:rPr>
          <w:spacing w:val="-2"/>
        </w:rPr>
        <w:t>更换会计师事务所是否履行审批程序</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pStyle w:val="BodyText"/>
        <w:spacing w:line="307" w:lineRule="auto" w:before="62"/>
        <w:ind w:left="573" w:right="0" w:hanging="421"/>
        <w:jc w:val="left"/>
      </w:pPr>
      <w:r>
        <w:rPr/>
        <w:t>更换会计师事务所情况的详细说明</w:t>
      </w:r>
      <w:r>
        <w:rPr>
          <w:w w:val="100"/>
        </w:rPr>
        <w:t> </w:t>
      </w:r>
      <w:r>
        <w:rPr>
          <w:spacing w:val="-2"/>
        </w:rPr>
        <w:t>基于业务发展需要，公司聘请大华为</w:t>
      </w:r>
      <w:r>
        <w:rPr>
          <w:rFonts w:ascii="Times New Roman" w:hAnsi="Times New Roman" w:cs="Times New Roman" w:eastAsia="Times New Roman" w:hint="default"/>
          <w:spacing w:val="-2"/>
        </w:rPr>
        <w:t>2019</w:t>
      </w:r>
      <w:r>
        <w:rPr>
          <w:spacing w:val="-2"/>
        </w:rPr>
        <w:t>年度财务审计机构，并不再续聘立信。本次聘请会计师事</w:t>
      </w:r>
    </w:p>
    <w:p>
      <w:pPr>
        <w:pStyle w:val="BodyText"/>
        <w:spacing w:line="247" w:lineRule="exact"/>
        <w:ind w:right="0"/>
        <w:jc w:val="both"/>
      </w:pPr>
      <w:r>
        <w:rPr/>
        <w:t>务所事项已经公司第三届董事会审计委员会第十二次会议、第三届董事会第二十九次会议、</w:t>
      </w:r>
      <w:r>
        <w:rPr>
          <w:rFonts w:ascii="Times New Roman" w:hAnsi="Times New Roman" w:cs="Times New Roman" w:eastAsia="Times New Roman" w:hint="default"/>
        </w:rPr>
        <w:t>2019</w:t>
      </w:r>
      <w:r>
        <w:rPr/>
        <w:t>年第二</w:t>
      </w:r>
    </w:p>
    <w:p>
      <w:pPr>
        <w:pStyle w:val="BodyText"/>
        <w:spacing w:line="240" w:lineRule="auto" w:before="21"/>
        <w:ind w:right="0"/>
        <w:jc w:val="both"/>
      </w:pPr>
      <w:r>
        <w:rPr/>
        <w:t>次临时股东大会审议通过，并经独立董事发表事前认可意见和独立意见。</w:t>
      </w:r>
    </w:p>
    <w:p>
      <w:pPr>
        <w:spacing w:line="240" w:lineRule="auto" w:before="11"/>
        <w:rPr>
          <w:rFonts w:ascii="宋体" w:hAnsi="宋体" w:cs="宋体" w:eastAsia="宋体" w:hint="default"/>
          <w:sz w:val="29"/>
          <w:szCs w:val="29"/>
        </w:rPr>
      </w:pPr>
    </w:p>
    <w:p>
      <w:pPr>
        <w:pStyle w:val="BodyText"/>
        <w:tabs>
          <w:tab w:pos="7983" w:val="left" w:leader="none"/>
        </w:tabs>
        <w:spacing w:line="290" w:lineRule="auto"/>
        <w:ind w:right="1231" w:hanging="51"/>
        <w:jc w:val="center"/>
      </w:pPr>
      <w:r>
        <w:rPr>
          <w:spacing w:val="-2"/>
        </w:rPr>
        <w:t>聘请内部控制审计会计师事务所、财务顾问或保荐人情况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r>
        <w:rPr>
          <w:w w:val="100"/>
        </w:rPr>
        <w:t> </w:t>
      </w:r>
      <w:r>
        <w:rPr/>
        <w:t>公司聘请大华对截止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日与财务报表相关内部控制有效性进行鉴证，费用</w:t>
      </w:r>
      <w:r>
        <w:rPr>
          <w:rFonts w:ascii="Times New Roman" w:hAnsi="Times New Roman" w:cs="Times New Roman" w:eastAsia="Times New Roman" w:hint="default"/>
        </w:rPr>
        <w:t>20</w:t>
      </w:r>
      <w:r>
        <w:rPr/>
        <w:t>万元。</w:t>
      </w:r>
    </w:p>
    <w:p>
      <w:pPr>
        <w:tabs>
          <w:tab w:pos="8084" w:val="left" w:leader="none"/>
        </w:tabs>
        <w:spacing w:before="170"/>
        <w:ind w:left="152" w:right="0" w:firstLine="0"/>
        <w:jc w:val="both"/>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十、年度报告披露后面临暂停上市和终止上市情况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tabs>
          <w:tab w:pos="8086" w:val="left" w:leader="none"/>
        </w:tabs>
        <w:spacing w:before="197"/>
        <w:ind w:left="152" w:right="0" w:firstLine="0"/>
        <w:jc w:val="both"/>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十一、破产重整相关事项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2"/>
          <w:szCs w:val="22"/>
        </w:rPr>
      </w:pPr>
    </w:p>
    <w:p>
      <w:pPr>
        <w:pStyle w:val="BodyText"/>
        <w:spacing w:line="240" w:lineRule="auto"/>
        <w:ind w:left="573" w:right="0"/>
        <w:jc w:val="left"/>
      </w:pPr>
      <w:r>
        <w:rPr/>
        <w:t>本集团报告期未发生破产重整相关事项。</w:t>
      </w:r>
    </w:p>
    <w:p>
      <w:pPr>
        <w:spacing w:line="240" w:lineRule="auto" w:before="13"/>
        <w:rPr>
          <w:rFonts w:ascii="宋体" w:hAnsi="宋体" w:cs="宋体" w:eastAsia="宋体" w:hint="default"/>
          <w:sz w:val="17"/>
          <w:szCs w:val="17"/>
        </w:rPr>
      </w:pPr>
    </w:p>
    <w:p>
      <w:pPr>
        <w:tabs>
          <w:tab w:pos="8117" w:val="left" w:leader="none"/>
        </w:tabs>
        <w:spacing w:before="0"/>
        <w:ind w:left="152" w:right="0" w:firstLine="0"/>
        <w:jc w:val="both"/>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十二、重大诉讼、仲裁事项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BodyText"/>
        <w:spacing w:line="240" w:lineRule="auto"/>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年重大资产重组业绩承诺补偿诉讼</w:t>
      </w:r>
    </w:p>
    <w:p>
      <w:pPr>
        <w:pStyle w:val="BodyText"/>
        <w:spacing w:line="256" w:lineRule="auto" w:before="59"/>
        <w:ind w:right="1126"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2015-2016</w:t>
      </w:r>
      <w:r>
        <w:rPr>
          <w:rFonts w:ascii="Times New Roman" w:hAnsi="Times New Roman" w:cs="Times New Roman" w:eastAsia="Times New Roman" w:hint="default"/>
          <w:spacing w:val="42"/>
        </w:rPr>
        <w:t> </w:t>
      </w:r>
      <w:r>
        <w:rPr>
          <w:spacing w:val="-3"/>
        </w:rPr>
        <w:t>年公司筹划并实施以收购国盛证券为主要内容的重大资产重组，签订《业绩承诺补偿</w:t>
      </w:r>
      <w:r>
        <w:rPr>
          <w:w w:val="100"/>
        </w:rPr>
        <w:t> </w:t>
      </w:r>
      <w:r>
        <w:rPr>
          <w:spacing w:val="-27"/>
          <w:w w:val="100"/>
        </w:rPr>
        <w:t>协议》。</w:t>
      </w:r>
    </w:p>
    <w:p>
      <w:pPr>
        <w:pStyle w:val="BodyText"/>
        <w:spacing w:line="240" w:lineRule="auto" w:before="63"/>
        <w:ind w:left="57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spacing w:val="-5"/>
        </w:rPr>
        <w:t>日公司股东大会审议通过《关于进行本次重大资产重组的议案》及相关事项；</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7"/>
        </w:rPr>
        <w:t> </w:t>
      </w:r>
      <w:r>
        <w:rPr/>
        <w:t>年</w:t>
      </w:r>
    </w:p>
    <w:p>
      <w:pPr>
        <w:pStyle w:val="BodyText"/>
        <w:spacing w:line="256" w:lineRule="auto" w:before="22"/>
        <w:ind w:right="1128"/>
        <w:jc w:val="both"/>
      </w:pP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 </w:t>
      </w:r>
      <w:r>
        <w:rPr>
          <w:w w:val="100"/>
        </w:rPr>
        <w:t>月</w:t>
      </w:r>
      <w:r>
        <w:rPr>
          <w:spacing w:val="-50"/>
          <w:w w:val="100"/>
        </w:rPr>
        <w:t> </w:t>
      </w:r>
      <w:r>
        <w:rPr>
          <w:rFonts w:ascii="Times New Roman" w:hAnsi="Times New Roman" w:cs="Times New Roman" w:eastAsia="Times New Roman" w:hint="default"/>
          <w:spacing w:val="-2"/>
          <w:w w:val="100"/>
        </w:rPr>
        <w:t>13</w:t>
      </w:r>
      <w:r>
        <w:rPr>
          <w:rFonts w:ascii="Times New Roman" w:hAnsi="Times New Roman" w:cs="Times New Roman" w:eastAsia="Times New Roman" w:hint="default"/>
          <w:spacing w:val="4"/>
          <w:w w:val="100"/>
        </w:rPr>
        <w:t> </w:t>
      </w:r>
      <w:r>
        <w:rPr>
          <w:spacing w:val="-6"/>
          <w:w w:val="100"/>
        </w:rPr>
        <w:t>日，公司与雪松信托、杜力、张巍签署《业绩承诺补偿协议》；</w:t>
      </w:r>
      <w:r>
        <w:rPr>
          <w:rFonts w:ascii="Times New Roman" w:hAnsi="Times New Roman" w:cs="Times New Roman" w:eastAsia="Times New Roman" w:hint="default"/>
          <w:spacing w:val="-6"/>
          <w:w w:val="100"/>
        </w:rPr>
        <w:t>2016</w:t>
      </w:r>
      <w:r>
        <w:rPr>
          <w:rFonts w:ascii="Times New Roman" w:hAnsi="Times New Roman" w:cs="Times New Roman" w:eastAsia="Times New Roman" w:hint="default"/>
          <w:w w:val="100"/>
        </w:rPr>
        <w:t> </w:t>
      </w:r>
      <w:r>
        <w:rPr>
          <w:w w:val="100"/>
        </w:rPr>
        <w:t>年</w:t>
      </w:r>
      <w:r>
        <w:rPr>
          <w:spacing w:val="-50"/>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spacing w:val="-2"/>
          <w:w w:val="100"/>
        </w:rPr>
        <w:t>月，中国证监会核准公司</w:t>
      </w:r>
      <w:r>
        <w:rPr>
          <w:spacing w:val="-104"/>
          <w:w w:val="100"/>
        </w:rPr>
        <w:t> </w:t>
      </w:r>
      <w:r>
        <w:rPr>
          <w:spacing w:val="-104"/>
          <w:w w:val="100"/>
        </w:rPr>
      </w:r>
      <w:r>
        <w:rPr>
          <w:spacing w:val="-2"/>
          <w:w w:val="100"/>
        </w:rPr>
        <w:t>向雪松信托等发行股份购买国盛证券</w:t>
      </w:r>
      <w:r>
        <w:rPr>
          <w:spacing w:val="-21"/>
          <w:w w:val="100"/>
        </w:rPr>
        <w:t> </w:t>
      </w:r>
      <w:r>
        <w:rPr>
          <w:rFonts w:ascii="Times New Roman" w:hAnsi="Times New Roman" w:cs="Times New Roman" w:eastAsia="Times New Roman" w:hint="default"/>
          <w:spacing w:val="-2"/>
          <w:w w:val="100"/>
        </w:rPr>
        <w:t>100%</w:t>
      </w:r>
      <w:r>
        <w:rPr>
          <w:spacing w:val="-2"/>
          <w:w w:val="100"/>
        </w:rPr>
        <w:t>股权并募集配套资金的方案（证监许可【</w:t>
      </w:r>
      <w:r>
        <w:rPr>
          <w:rFonts w:ascii="Times New Roman" w:hAnsi="Times New Roman" w:cs="Times New Roman" w:eastAsia="Times New Roman" w:hint="default"/>
          <w:spacing w:val="-2"/>
          <w:w w:val="100"/>
        </w:rPr>
        <w:t>2016</w:t>
      </w:r>
      <w:r>
        <w:rPr>
          <w:spacing w:val="-2"/>
          <w:w w:val="100"/>
        </w:rPr>
        <w:t>】</w:t>
      </w:r>
      <w:r>
        <w:rPr>
          <w:rFonts w:ascii="Times New Roman" w:hAnsi="Times New Roman" w:cs="Times New Roman" w:eastAsia="Times New Roman" w:hint="default"/>
          <w:spacing w:val="-2"/>
          <w:w w:val="100"/>
        </w:rPr>
        <w:t>657</w:t>
      </w:r>
      <w:r>
        <w:rPr>
          <w:rFonts w:ascii="Times New Roman" w:hAnsi="Times New Roman" w:cs="Times New Roman" w:eastAsia="Times New Roman" w:hint="default"/>
          <w:spacing w:val="33"/>
          <w:w w:val="100"/>
        </w:rPr>
        <w:t> </w:t>
      </w:r>
      <w:r>
        <w:rPr>
          <w:spacing w:val="-28"/>
          <w:w w:val="100"/>
        </w:rPr>
        <w:t>号）；</w:t>
      </w:r>
      <w:r>
        <w:rPr>
          <w:rFonts w:ascii="Times New Roman" w:hAnsi="Times New Roman" w:cs="Times New Roman" w:eastAsia="Times New Roman" w:hint="default"/>
          <w:spacing w:val="-28"/>
          <w:w w:val="100"/>
        </w:rPr>
        <w:t>4</w:t>
      </w:r>
      <w:r>
        <w:rPr>
          <w:rFonts w:ascii="Times New Roman" w:hAnsi="Times New Roman" w:cs="Times New Roman" w:eastAsia="Times New Roman" w:hint="default"/>
          <w:spacing w:val="31"/>
          <w:w w:val="100"/>
        </w:rPr>
        <w:t> </w:t>
      </w:r>
      <w:r>
        <w:rPr>
          <w:w w:val="100"/>
        </w:rPr>
        <w:t>月</w:t>
      </w:r>
      <w:r>
        <w:rPr>
          <w:spacing w:val="-102"/>
          <w:w w:val="10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4"/>
        </w:rPr>
        <w:t>日，重组标的资产国盛证券股权完成过户；</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4"/>
        </w:rPr>
        <w:t>日，重组现金对价支付完毕；</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日本次重组新增</w:t>
      </w:r>
      <w:r>
        <w:rPr>
          <w:spacing w:val="-102"/>
        </w:rPr>
        <w:t> </w:t>
      </w:r>
      <w:r>
        <w:rPr>
          <w:spacing w:val="-102"/>
        </w:rPr>
      </w:r>
      <w:r>
        <w:rPr/>
        <w:t>股份上市交易。</w:t>
      </w:r>
    </w:p>
    <w:p>
      <w:pPr>
        <w:pStyle w:val="BodyText"/>
        <w:spacing w:line="264" w:lineRule="auto" w:before="63"/>
        <w:ind w:right="1126" w:firstLine="420"/>
        <w:jc w:val="both"/>
      </w:pPr>
      <w:r>
        <w:rPr>
          <w:spacing w:val="-6"/>
          <w:w w:val="100"/>
        </w:rPr>
        <w:t>公司与相关方签订的《业绩承诺补偿协议》（全文见公司于</w:t>
      </w:r>
      <w:r>
        <w:rPr>
          <w:spacing w:val="-35"/>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15"/>
          <w:w w:val="100"/>
        </w:rPr>
        <w:t> </w:t>
      </w:r>
      <w:r>
        <w:rPr>
          <w:w w:val="100"/>
        </w:rPr>
        <w:t>年</w:t>
      </w:r>
      <w:r>
        <w:rPr>
          <w:spacing w:val="-39"/>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7"/>
          <w:w w:val="100"/>
        </w:rPr>
        <w:t> </w:t>
      </w:r>
      <w:r>
        <w:rPr>
          <w:w w:val="100"/>
        </w:rPr>
        <w:t>月</w:t>
      </w:r>
      <w:r>
        <w:rPr>
          <w:spacing w:val="-39"/>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5"/>
          <w:w w:val="100"/>
        </w:rPr>
        <w:t> </w:t>
      </w:r>
      <w:r>
        <w:rPr>
          <w:spacing w:val="-2"/>
          <w:w w:val="100"/>
        </w:rPr>
        <w:t>日披露的《关于重大资产</w:t>
      </w:r>
      <w:r>
        <w:rPr>
          <w:w w:val="100"/>
        </w:rPr>
        <w:t> </w:t>
      </w:r>
      <w:r>
        <w:rPr>
          <w:spacing w:val="-5"/>
          <w:w w:val="100"/>
        </w:rPr>
        <w:t>重组签署</w:t>
      </w:r>
      <w:r>
        <w:rPr>
          <w:rFonts w:ascii="Times New Roman" w:hAnsi="Times New Roman" w:cs="Times New Roman" w:eastAsia="Times New Roman" w:hint="default"/>
          <w:spacing w:val="-5"/>
          <w:w w:val="100"/>
        </w:rPr>
        <w:t>&lt;</w:t>
      </w:r>
      <w:r>
        <w:rPr>
          <w:spacing w:val="-5"/>
          <w:w w:val="100"/>
        </w:rPr>
        <w:t>业绩承诺补偿协议</w:t>
      </w:r>
      <w:r>
        <w:rPr>
          <w:rFonts w:ascii="Times New Roman" w:hAnsi="Times New Roman" w:cs="Times New Roman" w:eastAsia="Times New Roman" w:hint="default"/>
          <w:spacing w:val="-5"/>
          <w:w w:val="100"/>
        </w:rPr>
        <w:t>&gt;</w:t>
      </w:r>
      <w:r>
        <w:rPr>
          <w:spacing w:val="-5"/>
          <w:w w:val="100"/>
        </w:rPr>
        <w:t>的公告》）约定：雪松信托承诺国盛证券</w:t>
      </w:r>
      <w:r>
        <w:rPr>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w w:val="100"/>
        </w:rPr>
        <w:t> </w:t>
      </w:r>
      <w:r>
        <w:rPr>
          <w:spacing w:val="-1"/>
          <w:w w:val="100"/>
        </w:rPr>
        <w:t>年度、</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spacing w:val="-1"/>
          <w:w w:val="100"/>
        </w:rPr>
        <w:t>年度、</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9"/>
          <w:w w:val="100"/>
        </w:rPr>
        <w:t> </w:t>
      </w:r>
      <w:r>
        <w:rPr>
          <w:spacing w:val="-3"/>
          <w:w w:val="100"/>
        </w:rPr>
        <w:t>年度 </w:t>
      </w:r>
      <w:r>
        <w:rPr/>
        <w:t>经审计的归属于母公司所有者的净利润分别不低于人民币</w:t>
      </w:r>
      <w:r>
        <w:rPr>
          <w:spacing w:val="-46"/>
        </w:rPr>
        <w:t> </w:t>
      </w:r>
      <w:r>
        <w:rPr>
          <w:rFonts w:ascii="Times New Roman" w:hAnsi="Times New Roman" w:cs="Times New Roman" w:eastAsia="Times New Roman" w:hint="default"/>
        </w:rPr>
        <w:t>74,000</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79,000</w:t>
      </w:r>
      <w:r>
        <w:rPr>
          <w:rFonts w:ascii="Times New Roman" w:hAnsi="Times New Roman" w:cs="Times New Roman" w:eastAsia="Times New Roman" w:hint="default"/>
          <w:spacing w:val="6"/>
        </w:rPr>
        <w:t> </w:t>
      </w:r>
      <w:r>
        <w:rPr>
          <w:spacing w:val="-4"/>
        </w:rPr>
        <w:t>万元、</w:t>
      </w:r>
      <w:r>
        <w:rPr>
          <w:rFonts w:ascii="Times New Roman" w:hAnsi="Times New Roman" w:cs="Times New Roman" w:eastAsia="Times New Roman" w:hint="default"/>
          <w:spacing w:val="-4"/>
        </w:rPr>
        <w:t>85,000</w:t>
      </w:r>
      <w:r>
        <w:rPr>
          <w:rFonts w:ascii="Times New Roman" w:hAnsi="Times New Roman" w:cs="Times New Roman" w:eastAsia="Times New Roman" w:hint="default"/>
          <w:spacing w:val="6"/>
        </w:rPr>
        <w:t> </w:t>
      </w:r>
      <w:r>
        <w:rPr>
          <w:spacing w:val="-7"/>
        </w:rPr>
        <w:t>万元，其中净</w:t>
      </w:r>
      <w:r>
        <w:rPr>
          <w:spacing w:val="-102"/>
        </w:rPr>
        <w:t> </w:t>
      </w:r>
      <w:r>
        <w:rPr>
          <w:spacing w:val="-102"/>
        </w:rPr>
      </w:r>
      <w:r>
        <w:rPr>
          <w:spacing w:val="-2"/>
        </w:rPr>
        <w:t>利润以扣除非经常性损益前后孰低值为准。如国盛证券在业绩承诺期未实际完成承诺净利润数，雪松信托</w:t>
      </w:r>
      <w:r>
        <w:rPr>
          <w:spacing w:val="-43"/>
        </w:rPr>
        <w:t> </w:t>
      </w:r>
      <w:r>
        <w:rPr>
          <w:spacing w:val="-43"/>
        </w:rPr>
      </w:r>
      <w:r>
        <w:rPr>
          <w:spacing w:val="-2"/>
        </w:rPr>
        <w:t>应按照《业绩承诺补偿协议》的约定进行业绩补偿。业绩承诺差额补偿应先以股份补偿，不足部分以现金</w:t>
      </w:r>
      <w:r>
        <w:rPr>
          <w:spacing w:val="-50"/>
        </w:rPr>
        <w:t> </w:t>
      </w:r>
      <w:r>
        <w:rPr>
          <w:spacing w:val="-50"/>
        </w:rPr>
      </w:r>
      <w:r>
        <w:rPr/>
        <w:t>补偿。在约定的业绩承诺期满后</w:t>
      </w:r>
      <w:r>
        <w:rPr>
          <w:spacing w:val="-64"/>
        </w:rPr>
        <w:t> </w:t>
      </w:r>
      <w:r>
        <w:rPr>
          <w:rFonts w:ascii="Times New Roman" w:hAnsi="Times New Roman" w:cs="Times New Roman" w:eastAsia="Times New Roman" w:hint="default"/>
        </w:rPr>
        <w:t>120</w:t>
      </w:r>
      <w:r>
        <w:rPr>
          <w:rFonts w:ascii="Times New Roman" w:hAnsi="Times New Roman" w:cs="Times New Roman" w:eastAsia="Times New Roman" w:hint="default"/>
          <w:spacing w:val="-15"/>
        </w:rPr>
        <w:t> </w:t>
      </w:r>
      <w:r>
        <w:rPr/>
        <w:t>日内，公司应聘请有资格的机构对国盛证券出具减值测试报告，如根</w:t>
      </w:r>
      <w:r>
        <w:rPr>
          <w:w w:val="100"/>
        </w:rPr>
        <w:t> </w:t>
      </w:r>
      <w:r>
        <w:rPr>
          <w:spacing w:val="-3"/>
          <w:w w:val="100"/>
        </w:rPr>
        <w:t>据减值测试报告标的资产期末减值额</w:t>
      </w:r>
      <w:r>
        <w:rPr>
          <w:rFonts w:ascii="Times New Roman" w:hAnsi="Times New Roman" w:cs="Times New Roman" w:eastAsia="Times New Roman" w:hint="default"/>
          <w:spacing w:val="-3"/>
          <w:w w:val="100"/>
        </w:rPr>
        <w:t>&gt;</w:t>
      </w:r>
      <w:r>
        <w:rPr>
          <w:spacing w:val="-3"/>
          <w:w w:val="100"/>
        </w:rPr>
        <w:t>雪松信托已补偿金额</w:t>
      </w:r>
      <w:r>
        <w:rPr>
          <w:rFonts w:ascii="Times New Roman" w:hAnsi="Times New Roman" w:cs="Times New Roman" w:eastAsia="Times New Roman" w:hint="default"/>
          <w:spacing w:val="-3"/>
          <w:w w:val="100"/>
        </w:rPr>
        <w:t>+</w:t>
      </w:r>
      <w:r>
        <w:rPr>
          <w:spacing w:val="-3"/>
          <w:w w:val="100"/>
        </w:rPr>
        <w:t>杜力、张巍已补偿金额（如有），则雪松信托</w:t>
      </w:r>
      <w:r>
        <w:rPr>
          <w:spacing w:val="-68"/>
          <w:w w:val="100"/>
        </w:rPr>
        <w:t> </w:t>
      </w:r>
      <w:r>
        <w:rPr>
          <w:spacing w:val="-68"/>
          <w:w w:val="100"/>
        </w:rPr>
      </w:r>
      <w:r>
        <w:rPr>
          <w:spacing w:val="11"/>
        </w:rPr>
        <w:t>应向公司另行以现金方式进行补偿。如雪松信托承担的上述业绩承诺补偿与减值补偿合计金额超过</w:t>
      </w:r>
      <w:r>
        <w:rPr>
          <w:spacing w:val="1"/>
        </w:rPr>
        <w:t> </w:t>
      </w:r>
      <w:r>
        <w:rPr>
          <w:spacing w:val="1"/>
        </w:rPr>
      </w:r>
      <w:r>
        <w:rPr>
          <w:rFonts w:ascii="Times New Roman" w:hAnsi="Times New Roman" w:cs="Times New Roman" w:eastAsia="Times New Roman" w:hint="default"/>
          <w:spacing w:val="-1"/>
        </w:rPr>
        <w:t>401,980.56</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spacing w:val="-2"/>
        </w:rPr>
        <w:t>万元，则超出部分的补偿义务由杜力、张巍以现金方式向公司承担。协议约定争议解决机关为</w:t>
      </w:r>
    </w:p>
    <w:p>
      <w:pPr>
        <w:spacing w:after="0" w:line="264"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right="0"/>
        <w:jc w:val="left"/>
      </w:pPr>
      <w:r>
        <w:rPr/>
        <w:t>南昌仲裁委员会。</w:t>
      </w:r>
    </w:p>
    <w:p>
      <w:pPr>
        <w:pStyle w:val="BodyText"/>
        <w:spacing w:line="256" w:lineRule="auto" w:before="78"/>
        <w:ind w:right="1022" w:firstLine="420"/>
        <w:jc w:val="left"/>
        <w:rPr>
          <w:rFonts w:ascii="Times New Roman" w:hAnsi="Times New Roman" w:cs="Times New Roman" w:eastAsia="Times New Roman" w:hint="default"/>
        </w:rPr>
      </w:pPr>
      <w:r>
        <w:rPr>
          <w:rFonts w:ascii="Times New Roman" w:hAnsi="Times New Roman" w:cs="Times New Roman" w:eastAsia="Times New Roman" w:hint="default"/>
          <w:w w:val="100"/>
        </w:rPr>
        <w:t>2019 </w:t>
      </w:r>
      <w:r>
        <w:rPr>
          <w:w w:val="100"/>
        </w:rPr>
        <w:t>年</w:t>
      </w:r>
      <w:r>
        <w:rPr>
          <w:spacing w:val="-50"/>
          <w:w w:val="100"/>
        </w:rPr>
        <w:t> </w:t>
      </w:r>
      <w:r>
        <w:rPr>
          <w:rFonts w:ascii="Times New Roman" w:hAnsi="Times New Roman" w:cs="Times New Roman" w:eastAsia="Times New Roman" w:hint="default"/>
          <w:w w:val="100"/>
        </w:rPr>
        <w:t>4 </w:t>
      </w:r>
      <w:r>
        <w:rPr>
          <w:w w:val="100"/>
        </w:rPr>
        <w:t>月</w:t>
      </w:r>
      <w:r>
        <w:rPr>
          <w:spacing w:val="-50"/>
          <w:w w:val="100"/>
        </w:rPr>
        <w:t> </w:t>
      </w:r>
      <w:r>
        <w:rPr>
          <w:rFonts w:ascii="Times New Roman" w:hAnsi="Times New Roman" w:cs="Times New Roman" w:eastAsia="Times New Roman" w:hint="default"/>
          <w:w w:val="100"/>
        </w:rPr>
        <w:t>29 </w:t>
      </w:r>
      <w:r>
        <w:rPr>
          <w:spacing w:val="-7"/>
          <w:w w:val="100"/>
        </w:rPr>
        <w:t>日，立信出具《关于国盛证券有限责任公司业绩承诺实现情况的专项审核报告》（信会</w:t>
      </w:r>
      <w:r>
        <w:rPr>
          <w:w w:val="100"/>
        </w:rPr>
        <w:t> </w:t>
      </w:r>
      <w:r>
        <w:rPr>
          <w:spacing w:val="-1"/>
          <w:w w:val="100"/>
        </w:rPr>
        <w:t>师报字</w:t>
      </w:r>
      <w:r>
        <w:rPr>
          <w:rFonts w:ascii="Times New Roman" w:hAnsi="Times New Roman" w:cs="Times New Roman" w:eastAsia="Times New Roman" w:hint="default"/>
          <w:spacing w:val="-1"/>
          <w:w w:val="100"/>
        </w:rPr>
        <w:t>[2019]</w:t>
      </w:r>
      <w:r>
        <w:rPr>
          <w:spacing w:val="-1"/>
          <w:w w:val="100"/>
        </w:rPr>
        <w:t>第</w:t>
      </w:r>
      <w:r>
        <w:rPr>
          <w:spacing w:val="-50"/>
          <w:w w:val="100"/>
        </w:rPr>
        <w:t> </w:t>
      </w:r>
      <w:r>
        <w:rPr>
          <w:rFonts w:ascii="Times New Roman" w:hAnsi="Times New Roman" w:cs="Times New Roman" w:eastAsia="Times New Roman" w:hint="default"/>
          <w:spacing w:val="-2"/>
          <w:w w:val="100"/>
        </w:rPr>
        <w:t>ZA13415</w:t>
      </w:r>
      <w:r>
        <w:rPr>
          <w:rFonts w:ascii="Times New Roman" w:hAnsi="Times New Roman" w:cs="Times New Roman" w:eastAsia="Times New Roman" w:hint="default"/>
          <w:spacing w:val="1"/>
          <w:w w:val="100"/>
        </w:rPr>
        <w:t> </w:t>
      </w:r>
      <w:r>
        <w:rPr>
          <w:spacing w:val="-8"/>
          <w:w w:val="100"/>
        </w:rPr>
        <w:t>号）、《国盛金融控股集团股份有限公司重大资产重组标的资产减值测试专项审核</w:t>
      </w:r>
      <w:r>
        <w:rPr>
          <w:spacing w:val="-97"/>
          <w:w w:val="100"/>
        </w:rPr>
        <w:t> </w:t>
      </w:r>
      <w:r>
        <w:rPr>
          <w:spacing w:val="-97"/>
          <w:w w:val="100"/>
        </w:rPr>
      </w:r>
      <w:r>
        <w:rPr>
          <w:spacing w:val="-8"/>
          <w:w w:val="100"/>
        </w:rPr>
        <w:t>报告》（信会师报字</w:t>
      </w:r>
      <w:r>
        <w:rPr>
          <w:rFonts w:ascii="Times New Roman" w:hAnsi="Times New Roman" w:cs="Times New Roman" w:eastAsia="Times New Roman" w:hint="default"/>
          <w:spacing w:val="-8"/>
          <w:w w:val="100"/>
        </w:rPr>
        <w:t>[2019]</w:t>
      </w:r>
      <w:r>
        <w:rPr>
          <w:spacing w:val="-8"/>
          <w:w w:val="100"/>
        </w:rPr>
        <w:t>第</w:t>
      </w:r>
      <w:r>
        <w:rPr>
          <w:spacing w:val="-29"/>
          <w:w w:val="100"/>
        </w:rPr>
        <w:t> </w:t>
      </w:r>
      <w:r>
        <w:rPr>
          <w:rFonts w:ascii="Times New Roman" w:hAnsi="Times New Roman" w:cs="Times New Roman" w:eastAsia="Times New Roman" w:hint="default"/>
          <w:spacing w:val="-2"/>
          <w:w w:val="100"/>
        </w:rPr>
        <w:t>ZA13511</w:t>
      </w:r>
      <w:r>
        <w:rPr>
          <w:rFonts w:ascii="Times New Roman" w:hAnsi="Times New Roman" w:cs="Times New Roman" w:eastAsia="Times New Roman" w:hint="default"/>
          <w:spacing w:val="24"/>
          <w:w w:val="100"/>
        </w:rPr>
        <w:t> </w:t>
      </w:r>
      <w:r>
        <w:rPr>
          <w:spacing w:val="-7"/>
          <w:w w:val="100"/>
        </w:rPr>
        <w:t>号）。根据该两份专项审核报告，国盛证券</w:t>
      </w:r>
      <w:r>
        <w:rPr>
          <w:spacing w:val="-29"/>
          <w:w w:val="100"/>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22"/>
          <w:w w:val="100"/>
        </w:rPr>
        <w:t> </w:t>
      </w:r>
      <w:r>
        <w:rPr>
          <w:spacing w:val="-2"/>
          <w:w w:val="100"/>
        </w:rPr>
        <w:t>年度实现归属于母</w:t>
      </w:r>
      <w:r>
        <w:rPr>
          <w:spacing w:val="-101"/>
          <w:w w:val="100"/>
        </w:rPr>
        <w:t> </w:t>
      </w:r>
      <w:r>
        <w:rPr>
          <w:spacing w:val="-101"/>
          <w:w w:val="100"/>
        </w:rPr>
      </w:r>
      <w:r>
        <w:rPr/>
        <w:t>公司所有者的净利润</w:t>
      </w:r>
      <w:r>
        <w:rPr>
          <w:spacing w:val="-48"/>
        </w:rPr>
        <w:t> </w:t>
      </w:r>
      <w:r>
        <w:rPr>
          <w:rFonts w:ascii="Times New Roman" w:hAnsi="Times New Roman" w:cs="Times New Roman" w:eastAsia="Times New Roman" w:hint="default"/>
        </w:rPr>
        <w:t>608,180,997.77</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年度实现归属于母公司所有者的净利润</w:t>
      </w:r>
      <w:r>
        <w:rPr>
          <w:spacing w:val="-47"/>
        </w:rPr>
        <w:t> </w:t>
      </w:r>
      <w:r>
        <w:rPr>
          <w:rFonts w:ascii="Times New Roman" w:hAnsi="Times New Roman" w:cs="Times New Roman" w:eastAsia="Times New Roman" w:hint="default"/>
        </w:rPr>
        <w:t>642,818,760.81</w:t>
      </w:r>
      <w:r>
        <w:rPr>
          <w:rFonts w:ascii="Times New Roman" w:hAnsi="Times New Roman" w:cs="Times New Roman" w:eastAsia="Times New Roman" w:hint="default"/>
          <w:spacing w:val="4"/>
        </w:rPr>
        <w:t> </w:t>
      </w:r>
      <w:r>
        <w:rPr/>
        <w:t>元</w:t>
      </w:r>
      <w:r>
        <w:rPr>
          <w:spacing w:val="-2"/>
        </w:rPr>
        <w:t> </w:t>
      </w:r>
      <w:r>
        <w:rPr/>
        <w:t>，</w:t>
      </w:r>
      <w:r>
        <w:rPr>
          <w:w w:val="100"/>
        </w:rPr>
        <w:t> </w:t>
      </w:r>
      <w:r>
        <w:rPr>
          <w:rFonts w:ascii="Times New Roman" w:hAnsi="Times New Roman" w:cs="Times New Roman" w:eastAsia="Times New Roman" w:hint="default"/>
        </w:rPr>
        <w:t>2018 </w:t>
      </w:r>
      <w:r>
        <w:rPr/>
        <w:t>年度实现归属于母公司所有者的净利润</w:t>
      </w:r>
      <w:r>
        <w:rPr>
          <w:rFonts w:ascii="Times New Roman" w:hAnsi="Times New Roman" w:cs="Times New Roman" w:eastAsia="Times New Roman" w:hint="default"/>
        </w:rPr>
        <w:t>-190,047,253.37 </w:t>
      </w:r>
      <w:r>
        <w:rPr/>
        <w:t>元，</w:t>
      </w:r>
      <w:r>
        <w:rPr>
          <w:rFonts w:ascii="Times New Roman" w:hAnsi="Times New Roman" w:cs="Times New Roman" w:eastAsia="Times New Roman" w:hint="default"/>
        </w:rPr>
        <w:t>2016-2018</w:t>
      </w:r>
      <w:r>
        <w:rPr>
          <w:rFonts w:ascii="Times New Roman" w:hAnsi="Times New Roman" w:cs="Times New Roman" w:eastAsia="Times New Roman" w:hint="default"/>
          <w:spacing w:val="39"/>
        </w:rPr>
        <w:t> </w:t>
      </w:r>
      <w:r>
        <w:rPr/>
        <w:t>年三年国盛证券累计实现归属</w:t>
      </w:r>
      <w:r>
        <w:rPr>
          <w:w w:val="100"/>
        </w:rPr>
        <w:t> </w:t>
      </w:r>
      <w:r>
        <w:rPr/>
        <w:t>于母公司所有者的净利润与扣除非经常性损益后归属于母公司所有者的净利润孰低值为</w:t>
      </w:r>
      <w:r>
        <w:rPr>
          <w:spacing w:val="82"/>
        </w:rPr>
        <w:t> </w:t>
      </w:r>
      <w:r>
        <w:rPr>
          <w:rFonts w:ascii="Times New Roman" w:hAnsi="Times New Roman" w:cs="Times New Roman" w:eastAsia="Times New Roman" w:hint="default"/>
        </w:rPr>
        <w:t>1,060,952,505.21</w:t>
      </w:r>
    </w:p>
    <w:p>
      <w:pPr>
        <w:pStyle w:val="BodyText"/>
        <w:spacing w:line="240" w:lineRule="auto" w:before="5"/>
        <w:ind w:right="0"/>
        <w:jc w:val="left"/>
      </w:pPr>
      <w:r>
        <w:rPr/>
        <w:t>元，低于承诺业绩</w:t>
      </w:r>
      <w:r>
        <w:rPr>
          <w:spacing w:val="-54"/>
        </w:rPr>
        <w:t> </w:t>
      </w:r>
      <w:r>
        <w:rPr>
          <w:rFonts w:ascii="Times New Roman" w:hAnsi="Times New Roman" w:cs="Times New Roman" w:eastAsia="Times New Roman" w:hint="default"/>
        </w:rPr>
        <w:t>1,319,047,494.79</w:t>
      </w:r>
      <w:r>
        <w:rPr>
          <w:rFonts w:ascii="Times New Roman" w:hAnsi="Times New Roman" w:cs="Times New Roman" w:eastAsia="Times New Roman" w:hint="default"/>
          <w:spacing w:val="-3"/>
        </w:rPr>
        <w:t> </w:t>
      </w:r>
      <w:r>
        <w:rPr/>
        <w:t>元。</w:t>
      </w:r>
    </w:p>
    <w:p>
      <w:pPr>
        <w:pStyle w:val="BodyText"/>
        <w:spacing w:line="240" w:lineRule="auto" w:before="59"/>
        <w:ind w:left="573" w:right="0"/>
        <w:jc w:val="left"/>
      </w:pPr>
      <w:r>
        <w:rPr/>
        <w:t>（</w:t>
      </w:r>
      <w:r>
        <w:rPr>
          <w:rFonts w:ascii="Times New Roman" w:hAnsi="Times New Roman" w:cs="Times New Roman" w:eastAsia="Times New Roman" w:hint="default"/>
        </w:rPr>
        <w:t>2</w:t>
      </w:r>
      <w:r>
        <w:rPr/>
        <w:t>）业绩承诺事项涉及争议</w:t>
      </w:r>
    </w:p>
    <w:p>
      <w:pPr>
        <w:pStyle w:val="BodyText"/>
        <w:spacing w:line="240" w:lineRule="auto" w:before="62"/>
        <w:ind w:left="573"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2"/>
        </w:rPr>
        <w:t> </w:t>
      </w:r>
      <w:r>
        <w:rPr/>
        <w:t>月，雪松信托以公司违反诚实信用原则、恶意促成《业绩承诺补偿协议》约定的业绩补偿</w:t>
      </w:r>
    </w:p>
    <w:p>
      <w:pPr>
        <w:pStyle w:val="BodyText"/>
        <w:spacing w:line="256" w:lineRule="auto" w:before="22"/>
        <w:ind w:right="1016"/>
        <w:jc w:val="left"/>
      </w:pPr>
      <w:r>
        <w:rPr/>
        <w:t>条件成就为由对公司、杜力、张巍等三人提起诉讼，请求法院判令三被告：向雪松信托赔偿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亿元损失；</w:t>
      </w:r>
      <w:r>
        <w:rPr>
          <w:w w:val="100"/>
        </w:rPr>
        <w:t> </w:t>
      </w:r>
      <w:r>
        <w:rPr/>
        <w:t>将国盛证券有限责任公司移交给雪松信托经营管理。</w:t>
      </w:r>
    </w:p>
    <w:p>
      <w:pPr>
        <w:pStyle w:val="BodyText"/>
        <w:spacing w:line="240" w:lineRule="auto" w:before="63"/>
        <w:ind w:left="57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4"/>
        </w:rPr>
        <w:t>月，公司向江西省高级人民法院（以下简称江西高院）提起反诉，请求法院判令雪松信托履</w:t>
      </w:r>
    </w:p>
    <w:p>
      <w:pPr>
        <w:pStyle w:val="BodyText"/>
        <w:spacing w:line="240" w:lineRule="auto" w:before="21"/>
        <w:ind w:right="0"/>
        <w:jc w:val="left"/>
      </w:pPr>
      <w:r>
        <w:rPr/>
        <w:t>行业绩承诺差额补偿义务。具体诉讼请求为：雪松信托以</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元的总对价向国盛金控转让</w:t>
      </w:r>
      <w:r>
        <w:rPr>
          <w:spacing w:val="-34"/>
        </w:rPr>
        <w:t> </w:t>
      </w:r>
      <w:r>
        <w:rPr>
          <w:rFonts w:ascii="Times New Roman" w:hAnsi="Times New Roman" w:cs="Times New Roman" w:eastAsia="Times New Roman" w:hint="default"/>
        </w:rPr>
        <w:t>311,734,019</w:t>
      </w:r>
      <w:r>
        <w:rPr>
          <w:rFonts w:ascii="Times New Roman" w:hAnsi="Times New Roman" w:cs="Times New Roman" w:eastAsia="Times New Roman" w:hint="default"/>
          <w:spacing w:val="18"/>
        </w:rPr>
        <w:t> </w:t>
      </w:r>
      <w:r>
        <w:rPr>
          <w:spacing w:val="-3"/>
        </w:rPr>
        <w:t>股应</w:t>
      </w:r>
      <w:r>
        <w:rPr/>
      </w:r>
    </w:p>
    <w:p>
      <w:pPr>
        <w:pStyle w:val="BodyText"/>
        <w:spacing w:line="240" w:lineRule="auto" w:before="21"/>
        <w:ind w:right="0"/>
        <w:jc w:val="left"/>
      </w:pPr>
      <w:r>
        <w:rPr>
          <w:spacing w:val="-4"/>
        </w:rPr>
        <w:t>补偿的国盛金控股份（雪松信托在国盛金控</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年度重大资产重组中获得的</w:t>
      </w:r>
      <w:r>
        <w:rPr>
          <w:spacing w:val="-49"/>
        </w:rPr>
        <w:t> </w:t>
      </w:r>
      <w:r>
        <w:rPr>
          <w:rFonts w:ascii="Times New Roman" w:hAnsi="Times New Roman" w:cs="Times New Roman" w:eastAsia="Times New Roman" w:hint="default"/>
        </w:rPr>
        <w:t>50%</w:t>
      </w:r>
      <w:r>
        <w:rPr/>
        <w:t>交易对价</w:t>
      </w:r>
      <w:r>
        <w:rPr>
          <w:spacing w:val="-46"/>
        </w:rPr>
        <w:t> </w:t>
      </w:r>
      <w:r>
        <w:rPr>
          <w:rFonts w:ascii="Times New Roman" w:hAnsi="Times New Roman" w:cs="Times New Roman" w:eastAsia="Times New Roman" w:hint="default"/>
        </w:rPr>
        <w:t>149,769,210</w:t>
      </w:r>
      <w:r>
        <w:rPr>
          <w:rFonts w:ascii="Times New Roman" w:hAnsi="Times New Roman" w:cs="Times New Roman" w:eastAsia="Times New Roman" w:hint="default"/>
          <w:spacing w:val="3"/>
        </w:rPr>
        <w:t> </w:t>
      </w:r>
      <w:r>
        <w:rPr/>
        <w:t>股</w:t>
      </w:r>
    </w:p>
    <w:p>
      <w:pPr>
        <w:pStyle w:val="BodyText"/>
        <w:spacing w:line="240" w:lineRule="auto" w:before="21"/>
        <w:ind w:right="0"/>
        <w:jc w:val="left"/>
      </w:pPr>
      <w:r>
        <w:rPr>
          <w:w w:val="100"/>
        </w:rPr>
        <w:t>国盛</w:t>
      </w:r>
      <w:r>
        <w:rPr>
          <w:spacing w:val="-3"/>
          <w:w w:val="100"/>
        </w:rPr>
        <w:t>金</w:t>
      </w:r>
      <w:r>
        <w:rPr>
          <w:w w:val="100"/>
        </w:rPr>
        <w:t>控</w:t>
      </w:r>
      <w:r>
        <w:rPr>
          <w:spacing w:val="-3"/>
          <w:w w:val="100"/>
        </w:rPr>
        <w:t>股</w:t>
      </w:r>
      <w:r>
        <w:rPr>
          <w:w w:val="100"/>
        </w:rPr>
        <w:t>份</w:t>
      </w:r>
      <w:r>
        <w:rPr>
          <w:spacing w:val="-3"/>
          <w:w w:val="100"/>
        </w:rPr>
        <w:t>在</w:t>
      </w:r>
      <w:r>
        <w:rPr>
          <w:w w:val="100"/>
        </w:rPr>
        <w:t>业</w:t>
      </w:r>
      <w:r>
        <w:rPr>
          <w:spacing w:val="-3"/>
          <w:w w:val="100"/>
        </w:rPr>
        <w:t>绩</w:t>
      </w:r>
      <w:r>
        <w:rPr>
          <w:w w:val="100"/>
        </w:rPr>
        <w:t>承</w:t>
      </w:r>
      <w:r>
        <w:rPr>
          <w:spacing w:val="-3"/>
          <w:w w:val="100"/>
        </w:rPr>
        <w:t>诺</w:t>
      </w:r>
      <w:r>
        <w:rPr>
          <w:w w:val="100"/>
        </w:rPr>
        <w:t>期内</w:t>
      </w:r>
      <w:r>
        <w:rPr>
          <w:spacing w:val="-3"/>
          <w:w w:val="100"/>
        </w:rPr>
        <w:t>经</w:t>
      </w:r>
      <w:r>
        <w:rPr>
          <w:w w:val="100"/>
        </w:rPr>
        <w:t>两</w:t>
      </w:r>
      <w:r>
        <w:rPr>
          <w:spacing w:val="-3"/>
          <w:w w:val="100"/>
        </w:rPr>
        <w:t>次</w:t>
      </w:r>
      <w:r>
        <w:rPr>
          <w:w w:val="100"/>
        </w:rPr>
        <w:t>资</w:t>
      </w:r>
      <w:r>
        <w:rPr>
          <w:spacing w:val="-3"/>
          <w:w w:val="100"/>
        </w:rPr>
        <w:t>本</w:t>
      </w:r>
      <w:r>
        <w:rPr>
          <w:w w:val="100"/>
        </w:rPr>
        <w:t>公</w:t>
      </w:r>
      <w:r>
        <w:rPr>
          <w:spacing w:val="-3"/>
          <w:w w:val="100"/>
        </w:rPr>
        <w:t>积</w:t>
      </w:r>
      <w:r>
        <w:rPr>
          <w:w w:val="100"/>
        </w:rPr>
        <w:t>金</w:t>
      </w:r>
      <w:r>
        <w:rPr>
          <w:spacing w:val="-3"/>
          <w:w w:val="100"/>
        </w:rPr>
        <w:t>转</w:t>
      </w:r>
      <w:r>
        <w:rPr>
          <w:w w:val="100"/>
        </w:rPr>
        <w:t>增股</w:t>
      </w:r>
      <w:r>
        <w:rPr>
          <w:spacing w:val="-3"/>
          <w:w w:val="100"/>
        </w:rPr>
        <w:t>本</w:t>
      </w:r>
      <w:r>
        <w:rPr>
          <w:spacing w:val="-8"/>
          <w:w w:val="100"/>
        </w:rPr>
        <w:t>，</w:t>
      </w:r>
      <w:r>
        <w:rPr>
          <w:spacing w:val="-3"/>
          <w:w w:val="100"/>
        </w:rPr>
        <w:t>现</w:t>
      </w:r>
      <w:r>
        <w:rPr>
          <w:w w:val="100"/>
        </w:rPr>
        <w:t>为</w:t>
      </w:r>
      <w:r>
        <w:rPr>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34,</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股</w:t>
      </w:r>
      <w:r>
        <w:rPr>
          <w:spacing w:val="-106"/>
          <w:w w:val="100"/>
        </w:rPr>
        <w:t>）</w:t>
      </w:r>
      <w:r>
        <w:rPr>
          <w:spacing w:val="-10"/>
          <w:w w:val="100"/>
        </w:rPr>
        <w:t>；</w:t>
      </w:r>
      <w:r>
        <w:rPr>
          <w:w w:val="100"/>
        </w:rPr>
        <w:t>雪</w:t>
      </w:r>
      <w:r>
        <w:rPr>
          <w:spacing w:val="-3"/>
          <w:w w:val="100"/>
        </w:rPr>
        <w:t>松</w:t>
      </w:r>
      <w:r>
        <w:rPr>
          <w:w w:val="100"/>
        </w:rPr>
        <w:t>信</w:t>
      </w:r>
      <w:r>
        <w:rPr>
          <w:spacing w:val="-3"/>
          <w:w w:val="100"/>
        </w:rPr>
        <w:t>托</w:t>
      </w:r>
      <w:r>
        <w:rPr>
          <w:w w:val="100"/>
        </w:rPr>
        <w:t>向</w:t>
      </w:r>
      <w:r>
        <w:rPr>
          <w:spacing w:val="-3"/>
          <w:w w:val="100"/>
        </w:rPr>
        <w:t>国</w:t>
      </w:r>
      <w:r>
        <w:rPr>
          <w:w w:val="100"/>
        </w:rPr>
        <w:t>盛</w:t>
      </w:r>
      <w:r>
        <w:rPr>
          <w:spacing w:val="-3"/>
          <w:w w:val="100"/>
        </w:rPr>
        <w:t>金控</w:t>
      </w:r>
      <w:r>
        <w:rPr>
          <w:w w:val="100"/>
        </w:rPr>
        <w:t>支</w:t>
      </w:r>
    </w:p>
    <w:p>
      <w:pPr>
        <w:pStyle w:val="BodyText"/>
        <w:spacing w:line="240" w:lineRule="auto" w:before="21"/>
        <w:ind w:right="0"/>
        <w:jc w:val="left"/>
      </w:pPr>
      <w:r>
        <w:rPr/>
        <w:t>付应补偿股份从</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spacing w:val="-3"/>
        </w:rPr>
        <w:t>日起至全部转让给国盛金控之日止获得的全部现金股利，上述现金股利暂</w:t>
      </w:r>
    </w:p>
    <w:p>
      <w:pPr>
        <w:pStyle w:val="BodyText"/>
        <w:spacing w:line="256" w:lineRule="auto" w:before="21"/>
        <w:ind w:right="0"/>
        <w:jc w:val="left"/>
      </w:pPr>
      <w:r>
        <w:rPr/>
        <w:t>计至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日，总计</w:t>
      </w:r>
      <w:r>
        <w:rPr>
          <w:spacing w:val="-50"/>
        </w:rPr>
        <w:t> </w:t>
      </w:r>
      <w:r>
        <w:rPr>
          <w:rFonts w:ascii="Times New Roman" w:hAnsi="Times New Roman" w:cs="Times New Roman" w:eastAsia="Times New Roman" w:hint="default"/>
        </w:rPr>
        <w:t>5,398,640.85 </w:t>
      </w:r>
      <w:r>
        <w:rPr/>
        <w:t>元；雪松信托向国盛金控支付现金补偿款</w:t>
      </w:r>
      <w:r>
        <w:rPr>
          <w:spacing w:val="-50"/>
        </w:rPr>
        <w:t> </w:t>
      </w:r>
      <w:r>
        <w:rPr>
          <w:rFonts w:ascii="Times New Roman" w:hAnsi="Times New Roman" w:cs="Times New Roman" w:eastAsia="Times New Roman" w:hint="default"/>
        </w:rPr>
        <w:t>1,802,533,221.58 </w:t>
      </w:r>
      <w:r>
        <w:rPr/>
        <w:t>元；</w:t>
      </w:r>
      <w:r>
        <w:rPr>
          <w:w w:val="100"/>
        </w:rPr>
        <w:t> </w:t>
      </w:r>
      <w:r>
        <w:rPr/>
        <w:t>雪松信托承担本案全部诉讼费用。</w:t>
      </w:r>
    </w:p>
    <w:p>
      <w:pPr>
        <w:pStyle w:val="BodyText"/>
        <w:spacing w:line="240" w:lineRule="auto" w:before="61"/>
        <w:ind w:left="57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4"/>
        </w:rPr>
        <w:t>日，江西高院作出（</w:t>
      </w:r>
      <w:r>
        <w:rPr>
          <w:rFonts w:ascii="Times New Roman" w:hAnsi="Times New Roman" w:cs="Times New Roman" w:eastAsia="Times New Roman" w:hint="default"/>
          <w:spacing w:val="-4"/>
        </w:rPr>
        <w:t>2018</w:t>
      </w:r>
      <w:r>
        <w:rPr>
          <w:spacing w:val="-4"/>
        </w:rPr>
        <w:t>）赣民初</w:t>
      </w:r>
      <w:r>
        <w:rPr>
          <w:spacing w:val="-47"/>
        </w:rPr>
        <w:t> </w:t>
      </w:r>
      <w:r>
        <w:rPr>
          <w:rFonts w:ascii="Times New Roman" w:hAnsi="Times New Roman" w:cs="Times New Roman" w:eastAsia="Times New Roman" w:hint="default"/>
        </w:rPr>
        <w:t>170</w:t>
      </w:r>
      <w:r>
        <w:rPr>
          <w:rFonts w:ascii="Times New Roman" w:hAnsi="Times New Roman" w:cs="Times New Roman" w:eastAsia="Times New Roman" w:hint="default"/>
          <w:spacing w:val="6"/>
        </w:rPr>
        <w:t> </w:t>
      </w:r>
      <w:r>
        <w:rPr>
          <w:spacing w:val="-3"/>
        </w:rPr>
        <w:t>号民事裁定书。江西高院经审查认为，国盛金</w:t>
      </w:r>
    </w:p>
    <w:p>
      <w:pPr>
        <w:pStyle w:val="BodyText"/>
        <w:spacing w:line="240" w:lineRule="auto" w:before="21"/>
        <w:ind w:right="0"/>
        <w:jc w:val="left"/>
      </w:pPr>
      <w:r>
        <w:rPr>
          <w:w w:val="100"/>
        </w:rPr>
        <w:t>控与</w:t>
      </w:r>
      <w:r>
        <w:rPr>
          <w:spacing w:val="-3"/>
          <w:w w:val="100"/>
        </w:rPr>
        <w:t>雪</w:t>
      </w:r>
      <w:r>
        <w:rPr>
          <w:w w:val="100"/>
        </w:rPr>
        <w:t>松</w:t>
      </w:r>
      <w:r>
        <w:rPr>
          <w:spacing w:val="-3"/>
          <w:w w:val="100"/>
        </w:rPr>
        <w:t>信</w:t>
      </w:r>
      <w:r>
        <w:rPr>
          <w:w w:val="100"/>
        </w:rPr>
        <w:t>托</w:t>
      </w:r>
      <w:r>
        <w:rPr>
          <w:spacing w:val="-38"/>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4"/>
        </w:rPr>
        <w:t> </w:t>
      </w:r>
      <w:r>
        <w:rPr>
          <w:w w:val="100"/>
        </w:rPr>
        <w:t>年</w:t>
      </w:r>
      <w:r>
        <w:rPr>
          <w:spacing w:val="-38"/>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w w:val="100"/>
        </w:rPr>
        <w:t>月</w:t>
      </w:r>
      <w:r>
        <w:rPr>
          <w:spacing w:val="-38"/>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5"/>
        </w:rPr>
        <w:t> </w:t>
      </w:r>
      <w:r>
        <w:rPr>
          <w:w w:val="100"/>
        </w:rPr>
        <w:t>日</w:t>
      </w:r>
      <w:r>
        <w:rPr>
          <w:spacing w:val="-3"/>
          <w:w w:val="100"/>
        </w:rPr>
        <w:t>签</w:t>
      </w:r>
      <w:r>
        <w:rPr>
          <w:w w:val="100"/>
        </w:rPr>
        <w:t>署</w:t>
      </w:r>
      <w:r>
        <w:rPr>
          <w:spacing w:val="-3"/>
          <w:w w:val="100"/>
        </w:rPr>
        <w:t>的</w:t>
      </w:r>
      <w:r>
        <w:rPr>
          <w:w w:val="100"/>
        </w:rPr>
        <w:t>《</w:t>
      </w:r>
      <w:r>
        <w:rPr>
          <w:spacing w:val="-3"/>
          <w:w w:val="100"/>
        </w:rPr>
        <w:t>发</w:t>
      </w:r>
      <w:r>
        <w:rPr>
          <w:w w:val="100"/>
        </w:rPr>
        <w:t>行</w:t>
      </w:r>
      <w:r>
        <w:rPr>
          <w:spacing w:val="-3"/>
          <w:w w:val="100"/>
        </w:rPr>
        <w:t>股份</w:t>
      </w:r>
      <w:r>
        <w:rPr>
          <w:w w:val="100"/>
        </w:rPr>
        <w:t>及支</w:t>
      </w:r>
      <w:r>
        <w:rPr>
          <w:spacing w:val="-3"/>
          <w:w w:val="100"/>
        </w:rPr>
        <w:t>付</w:t>
      </w:r>
      <w:r>
        <w:rPr>
          <w:w w:val="100"/>
        </w:rPr>
        <w:t>现</w:t>
      </w:r>
      <w:r>
        <w:rPr>
          <w:spacing w:val="-3"/>
          <w:w w:val="100"/>
        </w:rPr>
        <w:t>金</w:t>
      </w:r>
      <w:r>
        <w:rPr>
          <w:w w:val="100"/>
        </w:rPr>
        <w:t>购</w:t>
      </w:r>
      <w:r>
        <w:rPr>
          <w:spacing w:val="-3"/>
          <w:w w:val="100"/>
        </w:rPr>
        <w:t>买</w:t>
      </w:r>
      <w:r>
        <w:rPr>
          <w:w w:val="100"/>
        </w:rPr>
        <w:t>资</w:t>
      </w:r>
      <w:r>
        <w:rPr>
          <w:spacing w:val="-3"/>
          <w:w w:val="100"/>
        </w:rPr>
        <w:t>产</w:t>
      </w:r>
      <w:r>
        <w:rPr>
          <w:w w:val="100"/>
        </w:rPr>
        <w:t>协</w:t>
      </w:r>
      <w:r>
        <w:rPr>
          <w:spacing w:val="-3"/>
          <w:w w:val="100"/>
        </w:rPr>
        <w:t>议</w:t>
      </w:r>
      <w:r>
        <w:rPr>
          <w:spacing w:val="-108"/>
          <w:w w:val="100"/>
        </w:rPr>
        <w:t>》</w:t>
      </w:r>
      <w:r>
        <w:rPr>
          <w:w w:val="100"/>
        </w:rPr>
        <w:t>、国</w:t>
      </w:r>
      <w:r>
        <w:rPr>
          <w:spacing w:val="-3"/>
          <w:w w:val="100"/>
        </w:rPr>
        <w:t>盛</w:t>
      </w:r>
      <w:r>
        <w:rPr>
          <w:w w:val="100"/>
        </w:rPr>
        <w:t>金</w:t>
      </w:r>
      <w:r>
        <w:rPr>
          <w:spacing w:val="-3"/>
          <w:w w:val="100"/>
        </w:rPr>
        <w:t>控</w:t>
      </w:r>
      <w:r>
        <w:rPr>
          <w:w w:val="100"/>
        </w:rPr>
        <w:t>与</w:t>
      </w:r>
      <w:r>
        <w:rPr>
          <w:spacing w:val="-3"/>
          <w:w w:val="100"/>
        </w:rPr>
        <w:t>雪</w:t>
      </w:r>
      <w:r>
        <w:rPr>
          <w:w w:val="100"/>
        </w:rPr>
        <w:t>松</w:t>
      </w:r>
      <w:r>
        <w:rPr>
          <w:spacing w:val="-3"/>
          <w:w w:val="100"/>
        </w:rPr>
        <w:t>信</w:t>
      </w:r>
      <w:r>
        <w:rPr>
          <w:w w:val="100"/>
        </w:rPr>
        <w:t>托</w:t>
      </w:r>
      <w:r>
        <w:rPr>
          <w:spacing w:val="-3"/>
          <w:w w:val="100"/>
        </w:rPr>
        <w:t>、</w:t>
      </w:r>
      <w:r>
        <w:rPr>
          <w:w w:val="100"/>
        </w:rPr>
        <w:t>杜</w:t>
      </w:r>
    </w:p>
    <w:p>
      <w:pPr>
        <w:pStyle w:val="BodyText"/>
        <w:spacing w:line="264" w:lineRule="auto" w:before="21"/>
        <w:ind w:right="1126"/>
        <w:jc w:val="both"/>
      </w:pPr>
      <w:r>
        <w:rPr/>
        <w:t>力、张巍</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日签署的《业绩承诺补偿协议》均约定了仲裁条款。因此，雪松信托与国盛金控</w:t>
      </w:r>
      <w:r>
        <w:rPr>
          <w:w w:val="100"/>
        </w:rPr>
        <w:t> </w:t>
      </w:r>
      <w:r>
        <w:rPr>
          <w:spacing w:val="-2"/>
        </w:rPr>
        <w:t>关于本案纠纷解决均签有仲裁条款，且合法有效，江西高院裁定分别驳回雪松信托的起诉和国盛金控的反</w:t>
      </w:r>
      <w:r>
        <w:rPr>
          <w:spacing w:val="-42"/>
        </w:rPr>
        <w:t> </w:t>
      </w:r>
      <w:r>
        <w:rPr>
          <w:spacing w:val="-42"/>
        </w:rPr>
      </w:r>
      <w:r>
        <w:rPr/>
        <w:t>诉。</w:t>
      </w:r>
    </w:p>
    <w:p>
      <w:pPr>
        <w:pStyle w:val="BodyText"/>
        <w:spacing w:line="240" w:lineRule="auto" w:before="57"/>
        <w:ind w:left="573" w:right="0"/>
        <w:jc w:val="left"/>
      </w:pPr>
      <w:r>
        <w:rPr>
          <w:spacing w:val="-2"/>
        </w:rPr>
        <w:t>公司已在法定期限内就江西高院作出的（</w:t>
      </w:r>
      <w:r>
        <w:rPr>
          <w:rFonts w:ascii="Times New Roman" w:hAnsi="Times New Roman" w:cs="Times New Roman" w:eastAsia="Times New Roman" w:hint="default"/>
          <w:spacing w:val="-2"/>
        </w:rPr>
        <w:t>2018</w:t>
      </w:r>
      <w:r>
        <w:rPr>
          <w:spacing w:val="-2"/>
        </w:rPr>
        <w:t>）赣民初</w:t>
      </w:r>
      <w:r>
        <w:rPr/>
        <w:t> </w:t>
      </w:r>
      <w:r>
        <w:rPr>
          <w:rFonts w:ascii="Times New Roman" w:hAnsi="Times New Roman" w:cs="Times New Roman" w:eastAsia="Times New Roman" w:hint="default"/>
          <w:spacing w:val="-1"/>
        </w:rPr>
        <w:t>170</w:t>
      </w:r>
      <w:r>
        <w:rPr>
          <w:rFonts w:ascii="Times New Roman" w:hAnsi="Times New Roman" w:cs="Times New Roman" w:eastAsia="Times New Roman" w:hint="default"/>
          <w:spacing w:val="8"/>
        </w:rPr>
        <w:t> </w:t>
      </w:r>
      <w:r>
        <w:rPr>
          <w:spacing w:val="-2"/>
        </w:rPr>
        <w:t>号民事裁定书上诉至最高人民法院（以下</w:t>
      </w:r>
    </w:p>
    <w:p>
      <w:pPr>
        <w:pStyle w:val="BodyText"/>
        <w:spacing w:line="240" w:lineRule="auto" w:before="21"/>
        <w:ind w:right="0"/>
        <w:jc w:val="left"/>
      </w:pPr>
      <w:r>
        <w:rPr>
          <w:w w:val="100"/>
        </w:rPr>
        <w:t>简称</w:t>
      </w:r>
      <w:r>
        <w:rPr>
          <w:spacing w:val="-3"/>
          <w:w w:val="100"/>
        </w:rPr>
        <w:t>最</w:t>
      </w:r>
      <w:r>
        <w:rPr>
          <w:w w:val="100"/>
        </w:rPr>
        <w:t>高</w:t>
      </w:r>
      <w:r>
        <w:rPr>
          <w:spacing w:val="-3"/>
          <w:w w:val="100"/>
        </w:rPr>
        <w:t>法</w:t>
      </w:r>
      <w:r>
        <w:rPr>
          <w:w w:val="100"/>
        </w:rPr>
        <w:t>院</w:t>
      </w:r>
      <w:r>
        <w:rPr>
          <w:spacing w:val="-108"/>
          <w:w w:val="100"/>
        </w:rPr>
        <w:t>）</w:t>
      </w:r>
      <w:r>
        <w:rPr>
          <w:spacing w:val="-8"/>
          <w:w w:val="100"/>
        </w:rPr>
        <w:t>。</w:t>
      </w:r>
      <w:r>
        <w:rPr>
          <w:spacing w:val="-3"/>
          <w:w w:val="100"/>
        </w:rPr>
        <w:t>公</w:t>
      </w:r>
      <w:r>
        <w:rPr>
          <w:w w:val="100"/>
        </w:rPr>
        <w:t>司</w:t>
      </w:r>
      <w:r>
        <w:rPr>
          <w:spacing w:val="-3"/>
          <w:w w:val="100"/>
        </w:rPr>
        <w:t>目前</w:t>
      </w:r>
      <w:r>
        <w:rPr>
          <w:w w:val="100"/>
        </w:rPr>
        <w:t>已收</w:t>
      </w:r>
      <w:r>
        <w:rPr>
          <w:spacing w:val="-3"/>
          <w:w w:val="100"/>
        </w:rPr>
        <w:t>到</w:t>
      </w:r>
      <w:r>
        <w:rPr>
          <w:w w:val="100"/>
        </w:rPr>
        <w:t>最</w:t>
      </w:r>
      <w:r>
        <w:rPr>
          <w:spacing w:val="-3"/>
          <w:w w:val="100"/>
        </w:rPr>
        <w:t>高</w:t>
      </w:r>
      <w:r>
        <w:rPr>
          <w:w w:val="100"/>
        </w:rPr>
        <w:t>法</w:t>
      </w:r>
      <w:r>
        <w:rPr>
          <w:spacing w:val="-10"/>
          <w:w w:val="100"/>
        </w:rPr>
        <w:t>院</w:t>
      </w:r>
      <w:r>
        <w:rPr>
          <w:w w:val="100"/>
        </w:rPr>
        <w:t>《</w:t>
      </w:r>
      <w:r>
        <w:rPr>
          <w:spacing w:val="-3"/>
          <w:w w:val="100"/>
        </w:rPr>
        <w:t>受</w:t>
      </w:r>
      <w:r>
        <w:rPr>
          <w:w w:val="100"/>
        </w:rPr>
        <w:t>理</w:t>
      </w:r>
      <w:r>
        <w:rPr>
          <w:spacing w:val="-3"/>
          <w:w w:val="100"/>
        </w:rPr>
        <w:t>案</w:t>
      </w:r>
      <w:r>
        <w:rPr>
          <w:w w:val="100"/>
        </w:rPr>
        <w:t>件通</w:t>
      </w:r>
      <w:r>
        <w:rPr>
          <w:spacing w:val="-3"/>
          <w:w w:val="100"/>
        </w:rPr>
        <w:t>知</w:t>
      </w:r>
      <w:r>
        <w:rPr>
          <w:w w:val="100"/>
        </w:rPr>
        <w:t>书</w:t>
      </w:r>
      <w:r>
        <w:rPr>
          <w:spacing w:val="-108"/>
          <w:w w:val="100"/>
        </w:rPr>
        <w:t>》</w:t>
      </w:r>
      <w:r>
        <w:rPr>
          <w:spacing w:val="-8"/>
          <w:w w:val="100"/>
        </w:rPr>
        <w:t>。</w:t>
      </w:r>
      <w:r>
        <w:rPr>
          <w:spacing w:val="-3"/>
          <w:w w:val="100"/>
        </w:rPr>
        <w:t>最</w:t>
      </w:r>
      <w:r>
        <w:rPr>
          <w:w w:val="100"/>
        </w:rPr>
        <w:t>高</w:t>
      </w:r>
      <w:r>
        <w:rPr>
          <w:spacing w:val="-3"/>
          <w:w w:val="100"/>
        </w:rPr>
        <w:t>法</w:t>
      </w:r>
      <w:r>
        <w:rPr>
          <w:w w:val="100"/>
        </w:rPr>
        <w:t>院于</w:t>
      </w:r>
      <w:r>
        <w:rPr>
          <w:spacing w:val="-5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020</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日</w:t>
      </w:r>
      <w:r>
        <w:rPr>
          <w:spacing w:val="-3"/>
          <w:w w:val="100"/>
        </w:rPr>
        <w:t>受</w:t>
      </w:r>
      <w:r>
        <w:rPr>
          <w:w w:val="100"/>
        </w:rPr>
        <w:t>理</w:t>
      </w:r>
      <w:r>
        <w:rPr>
          <w:spacing w:val="-3"/>
          <w:w w:val="100"/>
        </w:rPr>
        <w:t>该上</w:t>
      </w:r>
      <w:r>
        <w:rPr>
          <w:w w:val="100"/>
        </w:rPr>
        <w:t>诉</w:t>
      </w:r>
    </w:p>
    <w:p>
      <w:pPr>
        <w:pStyle w:val="BodyText"/>
        <w:spacing w:line="240" w:lineRule="auto" w:before="21"/>
        <w:ind w:right="0"/>
        <w:jc w:val="left"/>
      </w:pPr>
      <w:r>
        <w:rPr/>
        <w:t>案件，案号为（</w:t>
      </w:r>
      <w:r>
        <w:rPr>
          <w:rFonts w:ascii="Times New Roman" w:hAnsi="Times New Roman" w:cs="Times New Roman" w:eastAsia="Times New Roman" w:hint="default"/>
        </w:rPr>
        <w:t>2020</w:t>
      </w:r>
      <w:r>
        <w:rPr/>
        <w:t>）最高法民终</w:t>
      </w:r>
      <w:r>
        <w:rPr>
          <w:spacing w:val="-52"/>
        </w:rPr>
        <w:t> </w:t>
      </w:r>
      <w:r>
        <w:rPr>
          <w:rFonts w:ascii="Times New Roman" w:hAnsi="Times New Roman" w:cs="Times New Roman" w:eastAsia="Times New Roman" w:hint="default"/>
        </w:rPr>
        <w:t>358 </w:t>
      </w:r>
      <w:r>
        <w:rPr>
          <w:spacing w:val="-3"/>
        </w:rPr>
        <w:t>号。</w:t>
      </w:r>
      <w:r>
        <w:rPr/>
      </w:r>
    </w:p>
    <w:p>
      <w:pPr>
        <w:pStyle w:val="BodyText"/>
        <w:spacing w:line="240" w:lineRule="auto" w:before="62"/>
        <w:ind w:left="573" w:right="0"/>
        <w:jc w:val="left"/>
      </w:pPr>
      <w:r>
        <w:rPr>
          <w:spacing w:val="-5"/>
        </w:rPr>
        <w:t>（</w:t>
      </w:r>
      <w:r>
        <w:rPr>
          <w:rFonts w:ascii="Times New Roman" w:hAnsi="Times New Roman" w:cs="Times New Roman" w:eastAsia="Times New Roman" w:hint="default"/>
          <w:spacing w:val="-5"/>
        </w:rPr>
        <w:t>3</w:t>
      </w:r>
      <w:r>
        <w:rPr>
          <w:spacing w:val="-5"/>
        </w:rPr>
        <w:t>）截至本报告出具日，雪松信托持有公司股份</w:t>
      </w:r>
      <w:r>
        <w:rPr>
          <w:spacing w:val="-44"/>
        </w:rPr>
        <w:t> </w:t>
      </w:r>
      <w:r>
        <w:rPr>
          <w:rFonts w:ascii="Times New Roman" w:hAnsi="Times New Roman" w:cs="Times New Roman" w:eastAsia="Times New Roman" w:hint="default"/>
        </w:rPr>
        <w:t>311,734,019</w:t>
      </w:r>
      <w:r>
        <w:rPr>
          <w:rFonts w:ascii="Times New Roman" w:hAnsi="Times New Roman" w:cs="Times New Roman" w:eastAsia="Times New Roman" w:hint="default"/>
          <w:spacing w:val="7"/>
        </w:rPr>
        <w:t> </w:t>
      </w:r>
      <w:r>
        <w:rPr>
          <w:spacing w:val="-6"/>
        </w:rPr>
        <w:t>股，累计被质押数量为</w:t>
      </w:r>
      <w:r>
        <w:rPr>
          <w:spacing w:val="-44"/>
        </w:rPr>
        <w:t> </w:t>
      </w:r>
      <w:r>
        <w:rPr>
          <w:rFonts w:ascii="Times New Roman" w:hAnsi="Times New Roman" w:cs="Times New Roman" w:eastAsia="Times New Roman" w:hint="default"/>
        </w:rPr>
        <w:t>311,734,019</w:t>
      </w:r>
      <w:r>
        <w:rPr>
          <w:rFonts w:ascii="Times New Roman" w:hAnsi="Times New Roman" w:cs="Times New Roman" w:eastAsia="Times New Roman" w:hint="default"/>
          <w:spacing w:val="6"/>
        </w:rPr>
        <w:t> </w:t>
      </w:r>
      <w:r>
        <w:rPr/>
        <w:t>股，</w:t>
      </w:r>
    </w:p>
    <w:p>
      <w:pPr>
        <w:pStyle w:val="BodyText"/>
        <w:spacing w:line="240" w:lineRule="auto" w:before="21"/>
        <w:ind w:right="0"/>
        <w:jc w:val="left"/>
      </w:pPr>
      <w:r>
        <w:rPr/>
        <w:t>质权人为中国华融资产管理股份有限公司广东省分公司，其中</w:t>
      </w:r>
      <w:r>
        <w:rPr>
          <w:spacing w:val="-40"/>
        </w:rPr>
        <w:t> </w:t>
      </w:r>
      <w:r>
        <w:rPr>
          <w:rFonts w:ascii="Times New Roman" w:hAnsi="Times New Roman" w:cs="Times New Roman" w:eastAsia="Times New Roman" w:hint="default"/>
        </w:rPr>
        <w:t>164,000,000</w:t>
      </w:r>
      <w:r>
        <w:rPr>
          <w:rFonts w:ascii="Times New Roman" w:hAnsi="Times New Roman" w:cs="Times New Roman" w:eastAsia="Times New Roman" w:hint="default"/>
          <w:spacing w:val="12"/>
        </w:rPr>
        <w:t> </w:t>
      </w:r>
      <w:r>
        <w:rPr/>
        <w:t>股质押起始日为</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p>
    <w:p>
      <w:pPr>
        <w:pStyle w:val="BodyText"/>
        <w:spacing w:line="240" w:lineRule="auto" w:before="21"/>
        <w:ind w:right="0"/>
        <w:jc w:val="left"/>
      </w:pPr>
      <w:r>
        <w:rPr>
          <w:rFonts w:ascii="Times New Roman" w:hAnsi="Times New Roman" w:cs="Times New Roman" w:eastAsia="Times New Roman" w:hint="default"/>
        </w:rPr>
        <w:t>24 </w:t>
      </w:r>
      <w:r>
        <w:rPr/>
        <w:t>日，</w:t>
      </w:r>
      <w:r>
        <w:rPr>
          <w:rFonts w:ascii="Times New Roman" w:hAnsi="Times New Roman" w:cs="Times New Roman" w:eastAsia="Times New Roman" w:hint="default"/>
        </w:rPr>
        <w:t>147,734,019</w:t>
      </w:r>
      <w:r>
        <w:rPr>
          <w:rFonts w:ascii="Times New Roman" w:hAnsi="Times New Roman" w:cs="Times New Roman" w:eastAsia="Times New Roman" w:hint="default"/>
          <w:spacing w:val="-3"/>
        </w:rPr>
        <w:t> </w:t>
      </w:r>
      <w:r>
        <w:rPr/>
        <w:t>股质押起始日为</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日，质押到期日为办理解除质押登记之日。</w:t>
      </w:r>
    </w:p>
    <w:p>
      <w:pPr>
        <w:pStyle w:val="BodyText"/>
        <w:spacing w:line="292" w:lineRule="auto" w:before="59"/>
        <w:ind w:left="573" w:right="0"/>
        <w:jc w:val="left"/>
      </w:pPr>
      <w:r>
        <w:rPr/>
        <w:t>（</w:t>
      </w:r>
      <w:r>
        <w:rPr>
          <w:rFonts w:ascii="Times New Roman" w:hAnsi="Times New Roman" w:cs="Times New Roman" w:eastAsia="Times New Roman" w:hint="default"/>
        </w:rPr>
        <w:t>4</w:t>
      </w:r>
      <w:r>
        <w:rPr/>
        <w:t>）本案代理机构北京市天同（深圳）律师事务所的有关意见</w:t>
      </w:r>
      <w:r>
        <w:rPr>
          <w:w w:val="100"/>
        </w:rPr>
        <w:t> </w:t>
      </w:r>
      <w:r>
        <w:rPr>
          <w:spacing w:val="-7"/>
          <w:w w:val="100"/>
        </w:rPr>
        <w:t>天同认为，《业绩承诺补偿协议》系国盛金控和雪松信托的真实意思表示，符合重大资产重组的交易惯</w:t>
      </w:r>
    </w:p>
    <w:p>
      <w:pPr>
        <w:pStyle w:val="BodyText"/>
        <w:spacing w:line="273" w:lineRule="auto"/>
        <w:ind w:right="0"/>
        <w:jc w:val="left"/>
      </w:pPr>
      <w:r>
        <w:rPr/>
        <w:t>例，已经证监会核准、备案，协议效力目前不存在争议。在人民法院尊重商事主体意思自治的大背景下，</w:t>
      </w:r>
      <w:r>
        <w:rPr>
          <w:spacing w:val="-24"/>
        </w:rPr>
        <w:t> </w:t>
      </w:r>
      <w:r>
        <w:rPr>
          <w:spacing w:val="-24"/>
        </w:rPr>
      </w:r>
      <w:r>
        <w:rPr>
          <w:spacing w:val="-2"/>
        </w:rPr>
        <w:t>我们认为人民法院应当严格依据《业绩承诺补偿协议》判令雪松信托承担业绩承诺补偿责任。结合目前的</w:t>
      </w:r>
      <w:r>
        <w:rPr>
          <w:spacing w:val="-43"/>
        </w:rPr>
        <w:t> </w:t>
      </w:r>
      <w:r>
        <w:rPr>
          <w:spacing w:val="-43"/>
        </w:rPr>
      </w:r>
      <w:r>
        <w:rPr>
          <w:spacing w:val="-2"/>
        </w:rPr>
        <w:t>证据情况，天同认为雪松信托主张国盛金控承担侵权责任缺乏依据。国盛金控依法取得国盛证券所有权并</w:t>
      </w:r>
      <w:r>
        <w:rPr>
          <w:spacing w:val="-43"/>
        </w:rPr>
        <w:t> </w:t>
      </w:r>
      <w:r>
        <w:rPr>
          <w:spacing w:val="-43"/>
        </w:rPr>
      </w:r>
      <w:r>
        <w:rPr>
          <w:spacing w:val="-2"/>
        </w:rPr>
        <w:t>合法行使股东权利、依法合规经营，通过国盛金控的努力，国盛证券在多方面取得显著进步，雪松信托要</w:t>
      </w:r>
      <w:r>
        <w:rPr>
          <w:spacing w:val="-50"/>
        </w:rPr>
        <w:t> </w:t>
      </w:r>
      <w:r>
        <w:rPr>
          <w:spacing w:val="-50"/>
        </w:rPr>
      </w:r>
      <w:r>
        <w:rPr/>
        <w:t>求法院判令国盛金控将国盛证券交由其经营、管理的诉讼请求没有法律和事实依据，不会获得支持。</w:t>
      </w:r>
    </w:p>
    <w:p>
      <w:pPr>
        <w:pStyle w:val="BodyText"/>
        <w:spacing w:line="273" w:lineRule="auto" w:before="48"/>
        <w:ind w:right="1126" w:firstLine="420"/>
        <w:jc w:val="both"/>
      </w:pPr>
      <w:r>
        <w:rPr>
          <w:spacing w:val="-2"/>
        </w:rPr>
        <w:t>此外，雪松信托持有的国盛金控股票是否被质押，仅影响雪松信托承担业绩补偿责任的方式，对国盛</w:t>
      </w:r>
      <w:r>
        <w:rPr>
          <w:w w:val="100"/>
        </w:rPr>
        <w:t> </w:t>
      </w:r>
      <w:r>
        <w:rPr>
          <w:spacing w:val="-7"/>
        </w:rPr>
        <w:t>金控的权利不产生实质影响。根据雪松信托目前的资产状况，在人民法院作出终审判决后，如无意外情况，</w:t>
      </w:r>
      <w:r>
        <w:rPr>
          <w:spacing w:val="-17"/>
        </w:rPr>
        <w:t> </w:t>
      </w:r>
      <w:r>
        <w:rPr>
          <w:spacing w:val="-17"/>
        </w:rPr>
      </w:r>
      <w:r>
        <w:rPr/>
        <w:t>国盛金控债权获得足额清偿的可能性极大，天同对本案执行清偿率持乐观态度。</w:t>
      </w:r>
    </w:p>
    <w:p>
      <w:pPr>
        <w:pStyle w:val="BodyText"/>
        <w:spacing w:line="273" w:lineRule="auto" w:before="46"/>
        <w:ind w:right="1126" w:firstLine="420"/>
        <w:jc w:val="both"/>
      </w:pPr>
      <w:r>
        <w:rPr>
          <w:spacing w:val="-2"/>
        </w:rPr>
        <w:t>最后，关于本案的主管机构。雪松信托以侵权为由在江西高院一审起诉，国盛金控、杜力、张巍均认</w:t>
      </w:r>
      <w:r>
        <w:rPr>
          <w:w w:val="100"/>
        </w:rPr>
        <w:t> </w:t>
      </w:r>
      <w:r>
        <w:rPr>
          <w:spacing w:val="-2"/>
        </w:rPr>
        <w:t>可江西高院的管辖权，且国盛金控另行提出反诉，江西高院业已受理；国盛金控和雪松信托亦曾共同向江</w:t>
      </w:r>
      <w:r>
        <w:rPr>
          <w:spacing w:val="-43"/>
        </w:rPr>
        <w:t> </w:t>
      </w:r>
      <w:r>
        <w:rPr>
          <w:spacing w:val="-43"/>
        </w:rPr>
      </w:r>
      <w:r>
        <w:rPr>
          <w:spacing w:val="-2"/>
        </w:rPr>
        <w:t>西高院申请延期审理；在江西高院一审驳回雪松信托起诉和国盛金控反诉后，各方当事人均向最高法院上</w:t>
      </w:r>
    </w:p>
    <w:p>
      <w:pPr>
        <w:spacing w:after="0" w:line="273"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0"/>
        <w:jc w:val="left"/>
      </w:pPr>
      <w:r>
        <w:rPr>
          <w:spacing w:val="-2"/>
        </w:rPr>
        <w:t>诉要求本案在法院系统解决。基于上述情况，我们认为各方当事人均有意通过诉讼方式解决本案争议，并</w:t>
      </w:r>
      <w:r>
        <w:rPr>
          <w:spacing w:val="-44"/>
        </w:rPr>
        <w:t> </w:t>
      </w:r>
      <w:r>
        <w:rPr>
          <w:spacing w:val="-44"/>
        </w:rPr>
      </w:r>
      <w:r>
        <w:rPr/>
        <w:t>明确通过诉讼行为变更了原仲裁条款，本案本诉、反诉均应由江西高院一并审理。</w:t>
      </w:r>
    </w:p>
    <w:p>
      <w:pPr>
        <w:pStyle w:val="BodyText"/>
        <w:spacing w:line="256" w:lineRule="auto" w:before="48"/>
        <w:ind w:right="1126" w:firstLine="420"/>
        <w:jc w:val="both"/>
      </w:pPr>
      <w:r>
        <w:rPr>
          <w:rFonts w:ascii="Times New Roman" w:hAnsi="Times New Roman" w:cs="Times New Roman" w:eastAsia="Times New Roman" w:hint="default"/>
          <w:spacing w:val="-5"/>
        </w:rPr>
        <w:t>2</w:t>
      </w:r>
      <w:r>
        <w:rPr>
          <w:spacing w:val="-5"/>
        </w:rPr>
        <w:t>、除上述与《业绩承诺补偿协议》有关的诉讼外，截至期末，本集团未达到披露标准的未决诉讼、仲</w:t>
      </w:r>
      <w:r>
        <w:rPr>
          <w:w w:val="100"/>
        </w:rPr>
        <w:t> </w:t>
      </w:r>
      <w:r>
        <w:rPr/>
        <w:t>裁事项涉案金额合计</w:t>
      </w:r>
      <w:r>
        <w:rPr>
          <w:spacing w:val="-54"/>
        </w:rPr>
        <w:t> </w:t>
      </w:r>
      <w:r>
        <w:rPr>
          <w:rFonts w:ascii="Times New Roman" w:hAnsi="Times New Roman" w:cs="Times New Roman" w:eastAsia="Times New Roman" w:hint="default"/>
        </w:rPr>
        <w:t>9.57</w:t>
      </w:r>
      <w:r>
        <w:rPr>
          <w:rFonts w:ascii="Times New Roman" w:hAnsi="Times New Roman" w:cs="Times New Roman" w:eastAsia="Times New Roman" w:hint="default"/>
          <w:spacing w:val="-4"/>
        </w:rPr>
        <w:t> </w:t>
      </w:r>
      <w:r>
        <w:rPr/>
        <w:t>亿元，形成预计负债合计</w:t>
      </w:r>
      <w:r>
        <w:rPr>
          <w:spacing w:val="-56"/>
        </w:rPr>
        <w:t> </w:t>
      </w:r>
      <w:r>
        <w:rPr>
          <w:rFonts w:ascii="Times New Roman" w:hAnsi="Times New Roman" w:cs="Times New Roman" w:eastAsia="Times New Roman" w:hint="default"/>
        </w:rPr>
        <w:t>17.01</w:t>
      </w:r>
      <w:r>
        <w:rPr>
          <w:rFonts w:ascii="Times New Roman" w:hAnsi="Times New Roman" w:cs="Times New Roman" w:eastAsia="Times New Roman" w:hint="default"/>
          <w:spacing w:val="-3"/>
        </w:rPr>
        <w:t> </w:t>
      </w:r>
      <w:r>
        <w:rPr/>
        <w:t>万元。</w:t>
      </w:r>
    </w:p>
    <w:p>
      <w:pPr>
        <w:spacing w:line="240" w:lineRule="auto" w:before="5"/>
        <w:rPr>
          <w:rFonts w:ascii="宋体" w:hAnsi="宋体" w:cs="宋体" w:eastAsia="宋体" w:hint="default"/>
          <w:sz w:val="15"/>
          <w:szCs w:val="15"/>
        </w:rPr>
      </w:pPr>
    </w:p>
    <w:p>
      <w:pPr>
        <w:tabs>
          <w:tab w:pos="8187"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2"/>
          <w:sz w:val="24"/>
          <w:szCs w:val="24"/>
        </w:rPr>
        <w:t>十三、处罚及整改情况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不适用</w:t>
      </w:r>
    </w:p>
    <w:p>
      <w:pPr>
        <w:spacing w:line="240" w:lineRule="auto" w:before="11"/>
        <w:rPr>
          <w:rFonts w:ascii="宋体" w:hAnsi="宋体" w:cs="宋体" w:eastAsia="宋体" w:hint="default"/>
          <w:sz w:val="22"/>
          <w:szCs w:val="22"/>
        </w:rPr>
      </w:pPr>
    </w:p>
    <w:p>
      <w:pPr>
        <w:pStyle w:val="BodyText"/>
        <w:spacing w:line="273" w:lineRule="auto"/>
        <w:ind w:right="1126" w:firstLine="420"/>
        <w:jc w:val="both"/>
      </w:pPr>
      <w:r>
        <w:rPr>
          <w:spacing w:val="-2"/>
        </w:rPr>
        <w:t>报告期，因股票质押比例超过其内部规定，子公司国盛证券收到江西证监局《关于对国盛证券有限责</w:t>
      </w:r>
      <w:r>
        <w:rPr>
          <w:w w:val="100"/>
        </w:rPr>
        <w:t> </w:t>
      </w:r>
      <w:r>
        <w:rPr>
          <w:spacing w:val="-7"/>
          <w:w w:val="100"/>
        </w:rPr>
        <w:t>任公司采取出具警示函措施的决定》。对此，国盛证券高度重视，及时进行整改，并向江西证监局报告整改</w:t>
      </w:r>
      <w:r>
        <w:rPr>
          <w:spacing w:val="-77"/>
          <w:w w:val="100"/>
        </w:rPr>
        <w:t> </w:t>
      </w:r>
      <w:r>
        <w:rPr>
          <w:spacing w:val="-77"/>
          <w:w w:val="100"/>
        </w:rPr>
      </w:r>
      <w:r>
        <w:rPr/>
        <w:t>情况。</w:t>
      </w:r>
    </w:p>
    <w:p>
      <w:pPr>
        <w:pStyle w:val="BodyText"/>
        <w:spacing w:line="273" w:lineRule="auto" w:before="48"/>
        <w:ind w:right="1126" w:firstLine="420"/>
        <w:jc w:val="both"/>
      </w:pPr>
      <w:r>
        <w:rPr>
          <w:spacing w:val="-2"/>
        </w:rPr>
        <w:t>除上述以外，本集团报告期不存在公司及其董事、监事、高级管理人员、控股股东、实际控制人被有</w:t>
      </w:r>
      <w:r>
        <w:rPr>
          <w:w w:val="100"/>
        </w:rPr>
        <w:t> </w:t>
      </w:r>
      <w:r>
        <w:rPr>
          <w:spacing w:val="-2"/>
        </w:rPr>
        <w:t>权机关调查，被司法机关或纪检部门采取强制措施，被移送司法机关或追究刑事责任，被中国证监会立案</w:t>
      </w:r>
      <w:r>
        <w:rPr>
          <w:spacing w:val="-44"/>
        </w:rPr>
        <w:t> </w:t>
      </w:r>
      <w:r>
        <w:rPr>
          <w:spacing w:val="-44"/>
        </w:rPr>
      </w:r>
      <w:r>
        <w:rPr>
          <w:spacing w:val="-2"/>
        </w:rPr>
        <w:t>调查或行政处罚、被市场禁入、被认定为不适当人选，被环保、安监、税务等其他行政管理部门给予重大</w:t>
      </w:r>
      <w:r>
        <w:rPr>
          <w:spacing w:val="-43"/>
        </w:rPr>
        <w:t> </w:t>
      </w:r>
      <w:r>
        <w:rPr>
          <w:spacing w:val="-43"/>
        </w:rPr>
      </w:r>
      <w:r>
        <w:rPr>
          <w:spacing w:val="-2"/>
        </w:rPr>
        <w:t>行政处罚，以及被证券交易所公开谴责的情形；不存在被中国证监会及其派出机构采取行政监管措施的情</w:t>
      </w:r>
      <w:r>
        <w:rPr>
          <w:spacing w:val="-43"/>
        </w:rPr>
        <w:t> </w:t>
      </w:r>
      <w:r>
        <w:rPr>
          <w:spacing w:val="-43"/>
        </w:rPr>
      </w:r>
      <w:r>
        <w:rPr/>
        <w:t>形。</w:t>
      </w:r>
    </w:p>
    <w:p>
      <w:pPr>
        <w:spacing w:line="240" w:lineRule="auto" w:before="10"/>
        <w:rPr>
          <w:rFonts w:ascii="宋体" w:hAnsi="宋体" w:cs="宋体" w:eastAsia="宋体" w:hint="default"/>
          <w:sz w:val="15"/>
          <w:szCs w:val="15"/>
        </w:rPr>
      </w:pPr>
    </w:p>
    <w:p>
      <w:pPr>
        <w:tabs>
          <w:tab w:pos="8189" w:val="left" w:leader="none"/>
        </w:tabs>
        <w:spacing w:line="410" w:lineRule="auto" w:before="0"/>
        <w:ind w:left="573" w:right="103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十四、公司及其控股股东、实际控制人的诚信状况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1"/>
          <w:szCs w:val="21"/>
        </w:rPr>
        <w:t>公司及控股股东、实际控制人不存在未履行法院生效判决、所负数额较大的债务到期未清偿等情况。</w:t>
      </w:r>
    </w:p>
    <w:p>
      <w:pPr>
        <w:tabs>
          <w:tab w:pos="8189" w:val="left" w:leader="none"/>
        </w:tabs>
        <w:spacing w:line="412" w:lineRule="auto" w:before="86"/>
        <w:ind w:left="573" w:right="1128" w:hanging="421"/>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4"/>
          <w:szCs w:val="24"/>
        </w:rPr>
        <w:t>十五、公司股权激励计划、员工持股计划或其他员工激励措施的实施情况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公司报告期无股权激励计划、员工持股计划或其他员工激励措施及其实施情况。</w:t>
      </w:r>
    </w:p>
    <w:p>
      <w:pPr>
        <w:pStyle w:val="Heading2"/>
        <w:spacing w:line="240" w:lineRule="auto" w:before="84"/>
        <w:ind w:right="0"/>
        <w:jc w:val="left"/>
        <w:rPr>
          <w:b w:val="0"/>
          <w:bCs w:val="0"/>
        </w:rPr>
      </w:pPr>
      <w:r>
        <w:rPr/>
        <w:t>十六、重大关联交易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tabs>
          <w:tab w:pos="8187"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1</w:t>
      </w:r>
      <w:r>
        <w:rPr>
          <w:rFonts w:ascii="Microsoft JhengHei" w:hAnsi="Microsoft JhengHei" w:cs="Microsoft JhengHei" w:eastAsia="Microsoft JhengHei" w:hint="default"/>
          <w:b/>
          <w:bCs/>
          <w:spacing w:val="-6"/>
          <w:sz w:val="21"/>
          <w:szCs w:val="21"/>
        </w:rPr>
        <w:t>、与日常经营相关的关联交易</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56" w:lineRule="auto"/>
        <w:ind w:right="1128" w:firstLine="420"/>
        <w:jc w:val="both"/>
      </w:pPr>
      <w:r>
        <w:rPr>
          <w:spacing w:val="-2"/>
        </w:rPr>
        <w:t>截至期末，公司</w:t>
      </w:r>
      <w:r>
        <w:rPr>
          <w:rFonts w:ascii="Times New Roman" w:hAnsi="Times New Roman" w:cs="Times New Roman" w:eastAsia="Times New Roman" w:hint="default"/>
          <w:spacing w:val="-2"/>
        </w:rPr>
        <w:t>“</w:t>
      </w:r>
      <w:r>
        <w:rPr>
          <w:spacing w:val="-2"/>
        </w:rPr>
        <w:t>渤海信托</w:t>
      </w:r>
      <w:r>
        <w:rPr>
          <w:rFonts w:ascii="Times New Roman" w:hAnsi="Times New Roman" w:cs="Times New Roman" w:eastAsia="Times New Roman" w:hint="default"/>
          <w:spacing w:val="-2"/>
        </w:rPr>
        <w:t>·</w:t>
      </w:r>
      <w:r>
        <w:rPr>
          <w:spacing w:val="-2"/>
        </w:rPr>
        <w:t>趣店个人消费贷款四期单一资金信托</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渤海信托</w:t>
      </w:r>
      <w:r>
        <w:rPr>
          <w:rFonts w:ascii="Times New Roman" w:hAnsi="Times New Roman" w:cs="Times New Roman" w:eastAsia="Times New Roman" w:hint="default"/>
          <w:spacing w:val="-2"/>
        </w:rPr>
        <w:t>·</w:t>
      </w:r>
      <w:r>
        <w:rPr>
          <w:spacing w:val="-2"/>
        </w:rPr>
        <w:t>趣店个人消费贷款八期</w:t>
      </w:r>
      <w:r>
        <w:rPr>
          <w:w w:val="100"/>
        </w:rPr>
        <w:t> </w:t>
      </w:r>
      <w:r>
        <w:rPr>
          <w:spacing w:val="-4"/>
        </w:rPr>
        <w:t>单一资金信托</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四川信托</w:t>
      </w:r>
      <w:r>
        <w:rPr>
          <w:rFonts w:ascii="Times New Roman" w:hAnsi="Times New Roman" w:cs="Times New Roman" w:eastAsia="Times New Roman" w:hint="default"/>
          <w:spacing w:val="-4"/>
        </w:rPr>
        <w:t>-</w:t>
      </w:r>
      <w:r>
        <w:rPr>
          <w:spacing w:val="-4"/>
        </w:rPr>
        <w:t>盛信</w:t>
      </w:r>
      <w:r>
        <w:rPr>
          <w:rFonts w:ascii="Times New Roman" w:hAnsi="Times New Roman" w:cs="Times New Roman" w:eastAsia="Times New Roman" w:hint="default"/>
          <w:spacing w:val="-4"/>
        </w:rPr>
        <w:t>1</w:t>
      </w:r>
      <w:r>
        <w:rPr>
          <w:spacing w:val="-4"/>
        </w:rPr>
        <w:t>号单一信托</w:t>
      </w:r>
      <w:r>
        <w:rPr>
          <w:rFonts w:ascii="Times New Roman" w:hAnsi="Times New Roman" w:cs="Times New Roman" w:eastAsia="Times New Roman" w:hint="default"/>
          <w:spacing w:val="-4"/>
        </w:rPr>
        <w:t>”</w:t>
      </w:r>
      <w:r>
        <w:rPr>
          <w:spacing w:val="-4"/>
        </w:rPr>
        <w:t>均已结束，公司已收回全部委托资金</w:t>
      </w:r>
      <w:r>
        <w:rPr>
          <w:rFonts w:ascii="Times New Roman" w:hAnsi="Times New Roman" w:cs="Times New Roman" w:eastAsia="Times New Roman" w:hint="default"/>
          <w:spacing w:val="-4"/>
        </w:rPr>
        <w:t>14.75</w:t>
      </w:r>
      <w:r>
        <w:rPr>
          <w:spacing w:val="-4"/>
        </w:rPr>
        <w:t>亿元及全部相关收</w:t>
      </w:r>
      <w:r>
        <w:rPr>
          <w:spacing w:val="-20"/>
        </w:rPr>
        <w:t> </w:t>
      </w:r>
      <w:r>
        <w:rPr>
          <w:spacing w:val="-20"/>
        </w:rPr>
      </w:r>
      <w:r>
        <w:rPr/>
        <w:t>益。</w:t>
      </w:r>
    </w:p>
    <w:p>
      <w:pPr>
        <w:spacing w:line="240" w:lineRule="auto" w:before="9"/>
        <w:rPr>
          <w:rFonts w:ascii="宋体" w:hAnsi="宋体" w:cs="宋体" w:eastAsia="宋体" w:hint="default"/>
          <w:sz w:val="28"/>
          <w:szCs w:val="28"/>
        </w:rPr>
      </w:pPr>
    </w:p>
    <w:p>
      <w:pPr>
        <w:pStyle w:val="BodyText"/>
        <w:spacing w:line="240" w:lineRule="auto"/>
        <w:ind w:right="0"/>
        <w:jc w:val="left"/>
      </w:pPr>
      <w:r>
        <w:rPr/>
        <w:t>重大关联交易临时报告披露网站相关查询</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36"/>
        <w:ind w:left="0" w:right="1090"/>
        <w:jc w:val="right"/>
      </w:pPr>
      <w:r>
        <w:rPr/>
        <w:pict>
          <v:shape style="position:absolute;margin-left:58.080002pt;margin-top:-28.056303pt;width:479.15pt;height:127.8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7"/>
                    <w:gridCol w:w="1985"/>
                    <w:gridCol w:w="3046"/>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临时公告名称</w:t>
                        </w:r>
                        <w:r>
                          <w:rPr>
                            <w:rFonts w:ascii="Microsoft JhengHei" w:hAnsi="Microsoft JhengHei" w:cs="Microsoft JhengHei" w:eastAsia="Microsoft JhengHei"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1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临时公告披露日期</w:t>
                        </w:r>
                        <w:r>
                          <w:rPr>
                            <w:rFonts w:ascii="Microsoft JhengHei" w:hAnsi="Microsoft JhengHei" w:cs="Microsoft JhengHei" w:eastAsia="Microsoft JhengHei" w:hint="default"/>
                            <w:sz w:val="21"/>
                            <w:szCs w:val="21"/>
                          </w:rPr>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临时公告披露网站名称</w:t>
                        </w:r>
                        <w:r>
                          <w:rPr>
                            <w:rFonts w:ascii="Microsoft JhengHei" w:hAnsi="Microsoft JhengHei" w:cs="Microsoft JhengHei" w:eastAsia="Microsoft JhengHei" w:hint="default"/>
                            <w:sz w:val="21"/>
                            <w:szCs w:val="21"/>
                          </w:rPr>
                        </w:r>
                      </w:p>
                    </w:tc>
                  </w:tr>
                  <w:tr>
                    <w:trPr>
                      <w:trHeight w:val="71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8"/>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单一信托八期信托合同</w:t>
                        </w:r>
                        <w:r>
                          <w:rPr>
                            <w:rFonts w:ascii="Times New Roman" w:hAnsi="Times New Roman" w:cs="Times New Roman" w:eastAsia="Times New Roman" w:hint="default"/>
                            <w:sz w:val="21"/>
                            <w:szCs w:val="21"/>
                          </w:rPr>
                          <w:t>&gt;</w:t>
                        </w:r>
                        <w:r>
                          <w:rPr>
                            <w:rFonts w:ascii="宋体" w:hAnsi="宋体" w:cs="宋体" w:eastAsia="宋体" w:hint="default"/>
                            <w:sz w:val="21"/>
                            <w:szCs w:val="21"/>
                          </w:rPr>
                          <w:t>信托期限延长等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事项的公告》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0"/>
                          <w:jc w:val="center"/>
                          <w:rPr>
                            <w:rFonts w:ascii="Times New Roman" w:hAnsi="Times New Roman" w:cs="Times New Roman" w:eastAsia="Times New Roman" w:hint="default"/>
                            <w:sz w:val="21"/>
                            <w:szCs w:val="21"/>
                          </w:rPr>
                        </w:pPr>
                        <w:r>
                          <w:rPr>
                            <w:rFonts w:ascii="宋体" w:hAnsi="宋体" w:cs="宋体" w:eastAsia="宋体" w:hint="default"/>
                            <w:spacing w:val="-5"/>
                            <w:sz w:val="21"/>
                            <w:szCs w:val="21"/>
                          </w:rPr>
                          <w:t>巨潮资讯网（</w:t>
                        </w:r>
                        <w:hyperlink r:id="rId12">
                          <w:r>
                            <w:rPr>
                              <w:rFonts w:ascii="Times New Roman" w:hAnsi="Times New Roman" w:cs="Times New Roman" w:eastAsia="Times New Roman" w:hint="default"/>
                              <w:spacing w:val="-5"/>
                              <w:sz w:val="21"/>
                              <w:szCs w:val="21"/>
                            </w:rPr>
                            <w:t>www.cninfo.com.cn</w:t>
                          </w:r>
                        </w:hyperlink>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8"/>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单一信托四期信托合同</w:t>
                        </w:r>
                        <w:r>
                          <w:rPr>
                            <w:rFonts w:ascii="Times New Roman" w:hAnsi="Times New Roman" w:cs="Times New Roman" w:eastAsia="Times New Roman" w:hint="default"/>
                            <w:sz w:val="21"/>
                            <w:szCs w:val="21"/>
                          </w:rPr>
                          <w:t>&gt;</w:t>
                        </w:r>
                        <w:r>
                          <w:rPr>
                            <w:rFonts w:ascii="宋体" w:hAnsi="宋体" w:cs="宋体" w:eastAsia="宋体" w:hint="default"/>
                            <w:sz w:val="21"/>
                            <w:szCs w:val="21"/>
                          </w:rPr>
                          <w:t>信托期限延长等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事项的公告》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0"/>
                          <w:jc w:val="center"/>
                          <w:rPr>
                            <w:rFonts w:ascii="Times New Roman" w:hAnsi="Times New Roman" w:cs="Times New Roman" w:eastAsia="Times New Roman" w:hint="default"/>
                            <w:sz w:val="21"/>
                            <w:szCs w:val="21"/>
                          </w:rPr>
                        </w:pPr>
                        <w:r>
                          <w:rPr>
                            <w:rFonts w:ascii="宋体" w:hAnsi="宋体" w:cs="宋体" w:eastAsia="宋体" w:hint="default"/>
                            <w:spacing w:val="-5"/>
                            <w:sz w:val="21"/>
                            <w:szCs w:val="21"/>
                          </w:rPr>
                          <w:t>巨潮资讯网（</w:t>
                        </w:r>
                        <w:hyperlink r:id="rId12">
                          <w:r>
                            <w:rPr>
                              <w:rFonts w:ascii="Times New Roman" w:hAnsi="Times New Roman" w:cs="Times New Roman" w:eastAsia="Times New Roman" w:hint="default"/>
                              <w:spacing w:val="-5"/>
                              <w:sz w:val="21"/>
                              <w:szCs w:val="21"/>
                            </w:rPr>
                            <w:t>www.cninfo.com.cn</w:t>
                          </w:r>
                        </w:hyperlink>
                      </w:p>
                    </w:tc>
                  </w:tr>
                  <w:tr>
                    <w:trPr>
                      <w:trHeight w:val="71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5"/>
                          <w:jc w:val="left"/>
                          <w:rPr>
                            <w:rFonts w:ascii="宋体" w:hAnsi="宋体" w:cs="宋体" w:eastAsia="宋体" w:hint="default"/>
                            <w:sz w:val="21"/>
                            <w:szCs w:val="21"/>
                          </w:rPr>
                        </w:pPr>
                        <w:r>
                          <w:rPr>
                            <w:rFonts w:ascii="宋体" w:hAnsi="宋体" w:cs="宋体" w:eastAsia="宋体" w:hint="default"/>
                            <w:sz w:val="21"/>
                            <w:szCs w:val="21"/>
                          </w:rPr>
                          <w:t>《关于委托四川信托管理现金资产暨关联交易的</w:t>
                        </w:r>
                        <w:r>
                          <w:rPr>
                            <w:rFonts w:ascii="宋体" w:hAnsi="宋体" w:cs="宋体" w:eastAsia="宋体" w:hint="default"/>
                            <w:spacing w:val="-38"/>
                            <w:sz w:val="21"/>
                            <w:szCs w:val="21"/>
                          </w:rPr>
                          <w:t> </w:t>
                        </w:r>
                        <w:r>
                          <w:rPr>
                            <w:rFonts w:ascii="宋体" w:hAnsi="宋体" w:cs="宋体" w:eastAsia="宋体" w:hint="default"/>
                            <w:sz w:val="21"/>
                            <w:szCs w:val="21"/>
                          </w:rPr>
                          <w:t>公告》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0"/>
                          <w:jc w:val="center"/>
                          <w:rPr>
                            <w:rFonts w:ascii="Times New Roman" w:hAnsi="Times New Roman" w:cs="Times New Roman" w:eastAsia="Times New Roman" w:hint="default"/>
                            <w:sz w:val="21"/>
                            <w:szCs w:val="21"/>
                          </w:rPr>
                        </w:pPr>
                        <w:r>
                          <w:rPr>
                            <w:rFonts w:ascii="宋体" w:hAnsi="宋体" w:cs="宋体" w:eastAsia="宋体" w:hint="default"/>
                            <w:spacing w:val="-5"/>
                            <w:sz w:val="21"/>
                            <w:szCs w:val="21"/>
                          </w:rPr>
                          <w:t>巨潮资讯网（</w:t>
                        </w:r>
                        <w:hyperlink r:id="rId12">
                          <w:r>
                            <w:rPr>
                              <w:rFonts w:ascii="Times New Roman" w:hAnsi="Times New Roman" w:cs="Times New Roman" w:eastAsia="Times New Roman" w:hint="default"/>
                              <w:spacing w:val="-5"/>
                              <w:sz w:val="21"/>
                              <w:szCs w:val="21"/>
                            </w:rPr>
                            <w:t>www.cninfo.com.cn</w:t>
                          </w:r>
                        </w:hyperlink>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pStyle w:val="BodyText"/>
        <w:spacing w:line="240" w:lineRule="auto" w:before="178"/>
        <w:ind w:left="0" w:right="1090"/>
        <w:jc w:val="right"/>
      </w:pPr>
      <w:r>
        <w:rPr>
          <w:w w:val="100"/>
        </w:rPr>
        <w:t>）</w:t>
      </w:r>
    </w:p>
    <w:p>
      <w:pPr>
        <w:spacing w:line="240" w:lineRule="auto" w:before="0"/>
        <w:rPr>
          <w:rFonts w:ascii="宋体" w:hAnsi="宋体" w:cs="宋体" w:eastAsia="宋体" w:hint="default"/>
          <w:sz w:val="20"/>
          <w:szCs w:val="20"/>
        </w:rPr>
      </w:pPr>
    </w:p>
    <w:p>
      <w:pPr>
        <w:pStyle w:val="BodyText"/>
        <w:spacing w:line="240" w:lineRule="auto" w:before="176"/>
        <w:ind w:left="0" w:right="1090"/>
        <w:jc w:val="right"/>
      </w:pPr>
      <w:r>
        <w:rPr>
          <w:w w:val="100"/>
        </w:rPr>
        <w:t>）</w:t>
      </w:r>
    </w:p>
    <w:p>
      <w:pPr>
        <w:spacing w:after="0" w:line="240" w:lineRule="auto"/>
        <w:jc w:val="righ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tabs>
          <w:tab w:pos="8151" w:val="left" w:leader="none"/>
        </w:tabs>
        <w:spacing w:line="335"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、资产或股权收购、出售发生的关联交易</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本集团报告期未发生资产或股权收购、出售的关联交易。</w:t>
      </w:r>
    </w:p>
    <w:p>
      <w:pPr>
        <w:spacing w:line="240" w:lineRule="auto" w:before="6"/>
        <w:rPr>
          <w:rFonts w:ascii="宋体" w:hAnsi="宋体" w:cs="宋体" w:eastAsia="宋体" w:hint="default"/>
          <w:sz w:val="20"/>
          <w:szCs w:val="20"/>
        </w:rPr>
      </w:pPr>
    </w:p>
    <w:p>
      <w:pPr>
        <w:tabs>
          <w:tab w:pos="8187"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3</w:t>
      </w:r>
      <w:r>
        <w:rPr>
          <w:rFonts w:ascii="Microsoft JhengHei" w:hAnsi="Microsoft JhengHei" w:cs="Microsoft JhengHei" w:eastAsia="Microsoft JhengHei" w:hint="default"/>
          <w:b/>
          <w:bCs/>
          <w:spacing w:val="-6"/>
          <w:sz w:val="21"/>
          <w:szCs w:val="21"/>
        </w:rPr>
        <w:t>、共同对外投资的关联交易</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本集团报告期未发生共同对外投资的关联交易。</w:t>
      </w:r>
    </w:p>
    <w:p>
      <w:pPr>
        <w:spacing w:line="240" w:lineRule="auto" w:before="9"/>
        <w:rPr>
          <w:rFonts w:ascii="宋体" w:hAnsi="宋体" w:cs="宋体" w:eastAsia="宋体" w:hint="default"/>
          <w:sz w:val="20"/>
          <w:szCs w:val="20"/>
        </w:rPr>
      </w:pPr>
    </w:p>
    <w:p>
      <w:pPr>
        <w:tabs>
          <w:tab w:pos="8187"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7"/>
          <w:sz w:val="21"/>
          <w:szCs w:val="21"/>
        </w:rPr>
        <w:t>4</w:t>
      </w:r>
      <w:r>
        <w:rPr>
          <w:rFonts w:ascii="Microsoft JhengHei" w:hAnsi="Microsoft JhengHei" w:cs="Microsoft JhengHei" w:eastAsia="Microsoft JhengHei" w:hint="default"/>
          <w:b/>
          <w:bCs/>
          <w:spacing w:val="-7"/>
          <w:sz w:val="21"/>
          <w:szCs w:val="21"/>
        </w:rPr>
        <w:t>、关联债权债务往来</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本集团报告期不存在关联债权债务往来。</w:t>
      </w:r>
    </w:p>
    <w:p>
      <w:pPr>
        <w:spacing w:line="240" w:lineRule="auto" w:before="7"/>
        <w:rPr>
          <w:rFonts w:ascii="宋体" w:hAnsi="宋体" w:cs="宋体" w:eastAsia="宋体" w:hint="default"/>
          <w:sz w:val="20"/>
          <w:szCs w:val="20"/>
        </w:rPr>
      </w:pPr>
    </w:p>
    <w:p>
      <w:pPr>
        <w:tabs>
          <w:tab w:pos="8187"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7"/>
          <w:sz w:val="21"/>
          <w:szCs w:val="21"/>
        </w:rPr>
        <w:t>5</w:t>
      </w:r>
      <w:r>
        <w:rPr>
          <w:rFonts w:ascii="Microsoft JhengHei" w:hAnsi="Microsoft JhengHei" w:cs="Microsoft JhengHei" w:eastAsia="Microsoft JhengHei" w:hint="default"/>
          <w:b/>
          <w:bCs/>
          <w:spacing w:val="-7"/>
          <w:sz w:val="21"/>
          <w:szCs w:val="21"/>
        </w:rPr>
        <w:t>、其他重大关联交易</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本集团报告期无其他重大关联交易。</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r>
        <w:rPr/>
        <w:t>十七、重大合同及其履行情况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tabs>
          <w:tab w:pos="8187"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9"/>
          <w:sz w:val="21"/>
          <w:szCs w:val="21"/>
        </w:rPr>
        <w:t>（</w:t>
      </w:r>
      <w:r>
        <w:rPr>
          <w:rFonts w:ascii="Times New Roman" w:hAnsi="Times New Roman" w:cs="Times New Roman" w:eastAsia="Times New Roman" w:hint="default"/>
          <w:b/>
          <w:bCs/>
          <w:spacing w:val="-9"/>
          <w:sz w:val="21"/>
          <w:szCs w:val="21"/>
        </w:rPr>
        <w:t>1</w:t>
      </w:r>
      <w:r>
        <w:rPr>
          <w:rFonts w:ascii="Microsoft JhengHei" w:hAnsi="Microsoft JhengHei" w:cs="Microsoft JhengHei" w:eastAsia="Microsoft JhengHei" w:hint="default"/>
          <w:b/>
          <w:bCs/>
          <w:spacing w:val="-9"/>
          <w:sz w:val="21"/>
          <w:szCs w:val="21"/>
        </w:rPr>
        <w:t>）托管情况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报告期本集团未发生也不存在以前期间发生但延续到报告期的重大托管事项。</w:t>
      </w:r>
    </w:p>
    <w:p>
      <w:pPr>
        <w:spacing w:line="240" w:lineRule="auto" w:before="6"/>
        <w:rPr>
          <w:rFonts w:ascii="宋体" w:hAnsi="宋体" w:cs="宋体" w:eastAsia="宋体" w:hint="default"/>
          <w:sz w:val="20"/>
          <w:szCs w:val="20"/>
        </w:rPr>
      </w:pPr>
    </w:p>
    <w:p>
      <w:pPr>
        <w:tabs>
          <w:tab w:pos="8187"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9"/>
          <w:sz w:val="21"/>
          <w:szCs w:val="21"/>
        </w:rPr>
        <w:t>（</w:t>
      </w:r>
      <w:r>
        <w:rPr>
          <w:rFonts w:ascii="Times New Roman" w:hAnsi="Times New Roman" w:cs="Times New Roman" w:eastAsia="Times New Roman" w:hint="default"/>
          <w:b/>
          <w:bCs/>
          <w:spacing w:val="-9"/>
          <w:sz w:val="21"/>
          <w:szCs w:val="21"/>
        </w:rPr>
        <w:t>2</w:t>
      </w:r>
      <w:r>
        <w:rPr>
          <w:rFonts w:ascii="Microsoft JhengHei" w:hAnsi="Microsoft JhengHei" w:cs="Microsoft JhengHei" w:eastAsia="Microsoft JhengHei" w:hint="default"/>
          <w:b/>
          <w:bCs/>
          <w:spacing w:val="-9"/>
          <w:sz w:val="21"/>
          <w:szCs w:val="21"/>
        </w:rPr>
        <w:t>）承包情况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报告期本集团未发生也不存在以前期间发生但延续到报告期的重大承包事项。</w:t>
      </w:r>
    </w:p>
    <w:p>
      <w:pPr>
        <w:spacing w:line="240" w:lineRule="auto" w:before="9"/>
        <w:rPr>
          <w:rFonts w:ascii="宋体" w:hAnsi="宋体" w:cs="宋体" w:eastAsia="宋体" w:hint="default"/>
          <w:sz w:val="20"/>
          <w:szCs w:val="20"/>
        </w:rPr>
      </w:pPr>
    </w:p>
    <w:p>
      <w:pPr>
        <w:tabs>
          <w:tab w:pos="8187"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9"/>
          <w:sz w:val="21"/>
          <w:szCs w:val="21"/>
        </w:rPr>
        <w:t>（</w:t>
      </w:r>
      <w:r>
        <w:rPr>
          <w:rFonts w:ascii="Times New Roman" w:hAnsi="Times New Roman" w:cs="Times New Roman" w:eastAsia="Times New Roman" w:hint="default"/>
          <w:b/>
          <w:bCs/>
          <w:spacing w:val="-9"/>
          <w:sz w:val="21"/>
          <w:szCs w:val="21"/>
        </w:rPr>
        <w:t>3</w:t>
      </w:r>
      <w:r>
        <w:rPr>
          <w:rFonts w:ascii="Microsoft JhengHei" w:hAnsi="Microsoft JhengHei" w:cs="Microsoft JhengHei" w:eastAsia="Microsoft JhengHei" w:hint="default"/>
          <w:b/>
          <w:bCs/>
          <w:spacing w:val="-9"/>
          <w:sz w:val="21"/>
          <w:szCs w:val="21"/>
        </w:rPr>
        <w:t>）租赁情况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报告期本集团未发生也不存在以前期间发生但延续到报告期的重大租赁事项。</w:t>
      </w:r>
    </w:p>
    <w:p>
      <w:pPr>
        <w:spacing w:line="240" w:lineRule="auto" w:before="9"/>
        <w:rPr>
          <w:rFonts w:ascii="宋体" w:hAnsi="宋体" w:cs="宋体" w:eastAsia="宋体" w:hint="default"/>
          <w:sz w:val="20"/>
          <w:szCs w:val="20"/>
        </w:rPr>
      </w:pPr>
    </w:p>
    <w:p>
      <w:pPr>
        <w:tabs>
          <w:tab w:pos="8139"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、重大担保</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18"/>
          <w:szCs w:val="18"/>
        </w:rPr>
      </w:pPr>
    </w:p>
    <w:p>
      <w:pPr>
        <w:pStyle w:val="Heading4"/>
        <w:spacing w:line="240" w:lineRule="auto"/>
        <w:ind w:left="152"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85"/>
        <w:gridCol w:w="1253"/>
        <w:gridCol w:w="732"/>
        <w:gridCol w:w="1133"/>
        <w:gridCol w:w="994"/>
        <w:gridCol w:w="850"/>
        <w:gridCol w:w="1844"/>
        <w:gridCol w:w="605"/>
        <w:gridCol w:w="780"/>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公司及其子公司对外担保情况（不包括对子公司的担保）</w:t>
            </w:r>
            <w:r>
              <w:rPr>
                <w:rFonts w:ascii="Microsoft JhengHei" w:hAnsi="Microsoft JhengHei" w:cs="Microsoft JhengHei" w:eastAsia="Microsoft JhengHei" w:hint="default"/>
                <w:sz w:val="21"/>
                <w:szCs w:val="21"/>
              </w:rPr>
            </w:r>
          </w:p>
        </w:tc>
      </w:tr>
      <w:tr>
        <w:trPr>
          <w:trHeight w:val="102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95" w:right="91"/>
              <w:jc w:val="center"/>
              <w:rPr>
                <w:rFonts w:ascii="宋体" w:hAnsi="宋体" w:cs="宋体" w:eastAsia="宋体" w:hint="default"/>
                <w:sz w:val="21"/>
                <w:szCs w:val="21"/>
              </w:rPr>
            </w:pPr>
            <w:r>
              <w:rPr>
                <w:rFonts w:ascii="宋体" w:hAnsi="宋体" w:cs="宋体" w:eastAsia="宋体" w:hint="default"/>
                <w:sz w:val="21"/>
                <w:szCs w:val="21"/>
              </w:rPr>
              <w:t>担保额度相</w:t>
            </w:r>
            <w:r>
              <w:rPr>
                <w:rFonts w:ascii="宋体" w:hAnsi="宋体" w:cs="宋体" w:eastAsia="宋体" w:hint="default"/>
                <w:w w:val="100"/>
                <w:sz w:val="21"/>
                <w:szCs w:val="21"/>
              </w:rPr>
              <w:t> </w:t>
            </w:r>
            <w:r>
              <w:rPr>
                <w:rFonts w:ascii="宋体" w:hAnsi="宋体" w:cs="宋体" w:eastAsia="宋体" w:hint="default"/>
                <w:sz w:val="21"/>
                <w:szCs w:val="21"/>
              </w:rPr>
              <w:t>关公告披露</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54" w:right="41" w:hanging="209"/>
              <w:jc w:val="left"/>
              <w:rPr>
                <w:rFonts w:ascii="宋体" w:hAnsi="宋体" w:cs="宋体" w:eastAsia="宋体" w:hint="default"/>
                <w:sz w:val="21"/>
                <w:szCs w:val="21"/>
              </w:rPr>
            </w:pPr>
            <w:r>
              <w:rPr>
                <w:rFonts w:ascii="宋体" w:hAnsi="宋体" w:cs="宋体" w:eastAsia="宋体" w:hint="default"/>
                <w:sz w:val="21"/>
                <w:szCs w:val="21"/>
              </w:rPr>
              <w:t>担保额</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55" w:right="31" w:hanging="420"/>
              <w:jc w:val="left"/>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0" w:right="67"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14" w:right="98" w:hanging="209"/>
              <w:jc w:val="left"/>
              <w:rPr>
                <w:rFonts w:ascii="宋体" w:hAnsi="宋体" w:cs="宋体" w:eastAsia="宋体" w:hint="default"/>
                <w:sz w:val="21"/>
                <w:szCs w:val="21"/>
              </w:rPr>
            </w:pPr>
            <w:r>
              <w:rPr>
                <w:rFonts w:ascii="宋体" w:hAnsi="宋体" w:cs="宋体" w:eastAsia="宋体" w:hint="default"/>
                <w:sz w:val="21"/>
                <w:szCs w:val="21"/>
              </w:rPr>
              <w:t>担保类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88" w:right="8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69" w:right="65"/>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404"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公司对子公司的担保情况</w:t>
            </w:r>
            <w:r>
              <w:rPr>
                <w:rFonts w:ascii="Microsoft JhengHei" w:hAnsi="Microsoft JhengHei" w:cs="Microsoft JhengHei" w:eastAsia="Microsoft JhengHei" w:hint="default"/>
                <w:sz w:val="21"/>
                <w:szCs w:val="21"/>
              </w:rPr>
            </w:r>
          </w:p>
        </w:tc>
      </w:tr>
    </w:tbl>
    <w:p>
      <w:pPr>
        <w:spacing w:after="0" w:line="327" w:lineRule="exact"/>
        <w:jc w:val="center"/>
        <w:rPr>
          <w:rFonts w:ascii="Microsoft JhengHei" w:hAnsi="Microsoft JhengHei" w:cs="Microsoft JhengHei" w:eastAsia="Microsoft JhengHei"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85"/>
        <w:gridCol w:w="1244"/>
        <w:gridCol w:w="741"/>
        <w:gridCol w:w="1133"/>
        <w:gridCol w:w="994"/>
        <w:gridCol w:w="850"/>
        <w:gridCol w:w="1844"/>
        <w:gridCol w:w="600"/>
        <w:gridCol w:w="785"/>
      </w:tblGrid>
      <w:tr>
        <w:trPr>
          <w:trHeight w:val="102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93" w:right="85"/>
              <w:jc w:val="center"/>
              <w:rPr>
                <w:rFonts w:ascii="宋体" w:hAnsi="宋体" w:cs="宋体" w:eastAsia="宋体" w:hint="default"/>
                <w:sz w:val="21"/>
                <w:szCs w:val="21"/>
              </w:rPr>
            </w:pPr>
            <w:r>
              <w:rPr>
                <w:rFonts w:ascii="宋体" w:hAnsi="宋体" w:cs="宋体" w:eastAsia="宋体" w:hint="default"/>
                <w:sz w:val="21"/>
                <w:szCs w:val="21"/>
              </w:rPr>
              <w:t>担保额度相</w:t>
            </w:r>
            <w:r>
              <w:rPr>
                <w:rFonts w:ascii="宋体" w:hAnsi="宋体" w:cs="宋体" w:eastAsia="宋体" w:hint="default"/>
                <w:w w:val="100"/>
                <w:sz w:val="21"/>
                <w:szCs w:val="21"/>
              </w:rPr>
              <w:t> </w:t>
            </w:r>
            <w:r>
              <w:rPr>
                <w:rFonts w:ascii="宋体" w:hAnsi="宋体" w:cs="宋体" w:eastAsia="宋体" w:hint="default"/>
                <w:sz w:val="21"/>
                <w:szCs w:val="21"/>
              </w:rPr>
              <w:t>关公告披露</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63" w:right="43" w:hanging="212"/>
              <w:jc w:val="left"/>
              <w:rPr>
                <w:rFonts w:ascii="宋体" w:hAnsi="宋体" w:cs="宋体" w:eastAsia="宋体" w:hint="default"/>
                <w:sz w:val="21"/>
                <w:szCs w:val="21"/>
              </w:rPr>
            </w:pPr>
            <w:r>
              <w:rPr>
                <w:rFonts w:ascii="宋体" w:hAnsi="宋体" w:cs="宋体" w:eastAsia="宋体" w:hint="default"/>
                <w:sz w:val="21"/>
                <w:szCs w:val="21"/>
              </w:rPr>
              <w:t>担保额</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455" w:right="31" w:hanging="420"/>
              <w:jc w:val="left"/>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80" w:right="67"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314" w:right="98" w:hanging="209"/>
              <w:jc w:val="left"/>
              <w:rPr>
                <w:rFonts w:ascii="宋体" w:hAnsi="宋体" w:cs="宋体" w:eastAsia="宋体" w:hint="default"/>
                <w:sz w:val="21"/>
                <w:szCs w:val="21"/>
              </w:rPr>
            </w:pPr>
            <w:r>
              <w:rPr>
                <w:rFonts w:ascii="宋体" w:hAnsi="宋体" w:cs="宋体" w:eastAsia="宋体" w:hint="default"/>
                <w:sz w:val="21"/>
                <w:szCs w:val="21"/>
              </w:rPr>
              <w:t>担保类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88" w:right="7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74" w:right="65"/>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子公司对子公司的担保情况</w:t>
            </w:r>
            <w:r>
              <w:rPr>
                <w:rFonts w:ascii="Microsoft JhengHei" w:hAnsi="Microsoft JhengHei" w:cs="Microsoft JhengHei" w:eastAsia="Microsoft JhengHei" w:hint="default"/>
                <w:sz w:val="21"/>
                <w:szCs w:val="21"/>
              </w:rPr>
            </w:r>
          </w:p>
        </w:tc>
      </w:tr>
      <w:tr>
        <w:trPr>
          <w:trHeight w:val="102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88" w:right="89"/>
              <w:jc w:val="center"/>
              <w:rPr>
                <w:rFonts w:ascii="宋体" w:hAnsi="宋体" w:cs="宋体" w:eastAsia="宋体" w:hint="default"/>
                <w:sz w:val="21"/>
                <w:szCs w:val="21"/>
              </w:rPr>
            </w:pPr>
            <w:r>
              <w:rPr>
                <w:rFonts w:ascii="宋体" w:hAnsi="宋体" w:cs="宋体" w:eastAsia="宋体" w:hint="default"/>
                <w:sz w:val="21"/>
                <w:szCs w:val="21"/>
              </w:rPr>
              <w:t>担保额度相</w:t>
            </w:r>
            <w:r>
              <w:rPr>
                <w:rFonts w:ascii="宋体" w:hAnsi="宋体" w:cs="宋体" w:eastAsia="宋体" w:hint="default"/>
                <w:w w:val="100"/>
                <w:sz w:val="21"/>
                <w:szCs w:val="21"/>
              </w:rPr>
              <w:t> </w:t>
            </w:r>
            <w:r>
              <w:rPr>
                <w:rFonts w:ascii="宋体" w:hAnsi="宋体" w:cs="宋体" w:eastAsia="宋体" w:hint="default"/>
                <w:sz w:val="21"/>
                <w:szCs w:val="21"/>
              </w:rPr>
              <w:t>关公告披露</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55" w:right="151"/>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额度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35" w:right="31"/>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z w:val="21"/>
                <w:szCs w:val="21"/>
              </w:rPr>
              <w:t>期（协议签</w:t>
            </w:r>
            <w:r>
              <w:rPr>
                <w:rFonts w:ascii="宋体" w:hAnsi="宋体" w:cs="宋体" w:eastAsia="宋体" w:hint="default"/>
                <w:w w:val="100"/>
                <w:sz w:val="21"/>
                <w:szCs w:val="21"/>
              </w:rPr>
              <w:t> </w:t>
            </w:r>
            <w:r>
              <w:rPr>
                <w:rFonts w:ascii="宋体" w:hAnsi="宋体" w:cs="宋体" w:eastAsia="宋体" w:hint="default"/>
                <w:sz w:val="21"/>
                <w:szCs w:val="21"/>
              </w:rPr>
              <w:t>署日）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80" w:right="67" w:hanging="209"/>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211" w:right="2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83" w:right="8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69" w:right="71"/>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7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4" w:right="18"/>
              <w:jc w:val="left"/>
              <w:rPr>
                <w:rFonts w:ascii="宋体" w:hAnsi="宋体" w:cs="宋体" w:eastAsia="宋体" w:hint="default"/>
                <w:sz w:val="21"/>
                <w:szCs w:val="21"/>
              </w:rPr>
            </w:pPr>
            <w:r>
              <w:rPr>
                <w:rFonts w:ascii="宋体" w:hAnsi="宋体" w:cs="宋体" w:eastAsia="宋体" w:hint="default"/>
                <w:spacing w:val="9"/>
                <w:sz w:val="21"/>
                <w:szCs w:val="21"/>
              </w:rPr>
              <w:t>国盛证券资产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管理有限公司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2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2" w:right="0"/>
              <w:jc w:val="center"/>
              <w:rPr>
                <w:rFonts w:ascii="Times New Roman" w:hAnsi="Times New Roman" w:cs="Times New Roman" w:eastAsia="Times New Roman" w:hint="default"/>
                <w:sz w:val="21"/>
                <w:szCs w:val="21"/>
              </w:rPr>
            </w:pPr>
            <w:r>
              <w:rPr>
                <w:rFonts w:ascii="Times New Roman"/>
                <w:sz w:val="21"/>
              </w:rPr>
              <w:t>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11" w:right="204"/>
              <w:jc w:val="left"/>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保证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p>
          <w:p>
            <w:pPr>
              <w:pStyle w:val="TableParagraph"/>
              <w:spacing w:line="240" w:lineRule="auto" w:before="2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24" w:right="18"/>
              <w:jc w:val="left"/>
              <w:rPr>
                <w:rFonts w:ascii="宋体" w:hAnsi="宋体" w:cs="宋体" w:eastAsia="宋体" w:hint="default"/>
                <w:sz w:val="21"/>
                <w:szCs w:val="21"/>
              </w:rPr>
            </w:pPr>
            <w:r>
              <w:rPr>
                <w:rFonts w:ascii="宋体" w:hAnsi="宋体" w:cs="宋体" w:eastAsia="宋体" w:hint="default"/>
                <w:spacing w:val="9"/>
                <w:sz w:val="21"/>
                <w:szCs w:val="21"/>
              </w:rPr>
              <w:t>国盛证券资产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管理有限公司</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40" w:lineRule="auto" w:before="1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2" w:right="0"/>
              <w:jc w:val="center"/>
              <w:rPr>
                <w:rFonts w:ascii="Times New Roman" w:hAnsi="Times New Roman" w:cs="Times New Roman" w:eastAsia="Times New Roman" w:hint="default"/>
                <w:sz w:val="21"/>
                <w:szCs w:val="21"/>
              </w:rPr>
            </w:pPr>
            <w:r>
              <w:rPr>
                <w:rFonts w:ascii="Times New Roman"/>
                <w:sz w:val="21"/>
              </w:rPr>
              <w:t>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19"/>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11" w:right="204"/>
              <w:jc w:val="left"/>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保证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p>
          <w:p>
            <w:pPr>
              <w:pStyle w:val="TableParagraph"/>
              <w:spacing w:line="240" w:lineRule="auto" w:before="1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pacing w:val="-2"/>
                <w:sz w:val="21"/>
                <w:szCs w:val="21"/>
              </w:rPr>
              <w:t>报告期内审批对子公司担保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C1</w:t>
            </w:r>
            <w:r>
              <w:rPr>
                <w:rFonts w:ascii="宋体" w:hAnsi="宋体" w:cs="宋体" w:eastAsia="宋体" w:hint="default"/>
                <w:sz w:val="21"/>
                <w:szCs w:val="21"/>
              </w:rPr>
              <w:t>）</w:t>
            </w:r>
          </w:p>
        </w:tc>
        <w:tc>
          <w:tcPr>
            <w:tcW w:w="1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报告期内对子公司担保实际发生额合计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C2</w:t>
            </w:r>
            <w:r>
              <w:rPr>
                <w:rFonts w:ascii="宋体" w:hAnsi="宋体" w:cs="宋体" w:eastAsia="宋体" w:hint="default"/>
                <w:sz w:val="21"/>
                <w:szCs w:val="21"/>
              </w:rPr>
              <w: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72" w:right="0"/>
              <w:jc w:val="left"/>
              <w:rPr>
                <w:rFonts w:ascii="Times New Roman" w:hAnsi="Times New Roman" w:cs="Times New Roman" w:eastAsia="Times New Roman" w:hint="default"/>
                <w:sz w:val="21"/>
                <w:szCs w:val="21"/>
              </w:rPr>
            </w:pPr>
            <w:r>
              <w:rPr>
                <w:rFonts w:ascii="Times New Roman"/>
                <w:sz w:val="21"/>
              </w:rPr>
              <w:t>20,000</w:t>
            </w:r>
          </w:p>
        </w:tc>
      </w:tr>
      <w:tr>
        <w:trPr>
          <w:trHeight w:val="713" w:hRule="exact"/>
        </w:trPr>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pacing w:val="-2"/>
                <w:sz w:val="21"/>
                <w:szCs w:val="21"/>
              </w:rPr>
              <w:t>报告期末已审批的对子公司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担保额度合计（</w:t>
            </w:r>
            <w:r>
              <w:rPr>
                <w:rFonts w:ascii="Times New Roman" w:hAnsi="Times New Roman" w:cs="Times New Roman" w:eastAsia="Times New Roman" w:hint="default"/>
                <w:sz w:val="21"/>
                <w:szCs w:val="21"/>
              </w:rPr>
              <w:t>C3</w:t>
            </w:r>
            <w:r>
              <w:rPr>
                <w:rFonts w:ascii="宋体" w:hAnsi="宋体" w:cs="宋体" w:eastAsia="宋体" w:hint="default"/>
                <w:sz w:val="21"/>
                <w:szCs w:val="21"/>
              </w:rPr>
              <w:t>）</w:t>
            </w:r>
          </w:p>
        </w:tc>
        <w:tc>
          <w:tcPr>
            <w:tcW w:w="1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报告期末对子公司实际担保余额合计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C4</w:t>
            </w:r>
            <w:r>
              <w:rPr>
                <w:rFonts w:ascii="宋体" w:hAnsi="宋体" w:cs="宋体" w:eastAsia="宋体" w:hint="default"/>
                <w:sz w:val="21"/>
                <w:szCs w:val="21"/>
              </w:rPr>
              <w: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72" w:right="0"/>
              <w:jc w:val="left"/>
              <w:rPr>
                <w:rFonts w:ascii="Times New Roman" w:hAnsi="Times New Roman" w:cs="Times New Roman" w:eastAsia="Times New Roman" w:hint="default"/>
                <w:sz w:val="21"/>
                <w:szCs w:val="21"/>
              </w:rPr>
            </w:pPr>
            <w:r>
              <w:rPr>
                <w:rFonts w:ascii="Times New Roman"/>
                <w:sz w:val="21"/>
              </w:rPr>
              <w:t>20,000</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公司担保总额（即前三大项的合计）</w:t>
            </w:r>
          </w:p>
        </w:tc>
      </w:tr>
      <w:tr>
        <w:trPr>
          <w:trHeight w:val="713" w:hRule="exact"/>
        </w:trPr>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报告期内审批担保额度合计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A1+B1+C1</w:t>
            </w:r>
            <w:r>
              <w:rPr>
                <w:rFonts w:ascii="宋体" w:hAnsi="宋体" w:cs="宋体" w:eastAsia="宋体" w:hint="default"/>
                <w:sz w:val="21"/>
                <w:szCs w:val="21"/>
              </w:rPr>
              <w:t>）</w:t>
            </w:r>
          </w:p>
        </w:tc>
        <w:tc>
          <w:tcPr>
            <w:tcW w:w="1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报告期内担保实际发生额合计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A2+B2+C2</w:t>
            </w:r>
            <w:r>
              <w:rPr>
                <w:rFonts w:ascii="宋体" w:hAnsi="宋体" w:cs="宋体" w:eastAsia="宋体" w:hint="default"/>
                <w:sz w:val="21"/>
                <w:szCs w:val="21"/>
              </w:rPr>
              <w: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72" w:right="0"/>
              <w:jc w:val="left"/>
              <w:rPr>
                <w:rFonts w:ascii="Times New Roman" w:hAnsi="Times New Roman" w:cs="Times New Roman" w:eastAsia="Times New Roman" w:hint="default"/>
                <w:sz w:val="21"/>
                <w:szCs w:val="21"/>
              </w:rPr>
            </w:pPr>
            <w:r>
              <w:rPr>
                <w:rFonts w:ascii="Times New Roman"/>
                <w:sz w:val="21"/>
              </w:rPr>
              <w:t>20,000</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pacing w:val="-2"/>
                <w:sz w:val="21"/>
                <w:szCs w:val="21"/>
              </w:rPr>
              <w:t>报告期末已审批的担保额度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合计（</w:t>
            </w:r>
            <w:r>
              <w:rPr>
                <w:rFonts w:ascii="Times New Roman" w:hAnsi="Times New Roman" w:cs="Times New Roman" w:eastAsia="Times New Roman" w:hint="default"/>
                <w:sz w:val="21"/>
                <w:szCs w:val="21"/>
              </w:rPr>
              <w:t>A3+B3+C3</w:t>
            </w:r>
            <w:r>
              <w:rPr>
                <w:rFonts w:ascii="宋体" w:hAnsi="宋体" w:cs="宋体" w:eastAsia="宋体" w:hint="default"/>
                <w:sz w:val="21"/>
                <w:szCs w:val="21"/>
              </w:rPr>
              <w:t>）</w:t>
            </w:r>
          </w:p>
        </w:tc>
        <w:tc>
          <w:tcPr>
            <w:tcW w:w="1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w:t>
            </w:r>
          </w:p>
        </w:tc>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报告期末实际担保余额合计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A4+B4+C4</w:t>
            </w:r>
            <w:r>
              <w:rPr>
                <w:rFonts w:ascii="宋体" w:hAnsi="宋体" w:cs="宋体" w:eastAsia="宋体" w:hint="default"/>
                <w:sz w:val="21"/>
                <w:szCs w:val="21"/>
              </w:rPr>
              <w: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72" w:right="0"/>
              <w:jc w:val="left"/>
              <w:rPr>
                <w:rFonts w:ascii="Times New Roman" w:hAnsi="Times New Roman" w:cs="Times New Roman" w:eastAsia="Times New Roman" w:hint="default"/>
                <w:sz w:val="21"/>
                <w:szCs w:val="21"/>
              </w:rPr>
            </w:pPr>
            <w:r>
              <w:rPr>
                <w:rFonts w:ascii="Times New Roman"/>
                <w:sz w:val="21"/>
              </w:rPr>
              <w:t>20,000</w:t>
            </w:r>
          </w:p>
        </w:tc>
      </w:tr>
      <w:tr>
        <w:trPr>
          <w:trHeight w:val="401" w:hRule="exact"/>
        </w:trPr>
        <w:tc>
          <w:tcPr>
            <w:tcW w:w="81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A4+B4+C4</w:t>
            </w:r>
            <w:r>
              <w:rPr>
                <w:rFonts w:ascii="宋体" w:hAnsi="宋体" w:cs="宋体" w:eastAsia="宋体" w:hint="default"/>
                <w:sz w:val="21"/>
                <w:szCs w:val="21"/>
              </w:rPr>
              <w:t>）占公司净资产的比例</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08" w:right="0"/>
              <w:jc w:val="left"/>
              <w:rPr>
                <w:rFonts w:ascii="Times New Roman" w:hAnsi="Times New Roman" w:cs="Times New Roman" w:eastAsia="Times New Roman" w:hint="default"/>
                <w:sz w:val="21"/>
                <w:szCs w:val="21"/>
              </w:rPr>
            </w:pPr>
            <w:r>
              <w:rPr>
                <w:rFonts w:ascii="Times New Roman"/>
                <w:sz w:val="21"/>
              </w:rPr>
              <w:t>1.73%</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01" w:hRule="exact"/>
        </w:trPr>
        <w:tc>
          <w:tcPr>
            <w:tcW w:w="81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为股东、实际控制人及其关联方提供担保的余额（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81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12"/>
                <w:sz w:val="21"/>
                <w:szCs w:val="21"/>
              </w:rPr>
              <w:t> </w:t>
            </w:r>
            <w:r>
              <w:rPr>
                <w:rFonts w:ascii="Times New Roman" w:hAnsi="Times New Roman" w:cs="Times New Roman" w:eastAsia="Times New Roman" w:hint="default"/>
                <w:spacing w:val="-2"/>
                <w:sz w:val="21"/>
                <w:szCs w:val="21"/>
              </w:rPr>
              <w:t>70%</w:t>
            </w:r>
            <w:r>
              <w:rPr>
                <w:rFonts w:ascii="宋体" w:hAnsi="宋体" w:cs="宋体" w:eastAsia="宋体" w:hint="default"/>
                <w:spacing w:val="-2"/>
                <w:sz w:val="21"/>
                <w:szCs w:val="21"/>
              </w:rPr>
              <w:t>的被担保对象提供的债务担保余额（</w:t>
            </w:r>
            <w:r>
              <w:rPr>
                <w:rFonts w:ascii="Times New Roman" w:hAnsi="Times New Roman" w:cs="Times New Roman" w:eastAsia="Times New Roman" w:hint="default"/>
                <w:spacing w:val="-2"/>
                <w:sz w:val="21"/>
                <w:szCs w:val="21"/>
              </w:rPr>
              <w:t>E</w:t>
            </w:r>
            <w:r>
              <w:rPr>
                <w:rFonts w:ascii="宋体" w:hAnsi="宋体" w:cs="宋体" w:eastAsia="宋体" w:hint="default"/>
                <w:spacing w:val="-2"/>
                <w:sz w:val="21"/>
                <w:szCs w:val="21"/>
              </w:rPr>
              <w: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81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F</w:t>
            </w:r>
            <w:r>
              <w:rPr>
                <w:rFonts w:ascii="宋体" w:hAnsi="宋体" w:cs="宋体" w:eastAsia="宋体" w:hint="default"/>
                <w:sz w:val="21"/>
                <w:szCs w:val="21"/>
              </w:rPr>
              <w: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4" w:hRule="exact"/>
        </w:trPr>
        <w:tc>
          <w:tcPr>
            <w:tcW w:w="81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D+E+F</w:t>
            </w:r>
            <w:r>
              <w:rPr>
                <w:rFonts w:ascii="宋体" w:hAnsi="宋体" w:cs="宋体" w:eastAsia="宋体" w:hint="default"/>
                <w:sz w:val="21"/>
                <w:szCs w:val="21"/>
              </w:rPr>
              <w:t>）</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81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81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sz w:val="19"/>
          <w:szCs w:val="19"/>
        </w:rPr>
      </w:pPr>
    </w:p>
    <w:p>
      <w:pPr>
        <w:tabs>
          <w:tab w:pos="8144" w:val="left" w:leader="none"/>
        </w:tabs>
        <w:spacing w:line="335" w:lineRule="exact"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w:t>
      </w: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）违规对外担保情况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73" w:right="0"/>
        <w:jc w:val="left"/>
      </w:pPr>
      <w:r>
        <w:rPr/>
        <w:t>报告期本集团无违规对外担保情况。</w:t>
      </w:r>
    </w:p>
    <w:p>
      <w:pPr>
        <w:spacing w:line="240" w:lineRule="auto" w:before="6"/>
        <w:rPr>
          <w:rFonts w:ascii="宋体" w:hAnsi="宋体" w:cs="宋体" w:eastAsia="宋体" w:hint="default"/>
          <w:sz w:val="20"/>
          <w:szCs w:val="20"/>
        </w:rPr>
      </w:pPr>
    </w:p>
    <w:p>
      <w:pPr>
        <w:pStyle w:val="Heading4"/>
        <w:spacing w:line="240" w:lineRule="auto"/>
        <w:ind w:left="152"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tabs>
          <w:tab w:pos="8187"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8"/>
          <w:sz w:val="21"/>
          <w:szCs w:val="21"/>
        </w:rPr>
        <w:t>（</w:t>
      </w:r>
      <w:r>
        <w:rPr>
          <w:rFonts w:ascii="Times New Roman" w:hAnsi="Times New Roman" w:cs="Times New Roman" w:eastAsia="Times New Roman" w:hint="default"/>
          <w:b/>
          <w:bCs/>
          <w:spacing w:val="-8"/>
          <w:sz w:val="21"/>
          <w:szCs w:val="21"/>
        </w:rPr>
        <w:t>1</w:t>
      </w:r>
      <w:r>
        <w:rPr>
          <w:rFonts w:ascii="Microsoft JhengHei" w:hAnsi="Microsoft JhengHei" w:cs="Microsoft JhengHei" w:eastAsia="Microsoft JhengHei" w:hint="default"/>
          <w:b/>
          <w:bCs/>
          <w:spacing w:val="-8"/>
          <w:sz w:val="21"/>
          <w:szCs w:val="21"/>
        </w:rPr>
        <w:t>）委托理财情况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right="0"/>
        <w:jc w:val="left"/>
      </w:pPr>
      <w:r>
        <w:rPr/>
        <w:t>报告期内委托理财概况</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40" w:lineRule="auto" w:before="36"/>
        <w:ind w:left="0" w:right="112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868"/>
        <w:gridCol w:w="1964"/>
        <w:gridCol w:w="1980"/>
        <w:gridCol w:w="1909"/>
        <w:gridCol w:w="1848"/>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5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具体类型</w:t>
            </w:r>
            <w:r>
              <w:rPr>
                <w:rFonts w:ascii="Microsoft JhengHei" w:hAnsi="Microsoft JhengHei" w:cs="Microsoft JhengHei" w:eastAsia="Microsoft JhengHei"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委托理财的资金来源</w:t>
            </w:r>
            <w:r>
              <w:rPr>
                <w:rFonts w:ascii="Microsoft JhengHei" w:hAnsi="Microsoft JhengHei" w:cs="Microsoft JhengHei" w:eastAsia="Microsoft JhengHei"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委托理财发生额</w:t>
            </w:r>
            <w:r>
              <w:rPr>
                <w:rFonts w:ascii="Microsoft JhengHei" w:hAnsi="Microsoft JhengHei" w:cs="Microsoft JhengHei" w:eastAsia="Microsoft JhengHei" w:hint="default"/>
                <w:sz w:val="21"/>
                <w:szCs w:val="21"/>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未到期余额</w:t>
            </w:r>
            <w:r>
              <w:rPr>
                <w:rFonts w:ascii="Microsoft JhengHei" w:hAnsi="Microsoft JhengHei" w:cs="Microsoft JhengHei" w:eastAsia="Microsoft JhengHei" w:hint="default"/>
                <w:sz w:val="21"/>
                <w:szCs w:val="21"/>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7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逾期未收回的金额</w:t>
            </w:r>
            <w:r>
              <w:rPr>
                <w:rFonts w:ascii="Microsoft JhengHei" w:hAnsi="Microsoft JhengHei" w:cs="Microsoft JhengHei" w:eastAsia="Microsoft JhengHei" w:hint="default"/>
                <w:sz w:val="21"/>
                <w:szCs w:val="21"/>
              </w:rPr>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176,013.00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29,713.00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412.49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176,425.49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29,713.00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71" w:lineRule="auto" w:before="28"/>
        <w:ind w:right="0"/>
        <w:jc w:val="left"/>
      </w:pPr>
      <w:r>
        <w:rPr>
          <w:spacing w:val="-2"/>
        </w:rPr>
        <w:t>注：本表中按类别披露的委托理财发生额，指报告期该类委托理财单日最高余额，即报告期单日该类委托</w:t>
      </w:r>
      <w:r>
        <w:rPr>
          <w:spacing w:val="-44"/>
        </w:rPr>
        <w:t> </w:t>
      </w:r>
      <w:r>
        <w:rPr>
          <w:spacing w:val="-44"/>
        </w:rPr>
      </w:r>
      <w:r>
        <w:rPr/>
        <w:t>理财未到期余额合计数的最大值。</w:t>
      </w:r>
    </w:p>
    <w:p>
      <w:pPr>
        <w:spacing w:after="0" w:line="271" w:lineRule="auto"/>
        <w:jc w:val="left"/>
        <w:sectPr>
          <w:pgSz w:w="11910" w:h="16840"/>
          <w:pgMar w:header="877" w:footer="979" w:top="1100" w:bottom="1160" w:left="980" w:right="0"/>
        </w:sectPr>
      </w:pPr>
    </w:p>
    <w:p>
      <w:pPr>
        <w:pStyle w:val="BodyText"/>
        <w:spacing w:line="240" w:lineRule="auto" w:before="53"/>
        <w:ind w:left="140" w:right="0"/>
        <w:jc w:val="left"/>
      </w:pPr>
      <w:r>
        <w:rPr/>
        <w:pict>
          <v:group style="position:absolute;margin-left:70.559998pt;margin-top:2.173692pt;width:700.95pt;height:.1pt;mso-position-horizontal-relative:page;mso-position-vertical-relative:paragraph;z-index:1288" coordorigin="1411,43" coordsize="14019,2">
            <v:shape style="position:absolute;left:1411;top:43;width:14019;height:2" coordorigin="1411,43" coordsize="14019,0" path="m1411,43l15430,43e" filled="false" stroked="true" strokeweight=".72pt" strokecolor="#000000">
              <v:path arrowok="t"/>
            </v:shape>
            <w10:wrap type="none"/>
          </v:group>
        </w:pict>
      </w:r>
      <w:r>
        <w:rPr>
          <w:spacing w:val="-2"/>
        </w:rPr>
        <w:t>单项金额重大或安全性较低、流动性较差、不保本的高风险委托理财具体情况</w:t>
      </w:r>
    </w:p>
    <w:p>
      <w:pPr>
        <w:pStyle w:val="BodyText"/>
        <w:spacing w:line="240" w:lineRule="auto" w:before="78"/>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ind w:left="140" w:right="0"/>
        <w:jc w:val="left"/>
      </w:pPr>
      <w:r>
        <w:rPr/>
        <w:t>单位：万元</w:t>
      </w:r>
    </w:p>
    <w:p>
      <w:pPr>
        <w:spacing w:after="0" w:line="240" w:lineRule="auto"/>
        <w:jc w:val="left"/>
        <w:sectPr>
          <w:headerReference w:type="default" r:id="rId26"/>
          <w:footerReference w:type="default" r:id="rId27"/>
          <w:pgSz w:w="16840" w:h="11910" w:orient="landscape"/>
          <w:pgMar w:header="867" w:footer="980" w:top="1060" w:bottom="1160" w:left="1300" w:right="1300"/>
          <w:pgNumType w:start="53"/>
          <w:cols w:num="2" w:equalWidth="0">
            <w:col w:w="7286" w:space="5623"/>
            <w:col w:w="1331"/>
          </w:cols>
        </w:sectPr>
      </w:pPr>
    </w:p>
    <w:p>
      <w:pPr>
        <w:spacing w:line="240" w:lineRule="auto" w:before="10"/>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819"/>
        <w:gridCol w:w="425"/>
        <w:gridCol w:w="708"/>
        <w:gridCol w:w="710"/>
        <w:gridCol w:w="425"/>
        <w:gridCol w:w="841"/>
        <w:gridCol w:w="859"/>
        <w:gridCol w:w="425"/>
        <w:gridCol w:w="427"/>
        <w:gridCol w:w="708"/>
        <w:gridCol w:w="425"/>
        <w:gridCol w:w="852"/>
        <w:gridCol w:w="850"/>
        <w:gridCol w:w="708"/>
        <w:gridCol w:w="710"/>
        <w:gridCol w:w="850"/>
        <w:gridCol w:w="3207"/>
      </w:tblGrid>
      <w:tr>
        <w:trPr>
          <w:trHeight w:val="110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1" w:right="44" w:hanging="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受托机构 名称</w:t>
            </w:r>
            <w:r>
              <w:rPr>
                <w:rFonts w:ascii="Microsoft JhengHei" w:hAnsi="Microsoft JhengHei" w:cs="Microsoft JhengHei" w:eastAsia="Microsoft JhengHei"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24"/>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受托</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机构</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68" w:lineRule="auto"/>
              <w:ind w:left="165" w:right="16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产品</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2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资金</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来源</w:t>
            </w:r>
            <w:r>
              <w:rPr>
                <w:rFonts w:ascii="Microsoft JhengHei" w:hAnsi="Microsoft JhengHei" w:cs="Microsoft JhengHei" w:eastAsia="Microsoft JhengHei" w:hint="default"/>
                <w:sz w:val="18"/>
                <w:szCs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起始日期</w:t>
            </w:r>
            <w:r>
              <w:rPr>
                <w:rFonts w:ascii="Microsoft JhengHei" w:hAnsi="Microsoft JhengHei" w:cs="Microsoft JhengHei" w:eastAsia="Microsoft JhengHei" w:hint="default"/>
                <w:sz w:val="18"/>
                <w:szCs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终止日期</w:t>
            </w:r>
            <w:r>
              <w:rPr>
                <w:rFonts w:ascii="Microsoft JhengHei" w:hAnsi="Microsoft JhengHei" w:cs="Microsoft JhengHei" w:eastAsia="Microsoft JhengHei"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 w:right="2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资金</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投向</w:t>
            </w:r>
            <w:r>
              <w:rPr>
                <w:rFonts w:ascii="Microsoft JhengHei" w:hAnsi="Microsoft JhengHei" w:cs="Microsoft JhengHei" w:eastAsia="Microsoft JhengHei"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6" w:right="24"/>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报酬</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确定</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方式</w:t>
            </w:r>
            <w:r>
              <w:rPr>
                <w:rFonts w:ascii="Microsoft JhengHei" w:hAnsi="Microsoft JhengHei" w:cs="Microsoft JhengHei" w:eastAsia="Microsoft JhengHei"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6" w:right="7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参考年 化收益 率</w:t>
            </w:r>
            <w:r>
              <w:rPr>
                <w:rFonts w:ascii="Microsoft JhengHei" w:hAnsi="Microsoft JhengHei" w:cs="Microsoft JhengHei" w:eastAsia="Microsoft JhengHei"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 w:right="2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预期</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收益</w:t>
            </w:r>
            <w:r>
              <w:rPr>
                <w:rFonts w:ascii="Microsoft JhengHei" w:hAnsi="Microsoft JhengHei" w:cs="Microsoft JhengHei" w:eastAsia="Microsoft JhengHei"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60" w:right="58" w:hanging="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 实际损益 金额</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7" w:right="5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报告期损 益实际收 回情况</w:t>
            </w:r>
            <w:r>
              <w:rPr>
                <w:rFonts w:ascii="Microsoft JhengHei" w:hAnsi="Microsoft JhengHei" w:cs="Microsoft JhengHei" w:eastAsia="Microsoft JhengHei"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6" w:right="7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计提减 值准备 金额</w:t>
            </w:r>
            <w:r>
              <w:rPr>
                <w:rFonts w:ascii="Microsoft JhengHei" w:hAnsi="Microsoft JhengHei" w:cs="Microsoft JhengHei" w:eastAsia="Microsoft JhengHei"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9" w:right="7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是否经 过法定 程序</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7" w:right="5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未来是否 还有委托 理财计划</w:t>
            </w:r>
            <w:r>
              <w:rPr>
                <w:rFonts w:ascii="Microsoft JhengHei" w:hAnsi="Microsoft JhengHei" w:cs="Microsoft JhengHei" w:eastAsia="Microsoft JhengHei" w:hint="default"/>
                <w:sz w:val="18"/>
                <w:szCs w:val="18"/>
              </w:rPr>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事项概述及相关查询索引</w:t>
            </w:r>
            <w:r>
              <w:rPr>
                <w:rFonts w:ascii="Microsoft JhengHei" w:hAnsi="Microsoft JhengHei" w:cs="Microsoft JhengHei" w:eastAsia="Microsoft JhengHei" w:hint="default"/>
                <w:sz w:val="18"/>
                <w:szCs w:val="18"/>
              </w:rPr>
            </w:r>
          </w:p>
        </w:tc>
      </w:tr>
      <w:tr>
        <w:trPr>
          <w:trHeight w:val="1376" w:hRule="exact"/>
        </w:trPr>
        <w:tc>
          <w:tcPr>
            <w:tcW w:w="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21" w:right="7"/>
              <w:jc w:val="both"/>
              <w:rPr>
                <w:rFonts w:ascii="宋体" w:hAnsi="宋体" w:cs="宋体" w:eastAsia="宋体" w:hint="default"/>
                <w:sz w:val="18"/>
                <w:szCs w:val="18"/>
              </w:rPr>
            </w:pPr>
            <w:r>
              <w:rPr>
                <w:rFonts w:ascii="宋体" w:hAnsi="宋体" w:cs="宋体" w:eastAsia="宋体" w:hint="default"/>
                <w:spacing w:val="14"/>
                <w:sz w:val="18"/>
                <w:szCs w:val="18"/>
              </w:rPr>
              <w:t>渤海国际 信托股份 </w:t>
            </w:r>
            <w:r>
              <w:rPr>
                <w:rFonts w:ascii="宋体" w:hAnsi="宋体" w:cs="宋体" w:eastAsia="宋体" w:hint="default"/>
                <w:sz w:val="18"/>
                <w:szCs w:val="18"/>
              </w:rPr>
              <w:t>有限公司</w:t>
            </w: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21" w:right="31"/>
              <w:jc w:val="left"/>
              <w:rPr>
                <w:rFonts w:ascii="宋体" w:hAnsi="宋体" w:cs="宋体" w:eastAsia="宋体" w:hint="default"/>
                <w:sz w:val="18"/>
                <w:szCs w:val="18"/>
              </w:rPr>
            </w:pPr>
            <w:r>
              <w:rPr>
                <w:rFonts w:ascii="宋体" w:hAnsi="宋体" w:cs="宋体" w:eastAsia="宋体" w:hint="default"/>
                <w:sz w:val="18"/>
                <w:szCs w:val="18"/>
              </w:rPr>
              <w:t>信托 机构</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76" w:right="79"/>
              <w:jc w:val="both"/>
              <w:rPr>
                <w:rFonts w:ascii="宋体" w:hAnsi="宋体" w:cs="宋体" w:eastAsia="宋体" w:hint="default"/>
                <w:sz w:val="18"/>
                <w:szCs w:val="18"/>
              </w:rPr>
            </w:pPr>
            <w:r>
              <w:rPr>
                <w:rFonts w:ascii="宋体" w:hAnsi="宋体" w:cs="宋体" w:eastAsia="宋体" w:hint="default"/>
                <w:sz w:val="18"/>
                <w:szCs w:val="18"/>
              </w:rPr>
              <w:t>单一资 金信托 计划</w:t>
            </w: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自有</w:t>
            </w:r>
          </w:p>
        </w:tc>
        <w:tc>
          <w:tcPr>
            <w:tcW w:w="8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20170317</w:t>
            </w: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20190830</w:t>
            </w: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个人 消费 贷款</w:t>
            </w:r>
          </w:p>
        </w:tc>
        <w:tc>
          <w:tcPr>
            <w:tcW w:w="42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23" w:right="31"/>
              <w:jc w:val="left"/>
              <w:rPr>
                <w:rFonts w:ascii="宋体" w:hAnsi="宋体" w:cs="宋体" w:eastAsia="宋体" w:hint="default"/>
                <w:sz w:val="18"/>
                <w:szCs w:val="18"/>
              </w:rPr>
            </w:pPr>
            <w:r>
              <w:rPr>
                <w:rFonts w:ascii="宋体" w:hAnsi="宋体" w:cs="宋体" w:eastAsia="宋体" w:hint="default"/>
                <w:sz w:val="18"/>
                <w:szCs w:val="18"/>
              </w:rPr>
              <w:t>协议 确定</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w:t>
            </w: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2,971.23</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3207" w:type="dxa"/>
            <w:tcBorders>
              <w:top w:val="single" w:sz="4" w:space="0" w:color="000000"/>
              <w:left w:val="single" w:sz="4" w:space="0" w:color="000000"/>
              <w:bottom w:val="nil" w:sz="6" w:space="0" w:color="auto"/>
              <w:right w:val="single" w:sz="4" w:space="0" w:color="000000"/>
            </w:tcBorders>
          </w:tcPr>
          <w:p>
            <w:pPr>
              <w:pStyle w:val="TableParagraph"/>
              <w:spacing w:line="319" w:lineRule="auto" w:before="49"/>
              <w:ind w:left="21" w:right="22"/>
              <w:jc w:val="both"/>
              <w:rPr>
                <w:rFonts w:ascii="宋体" w:hAnsi="宋体" w:cs="宋体" w:eastAsia="宋体" w:hint="default"/>
                <w:sz w:val="18"/>
                <w:szCs w:val="18"/>
              </w:rPr>
            </w:pPr>
            <w:r>
              <w:rPr>
                <w:rFonts w:ascii="宋体" w:hAnsi="宋体" w:cs="宋体" w:eastAsia="宋体" w:hint="default"/>
                <w:spacing w:val="4"/>
                <w:sz w:val="18"/>
                <w:szCs w:val="18"/>
              </w:rPr>
              <w:t>委托渤海信托设立单一资金信托运用于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对指定的合格借款人提供贷款；如信托终</w:t>
            </w:r>
            <w:r>
              <w:rPr>
                <w:rFonts w:ascii="宋体" w:hAnsi="宋体" w:cs="宋体" w:eastAsia="宋体" w:hint="default"/>
                <w:sz w:val="18"/>
                <w:szCs w:val="18"/>
              </w:rPr>
              <w:t> </w:t>
            </w:r>
            <w:r>
              <w:rPr>
                <w:rFonts w:ascii="宋体" w:hAnsi="宋体" w:cs="宋体" w:eastAsia="宋体" w:hint="default"/>
                <w:spacing w:val="4"/>
                <w:sz w:val="18"/>
                <w:szCs w:val="18"/>
              </w:rPr>
              <w:t>止时受益人取得的信托收益及信托本金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之和低于预期，北京快乐时代和赣州趣分</w:t>
            </w:r>
          </w:p>
        </w:tc>
      </w:tr>
      <w:tr>
        <w:trPr>
          <w:trHeight w:val="233" w:hRule="exact"/>
        </w:trPr>
        <w:tc>
          <w:tcPr>
            <w:tcW w:w="81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4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07"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21" w:right="0"/>
              <w:jc w:val="left"/>
              <w:rPr>
                <w:rFonts w:ascii="宋体" w:hAnsi="宋体" w:cs="宋体" w:eastAsia="宋体" w:hint="default"/>
                <w:sz w:val="18"/>
                <w:szCs w:val="18"/>
              </w:rPr>
            </w:pPr>
            <w:r>
              <w:rPr>
                <w:rFonts w:ascii="宋体" w:hAnsi="宋体" w:cs="宋体" w:eastAsia="宋体" w:hint="default"/>
                <w:sz w:val="18"/>
                <w:szCs w:val="18"/>
              </w:rPr>
              <w:t>期提供差额补足</w:t>
            </w:r>
            <w:r>
              <w:rPr>
                <w:rFonts w:ascii="宋体" w:hAnsi="宋体" w:cs="宋体" w:eastAsia="宋体" w:hint="default"/>
                <w:spacing w:val="-89"/>
                <w:sz w:val="18"/>
                <w:szCs w:val="18"/>
              </w:rPr>
              <w:t>。</w:t>
            </w: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63" w:hRule="exact"/>
        </w:trPr>
        <w:tc>
          <w:tcPr>
            <w:tcW w:w="819" w:type="dxa"/>
            <w:tcBorders>
              <w:top w:val="nil" w:sz="6" w:space="0" w:color="auto"/>
              <w:left w:val="single" w:sz="4" w:space="0" w:color="000000"/>
              <w:bottom w:val="nil" w:sz="6" w:space="0" w:color="auto"/>
              <w:right w:val="single" w:sz="4" w:space="0" w:color="000000"/>
            </w:tcBorders>
          </w:tcPr>
          <w:p>
            <w:pPr>
              <w:pStyle w:val="TableParagraph"/>
              <w:spacing w:line="316" w:lineRule="auto" w:before="70"/>
              <w:ind w:left="21" w:right="65"/>
              <w:jc w:val="both"/>
              <w:rPr>
                <w:rFonts w:ascii="宋体" w:hAnsi="宋体" w:cs="宋体" w:eastAsia="宋体" w:hint="default"/>
                <w:sz w:val="18"/>
                <w:szCs w:val="18"/>
              </w:rPr>
            </w:pPr>
            <w:r>
              <w:rPr>
                <w:rFonts w:ascii="宋体" w:hAnsi="宋体" w:cs="宋体" w:eastAsia="宋体" w:hint="default"/>
                <w:sz w:val="18"/>
                <w:szCs w:val="18"/>
              </w:rPr>
              <w:t>渤海国际 信托股份 有限公司</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21" w:right="31"/>
              <w:jc w:val="left"/>
              <w:rPr>
                <w:rFonts w:ascii="宋体" w:hAnsi="宋体" w:cs="宋体" w:eastAsia="宋体" w:hint="default"/>
                <w:sz w:val="18"/>
                <w:szCs w:val="18"/>
              </w:rPr>
            </w:pPr>
            <w:r>
              <w:rPr>
                <w:rFonts w:ascii="宋体" w:hAnsi="宋体" w:cs="宋体" w:eastAsia="宋体" w:hint="default"/>
                <w:sz w:val="18"/>
                <w:szCs w:val="18"/>
              </w:rPr>
              <w:t>信托 机构</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70"/>
              <w:ind w:left="76" w:right="79"/>
              <w:jc w:val="both"/>
              <w:rPr>
                <w:rFonts w:ascii="宋体" w:hAnsi="宋体" w:cs="宋体" w:eastAsia="宋体" w:hint="default"/>
                <w:sz w:val="18"/>
                <w:szCs w:val="18"/>
              </w:rPr>
            </w:pPr>
            <w:r>
              <w:rPr>
                <w:rFonts w:ascii="宋体" w:hAnsi="宋体" w:cs="宋体" w:eastAsia="宋体" w:hint="default"/>
                <w:sz w:val="18"/>
                <w:szCs w:val="18"/>
              </w:rPr>
              <w:t>单一资 金信托 计划</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57,500</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1"/>
              <w:jc w:val="center"/>
              <w:rPr>
                <w:rFonts w:ascii="宋体" w:hAnsi="宋体" w:cs="宋体" w:eastAsia="宋体" w:hint="default"/>
                <w:sz w:val="18"/>
                <w:szCs w:val="18"/>
              </w:rPr>
            </w:pPr>
            <w:r>
              <w:rPr>
                <w:rFonts w:ascii="宋体" w:hAnsi="宋体" w:cs="宋体" w:eastAsia="宋体" w:hint="default"/>
                <w:sz w:val="18"/>
                <w:szCs w:val="18"/>
              </w:rPr>
              <w:t>自有</w:t>
            </w:r>
          </w:p>
        </w:tc>
        <w:tc>
          <w:tcPr>
            <w:tcW w:w="8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20170516</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20190830</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316" w:lineRule="auto" w:before="70"/>
              <w:ind w:left="23" w:right="29"/>
              <w:jc w:val="both"/>
              <w:rPr>
                <w:rFonts w:ascii="宋体" w:hAnsi="宋体" w:cs="宋体" w:eastAsia="宋体" w:hint="default"/>
                <w:sz w:val="18"/>
                <w:szCs w:val="18"/>
              </w:rPr>
            </w:pPr>
            <w:r>
              <w:rPr>
                <w:rFonts w:ascii="宋体" w:hAnsi="宋体" w:cs="宋体" w:eastAsia="宋体" w:hint="default"/>
                <w:sz w:val="18"/>
                <w:szCs w:val="18"/>
              </w:rPr>
              <w:t>个人 消费 贷款</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协议 确定</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3,416.92</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3207"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1" w:right="1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刊登的《关于</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单一信托四期信托合同</w:t>
            </w:r>
            <w:r>
              <w:rPr>
                <w:rFonts w:ascii="Times New Roman" w:hAnsi="Times New Roman" w:cs="Times New Roman" w:eastAsia="Times New Roman" w:hint="default"/>
                <w:spacing w:val="3"/>
                <w:sz w:val="18"/>
                <w:szCs w:val="18"/>
              </w:rPr>
              <w:t>&gt;</w:t>
            </w:r>
            <w:r>
              <w:rPr>
                <w:rFonts w:ascii="Times New Roman" w:hAnsi="Times New Roman" w:cs="Times New Roman" w:eastAsia="Times New Roman" w:hint="default"/>
                <w:spacing w:val="-38"/>
                <w:sz w:val="18"/>
                <w:szCs w:val="18"/>
              </w:rPr>
              <w:t> </w:t>
            </w:r>
            <w:r>
              <w:rPr>
                <w:rFonts w:ascii="宋体" w:hAnsi="宋体" w:cs="宋体" w:eastAsia="宋体" w:hint="default"/>
                <w:spacing w:val="-5"/>
                <w:sz w:val="18"/>
                <w:szCs w:val="18"/>
              </w:rPr>
              <w:t>信托期限延长等事项的公告》、</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日刊登的《关于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单一信托八期信</w:t>
            </w:r>
          </w:p>
        </w:tc>
      </w:tr>
      <w:tr>
        <w:trPr>
          <w:trHeight w:val="327" w:hRule="exact"/>
        </w:trPr>
        <w:tc>
          <w:tcPr>
            <w:tcW w:w="81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4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07"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托合同</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信托期限延长等事项的公告</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56" w:hRule="exact"/>
        </w:trPr>
        <w:tc>
          <w:tcPr>
            <w:tcW w:w="81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41"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2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4"/>
                <w:sz w:val="18"/>
                <w:szCs w:val="18"/>
              </w:rPr>
              <w:t>委托四川信托设立单一资金信托运用于</w:t>
            </w:r>
          </w:p>
        </w:tc>
      </w:tr>
      <w:tr>
        <w:trPr>
          <w:trHeight w:val="312" w:hRule="exact"/>
        </w:trPr>
        <w:tc>
          <w:tcPr>
            <w:tcW w:w="81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84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2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对指定的合格借款人提供贷款</w:t>
            </w:r>
            <w:r>
              <w:rPr>
                <w:rFonts w:ascii="宋体" w:hAnsi="宋体" w:cs="宋体" w:eastAsia="宋体" w:hint="default"/>
                <w:spacing w:val="-89"/>
                <w:sz w:val="18"/>
                <w:szCs w:val="18"/>
              </w:rPr>
              <w:t>；</w:t>
            </w:r>
            <w:r>
              <w:rPr>
                <w:rFonts w:ascii="宋体" w:hAnsi="宋体" w:cs="宋体" w:eastAsia="宋体" w:hint="default"/>
                <w:sz w:val="18"/>
                <w:szCs w:val="18"/>
              </w:rPr>
              <w:t>如信托终</w:t>
            </w:r>
          </w:p>
        </w:tc>
      </w:tr>
      <w:tr>
        <w:trPr>
          <w:trHeight w:val="936" w:hRule="exact"/>
        </w:trPr>
        <w:tc>
          <w:tcPr>
            <w:tcW w:w="81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65"/>
              <w:jc w:val="left"/>
              <w:rPr>
                <w:rFonts w:ascii="宋体" w:hAnsi="宋体" w:cs="宋体" w:eastAsia="宋体" w:hint="default"/>
                <w:sz w:val="18"/>
                <w:szCs w:val="18"/>
              </w:rPr>
            </w:pPr>
            <w:r>
              <w:rPr>
                <w:rFonts w:ascii="宋体" w:hAnsi="宋体" w:cs="宋体" w:eastAsia="宋体" w:hint="default"/>
                <w:sz w:val="18"/>
                <w:szCs w:val="18"/>
              </w:rPr>
              <w:t>四川信托 有限公司</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31"/>
              <w:jc w:val="left"/>
              <w:rPr>
                <w:rFonts w:ascii="宋体" w:hAnsi="宋体" w:cs="宋体" w:eastAsia="宋体" w:hint="default"/>
                <w:sz w:val="18"/>
                <w:szCs w:val="18"/>
              </w:rPr>
            </w:pPr>
            <w:r>
              <w:rPr>
                <w:rFonts w:ascii="宋体" w:hAnsi="宋体" w:cs="宋体" w:eastAsia="宋体" w:hint="default"/>
                <w:sz w:val="18"/>
                <w:szCs w:val="18"/>
              </w:rPr>
              <w:t>信托 机构</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76" w:right="79"/>
              <w:jc w:val="both"/>
              <w:rPr>
                <w:rFonts w:ascii="宋体" w:hAnsi="宋体" w:cs="宋体" w:eastAsia="宋体" w:hint="default"/>
                <w:sz w:val="18"/>
                <w:szCs w:val="18"/>
              </w:rPr>
            </w:pPr>
            <w:r>
              <w:rPr>
                <w:rFonts w:ascii="宋体" w:hAnsi="宋体" w:cs="宋体" w:eastAsia="宋体" w:hint="default"/>
                <w:sz w:val="18"/>
                <w:szCs w:val="18"/>
              </w:rPr>
              <w:t>单一资 金信托 计划</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自有</w:t>
            </w:r>
          </w:p>
        </w:tc>
        <w:tc>
          <w:tcPr>
            <w:tcW w:w="8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Times New Roman" w:hAnsi="Times New Roman" w:cs="Times New Roman" w:eastAsia="Times New Roman" w:hint="default"/>
                <w:sz w:val="18"/>
                <w:szCs w:val="18"/>
              </w:rPr>
            </w:pPr>
            <w:r>
              <w:rPr>
                <w:rFonts w:ascii="Times New Roman"/>
                <w:sz w:val="18"/>
              </w:rPr>
              <w:t>20180608</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Times New Roman" w:hAnsi="Times New Roman" w:cs="Times New Roman" w:eastAsia="Times New Roman" w:hint="default"/>
                <w:sz w:val="18"/>
                <w:szCs w:val="18"/>
              </w:rPr>
            </w:pPr>
            <w:r>
              <w:rPr>
                <w:rFonts w:ascii="Times New Roman"/>
                <w:sz w:val="18"/>
              </w:rPr>
              <w:t>20190919</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9"/>
              <w:jc w:val="both"/>
              <w:rPr>
                <w:rFonts w:ascii="宋体" w:hAnsi="宋体" w:cs="宋体" w:eastAsia="宋体" w:hint="default"/>
                <w:sz w:val="18"/>
                <w:szCs w:val="18"/>
              </w:rPr>
            </w:pPr>
            <w:r>
              <w:rPr>
                <w:rFonts w:ascii="宋体" w:hAnsi="宋体" w:cs="宋体" w:eastAsia="宋体" w:hint="default"/>
                <w:sz w:val="18"/>
                <w:szCs w:val="18"/>
              </w:rPr>
              <w:t>个人 消费 贷款</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协议 确定</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9%</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w w:val="95"/>
                <w:sz w:val="18"/>
              </w:rPr>
              <w:t>2,568.08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已收回</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32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22"/>
              <w:jc w:val="both"/>
              <w:rPr>
                <w:rFonts w:ascii="宋体" w:hAnsi="宋体" w:cs="宋体" w:eastAsia="宋体" w:hint="default"/>
                <w:sz w:val="18"/>
                <w:szCs w:val="18"/>
              </w:rPr>
            </w:pPr>
            <w:r>
              <w:rPr>
                <w:rFonts w:ascii="宋体" w:hAnsi="宋体" w:cs="宋体" w:eastAsia="宋体" w:hint="default"/>
                <w:spacing w:val="4"/>
                <w:sz w:val="18"/>
                <w:szCs w:val="18"/>
              </w:rPr>
              <w:t>止时受益人取得的信托收益及信托本金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之和低于预期，赣州趣分期和厦门趣店科</w:t>
            </w:r>
            <w:r>
              <w:rPr>
                <w:rFonts w:ascii="宋体" w:hAnsi="宋体" w:cs="宋体" w:eastAsia="宋体" w:hint="default"/>
                <w:sz w:val="18"/>
                <w:szCs w:val="18"/>
              </w:rPr>
              <w:t> </w:t>
            </w:r>
            <w:r>
              <w:rPr>
                <w:rFonts w:ascii="宋体" w:hAnsi="宋体" w:cs="宋体" w:eastAsia="宋体" w:hint="default"/>
                <w:spacing w:val="-5"/>
                <w:sz w:val="18"/>
                <w:szCs w:val="18"/>
              </w:rPr>
              <w:t>技有限公司承担连带差额补足义务。详见</w:t>
            </w:r>
          </w:p>
        </w:tc>
      </w:tr>
      <w:tr>
        <w:trPr>
          <w:trHeight w:val="317" w:hRule="exact"/>
        </w:trPr>
        <w:tc>
          <w:tcPr>
            <w:tcW w:w="81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841"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2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日刊登的《关于委托四川</w:t>
            </w:r>
          </w:p>
        </w:tc>
      </w:tr>
      <w:tr>
        <w:trPr>
          <w:trHeight w:val="353" w:hRule="exact"/>
        </w:trPr>
        <w:tc>
          <w:tcPr>
            <w:tcW w:w="81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4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信托管理现金资产暨关联交易的公告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8"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65"/>
              <w:jc w:val="both"/>
              <w:rPr>
                <w:rFonts w:ascii="宋体" w:hAnsi="宋体" w:cs="宋体" w:eastAsia="宋体" w:hint="default"/>
                <w:sz w:val="18"/>
                <w:szCs w:val="18"/>
              </w:rPr>
            </w:pPr>
            <w:r>
              <w:rPr>
                <w:rFonts w:ascii="宋体" w:hAnsi="宋体" w:cs="宋体" w:eastAsia="宋体" w:hint="default"/>
                <w:sz w:val="18"/>
                <w:szCs w:val="18"/>
              </w:rPr>
              <w:t>华润深国 投信托有 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31"/>
              <w:jc w:val="left"/>
              <w:rPr>
                <w:rFonts w:ascii="宋体" w:hAnsi="宋体" w:cs="宋体" w:eastAsia="宋体" w:hint="default"/>
                <w:sz w:val="18"/>
                <w:szCs w:val="18"/>
              </w:rPr>
            </w:pPr>
            <w:r>
              <w:rPr>
                <w:rFonts w:ascii="宋体" w:hAnsi="宋体" w:cs="宋体" w:eastAsia="宋体" w:hint="default"/>
                <w:sz w:val="18"/>
                <w:szCs w:val="18"/>
              </w:rPr>
              <w:t>信托 机构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集合资 金信托 计划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
              <w:jc w:val="center"/>
              <w:rPr>
                <w:rFonts w:ascii="宋体" w:hAnsi="宋体" w:cs="宋体" w:eastAsia="宋体" w:hint="default"/>
                <w:sz w:val="18"/>
                <w:szCs w:val="18"/>
              </w:rPr>
            </w:pPr>
            <w:r>
              <w:rPr>
                <w:rFonts w:ascii="宋体" w:hAnsi="宋体" w:cs="宋体" w:eastAsia="宋体" w:hint="default"/>
                <w:sz w:val="18"/>
                <w:szCs w:val="18"/>
              </w:rPr>
              <w:t>自有</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20170913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20200912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固定 收益 产品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协议 确定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-3,625.26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未到期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不确定</w:t>
            </w:r>
          </w:p>
        </w:tc>
        <w:tc>
          <w:tcPr>
            <w:tcW w:w="3207" w:type="dxa"/>
            <w:tcBorders>
              <w:top w:val="single" w:sz="4" w:space="0" w:color="000000"/>
              <w:left w:val="single" w:sz="4" w:space="0" w:color="000000"/>
              <w:bottom w:val="nil" w:sz="6" w:space="0" w:color="auto"/>
              <w:right w:val="single" w:sz="4" w:space="0" w:color="000000"/>
            </w:tcBorders>
          </w:tcPr>
          <w:p>
            <w:pPr>
              <w:pStyle w:val="TableParagraph"/>
              <w:spacing w:line="307" w:lineRule="auto" w:before="116"/>
              <w:ind w:left="21"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年第六次临时股东大会审议通 </w:t>
            </w:r>
            <w:r>
              <w:rPr>
                <w:rFonts w:ascii="宋体" w:hAnsi="宋体" w:cs="宋体" w:eastAsia="宋体" w:hint="default"/>
                <w:spacing w:val="-5"/>
                <w:sz w:val="18"/>
                <w:szCs w:val="18"/>
              </w:rPr>
              <w:t>过《关于以自有资金参与国盛资管担任投</w:t>
            </w:r>
            <w:r>
              <w:rPr>
                <w:rFonts w:ascii="宋体" w:hAnsi="宋体" w:cs="宋体" w:eastAsia="宋体" w:hint="default"/>
                <w:sz w:val="18"/>
                <w:szCs w:val="18"/>
              </w:rPr>
              <w:t> </w:t>
            </w:r>
            <w:r>
              <w:rPr>
                <w:rFonts w:ascii="宋体" w:hAnsi="宋体" w:cs="宋体" w:eastAsia="宋体" w:hint="default"/>
                <w:spacing w:val="-5"/>
                <w:sz w:val="18"/>
                <w:szCs w:val="18"/>
              </w:rPr>
              <w:t>资顾问的集合资金信托计划的议案》，同</w:t>
            </w:r>
          </w:p>
        </w:tc>
      </w:tr>
      <w:tr>
        <w:trPr>
          <w:trHeight w:val="102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both"/>
              <w:rPr>
                <w:rFonts w:ascii="宋体" w:hAnsi="宋体" w:cs="宋体" w:eastAsia="宋体" w:hint="default"/>
                <w:sz w:val="18"/>
                <w:szCs w:val="18"/>
              </w:rPr>
            </w:pPr>
            <w:r>
              <w:rPr>
                <w:rFonts w:ascii="宋体" w:hAnsi="宋体" w:cs="宋体" w:eastAsia="宋体" w:hint="default"/>
                <w:sz w:val="18"/>
                <w:szCs w:val="18"/>
              </w:rPr>
              <w:t>华润深国 投信托有 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31"/>
              <w:jc w:val="left"/>
              <w:rPr>
                <w:rFonts w:ascii="宋体" w:hAnsi="宋体" w:cs="宋体" w:eastAsia="宋体" w:hint="default"/>
                <w:sz w:val="18"/>
                <w:szCs w:val="18"/>
              </w:rPr>
            </w:pPr>
            <w:r>
              <w:rPr>
                <w:rFonts w:ascii="宋体" w:hAnsi="宋体" w:cs="宋体" w:eastAsia="宋体" w:hint="default"/>
                <w:sz w:val="18"/>
                <w:szCs w:val="18"/>
              </w:rPr>
              <w:t>信托 机构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集合资 金信托 计划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
              <w:jc w:val="center"/>
              <w:rPr>
                <w:rFonts w:ascii="宋体" w:hAnsi="宋体" w:cs="宋体" w:eastAsia="宋体" w:hint="default"/>
                <w:sz w:val="18"/>
                <w:szCs w:val="18"/>
              </w:rPr>
            </w:pPr>
            <w:r>
              <w:rPr>
                <w:rFonts w:ascii="宋体" w:hAnsi="宋体" w:cs="宋体" w:eastAsia="宋体" w:hint="default"/>
                <w:sz w:val="18"/>
                <w:szCs w:val="18"/>
              </w:rPr>
              <w:t>自有</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20170913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20200912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固定 收益 产品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协议 确定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-6,560.83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未到期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不确定</w:t>
            </w:r>
          </w:p>
        </w:tc>
        <w:tc>
          <w:tcPr>
            <w:tcW w:w="3207" w:type="dxa"/>
            <w:tcBorders>
              <w:top w:val="nil" w:sz="6" w:space="0" w:color="auto"/>
              <w:left w:val="single" w:sz="4" w:space="0" w:color="000000"/>
              <w:bottom w:val="single" w:sz="4" w:space="0" w:color="000000"/>
              <w:right w:val="single" w:sz="4" w:space="0" w:color="000000"/>
            </w:tcBorders>
          </w:tcPr>
          <w:p>
            <w:pPr>
              <w:pStyle w:val="TableParagraph"/>
              <w:spacing w:line="309" w:lineRule="auto" w:before="27"/>
              <w:ind w:left="21" w:right="19"/>
              <w:jc w:val="both"/>
              <w:rPr>
                <w:rFonts w:ascii="宋体" w:hAnsi="宋体" w:cs="宋体" w:eastAsia="宋体" w:hint="default"/>
                <w:sz w:val="18"/>
                <w:szCs w:val="18"/>
              </w:rPr>
            </w:pPr>
            <w:r>
              <w:rPr>
                <w:rFonts w:ascii="宋体" w:hAnsi="宋体" w:cs="宋体" w:eastAsia="宋体" w:hint="default"/>
                <w:sz w:val="18"/>
                <w:szCs w:val="18"/>
              </w:rPr>
              <w:t>意公司以不超过 </w:t>
            </w:r>
            <w:r>
              <w:rPr>
                <w:rFonts w:ascii="Times New Roman" w:hAnsi="Times New Roman" w:cs="Times New Roman" w:eastAsia="Times New Roman" w:hint="default"/>
                <w:sz w:val="18"/>
                <w:szCs w:val="18"/>
              </w:rPr>
              <w:t>8 </w:t>
            </w:r>
            <w:r>
              <w:rPr>
                <w:rFonts w:ascii="宋体" w:hAnsi="宋体" w:cs="宋体" w:eastAsia="宋体" w:hint="default"/>
                <w:sz w:val="18"/>
                <w:szCs w:val="18"/>
              </w:rPr>
              <w:t>亿元自有资金参与下 </w:t>
            </w:r>
            <w:r>
              <w:rPr>
                <w:rFonts w:ascii="宋体" w:hAnsi="宋体" w:cs="宋体" w:eastAsia="宋体" w:hint="default"/>
                <w:spacing w:val="4"/>
                <w:sz w:val="18"/>
                <w:szCs w:val="18"/>
              </w:rPr>
              <w:t>属企业国盛资管担任投资顾问的集合资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金信托计划，详见</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日刊</w:t>
            </w:r>
          </w:p>
        </w:tc>
      </w:tr>
    </w:tbl>
    <w:p>
      <w:pPr>
        <w:spacing w:after="0" w:line="309" w:lineRule="auto"/>
        <w:jc w:val="both"/>
        <w:rPr>
          <w:rFonts w:ascii="宋体" w:hAnsi="宋体" w:cs="宋体" w:eastAsia="宋体" w:hint="default"/>
          <w:sz w:val="18"/>
          <w:szCs w:val="18"/>
        </w:rPr>
        <w:sectPr>
          <w:type w:val="continuous"/>
          <w:pgSz w:w="16840" w:h="11910" w:orient="landscape"/>
          <w:pgMar w:top="1060" w:bottom="1160" w:left="1300" w:right="1300"/>
        </w:sectPr>
      </w:pPr>
    </w:p>
    <w:p>
      <w:pPr>
        <w:spacing w:line="240" w:lineRule="auto" w:before="11"/>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819"/>
        <w:gridCol w:w="425"/>
        <w:gridCol w:w="708"/>
        <w:gridCol w:w="710"/>
        <w:gridCol w:w="425"/>
        <w:gridCol w:w="841"/>
        <w:gridCol w:w="859"/>
        <w:gridCol w:w="425"/>
        <w:gridCol w:w="427"/>
        <w:gridCol w:w="708"/>
        <w:gridCol w:w="425"/>
        <w:gridCol w:w="852"/>
        <w:gridCol w:w="850"/>
        <w:gridCol w:w="708"/>
        <w:gridCol w:w="710"/>
        <w:gridCol w:w="850"/>
        <w:gridCol w:w="3207"/>
      </w:tblGrid>
      <w:tr>
        <w:trPr>
          <w:trHeight w:val="975" w:hRule="exact"/>
        </w:trPr>
        <w:tc>
          <w:tcPr>
            <w:tcW w:w="819" w:type="dxa"/>
            <w:tcBorders>
              <w:top w:val="single" w:sz="15" w:space="0" w:color="000000"/>
              <w:left w:val="single" w:sz="4" w:space="0" w:color="000000"/>
              <w:bottom w:val="nil" w:sz="6" w:space="0" w:color="auto"/>
              <w:right w:val="single" w:sz="4" w:space="0" w:color="000000"/>
            </w:tcBorders>
          </w:tcPr>
          <w:p>
            <w:pPr>
              <w:pStyle w:val="TableParagraph"/>
              <w:spacing w:line="316" w:lineRule="auto" w:before="51"/>
              <w:ind w:left="21" w:right="65"/>
              <w:jc w:val="both"/>
              <w:rPr>
                <w:rFonts w:ascii="宋体" w:hAnsi="宋体" w:cs="宋体" w:eastAsia="宋体" w:hint="default"/>
                <w:sz w:val="18"/>
                <w:szCs w:val="18"/>
              </w:rPr>
            </w:pPr>
            <w:r>
              <w:rPr>
                <w:rFonts w:ascii="宋体" w:hAnsi="宋体" w:cs="宋体" w:eastAsia="宋体" w:hint="default"/>
                <w:sz w:val="18"/>
                <w:szCs w:val="18"/>
              </w:rPr>
              <w:t>华润深国 投信托有 限公司</w:t>
            </w:r>
          </w:p>
        </w:tc>
        <w:tc>
          <w:tcPr>
            <w:tcW w:w="42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31"/>
              <w:jc w:val="left"/>
              <w:rPr>
                <w:rFonts w:ascii="宋体" w:hAnsi="宋体" w:cs="宋体" w:eastAsia="宋体" w:hint="default"/>
                <w:sz w:val="18"/>
                <w:szCs w:val="18"/>
              </w:rPr>
            </w:pPr>
            <w:r>
              <w:rPr>
                <w:rFonts w:ascii="宋体" w:hAnsi="宋体" w:cs="宋体" w:eastAsia="宋体" w:hint="default"/>
                <w:sz w:val="18"/>
                <w:szCs w:val="18"/>
              </w:rPr>
              <w:t>信托 机构</w:t>
            </w:r>
          </w:p>
        </w:tc>
        <w:tc>
          <w:tcPr>
            <w:tcW w:w="708" w:type="dxa"/>
            <w:tcBorders>
              <w:top w:val="single" w:sz="15" w:space="0" w:color="000000"/>
              <w:left w:val="single" w:sz="4" w:space="0" w:color="000000"/>
              <w:bottom w:val="nil" w:sz="6" w:space="0" w:color="auto"/>
              <w:right w:val="single" w:sz="4" w:space="0" w:color="000000"/>
            </w:tcBorders>
          </w:tcPr>
          <w:p>
            <w:pPr>
              <w:pStyle w:val="TableParagraph"/>
              <w:spacing w:line="316" w:lineRule="auto" w:before="51"/>
              <w:ind w:left="76" w:right="79"/>
              <w:jc w:val="both"/>
              <w:rPr>
                <w:rFonts w:ascii="宋体" w:hAnsi="宋体" w:cs="宋体" w:eastAsia="宋体" w:hint="default"/>
                <w:sz w:val="18"/>
                <w:szCs w:val="18"/>
              </w:rPr>
            </w:pPr>
            <w:r>
              <w:rPr>
                <w:rFonts w:ascii="宋体" w:hAnsi="宋体" w:cs="宋体" w:eastAsia="宋体" w:hint="default"/>
                <w:sz w:val="18"/>
                <w:szCs w:val="18"/>
              </w:rPr>
              <w:t>集合资 金信托 计划</w:t>
            </w:r>
          </w:p>
        </w:tc>
        <w:tc>
          <w:tcPr>
            <w:tcW w:w="710"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8,334</w:t>
            </w:r>
          </w:p>
        </w:tc>
        <w:tc>
          <w:tcPr>
            <w:tcW w:w="425"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自有</w:t>
            </w:r>
          </w:p>
        </w:tc>
        <w:tc>
          <w:tcPr>
            <w:tcW w:w="841"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65"/>
              <w:jc w:val="center"/>
              <w:rPr>
                <w:rFonts w:ascii="Times New Roman" w:hAnsi="Times New Roman" w:cs="Times New Roman" w:eastAsia="Times New Roman" w:hint="default"/>
                <w:sz w:val="18"/>
                <w:szCs w:val="18"/>
              </w:rPr>
            </w:pPr>
            <w:r>
              <w:rPr>
                <w:rFonts w:ascii="Times New Roman"/>
                <w:sz w:val="18"/>
              </w:rPr>
              <w:t>20180126</w:t>
            </w:r>
          </w:p>
        </w:tc>
        <w:tc>
          <w:tcPr>
            <w:tcW w:w="859"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83"/>
              <w:jc w:val="center"/>
              <w:rPr>
                <w:rFonts w:ascii="Times New Roman" w:hAnsi="Times New Roman" w:cs="Times New Roman" w:eastAsia="Times New Roman" w:hint="default"/>
                <w:sz w:val="18"/>
                <w:szCs w:val="18"/>
              </w:rPr>
            </w:pPr>
            <w:r>
              <w:rPr>
                <w:rFonts w:ascii="Times New Roman"/>
                <w:sz w:val="18"/>
              </w:rPr>
              <w:t>20210125</w:t>
            </w:r>
          </w:p>
        </w:tc>
        <w:tc>
          <w:tcPr>
            <w:tcW w:w="425" w:type="dxa"/>
            <w:tcBorders>
              <w:top w:val="single" w:sz="15" w:space="0" w:color="000000"/>
              <w:left w:val="single" w:sz="4" w:space="0" w:color="000000"/>
              <w:bottom w:val="nil" w:sz="6" w:space="0" w:color="auto"/>
              <w:right w:val="single" w:sz="4" w:space="0" w:color="000000"/>
            </w:tcBorders>
          </w:tcPr>
          <w:p>
            <w:pPr>
              <w:pStyle w:val="TableParagraph"/>
              <w:spacing w:line="316"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固定 收益 产品</w:t>
            </w:r>
          </w:p>
        </w:tc>
        <w:tc>
          <w:tcPr>
            <w:tcW w:w="42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协议 确定</w:t>
            </w:r>
          </w:p>
        </w:tc>
        <w:tc>
          <w:tcPr>
            <w:tcW w:w="708"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-746.01</w:t>
            </w:r>
          </w:p>
        </w:tc>
        <w:tc>
          <w:tcPr>
            <w:tcW w:w="850"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未到期</w:t>
            </w:r>
          </w:p>
        </w:tc>
        <w:tc>
          <w:tcPr>
            <w:tcW w:w="708"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15"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不确定</w:t>
            </w:r>
          </w:p>
        </w:tc>
        <w:tc>
          <w:tcPr>
            <w:tcW w:w="3207" w:type="dxa"/>
            <w:tcBorders>
              <w:top w:val="single" w:sz="15" w:space="0" w:color="000000"/>
              <w:left w:val="single" w:sz="4" w:space="0" w:color="000000"/>
              <w:bottom w:val="nil" w:sz="6" w:space="0" w:color="auto"/>
              <w:right w:val="single" w:sz="4" w:space="0" w:color="000000"/>
            </w:tcBorders>
          </w:tcPr>
          <w:p>
            <w:pPr>
              <w:pStyle w:val="TableParagraph"/>
              <w:spacing w:line="309" w:lineRule="auto" w:before="11"/>
              <w:ind w:left="21" w:right="18"/>
              <w:jc w:val="both"/>
              <w:rPr>
                <w:rFonts w:ascii="宋体" w:hAnsi="宋体" w:cs="宋体" w:eastAsia="宋体" w:hint="default"/>
                <w:sz w:val="18"/>
                <w:szCs w:val="18"/>
              </w:rPr>
            </w:pPr>
            <w:r>
              <w:rPr>
                <w:rFonts w:ascii="宋体" w:hAnsi="宋体" w:cs="宋体" w:eastAsia="宋体" w:hint="default"/>
                <w:spacing w:val="-5"/>
                <w:sz w:val="18"/>
                <w:szCs w:val="18"/>
              </w:rPr>
              <w:t>登的《关于以自有资金参与集合资金信托</w:t>
            </w:r>
            <w:r>
              <w:rPr>
                <w:rFonts w:ascii="宋体" w:hAnsi="宋体" w:cs="宋体" w:eastAsia="宋体" w:hint="default"/>
                <w:sz w:val="18"/>
                <w:szCs w:val="18"/>
              </w:rPr>
              <w:t> </w:t>
            </w:r>
            <w:r>
              <w:rPr>
                <w:rFonts w:ascii="宋体" w:hAnsi="宋体" w:cs="宋体" w:eastAsia="宋体" w:hint="default"/>
                <w:spacing w:val="-5"/>
                <w:sz w:val="18"/>
                <w:szCs w:val="18"/>
              </w:rPr>
              <w:t>计划并可能涉及关联交易的公告》、</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日刊登的《</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w:t>
            </w:r>
          </w:p>
        </w:tc>
      </w:tr>
      <w:tr>
        <w:trPr>
          <w:trHeight w:val="67" w:hRule="exact"/>
        </w:trPr>
        <w:tc>
          <w:tcPr>
            <w:tcW w:w="81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41"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207" w:type="dxa"/>
            <w:vMerge w:val="restart"/>
            <w:tcBorders>
              <w:top w:val="nil" w:sz="6" w:space="0" w:color="auto"/>
              <w:left w:val="single" w:sz="4" w:space="0" w:color="000000"/>
              <w:right w:val="single" w:sz="4" w:space="0" w:color="000000"/>
            </w:tcBorders>
          </w:tcPr>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股东大会决议公告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65"/>
              <w:jc w:val="both"/>
              <w:rPr>
                <w:rFonts w:ascii="宋体" w:hAnsi="宋体" w:cs="宋体" w:eastAsia="宋体" w:hint="default"/>
                <w:sz w:val="18"/>
                <w:szCs w:val="18"/>
              </w:rPr>
            </w:pPr>
            <w:r>
              <w:rPr>
                <w:rFonts w:ascii="宋体" w:hAnsi="宋体" w:cs="宋体" w:eastAsia="宋体" w:hint="default"/>
                <w:sz w:val="18"/>
                <w:szCs w:val="18"/>
              </w:rPr>
              <w:t>国投泰康 信托有限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31"/>
              <w:jc w:val="left"/>
              <w:rPr>
                <w:rFonts w:ascii="宋体" w:hAnsi="宋体" w:cs="宋体" w:eastAsia="宋体" w:hint="default"/>
                <w:sz w:val="18"/>
                <w:szCs w:val="18"/>
              </w:rPr>
            </w:pPr>
            <w:r>
              <w:rPr>
                <w:rFonts w:ascii="宋体" w:hAnsi="宋体" w:cs="宋体" w:eastAsia="宋体" w:hint="default"/>
                <w:sz w:val="18"/>
                <w:szCs w:val="18"/>
              </w:rPr>
              <w:t>信托 机构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6" w:right="79"/>
              <w:jc w:val="both"/>
              <w:rPr>
                <w:rFonts w:ascii="宋体" w:hAnsi="宋体" w:cs="宋体" w:eastAsia="宋体" w:hint="default"/>
                <w:sz w:val="18"/>
                <w:szCs w:val="18"/>
              </w:rPr>
            </w:pPr>
            <w:r>
              <w:rPr>
                <w:rFonts w:ascii="宋体" w:hAnsi="宋体" w:cs="宋体" w:eastAsia="宋体" w:hint="default"/>
                <w:sz w:val="18"/>
                <w:szCs w:val="18"/>
              </w:rPr>
              <w:t>集合资 金信托 计划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
              <w:jc w:val="center"/>
              <w:rPr>
                <w:rFonts w:ascii="宋体" w:hAnsi="宋体" w:cs="宋体" w:eastAsia="宋体" w:hint="default"/>
                <w:sz w:val="18"/>
                <w:szCs w:val="18"/>
              </w:rPr>
            </w:pPr>
            <w:r>
              <w:rPr>
                <w:rFonts w:ascii="宋体" w:hAnsi="宋体" w:cs="宋体" w:eastAsia="宋体" w:hint="default"/>
                <w:sz w:val="18"/>
                <w:szCs w:val="18"/>
              </w:rPr>
              <w:t>自有</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5"/>
              <w:jc w:val="center"/>
              <w:rPr>
                <w:rFonts w:ascii="Times New Roman" w:hAnsi="Times New Roman" w:cs="Times New Roman" w:eastAsia="Times New Roman" w:hint="default"/>
                <w:sz w:val="18"/>
                <w:szCs w:val="18"/>
              </w:rPr>
            </w:pPr>
            <w:r>
              <w:rPr>
                <w:rFonts w:ascii="Times New Roman"/>
                <w:sz w:val="18"/>
              </w:rPr>
              <w:t>20171225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3"/>
              <w:jc w:val="center"/>
              <w:rPr>
                <w:rFonts w:ascii="Times New Roman" w:hAnsi="Times New Roman" w:cs="Times New Roman" w:eastAsia="Times New Roman" w:hint="default"/>
                <w:sz w:val="18"/>
                <w:szCs w:val="18"/>
              </w:rPr>
            </w:pPr>
            <w:r>
              <w:rPr>
                <w:rFonts w:ascii="Times New Roman"/>
                <w:sz w:val="18"/>
              </w:rPr>
              <w:t>20201224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固定 收益 产品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协议 确定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未到期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不确定</w:t>
            </w:r>
          </w:p>
        </w:tc>
        <w:tc>
          <w:tcPr>
            <w:tcW w:w="3207" w:type="dxa"/>
            <w:vMerge/>
            <w:tcBorders>
              <w:left w:val="single" w:sz="4" w:space="0" w:color="000000"/>
              <w:bottom w:val="single" w:sz="4" w:space="0" w:color="000000"/>
              <w:right w:val="single" w:sz="4" w:space="0" w:color="000000"/>
            </w:tcBorders>
          </w:tcPr>
          <w:p>
            <w:pPr/>
          </w:p>
        </w:tc>
      </w:tr>
      <w:tr>
        <w:trPr>
          <w:trHeight w:val="403" w:hRule="exact"/>
        </w:trPr>
        <w:tc>
          <w:tcPr>
            <w:tcW w:w="1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177,213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-2,874.64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26"/>
          <w:szCs w:val="26"/>
        </w:rPr>
      </w:pPr>
    </w:p>
    <w:p>
      <w:pPr>
        <w:pStyle w:val="BodyText"/>
        <w:tabs>
          <w:tab w:pos="12389" w:val="left" w:leader="none"/>
        </w:tabs>
        <w:spacing w:line="290" w:lineRule="auto" w:before="36"/>
        <w:ind w:left="520" w:right="210" w:hanging="421"/>
        <w:jc w:val="left"/>
      </w:pPr>
      <w:r>
        <w:rPr>
          <w:spacing w:val="-2"/>
        </w:rPr>
        <w:t>委托理财出现预期无法收回本金或存在其他可能导致减值的情形</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r>
        <w:rPr>
          <w:w w:val="100"/>
        </w:rPr>
        <w:t> </w:t>
      </w:r>
      <w:r>
        <w:rPr/>
        <w:t>公司认购了华润深国投信托有限公司担任管理人的三个集合资金信托计划次级份额 </w:t>
      </w:r>
      <w:r>
        <w:rPr>
          <w:rFonts w:ascii="Times New Roman" w:hAnsi="Times New Roman" w:cs="Times New Roman" w:eastAsia="Times New Roman" w:hint="default"/>
        </w:rPr>
        <w:t>24,493</w:t>
      </w:r>
      <w:r>
        <w:rPr>
          <w:rFonts w:ascii="Times New Roman" w:hAnsi="Times New Roman" w:cs="Times New Roman" w:eastAsia="Times New Roman" w:hint="default"/>
          <w:spacing w:val="-21"/>
        </w:rPr>
        <w:t> </w:t>
      </w:r>
      <w:r>
        <w:rPr/>
        <w:t>万元以及国投泰康信托有限公司担任管理人的集合资金信</w:t>
      </w:r>
    </w:p>
    <w:p>
      <w:pPr>
        <w:pStyle w:val="BodyText"/>
        <w:spacing w:line="263" w:lineRule="exact"/>
        <w:ind w:left="100" w:right="0"/>
        <w:jc w:val="both"/>
      </w:pPr>
      <w:r>
        <w:rPr/>
        <w:t>托计划次级份额</w:t>
      </w:r>
      <w:r>
        <w:rPr>
          <w:spacing w:val="-49"/>
        </w:rPr>
        <w:t> </w:t>
      </w:r>
      <w:r>
        <w:rPr>
          <w:rFonts w:ascii="Times New Roman" w:hAnsi="Times New Roman" w:cs="Times New Roman" w:eastAsia="Times New Roman" w:hint="default"/>
        </w:rPr>
        <w:t>5,220</w:t>
      </w:r>
      <w:r>
        <w:rPr>
          <w:rFonts w:ascii="Times New Roman" w:hAnsi="Times New Roman" w:cs="Times New Roman" w:eastAsia="Times New Roman" w:hint="default"/>
          <w:spacing w:val="-8"/>
        </w:rPr>
        <w:t> </w:t>
      </w:r>
      <w:r>
        <w:rPr/>
        <w:t>万元。上述四个集合资金信托计划合计持有</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胜通</w:t>
      </w:r>
      <w:r>
        <w:rPr>
          <w:spacing w:val="-48"/>
        </w:rPr>
        <w:t> </w:t>
      </w:r>
      <w:r>
        <w:rPr>
          <w:rFonts w:ascii="Times New Roman" w:hAnsi="Times New Roman" w:cs="Times New Roman" w:eastAsia="Times New Roman" w:hint="default"/>
        </w:rPr>
        <w:t>01”</w:t>
      </w:r>
      <w:r>
        <w:rPr/>
        <w:t>债券</w:t>
      </w:r>
      <w:r>
        <w:rPr>
          <w:spacing w:val="-49"/>
        </w:rPr>
        <w:t> </w:t>
      </w:r>
      <w:r>
        <w:rPr>
          <w:rFonts w:ascii="Times New Roman" w:hAnsi="Times New Roman" w:cs="Times New Roman" w:eastAsia="Times New Roman" w:hint="default"/>
        </w:rPr>
        <w:t>150</w:t>
      </w:r>
      <w:r>
        <w:rPr>
          <w:rFonts w:ascii="Times New Roman" w:hAnsi="Times New Roman" w:cs="Times New Roman" w:eastAsia="Times New Roman" w:hint="default"/>
          <w:spacing w:val="-11"/>
        </w:rPr>
        <w:t> </w:t>
      </w:r>
      <w:r>
        <w:rPr/>
        <w:t>万张，投资成本</w:t>
      </w:r>
      <w:r>
        <w:rPr>
          <w:spacing w:val="-49"/>
        </w:rPr>
        <w:t> </w:t>
      </w:r>
      <w:r>
        <w:rPr>
          <w:rFonts w:ascii="Times New Roman" w:hAnsi="Times New Roman" w:cs="Times New Roman" w:eastAsia="Times New Roman" w:hint="default"/>
        </w:rPr>
        <w:t>14,983.28</w:t>
      </w:r>
      <w:r>
        <w:rPr>
          <w:rFonts w:ascii="Times New Roman" w:hAnsi="Times New Roman" w:cs="Times New Roman" w:eastAsia="Times New Roman" w:hint="default"/>
          <w:spacing w:val="-8"/>
        </w:rPr>
        <w:t> </w:t>
      </w:r>
      <w:r>
        <w:rPr/>
        <w:t>万元；持有</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天物</w:t>
      </w:r>
      <w:r>
        <w:rPr>
          <w:spacing w:val="-51"/>
        </w:rPr>
        <w:t> </w:t>
      </w:r>
      <w:r>
        <w:rPr>
          <w:rFonts w:ascii="Times New Roman" w:hAnsi="Times New Roman" w:cs="Times New Roman" w:eastAsia="Times New Roman" w:hint="default"/>
        </w:rPr>
        <w:t>02”</w:t>
      </w:r>
      <w:r>
        <w:rPr/>
        <w:t>债券</w:t>
      </w:r>
      <w:r>
        <w:rPr>
          <w:spacing w:val="-49"/>
        </w:rPr>
        <w:t> </w:t>
      </w:r>
      <w:r>
        <w:rPr>
          <w:rFonts w:ascii="Times New Roman" w:hAnsi="Times New Roman" w:cs="Times New Roman" w:eastAsia="Times New Roman" w:hint="default"/>
        </w:rPr>
        <w:t>133</w:t>
      </w:r>
      <w:r>
        <w:rPr>
          <w:rFonts w:ascii="Times New Roman" w:hAnsi="Times New Roman" w:cs="Times New Roman" w:eastAsia="Times New Roman" w:hint="default"/>
          <w:spacing w:val="-8"/>
        </w:rPr>
        <w:t> </w:t>
      </w:r>
      <w:r>
        <w:rPr>
          <w:spacing w:val="-3"/>
        </w:rPr>
        <w:t>万张，</w:t>
      </w:r>
      <w:r>
        <w:rPr/>
      </w:r>
    </w:p>
    <w:p>
      <w:pPr>
        <w:pStyle w:val="BodyText"/>
        <w:spacing w:line="264" w:lineRule="auto" w:before="21"/>
        <w:ind w:left="100" w:right="210"/>
        <w:jc w:val="both"/>
      </w:pPr>
      <w:r>
        <w:rPr/>
        <w:t>投资成本</w:t>
      </w:r>
      <w:r>
        <w:rPr>
          <w:spacing w:val="-52"/>
        </w:rPr>
        <w:t> </w:t>
      </w:r>
      <w:r>
        <w:rPr>
          <w:rFonts w:ascii="Times New Roman" w:hAnsi="Times New Roman" w:cs="Times New Roman" w:eastAsia="Times New Roman" w:hint="default"/>
        </w:rPr>
        <w:t>13,389.84 </w:t>
      </w:r>
      <w:r>
        <w:rPr/>
        <w:t>万元。</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胜通</w:t>
      </w:r>
      <w:r>
        <w:rPr>
          <w:spacing w:val="-55"/>
        </w:rPr>
        <w:t> </w:t>
      </w:r>
      <w:r>
        <w:rPr>
          <w:rFonts w:ascii="Times New Roman" w:hAnsi="Times New Roman" w:cs="Times New Roman" w:eastAsia="Times New Roman" w:hint="default"/>
        </w:rPr>
        <w:t>01”</w:t>
      </w:r>
      <w:r>
        <w:rPr/>
        <w:t>发行人山东胜通集团股份有限公司进入破产重整程序，</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天物</w:t>
      </w:r>
      <w:r>
        <w:rPr>
          <w:spacing w:val="-52"/>
        </w:rPr>
        <w:t> </w:t>
      </w:r>
      <w:r>
        <w:rPr>
          <w:rFonts w:ascii="Times New Roman" w:hAnsi="Times New Roman" w:cs="Times New Roman" w:eastAsia="Times New Roman" w:hint="default"/>
        </w:rPr>
        <w:t>02”</w:t>
      </w:r>
      <w:r>
        <w:rPr/>
        <w:t>发行人天津物产能源资源发展有限公</w:t>
      </w:r>
      <w:r>
        <w:rPr>
          <w:w w:val="100"/>
        </w:rPr>
        <w:t> </w:t>
      </w:r>
      <w:r>
        <w:rPr>
          <w:spacing w:val="-4"/>
        </w:rPr>
        <w:t>司未如约兑付债券利息，构成实质性违约。公司将上述集合资金信托计划划分为以公允价值计量且其变动计入当期损益的金融资产进行核算，该等集合资</w:t>
      </w:r>
      <w:r>
        <w:rPr>
          <w:spacing w:val="35"/>
        </w:rPr>
        <w:t> </w:t>
      </w:r>
      <w:r>
        <w:rPr>
          <w:spacing w:val="35"/>
        </w:rPr>
      </w:r>
      <w:r>
        <w:rPr/>
        <w:t>金信托计划到期日介于</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w:t>
      </w:r>
      <w:r>
        <w:rPr>
          <w:spacing w:val="-53"/>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月之间，部分集合信托计划可能存在无法收回本金的风险。</w:t>
      </w:r>
    </w:p>
    <w:p>
      <w:pPr>
        <w:spacing w:line="240" w:lineRule="auto" w:before="9"/>
        <w:rPr>
          <w:rFonts w:ascii="宋体" w:hAnsi="宋体" w:cs="宋体" w:eastAsia="宋体" w:hint="default"/>
          <w:sz w:val="17"/>
          <w:szCs w:val="17"/>
        </w:rPr>
      </w:pPr>
    </w:p>
    <w:p>
      <w:pPr>
        <w:tabs>
          <w:tab w:pos="12392" w:val="left" w:leader="none"/>
        </w:tabs>
        <w:spacing w:before="0"/>
        <w:ind w:left="100" w:right="0" w:firstLine="0"/>
        <w:jc w:val="both"/>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w:t>
      </w: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）委托贷款情况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20" w:right="210"/>
        <w:jc w:val="left"/>
      </w:pPr>
      <w:r>
        <w:rPr/>
        <w:t>本集团报告期不存在委托贷款。</w:t>
      </w:r>
    </w:p>
    <w:p>
      <w:pPr>
        <w:spacing w:line="240" w:lineRule="auto" w:before="6"/>
        <w:rPr>
          <w:rFonts w:ascii="宋体" w:hAnsi="宋体" w:cs="宋体" w:eastAsia="宋体" w:hint="default"/>
          <w:sz w:val="20"/>
          <w:szCs w:val="20"/>
        </w:rPr>
      </w:pPr>
    </w:p>
    <w:p>
      <w:pPr>
        <w:tabs>
          <w:tab w:pos="12392" w:val="left" w:leader="none"/>
        </w:tabs>
        <w:spacing w:before="0"/>
        <w:ind w:left="10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、其他重大合同</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520" w:right="210"/>
        <w:jc w:val="left"/>
      </w:pPr>
      <w:r>
        <w:rPr/>
        <w:t>本集团报告期不存在其他重大合同。</w:t>
      </w:r>
    </w:p>
    <w:p>
      <w:pPr>
        <w:spacing w:after="0" w:line="240" w:lineRule="auto"/>
        <w:jc w:val="left"/>
        <w:sectPr>
          <w:pgSz w:w="16840" w:h="11910" w:orient="landscape"/>
          <w:pgMar w:header="867" w:footer="980" w:top="1060" w:bottom="1160" w:left="1340" w:right="122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十八、社会责任情况</w:t>
      </w:r>
      <w:r>
        <w:rPr>
          <w:b w:val="0"/>
          <w:bCs w:val="0"/>
        </w:rPr>
      </w:r>
    </w:p>
    <w:p>
      <w:pPr>
        <w:pStyle w:val="BodyText"/>
        <w:spacing w:line="612" w:lineRule="exact" w:before="54"/>
        <w:ind w:left="573" w:right="0" w:hanging="421"/>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、履行社会责任情况</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本集团恪守</w:t>
      </w:r>
      <w:r>
        <w:rPr>
          <w:rFonts w:ascii="Times New Roman" w:hAnsi="Times New Roman" w:cs="Times New Roman" w:eastAsia="Times New Roman" w:hint="default"/>
          <w:spacing w:val="-2"/>
        </w:rPr>
        <w:t>“</w:t>
      </w:r>
      <w:r>
        <w:rPr>
          <w:spacing w:val="-2"/>
        </w:rPr>
        <w:t>诚信、担当、包容、共赢</w:t>
      </w:r>
      <w:r>
        <w:rPr>
          <w:rFonts w:ascii="Times New Roman" w:hAnsi="Times New Roman" w:cs="Times New Roman" w:eastAsia="Times New Roman" w:hint="default"/>
          <w:spacing w:val="-2"/>
        </w:rPr>
        <w:t>”</w:t>
      </w:r>
      <w:r>
        <w:rPr>
          <w:spacing w:val="-2"/>
        </w:rPr>
        <w:t>的企业价值观，与股东和员工共享发展成果，与客户和伙伴共</w:t>
      </w:r>
    </w:p>
    <w:p>
      <w:pPr>
        <w:pStyle w:val="BodyText"/>
        <w:spacing w:line="219" w:lineRule="exact"/>
        <w:ind w:right="0"/>
        <w:jc w:val="left"/>
      </w:pPr>
      <w:r>
        <w:rPr/>
        <w:t>创卓越成就，与行业和社会共担责任使命。本集团将坚守金融报国之初心，践行企业社会责任，在精准扶</w:t>
      </w:r>
    </w:p>
    <w:p>
      <w:pPr>
        <w:pStyle w:val="BodyText"/>
        <w:spacing w:line="273" w:lineRule="auto" w:before="37"/>
        <w:ind w:left="0" w:right="1126"/>
        <w:jc w:val="right"/>
      </w:pPr>
      <w:r>
        <w:rPr>
          <w:spacing w:val="-7"/>
        </w:rPr>
        <w:t>贫、公益慈善、志愿服务等领域持续投入，心怀感恩，砥砺前行，在新时代助力国家昌盛、创造美好生活。</w:t>
      </w:r>
      <w:r>
        <w:rPr>
          <w:spacing w:val="-53"/>
        </w:rPr>
        <w:t> </w:t>
      </w:r>
      <w:r>
        <w:rPr>
          <w:spacing w:val="-53"/>
        </w:rPr>
      </w:r>
      <w:r>
        <w:rPr>
          <w:spacing w:val="-2"/>
        </w:rPr>
        <w:t>股东和债权人保护方面，报告期，本集团建立了较为完善的制度体系和法人治理结构，依法履行信息</w:t>
      </w:r>
      <w:r>
        <w:rPr>
          <w:w w:val="100"/>
        </w:rPr>
        <w:t> </w:t>
      </w:r>
      <w:r>
        <w:rPr>
          <w:spacing w:val="-2"/>
        </w:rPr>
        <w:t>披露义务，及时披露定期报告、临时公告及其他重大事项，充分保障中小股东的知情权。同时，通过股东</w:t>
      </w:r>
      <w:r>
        <w:rPr>
          <w:spacing w:val="-65"/>
        </w:rPr>
        <w:t> </w:t>
      </w:r>
      <w:r>
        <w:rPr>
          <w:spacing w:val="-65"/>
        </w:rPr>
      </w:r>
      <w:r>
        <w:rPr>
          <w:spacing w:val="-2"/>
        </w:rPr>
        <w:t>大会、业绩说明会、投资者关系互动平台、投资者服务专线电话等方式积极与投资者沟通交流，切实履行</w:t>
      </w:r>
    </w:p>
    <w:p>
      <w:pPr>
        <w:pStyle w:val="BodyText"/>
        <w:spacing w:line="273" w:lineRule="auto" w:before="7"/>
        <w:ind w:left="573" w:right="0" w:hanging="421"/>
        <w:jc w:val="left"/>
      </w:pPr>
      <w:r>
        <w:rPr/>
        <w:t>对股东、投资者的责任。</w:t>
      </w:r>
      <w:r>
        <w:rPr>
          <w:w w:val="100"/>
        </w:rPr>
        <w:t> </w:t>
      </w:r>
      <w:r>
        <w:rPr>
          <w:spacing w:val="-2"/>
        </w:rPr>
        <w:t>职工权益保护方面，本集团开展了覆盖全员的培训工作、员工团队建设活动，并为员工提供医疗保险</w:t>
      </w:r>
    </w:p>
    <w:p>
      <w:pPr>
        <w:pStyle w:val="BodyText"/>
        <w:spacing w:line="273" w:lineRule="auto" w:before="7"/>
        <w:ind w:left="573" w:right="0" w:hanging="421"/>
        <w:jc w:val="left"/>
      </w:pPr>
      <w:r>
        <w:rPr/>
        <w:t>保障、安全保障、午餐补贴等。</w:t>
      </w:r>
      <w:r>
        <w:rPr>
          <w:w w:val="100"/>
        </w:rPr>
        <w:t> </w:t>
      </w:r>
      <w:r>
        <w:rPr>
          <w:spacing w:val="-2"/>
        </w:rPr>
        <w:t>供应商及客户、消费者保护方面，本集团严格依法履约，保护各个利益相关方的权益。</w:t>
      </w:r>
      <w:r>
        <w:rPr>
          <w:rFonts w:ascii="Times New Roman" w:hAnsi="Times New Roman" w:cs="Times New Roman" w:eastAsia="Times New Roman" w:hint="default"/>
          <w:spacing w:val="-2"/>
        </w:rPr>
        <w:t>2019</w:t>
      </w:r>
      <w:r>
        <w:rPr>
          <w:spacing w:val="-2"/>
        </w:rPr>
        <w:t>年，集团</w:t>
      </w:r>
    </w:p>
    <w:p>
      <w:pPr>
        <w:pStyle w:val="BodyText"/>
        <w:spacing w:line="273" w:lineRule="auto"/>
        <w:ind w:right="0"/>
        <w:jc w:val="left"/>
      </w:pPr>
      <w:r>
        <w:rPr>
          <w:spacing w:val="-7"/>
        </w:rPr>
        <w:t>证券业务进一步优化客户服务中心工作，从制度、流程设计等环节，完善客户服务和消费者权益保护工作，</w:t>
      </w:r>
      <w:r>
        <w:rPr>
          <w:spacing w:val="-20"/>
        </w:rPr>
        <w:t> </w:t>
      </w:r>
      <w:r>
        <w:rPr>
          <w:spacing w:val="-20"/>
        </w:rPr>
      </w:r>
      <w:r>
        <w:rPr/>
        <w:t>提升客户满意度。</w:t>
      </w:r>
    </w:p>
    <w:p>
      <w:pPr>
        <w:pStyle w:val="BodyText"/>
        <w:spacing w:line="266" w:lineRule="auto" w:before="7"/>
        <w:ind w:right="1126" w:firstLine="420"/>
        <w:jc w:val="both"/>
      </w:pPr>
      <w:r>
        <w:rPr>
          <w:spacing w:val="-2"/>
        </w:rPr>
        <w:t>社会公益事业方面，本集团持续开展精准扶贫、公益慈善、志愿服务活动。</w:t>
      </w:r>
      <w:r>
        <w:rPr>
          <w:rFonts w:ascii="Times New Roman" w:hAnsi="Times New Roman" w:cs="Times New Roman" w:eastAsia="Times New Roman" w:hint="default"/>
          <w:spacing w:val="-2"/>
        </w:rPr>
        <w:t>2020</w:t>
      </w:r>
      <w:r>
        <w:rPr>
          <w:spacing w:val="-2"/>
        </w:rPr>
        <w:t>年初新冠肺炎疫情暴</w:t>
      </w:r>
      <w:r>
        <w:rPr>
          <w:w w:val="100"/>
        </w:rPr>
        <w:t> </w:t>
      </w:r>
      <w:r>
        <w:rPr>
          <w:spacing w:val="-2"/>
        </w:rPr>
        <w:t>发，本集团积极承担社会责任，采取各种措施切实保证员工和投资者健康安全。本集团证券业务竭力维护</w:t>
      </w:r>
      <w:r>
        <w:rPr>
          <w:spacing w:val="-44"/>
        </w:rPr>
        <w:t> </w:t>
      </w:r>
      <w:r>
        <w:rPr>
          <w:spacing w:val="-44"/>
        </w:rPr>
      </w:r>
      <w:r>
        <w:rPr>
          <w:spacing w:val="-2"/>
        </w:rPr>
        <w:t>金融系统的稳定，对春节休市延期影响的集中交易等</w:t>
      </w:r>
      <w:r>
        <w:rPr>
          <w:rFonts w:ascii="Times New Roman" w:hAnsi="Times New Roman" w:cs="Times New Roman" w:eastAsia="Times New Roman" w:hint="default"/>
          <w:spacing w:val="-2"/>
        </w:rPr>
        <w:t>31</w:t>
      </w:r>
      <w:r>
        <w:rPr>
          <w:spacing w:val="-2"/>
        </w:rPr>
        <w:t>套系统全力调整，保证开市当日运维零事故、延期</w:t>
      </w:r>
      <w:r>
        <w:rPr>
          <w:spacing w:val="-42"/>
        </w:rPr>
        <w:t> </w:t>
      </w:r>
      <w:r>
        <w:rPr>
          <w:spacing w:val="-42"/>
        </w:rPr>
      </w:r>
      <w:r>
        <w:rPr>
          <w:spacing w:val="-2"/>
        </w:rPr>
        <w:t>影响的交收业务准确无误。为进一步支持疫情防控工作，国盛证券及其子公司、员工合计向江西、湖北捐</w:t>
      </w:r>
      <w:r>
        <w:rPr>
          <w:spacing w:val="-47"/>
        </w:rPr>
        <w:t> </w:t>
      </w:r>
      <w:r>
        <w:rPr>
          <w:spacing w:val="-47"/>
        </w:rPr>
      </w:r>
      <w:r>
        <w:rPr>
          <w:spacing w:val="-7"/>
        </w:rPr>
        <w:t>款</w:t>
      </w:r>
      <w:r>
        <w:rPr>
          <w:rFonts w:ascii="Times New Roman" w:hAnsi="Times New Roman" w:cs="Times New Roman" w:eastAsia="Times New Roman" w:hint="default"/>
          <w:spacing w:val="-7"/>
        </w:rPr>
        <w:t>602.30</w:t>
      </w:r>
      <w:r>
        <w:rPr>
          <w:spacing w:val="-7"/>
        </w:rPr>
        <w:t>万元助力“战疫”，并通过各种渠道紧急采购医用防护服、护目镜、防护手套等紧缺防控物资</w:t>
      </w:r>
      <w:r>
        <w:rPr>
          <w:rFonts w:ascii="Times New Roman" w:hAnsi="Times New Roman" w:cs="Times New Roman" w:eastAsia="Times New Roman" w:hint="default"/>
          <w:spacing w:val="-7"/>
        </w:rPr>
        <w:t>12500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2"/>
        </w:rPr>
        <w:t>件（套），驰援抗疫一线。考虑到疫情客观上对部分企业的经营和现金流动造成了暂时性影响，为纾解相</w:t>
      </w:r>
      <w:r>
        <w:rPr>
          <w:spacing w:val="-43"/>
        </w:rPr>
        <w:t> </w:t>
      </w:r>
      <w:r>
        <w:rPr>
          <w:spacing w:val="-43"/>
        </w:rPr>
      </w:r>
      <w:r>
        <w:rPr>
          <w:spacing w:val="-2"/>
        </w:rPr>
        <w:t>关企业和个人的流动性困难，降低市场影响，国盛证券分类采取措施，对股票质押协议在疫情防控期间到</w:t>
      </w:r>
      <w:r>
        <w:rPr>
          <w:spacing w:val="-43"/>
        </w:rPr>
        <w:t> </w:t>
      </w:r>
      <w:r>
        <w:rPr>
          <w:spacing w:val="-43"/>
        </w:rPr>
      </w:r>
      <w:r>
        <w:rPr/>
        <w:t>期、还款出现困难的客户，根据其申请协助办理</w:t>
      </w:r>
      <w:r>
        <w:rPr>
          <w:rFonts w:ascii="Times New Roman" w:hAnsi="Times New Roman" w:cs="Times New Roman" w:eastAsia="Times New Roman" w:hint="default"/>
        </w:rPr>
        <w:t>3</w:t>
      </w:r>
      <w:r>
        <w:rPr/>
        <w:t>至</w:t>
      </w:r>
      <w:r>
        <w:rPr>
          <w:rFonts w:ascii="Times New Roman" w:hAnsi="Times New Roman" w:cs="Times New Roman" w:eastAsia="Times New Roman" w:hint="default"/>
        </w:rPr>
        <w:t>6</w:t>
      </w:r>
      <w:r>
        <w:rPr/>
        <w:t>个月的展期。</w:t>
      </w:r>
    </w:p>
    <w:p>
      <w:pPr>
        <w:spacing w:line="240" w:lineRule="auto" w:before="6"/>
        <w:rPr>
          <w:rFonts w:ascii="宋体" w:hAnsi="宋体" w:cs="宋体" w:eastAsia="宋体" w:hint="default"/>
          <w:sz w:val="17"/>
          <w:szCs w:val="17"/>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590" w:lineRule="atLeast" w:before="24"/>
        <w:ind w:left="573" w:right="4679"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）精准扶贫规划</w:t>
      </w:r>
      <w:r>
        <w:rPr>
          <w:rFonts w:ascii="Microsoft JhengHei" w:hAnsi="Microsoft JhengHei" w:cs="Microsoft JhengHei" w:eastAsia="Microsoft JhengHei" w:hint="default"/>
          <w:b/>
          <w:bCs/>
          <w:spacing w:val="-44"/>
          <w:sz w:val="21"/>
          <w:szCs w:val="21"/>
        </w:rPr>
        <w:t> </w:t>
      </w:r>
      <w:r>
        <w:rPr>
          <w:rFonts w:ascii="宋体" w:hAnsi="宋体" w:cs="宋体" w:eastAsia="宋体" w:hint="default"/>
          <w:spacing w:val="-2"/>
          <w:sz w:val="21"/>
          <w:szCs w:val="21"/>
        </w:rPr>
        <w:t>本集团证券业务积极开展精准扶贫工作，具体情况如下：</w:t>
      </w:r>
    </w:p>
    <w:p>
      <w:pPr>
        <w:pStyle w:val="BodyText"/>
        <w:spacing w:line="256" w:lineRule="auto" w:before="37"/>
        <w:ind w:right="1128" w:firstLine="420"/>
        <w:jc w:val="both"/>
      </w:pPr>
      <w:r>
        <w:rPr>
          <w:spacing w:val="-4"/>
        </w:rPr>
        <w:t>①基本方略：</w:t>
      </w:r>
      <w:r>
        <w:rPr>
          <w:rFonts w:ascii="Times New Roman" w:hAnsi="Times New Roman" w:cs="Times New Roman" w:eastAsia="Times New Roman" w:hint="default"/>
          <w:spacing w:val="-4"/>
        </w:rPr>
        <w:t>2019</w:t>
      </w:r>
      <w:r>
        <w:rPr>
          <w:spacing w:val="-4"/>
        </w:rPr>
        <w:t>年，国盛证券扶贫继续深入贯彻落实十九大报告提出的</w:t>
      </w:r>
      <w:r>
        <w:rPr>
          <w:rFonts w:ascii="Times New Roman" w:hAnsi="Times New Roman" w:cs="Times New Roman" w:eastAsia="Times New Roman" w:hint="default"/>
          <w:spacing w:val="-4"/>
        </w:rPr>
        <w:t>“</w:t>
      </w:r>
      <w:r>
        <w:rPr>
          <w:spacing w:val="-4"/>
        </w:rPr>
        <w:t>坚持精准扶贫、精准脱贫，</w:t>
      </w:r>
      <w:r>
        <w:rPr>
          <w:w w:val="100"/>
        </w:rPr>
        <w:t> </w:t>
      </w:r>
      <w:r>
        <w:rPr/>
        <w:t>脱真贫、真脱贫</w:t>
      </w:r>
      <w:r>
        <w:rPr>
          <w:rFonts w:ascii="Times New Roman" w:hAnsi="Times New Roman" w:cs="Times New Roman" w:eastAsia="Times New Roman" w:hint="default"/>
        </w:rPr>
        <w:t>”</w:t>
      </w:r>
      <w:r>
        <w:rPr/>
        <w:t>战略部署，主动提高政治站位，积极履行社会责任。</w:t>
      </w:r>
    </w:p>
    <w:p>
      <w:pPr>
        <w:pStyle w:val="BodyText"/>
        <w:spacing w:line="261" w:lineRule="auto" w:before="5"/>
        <w:ind w:right="1126" w:firstLine="420"/>
        <w:jc w:val="both"/>
      </w:pPr>
      <w:r>
        <w:rPr/>
        <w:t>②总体目标是：一是在赣州市于都县、寻乌县、南康区和上饶市横峰县推广复制国盛</w:t>
      </w:r>
      <w:r>
        <w:rPr>
          <w:rFonts w:ascii="Times New Roman" w:hAnsi="Times New Roman" w:cs="Times New Roman" w:eastAsia="Times New Roman" w:hint="default"/>
        </w:rPr>
        <w:t>“</w:t>
      </w:r>
      <w:r>
        <w:rPr>
          <w:rFonts w:ascii="Times New Roman" w:hAnsi="Times New Roman" w:cs="Times New Roman" w:eastAsia="Times New Roman" w:hint="default"/>
        </w:rPr>
        <w:t>1+X</w:t>
      </w:r>
      <w:r>
        <w:rPr>
          <w:rFonts w:ascii="Times New Roman" w:hAnsi="Times New Roman" w:cs="Times New Roman" w:eastAsia="Times New Roman" w:hint="default"/>
        </w:rPr>
        <w:t>”</w:t>
      </w:r>
      <w:r>
        <w:rPr/>
        <w:t>共享课堂</w:t>
      </w:r>
      <w:r>
        <w:rPr>
          <w:w w:val="100"/>
        </w:rPr>
        <w:t> </w:t>
      </w:r>
      <w:r>
        <w:rPr>
          <w:spacing w:val="-4"/>
        </w:rPr>
        <w:t>项目模式，覆盖农村小学达到</w:t>
      </w:r>
      <w:r>
        <w:rPr>
          <w:rFonts w:ascii="Times New Roman" w:hAnsi="Times New Roman" w:cs="Times New Roman" w:eastAsia="Times New Roman" w:hint="default"/>
          <w:spacing w:val="-4"/>
        </w:rPr>
        <w:t>100</w:t>
      </w:r>
      <w:r>
        <w:rPr>
          <w:spacing w:val="-4"/>
        </w:rPr>
        <w:t>余所，使得受益贫困学生数量逾万人；二是积极推进对接贫困县寻乌县、</w:t>
      </w:r>
      <w:r>
        <w:rPr>
          <w:spacing w:val="-48"/>
        </w:rPr>
        <w:t> </w:t>
      </w:r>
      <w:r>
        <w:rPr>
          <w:spacing w:val="-48"/>
        </w:rPr>
      </w:r>
      <w:r>
        <w:rPr>
          <w:spacing w:val="-2"/>
        </w:rPr>
        <w:t>于都县和横峰县</w:t>
      </w:r>
      <w:r>
        <w:rPr>
          <w:rFonts w:ascii="Times New Roman" w:hAnsi="Times New Roman" w:cs="Times New Roman" w:eastAsia="Times New Roman" w:hint="default"/>
          <w:spacing w:val="-2"/>
        </w:rPr>
        <w:t>“</w:t>
      </w:r>
      <w:r>
        <w:rPr>
          <w:spacing w:val="-2"/>
        </w:rPr>
        <w:t>国盛产业园</w:t>
      </w:r>
      <w:r>
        <w:rPr>
          <w:rFonts w:ascii="Times New Roman" w:hAnsi="Times New Roman" w:cs="Times New Roman" w:eastAsia="Times New Roman" w:hint="default"/>
          <w:spacing w:val="-2"/>
        </w:rPr>
        <w:t>”</w:t>
      </w:r>
      <w:r>
        <w:rPr>
          <w:spacing w:val="-2"/>
        </w:rPr>
        <w:t>项目建设，不仅能为当地农民提供就业机会，带动贫困户就业，同时也能让</w:t>
      </w:r>
      <w:r>
        <w:rPr>
          <w:spacing w:val="-21"/>
        </w:rPr>
        <w:t> </w:t>
      </w:r>
      <w:r>
        <w:rPr>
          <w:spacing w:val="-21"/>
        </w:rPr>
      </w:r>
      <w:r>
        <w:rPr>
          <w:spacing w:val="-3"/>
        </w:rPr>
        <w:t>贫困户学习了相关果树的种植技术，为当地贫困户每年每户可增收</w:t>
      </w:r>
      <w:r>
        <w:rPr>
          <w:rFonts w:ascii="Times New Roman" w:hAnsi="Times New Roman" w:cs="Times New Roman" w:eastAsia="Times New Roman" w:hint="default"/>
          <w:spacing w:val="-3"/>
        </w:rPr>
        <w:t>1,900</w:t>
      </w:r>
      <w:r>
        <w:rPr>
          <w:spacing w:val="-3"/>
        </w:rPr>
        <w:t>余元；三是计划消费</w:t>
      </w:r>
      <w:r>
        <w:rPr>
          <w:rFonts w:ascii="Times New Roman" w:hAnsi="Times New Roman" w:cs="Times New Roman" w:eastAsia="Times New Roman" w:hint="default"/>
          <w:spacing w:val="-3"/>
        </w:rPr>
        <w:t>70</w:t>
      </w:r>
      <w:r>
        <w:rPr>
          <w:spacing w:val="-3"/>
        </w:rPr>
        <w:t>万元向对接</w:t>
      </w:r>
      <w:r>
        <w:rPr>
          <w:spacing w:val="-41"/>
        </w:rPr>
        <w:t> </w:t>
      </w:r>
      <w:r>
        <w:rPr>
          <w:spacing w:val="-41"/>
        </w:rPr>
      </w:r>
      <w:r>
        <w:rPr>
          <w:spacing w:val="-2"/>
        </w:rPr>
        <w:t>贫困县寻乌县、于都县和横峰县集中采购特色农产品，发放至公司全国各区域网点，在助力消费扶贫的同</w:t>
      </w:r>
      <w:r>
        <w:rPr>
          <w:spacing w:val="-43"/>
        </w:rPr>
        <w:t> </w:t>
      </w:r>
      <w:r>
        <w:rPr>
          <w:spacing w:val="-43"/>
        </w:rPr>
      </w:r>
      <w:r>
        <w:rPr/>
        <w:t>时，为当地特色农产品进行宣传、推广。</w:t>
      </w:r>
    </w:p>
    <w:p>
      <w:pPr>
        <w:pStyle w:val="BodyText"/>
        <w:spacing w:line="273" w:lineRule="auto" w:before="18"/>
        <w:ind w:right="1126" w:firstLine="420"/>
        <w:jc w:val="both"/>
      </w:pPr>
      <w:r>
        <w:rPr>
          <w:spacing w:val="-2"/>
        </w:rPr>
        <w:t>③主要任务：一是重点复制推广国盛证券特色教育扶贫项目，让更多边远地区贫困学生受益；二是深</w:t>
      </w:r>
      <w:r>
        <w:rPr>
          <w:w w:val="100"/>
        </w:rPr>
        <w:t> </w:t>
      </w:r>
      <w:r>
        <w:rPr>
          <w:spacing w:val="-2"/>
        </w:rPr>
        <w:t>化结对扶贫县产业扶贫项目，以当地特色农产品为切入口，培育特色农产品种植基地，扩大生产规模，帮</w:t>
      </w:r>
      <w:r>
        <w:rPr>
          <w:spacing w:val="-47"/>
        </w:rPr>
        <w:t> </w:t>
      </w:r>
      <w:r>
        <w:rPr>
          <w:spacing w:val="-47"/>
        </w:rPr>
      </w:r>
      <w:r>
        <w:rPr>
          <w:spacing w:val="-2"/>
        </w:rPr>
        <w:t>助当地农户增加收入，激发当地脱贫攻坚的内生动力，推动当地扶贫产业进一步发展；三是继续加大消费</w:t>
      </w:r>
      <w:r>
        <w:rPr>
          <w:spacing w:val="-43"/>
        </w:rPr>
        <w:t> </w:t>
      </w:r>
      <w:r>
        <w:rPr>
          <w:spacing w:val="-43"/>
        </w:rPr>
      </w:r>
      <w:r>
        <w:rPr/>
        <w:t>扶贫力度，持续为当地消费扶贫助力。</w:t>
      </w:r>
    </w:p>
    <w:p>
      <w:pPr>
        <w:pStyle w:val="BodyText"/>
        <w:spacing w:line="256" w:lineRule="auto" w:before="8"/>
        <w:ind w:right="1126" w:firstLine="420"/>
        <w:jc w:val="both"/>
      </w:pPr>
      <w:r>
        <w:rPr>
          <w:spacing w:val="-2"/>
        </w:rPr>
        <w:t>④保障措施：年初国盛证券已将</w:t>
      </w:r>
      <w:r>
        <w:rPr>
          <w:rFonts w:ascii="Times New Roman" w:hAnsi="Times New Roman" w:cs="Times New Roman" w:eastAsia="Times New Roman" w:hint="default"/>
          <w:spacing w:val="-2"/>
        </w:rPr>
        <w:t>2019</w:t>
      </w:r>
      <w:r>
        <w:rPr>
          <w:spacing w:val="-2"/>
        </w:rPr>
        <w:t>年精准扶贫项目资金列入预算，扶贫办和对接贫困县均有专职扶</w:t>
      </w:r>
      <w:r>
        <w:rPr>
          <w:w w:val="100"/>
        </w:rPr>
        <w:t> </w:t>
      </w:r>
      <w:r>
        <w:rPr>
          <w:spacing w:val="-2"/>
        </w:rPr>
        <w:t>贫人员，重点督促和跟踪扶贫资金使用和扶贫项目进展，确保精准扶贫项目落地开花，真正为当地老百姓</w:t>
      </w:r>
    </w:p>
    <w:p>
      <w:pPr>
        <w:spacing w:after="0" w:line="256" w:lineRule="auto"/>
        <w:jc w:val="both"/>
        <w:sectPr>
          <w:headerReference w:type="default" r:id="rId28"/>
          <w:footerReference w:type="default" r:id="rId29"/>
          <w:pgSz w:w="11910" w:h="16840"/>
          <w:pgMar w:header="877" w:footer="979" w:top="1100" w:bottom="1160" w:left="980" w:right="0"/>
          <w:pgNumType w:start="55"/>
        </w:sectPr>
      </w:pPr>
    </w:p>
    <w:p>
      <w:pPr>
        <w:spacing w:line="240" w:lineRule="auto" w:before="12"/>
        <w:rPr>
          <w:rFonts w:ascii="宋体" w:hAnsi="宋体" w:cs="宋体" w:eastAsia="宋体" w:hint="default"/>
          <w:sz w:val="20"/>
          <w:szCs w:val="20"/>
        </w:rPr>
      </w:pPr>
    </w:p>
    <w:p>
      <w:pPr>
        <w:pStyle w:val="BodyText"/>
        <w:spacing w:line="240" w:lineRule="auto" w:before="36"/>
        <w:ind w:right="0"/>
        <w:jc w:val="both"/>
      </w:pPr>
      <w:r>
        <w:rPr/>
        <w:t>办实事，助力当地脱贫攻坚战。</w:t>
      </w:r>
    </w:p>
    <w:p>
      <w:pPr>
        <w:spacing w:line="590" w:lineRule="atLeast" w:before="46"/>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）年度精准扶贫概要</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报告期内，本集团积极开展教育帮扶、项目帮扶、产业帮扶、公益帮扶、基建与消费帮扶等一系列工</w:t>
      </w:r>
    </w:p>
    <w:p>
      <w:pPr>
        <w:pStyle w:val="BodyText"/>
        <w:spacing w:line="240" w:lineRule="auto" w:before="37"/>
        <w:ind w:right="0"/>
        <w:jc w:val="both"/>
      </w:pPr>
      <w:r>
        <w:rPr/>
        <w:t>作。</w:t>
      </w:r>
    </w:p>
    <w:p>
      <w:pPr>
        <w:pStyle w:val="BodyText"/>
        <w:spacing w:line="240" w:lineRule="auto" w:before="37"/>
        <w:ind w:left="573" w:right="0"/>
        <w:jc w:val="left"/>
      </w:pPr>
      <w:r>
        <w:rPr/>
        <w:t>①教育扶贫</w:t>
      </w:r>
    </w:p>
    <w:p>
      <w:pPr>
        <w:pStyle w:val="BodyText"/>
        <w:spacing w:line="264" w:lineRule="auto" w:before="37"/>
        <w:ind w:right="1126" w:firstLine="420"/>
        <w:jc w:val="both"/>
      </w:pPr>
      <w:r>
        <w:rPr>
          <w:rFonts w:ascii="Times New Roman" w:hAnsi="Times New Roman" w:cs="Times New Roman" w:eastAsia="Times New Roman" w:hint="default"/>
          <w:spacing w:val="-4"/>
        </w:rPr>
        <w:t>2019</w:t>
      </w:r>
      <w:r>
        <w:rPr>
          <w:spacing w:val="-4"/>
        </w:rPr>
        <w:t>年，为提升当地教育水平，国盛证券捐赠</w:t>
      </w:r>
      <w:r>
        <w:rPr>
          <w:rFonts w:ascii="Times New Roman" w:hAnsi="Times New Roman" w:cs="Times New Roman" w:eastAsia="Times New Roman" w:hint="default"/>
          <w:spacing w:val="-4"/>
        </w:rPr>
        <w:t>168</w:t>
      </w:r>
      <w:r>
        <w:rPr>
          <w:spacing w:val="-4"/>
        </w:rPr>
        <w:t>万元在上饶横峰县和赣州南康区成功复制建设“国盛</w:t>
      </w:r>
      <w:r>
        <w:rPr>
          <w:w w:val="100"/>
        </w:rPr>
        <w:t> </w:t>
      </w:r>
      <w:r>
        <w:rPr>
          <w:spacing w:val="-2"/>
        </w:rPr>
        <w:t>证券</w:t>
      </w:r>
      <w:r>
        <w:rPr>
          <w:rFonts w:ascii="Times New Roman" w:hAnsi="Times New Roman" w:cs="Times New Roman" w:eastAsia="Times New Roman" w:hint="default"/>
          <w:spacing w:val="-2"/>
        </w:rPr>
        <w:t>1+X</w:t>
      </w:r>
      <w:r>
        <w:rPr>
          <w:spacing w:val="-2"/>
        </w:rPr>
        <w:t>共享课堂”项目，项目顺利完工，受益贫困学生</w:t>
      </w:r>
      <w:r>
        <w:rPr>
          <w:rFonts w:ascii="Times New Roman" w:hAnsi="Times New Roman" w:cs="Times New Roman" w:eastAsia="Times New Roman" w:hint="default"/>
          <w:spacing w:val="-2"/>
        </w:rPr>
        <w:t>2,900</w:t>
      </w:r>
      <w:r>
        <w:rPr>
          <w:spacing w:val="-2"/>
        </w:rPr>
        <w:t>余人；拟在赣州市于都县、寻乌县再广大复</w:t>
      </w:r>
      <w:r>
        <w:rPr>
          <w:spacing w:val="-49"/>
        </w:rPr>
        <w:t> </w:t>
      </w:r>
      <w:r>
        <w:rPr>
          <w:spacing w:val="-49"/>
        </w:rPr>
      </w:r>
      <w:r>
        <w:rPr>
          <w:spacing w:val="-2"/>
        </w:rPr>
        <w:t>制，年底项目已中标启动，更大范围解决了偏远地区缺师少教的问题，缩小城乡教育鸿沟，促进教育公平</w:t>
      </w:r>
      <w:r>
        <w:rPr>
          <w:spacing w:val="-50"/>
        </w:rPr>
        <w:t> </w:t>
      </w:r>
      <w:r>
        <w:rPr>
          <w:spacing w:val="-50"/>
        </w:rPr>
      </w:r>
      <w:r>
        <w:rPr>
          <w:spacing w:val="-2"/>
        </w:rPr>
        <w:t>和均衡发展，打通教育扶贫“最后一公里”。国盛证券捐款</w:t>
      </w:r>
      <w:r>
        <w:rPr>
          <w:rFonts w:ascii="Times New Roman" w:hAnsi="Times New Roman" w:cs="Times New Roman" w:eastAsia="Times New Roman" w:hint="default"/>
          <w:spacing w:val="-2"/>
        </w:rPr>
        <w:t>50</w:t>
      </w:r>
      <w:r>
        <w:rPr>
          <w:spacing w:val="-2"/>
        </w:rPr>
        <w:t>万元与上交所、江西证监局合作开展“互联</w:t>
      </w:r>
      <w:r>
        <w:rPr>
          <w:spacing w:val="-39"/>
        </w:rPr>
        <w:t> </w:t>
      </w:r>
      <w:r>
        <w:rPr>
          <w:spacing w:val="-39"/>
        </w:rPr>
      </w:r>
      <w:r>
        <w:rPr>
          <w:spacing w:val="-2"/>
        </w:rPr>
        <w:t>网教育精准扶贫”项目，目前覆盖赣州市于都县梓山镇、银坑镇、禾丰镇和寻乌县澄江镇、南桥镇、留车</w:t>
      </w:r>
      <w:r>
        <w:rPr>
          <w:spacing w:val="-42"/>
        </w:rPr>
        <w:t> </w:t>
      </w:r>
      <w:r>
        <w:rPr>
          <w:spacing w:val="-42"/>
        </w:rPr>
      </w:r>
      <w:r>
        <w:rPr>
          <w:spacing w:val="-2"/>
        </w:rPr>
        <w:t>镇、丹溪乡等七所中心小学下辖</w:t>
      </w:r>
      <w:r>
        <w:rPr>
          <w:rFonts w:ascii="Times New Roman" w:hAnsi="Times New Roman" w:cs="Times New Roman" w:eastAsia="Times New Roman" w:hint="default"/>
          <w:spacing w:val="-2"/>
        </w:rPr>
        <w:t>130</w:t>
      </w:r>
      <w:r>
        <w:rPr>
          <w:spacing w:val="-2"/>
        </w:rPr>
        <w:t>所贫困村小、</w:t>
      </w:r>
      <w:r>
        <w:rPr>
          <w:rFonts w:ascii="Times New Roman" w:hAnsi="Times New Roman" w:cs="Times New Roman" w:eastAsia="Times New Roman" w:hint="default"/>
          <w:spacing w:val="-2"/>
        </w:rPr>
        <w:t>800</w:t>
      </w:r>
      <w:r>
        <w:rPr>
          <w:spacing w:val="-2"/>
        </w:rPr>
        <w:t>个班，受益教师</w:t>
      </w:r>
      <w:r>
        <w:rPr>
          <w:rFonts w:ascii="Times New Roman" w:hAnsi="Times New Roman" w:cs="Times New Roman" w:eastAsia="Times New Roman" w:hint="default"/>
          <w:spacing w:val="-2"/>
        </w:rPr>
        <w:t>1,000</w:t>
      </w:r>
      <w:r>
        <w:rPr>
          <w:spacing w:val="-2"/>
        </w:rPr>
        <w:t>余人，学生</w:t>
      </w:r>
      <w:r>
        <w:rPr>
          <w:rFonts w:ascii="Times New Roman" w:hAnsi="Times New Roman" w:cs="Times New Roman" w:eastAsia="Times New Roman" w:hint="default"/>
          <w:spacing w:val="-2"/>
        </w:rPr>
        <w:t>17,000</w:t>
      </w:r>
      <w:r>
        <w:rPr>
          <w:spacing w:val="-2"/>
        </w:rPr>
        <w:t>余人。通过互</w:t>
      </w:r>
      <w:r>
        <w:rPr>
          <w:spacing w:val="-28"/>
        </w:rPr>
        <w:t> </w:t>
      </w:r>
      <w:r>
        <w:rPr>
          <w:spacing w:val="-28"/>
        </w:rPr>
      </w:r>
      <w:r>
        <w:rPr>
          <w:spacing w:val="-2"/>
        </w:rPr>
        <w:t>联网直播课堂可实现名师课堂的远程在线直播，能轻松将优秀资源大范围辐射，解决教育资源匮乏地区的</w:t>
      </w:r>
      <w:r>
        <w:rPr>
          <w:spacing w:val="-44"/>
        </w:rPr>
        <w:t> </w:t>
      </w:r>
      <w:r>
        <w:rPr>
          <w:spacing w:val="-44"/>
        </w:rPr>
      </w:r>
      <w:r>
        <w:rPr/>
        <w:t>“缺师少教”“课程开设不齐”等难题，真正从根源上解决教育资源不均衡发展的实际问题。</w:t>
      </w:r>
    </w:p>
    <w:p>
      <w:pPr>
        <w:pStyle w:val="BodyText"/>
        <w:spacing w:line="273" w:lineRule="auto" w:before="16"/>
        <w:ind w:left="573" w:right="1150"/>
        <w:jc w:val="left"/>
      </w:pPr>
      <w:r>
        <w:rPr/>
        <w:t>②产业扶贫</w:t>
      </w:r>
      <w:r>
        <w:rPr>
          <w:spacing w:val="-102"/>
        </w:rPr>
        <w:t> </w:t>
      </w:r>
      <w:r>
        <w:rPr>
          <w:spacing w:val="-102"/>
        </w:rPr>
      </w:r>
      <w:r>
        <w:rPr/>
        <w:t>输血</w:t>
      </w:r>
      <w:r>
        <w:rPr>
          <w:rFonts w:ascii="Times New Roman" w:hAnsi="Times New Roman" w:cs="Times New Roman" w:eastAsia="Times New Roman" w:hint="default"/>
        </w:rPr>
        <w:t>+</w:t>
      </w:r>
      <w:r>
        <w:rPr/>
        <w:t>造血，产业扶贫有序推进，不断想办法为当地群众提升自身发展能力。</w:t>
      </w:r>
      <w:r>
        <w:rPr>
          <w:rFonts w:ascii="Times New Roman" w:hAnsi="Times New Roman" w:cs="Times New Roman" w:eastAsia="Times New Roman" w:hint="default"/>
        </w:rPr>
        <w:t>2019</w:t>
      </w:r>
      <w:r>
        <w:rPr/>
        <w:t>年，国盛证券捐赠</w:t>
      </w:r>
    </w:p>
    <w:p>
      <w:pPr>
        <w:pStyle w:val="BodyText"/>
        <w:spacing w:line="264" w:lineRule="auto"/>
        <w:ind w:right="1126"/>
        <w:jc w:val="both"/>
      </w:pPr>
      <w:r>
        <w:rPr>
          <w:rFonts w:ascii="Times New Roman" w:hAnsi="Times New Roman" w:cs="Times New Roman" w:eastAsia="Times New Roman" w:hint="default"/>
          <w:spacing w:val="-5"/>
        </w:rPr>
        <w:t>120</w:t>
      </w:r>
      <w:r>
        <w:rPr>
          <w:spacing w:val="-5"/>
        </w:rPr>
        <w:t>万元积极推进结对帮扶点赣州市寻乌县、于都县和上饶市横峰县“国盛产业帮扶园”项目建设，帮扶种</w:t>
      </w:r>
      <w:r>
        <w:rPr>
          <w:spacing w:val="-6"/>
        </w:rPr>
        <w:t> </w:t>
      </w:r>
      <w:r>
        <w:rPr>
          <w:spacing w:val="-6"/>
        </w:rPr>
      </w:r>
      <w:r>
        <w:rPr>
          <w:spacing w:val="-9"/>
        </w:rPr>
        <w:t>植</w:t>
      </w:r>
      <w:r>
        <w:rPr>
          <w:rFonts w:ascii="Times New Roman" w:hAnsi="Times New Roman" w:cs="Times New Roman" w:eastAsia="Times New Roman" w:hint="default"/>
          <w:spacing w:val="-9"/>
        </w:rPr>
        <w:t>160</w:t>
      </w:r>
      <w:r>
        <w:rPr>
          <w:spacing w:val="-9"/>
        </w:rPr>
        <w:t>余亩地，由合作社基地为贫困户提供务工、技术学习和分红。基地主要种植油菜、灵芝、石参、桃树、</w:t>
      </w:r>
      <w:r>
        <w:rPr>
          <w:spacing w:val="-17"/>
        </w:rPr>
        <w:t> </w:t>
      </w:r>
      <w:r>
        <w:rPr>
          <w:spacing w:val="-17"/>
        </w:rPr>
      </w:r>
      <w:r>
        <w:rPr>
          <w:spacing w:val="-2"/>
        </w:rPr>
        <w:t>覆盆子、八月瓜、无花果，产品主销售渠道稳定，项目技术成熟，不仅能为当地提供就业机会，带动贫困</w:t>
      </w:r>
      <w:r>
        <w:rPr>
          <w:spacing w:val="-42"/>
        </w:rPr>
        <w:t> </w:t>
      </w:r>
      <w:r>
        <w:rPr>
          <w:spacing w:val="-42"/>
        </w:rPr>
      </w:r>
      <w:r>
        <w:rPr>
          <w:spacing w:val="-2"/>
        </w:rPr>
        <w:t>户就业，同时也能让贫困户学习了相关果树的种植技术，为脱贫致富打下了良好基础；产业园种植情况总</w:t>
      </w:r>
      <w:r>
        <w:rPr>
          <w:spacing w:val="-44"/>
        </w:rPr>
        <w:t> </w:t>
      </w:r>
      <w:r>
        <w:rPr>
          <w:spacing w:val="-44"/>
        </w:rPr>
      </w:r>
      <w:r>
        <w:rPr/>
        <w:t>体良好，当地贫困户每年分红达</w:t>
      </w:r>
      <w:r>
        <w:rPr>
          <w:rFonts w:ascii="Times New Roman" w:hAnsi="Times New Roman" w:cs="Times New Roman" w:eastAsia="Times New Roman" w:hint="default"/>
        </w:rPr>
        <w:t>1,900</w:t>
      </w:r>
      <w:r>
        <w:rPr/>
        <w:t>元。</w:t>
      </w:r>
    </w:p>
    <w:p>
      <w:pPr>
        <w:pStyle w:val="BodyText"/>
        <w:spacing w:line="256" w:lineRule="auto"/>
        <w:ind w:right="1126" w:firstLine="420"/>
        <w:jc w:val="both"/>
      </w:pPr>
      <w:r>
        <w:rPr>
          <w:spacing w:val="-2"/>
        </w:rPr>
        <w:t>本集团通过采购贫困地区农产品等支持其农业产业发展，</w:t>
      </w:r>
      <w:r>
        <w:rPr>
          <w:rFonts w:ascii="Times New Roman" w:hAnsi="Times New Roman" w:cs="Times New Roman" w:eastAsia="Times New Roman" w:hint="default"/>
          <w:spacing w:val="-2"/>
        </w:rPr>
        <w:t>2019</w:t>
      </w:r>
      <w:r>
        <w:rPr>
          <w:spacing w:val="-2"/>
        </w:rPr>
        <w:t>年，公司通过桃花源生态保护基金会采</w:t>
      </w:r>
      <w:r>
        <w:rPr>
          <w:w w:val="100"/>
        </w:rPr>
        <w:t> </w:t>
      </w:r>
      <w:r>
        <w:rPr>
          <w:spacing w:val="-5"/>
        </w:rPr>
        <w:t>购黄山九龙峰地区的生态大米、四川老河沟地区的蜂蜜、花生，陕西富平的柿饼等农产品，合计金额</w:t>
      </w:r>
      <w:r>
        <w:rPr>
          <w:rFonts w:ascii="Times New Roman" w:hAnsi="Times New Roman" w:cs="Times New Roman" w:eastAsia="Times New Roman" w:hint="default"/>
          <w:spacing w:val="-5"/>
        </w:rPr>
        <w:t>63,175</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5"/>
        </w:rPr>
        <w:t>元。国盛证券投入</w:t>
      </w:r>
      <w:r>
        <w:rPr>
          <w:rFonts w:ascii="Times New Roman" w:hAnsi="Times New Roman" w:cs="Times New Roman" w:eastAsia="Times New Roman" w:hint="default"/>
          <w:spacing w:val="-5"/>
        </w:rPr>
        <w:t>100</w:t>
      </w:r>
      <w:r>
        <w:rPr>
          <w:spacing w:val="-5"/>
        </w:rPr>
        <w:t>万元向寻乌县和于都县、南康区、横峰县集中采购当地特色产品，发放至公司全国各</w:t>
      </w:r>
      <w:r>
        <w:rPr>
          <w:spacing w:val="-8"/>
        </w:rPr>
        <w:t> </w:t>
      </w:r>
      <w:r>
        <w:rPr>
          <w:spacing w:val="-8"/>
        </w:rPr>
      </w:r>
      <w:r>
        <w:rPr/>
        <w:t>区域网点，在助力农产品销售的同时，为当地特色农产品进行宣传、推广。</w:t>
      </w:r>
    </w:p>
    <w:p>
      <w:pPr>
        <w:pStyle w:val="BodyText"/>
        <w:spacing w:line="273" w:lineRule="auto" w:before="22"/>
        <w:ind w:left="573" w:right="1150"/>
        <w:jc w:val="left"/>
      </w:pPr>
      <w:r>
        <w:rPr/>
        <w:t>③基建扶贫</w:t>
      </w:r>
      <w:r>
        <w:rPr>
          <w:spacing w:val="-102"/>
        </w:rPr>
        <w:t> </w:t>
      </w:r>
      <w:r>
        <w:rPr>
          <w:spacing w:val="-102"/>
        </w:rPr>
      </w:r>
      <w:r>
        <w:rPr>
          <w:spacing w:val="-2"/>
        </w:rPr>
        <w:t>国盛证券捐款</w:t>
      </w:r>
      <w:r>
        <w:rPr>
          <w:rFonts w:ascii="Times New Roman" w:hAnsi="Times New Roman" w:cs="Times New Roman" w:eastAsia="Times New Roman" w:hint="default"/>
          <w:spacing w:val="-2"/>
        </w:rPr>
        <w:t>40</w:t>
      </w:r>
      <w:r>
        <w:rPr>
          <w:spacing w:val="-2"/>
        </w:rPr>
        <w:t>万元支持赣州宁都县城源村“国盛桥”扶贫项目，切实解决了当地老百姓和学生出行</w:t>
      </w:r>
    </w:p>
    <w:p>
      <w:pPr>
        <w:pStyle w:val="BodyText"/>
        <w:spacing w:line="256" w:lineRule="auto"/>
        <w:ind w:right="0"/>
        <w:jc w:val="left"/>
      </w:pPr>
      <w:r>
        <w:rPr/>
        <w:t>难、出行险的难题；捐款</w:t>
      </w:r>
      <w:r>
        <w:rPr>
          <w:rFonts w:ascii="Times New Roman" w:hAnsi="Times New Roman" w:cs="Times New Roman" w:eastAsia="Times New Roman" w:hint="default"/>
        </w:rPr>
        <w:t>50</w:t>
      </w:r>
      <w:r>
        <w:rPr/>
        <w:t>万元帮助寻乌县中坑村建设便民服务中心、村民活动室、农家书屋和电商店，</w:t>
      </w:r>
      <w:r>
        <w:rPr>
          <w:spacing w:val="-22"/>
        </w:rPr>
        <w:t> </w:t>
      </w:r>
      <w:r>
        <w:rPr>
          <w:spacing w:val="-22"/>
        </w:rPr>
      </w:r>
      <w:r>
        <w:rPr/>
        <w:t>不断改善当地服务场所，提升当地村风村貌。</w:t>
      </w:r>
    </w:p>
    <w:p>
      <w:pPr>
        <w:pStyle w:val="BodyText"/>
        <w:spacing w:line="273" w:lineRule="auto" w:before="22"/>
        <w:ind w:left="573" w:right="1150"/>
        <w:jc w:val="left"/>
      </w:pPr>
      <w:r>
        <w:rPr/>
        <w:t>④消费扶贫</w:t>
      </w:r>
      <w:r>
        <w:rPr>
          <w:spacing w:val="-102"/>
        </w:rPr>
        <w:t> </w:t>
      </w:r>
      <w:r>
        <w:rPr>
          <w:spacing w:val="-102"/>
        </w:rPr>
      </w:r>
      <w:r>
        <w:rPr>
          <w:spacing w:val="-2"/>
        </w:rPr>
        <w:t>国盛证券发挥自身网点优势，面向结对帮扶点赣州寻乌县持续助力脐橙销售和上饶横峰县当地贫困户</w:t>
      </w:r>
    </w:p>
    <w:p>
      <w:pPr>
        <w:pStyle w:val="BodyText"/>
        <w:spacing w:line="240" w:lineRule="auto" w:before="8"/>
        <w:ind w:right="0"/>
        <w:jc w:val="both"/>
      </w:pPr>
      <w:r>
        <w:rPr/>
        <w:t>进行农产品葛粉集中收购，采购总额</w:t>
      </w:r>
      <w:r>
        <w:rPr>
          <w:rFonts w:ascii="Times New Roman" w:hAnsi="Times New Roman" w:cs="Times New Roman" w:eastAsia="Times New Roman" w:hint="default"/>
        </w:rPr>
        <w:t>50</w:t>
      </w:r>
      <w:r>
        <w:rPr/>
        <w:t>余万元，面向赣州南康区采购办公家具价值约</w:t>
      </w:r>
      <w:r>
        <w:rPr>
          <w:rFonts w:ascii="Times New Roman" w:hAnsi="Times New Roman" w:cs="Times New Roman" w:eastAsia="Times New Roman" w:hint="default"/>
        </w:rPr>
        <w:t>20</w:t>
      </w:r>
      <w:r>
        <w:rPr/>
        <w:t>余万元。</w:t>
      </w:r>
    </w:p>
    <w:p>
      <w:pPr>
        <w:pStyle w:val="BodyText"/>
        <w:spacing w:line="240" w:lineRule="auto" w:before="21"/>
        <w:ind w:left="573" w:right="0"/>
        <w:jc w:val="left"/>
      </w:pPr>
      <w:r>
        <w:rPr/>
        <w:t>⑤公益扶贫</w:t>
      </w:r>
    </w:p>
    <w:p>
      <w:pPr>
        <w:pStyle w:val="BodyText"/>
        <w:spacing w:line="256" w:lineRule="auto" w:before="37"/>
        <w:ind w:right="1023" w:firstLine="420"/>
        <w:jc w:val="both"/>
      </w:pPr>
      <w:r>
        <w:rPr>
          <w:rFonts w:ascii="Times New Roman" w:hAnsi="Times New Roman" w:cs="Times New Roman" w:eastAsia="Times New Roman" w:hint="default"/>
        </w:rPr>
        <w:t>2019</w:t>
      </w:r>
      <w:r>
        <w:rPr/>
        <w:t>年，本集团积极开展生态保护扶贫工作，参与腾讯</w:t>
      </w:r>
      <w:r>
        <w:rPr>
          <w:rFonts w:ascii="Times New Roman" w:hAnsi="Times New Roman" w:cs="Times New Roman" w:eastAsia="Times New Roman" w:hint="default"/>
        </w:rPr>
        <w:t>99</w:t>
      </w:r>
      <w:r>
        <w:rPr/>
        <w:t>公益日活动、向云南省绿色环境发展基金会</w:t>
      </w:r>
      <w:r>
        <w:rPr>
          <w:w w:val="100"/>
        </w:rPr>
        <w:t> </w:t>
      </w:r>
      <w:r>
        <w:rPr/>
        <w:t>捐赠</w:t>
      </w:r>
      <w:r>
        <w:rPr>
          <w:rFonts w:ascii="Times New Roman" w:hAnsi="Times New Roman" w:cs="Times New Roman" w:eastAsia="Times New Roman" w:hint="default"/>
        </w:rPr>
        <w:t>10</w:t>
      </w:r>
      <w:r>
        <w:rPr/>
        <w:t>万元用于野生大熊猫保护、向桃花源生态保护基金会的</w:t>
      </w:r>
      <w:r>
        <w:rPr>
          <w:rFonts w:ascii="Times New Roman" w:hAnsi="Times New Roman" w:cs="Times New Roman" w:eastAsia="Times New Roman" w:hint="default"/>
        </w:rPr>
        <w:t>“</w:t>
      </w:r>
      <w:r>
        <w:rPr/>
        <w:t>黄山九龙峰自然保护地项目</w:t>
      </w:r>
      <w:r>
        <w:rPr>
          <w:rFonts w:ascii="Times New Roman" w:hAnsi="Times New Roman" w:cs="Times New Roman" w:eastAsia="Times New Roman" w:hint="default"/>
        </w:rPr>
        <w:t>”</w:t>
      </w:r>
      <w:r>
        <w:rPr/>
        <w:t>捐赠</w:t>
      </w:r>
      <w:r>
        <w:rPr>
          <w:rFonts w:ascii="Times New Roman" w:hAnsi="Times New Roman" w:cs="Times New Roman" w:eastAsia="Times New Roman" w:hint="default"/>
        </w:rPr>
        <w:t>40</w:t>
      </w:r>
      <w:r>
        <w:rPr/>
        <w:t>万元用</w:t>
      </w:r>
      <w:r>
        <w:rPr>
          <w:spacing w:val="-3"/>
          <w:w w:val="100"/>
        </w:rPr>
        <w:t> </w:t>
      </w:r>
      <w:r>
        <w:rPr>
          <w:spacing w:val="-2"/>
        </w:rPr>
        <w:t>于黄山九龙峰自然环境保护、向桃花源生态保护基金会捐赠</w:t>
      </w:r>
      <w:r>
        <w:rPr>
          <w:rFonts w:ascii="Times New Roman" w:hAnsi="Times New Roman" w:cs="Times New Roman" w:eastAsia="Times New Roman" w:hint="default"/>
          <w:spacing w:val="-2"/>
        </w:rPr>
        <w:t>5</w:t>
      </w:r>
      <w:r>
        <w:rPr>
          <w:spacing w:val="-2"/>
        </w:rPr>
        <w:t>万元用于其开展自然知识科普教育公益活动。</w:t>
      </w:r>
    </w:p>
    <w:p>
      <w:pPr>
        <w:pStyle w:val="BodyText"/>
        <w:spacing w:line="256" w:lineRule="auto" w:before="5"/>
        <w:ind w:right="1126" w:firstLine="420"/>
        <w:jc w:val="both"/>
      </w:pPr>
      <w:r>
        <w:rPr>
          <w:rFonts w:ascii="Times New Roman" w:hAnsi="Times New Roman" w:cs="Times New Roman" w:eastAsia="Times New Roman" w:hint="default"/>
          <w:spacing w:val="-2"/>
        </w:rPr>
        <w:t>2019</w:t>
      </w:r>
      <w:r>
        <w:rPr>
          <w:spacing w:val="-2"/>
        </w:rPr>
        <w:t>年，本集团志愿者团队多次以慰问、捐赠的形式助力老区人民脱贫脱困。春节期间，国盛证券组</w:t>
      </w:r>
      <w:r>
        <w:rPr>
          <w:w w:val="100"/>
        </w:rPr>
        <w:t> </w:t>
      </w:r>
      <w:r>
        <w:rPr>
          <w:spacing w:val="-2"/>
        </w:rPr>
        <w:t>织走访慰问赣州市寻乌县、于都县贫困户活动，送去价值</w:t>
      </w:r>
      <w:r>
        <w:rPr>
          <w:rFonts w:ascii="Times New Roman" w:hAnsi="Times New Roman" w:cs="Times New Roman" w:eastAsia="Times New Roman" w:hint="default"/>
          <w:spacing w:val="-2"/>
        </w:rPr>
        <w:t>10</w:t>
      </w:r>
      <w:r>
        <w:rPr>
          <w:spacing w:val="-2"/>
        </w:rPr>
        <w:t>万元慰问品；年内本集团共组织</w:t>
      </w:r>
      <w:r>
        <w:rPr>
          <w:rFonts w:ascii="Times New Roman" w:hAnsi="Times New Roman" w:cs="Times New Roman" w:eastAsia="Times New Roman" w:hint="default"/>
          <w:spacing w:val="-2"/>
        </w:rPr>
        <w:t>4</w:t>
      </w:r>
      <w:r>
        <w:rPr>
          <w:spacing w:val="-2"/>
        </w:rPr>
        <w:t>批</w:t>
      </w:r>
      <w:r>
        <w:rPr>
          <w:rFonts w:ascii="Times New Roman" w:hAnsi="Times New Roman" w:cs="Times New Roman" w:eastAsia="Times New Roman" w:hint="default"/>
          <w:spacing w:val="-2"/>
        </w:rPr>
        <w:t>120</w:t>
      </w:r>
      <w:r>
        <w:rPr>
          <w:spacing w:val="-2"/>
        </w:rPr>
        <w:t>余名志</w:t>
      </w:r>
      <w:r>
        <w:rPr>
          <w:spacing w:val="-39"/>
        </w:rPr>
        <w:t> </w:t>
      </w:r>
      <w:r>
        <w:rPr>
          <w:spacing w:val="-39"/>
        </w:rPr>
      </w:r>
      <w:r>
        <w:rPr>
          <w:spacing w:val="-5"/>
        </w:rPr>
        <w:t>愿者赴于都县梓山镇中心小学，共捐赠</w:t>
      </w:r>
      <w:r>
        <w:rPr>
          <w:rFonts w:ascii="Times New Roman" w:hAnsi="Times New Roman" w:cs="Times New Roman" w:eastAsia="Times New Roman" w:hint="default"/>
          <w:spacing w:val="-5"/>
        </w:rPr>
        <w:t>5</w:t>
      </w:r>
      <w:r>
        <w:rPr>
          <w:spacing w:val="-5"/>
        </w:rPr>
        <w:t>万余元开展主题为“大手牵小手，爱心伴童年”的公益助学活动。</w:t>
      </w:r>
    </w:p>
    <w:p>
      <w:pPr>
        <w:pStyle w:val="BodyText"/>
        <w:spacing w:line="240" w:lineRule="auto" w:before="5"/>
        <w:ind w:left="573" w:right="0"/>
        <w:jc w:val="left"/>
      </w:pPr>
      <w:r>
        <w:rPr/>
        <w:t>⑥生态保护扶贫</w:t>
      </w:r>
    </w:p>
    <w:p>
      <w:pPr>
        <w:pStyle w:val="BodyText"/>
        <w:spacing w:line="240" w:lineRule="auto" w:before="37"/>
        <w:ind w:left="573" w:right="0"/>
        <w:jc w:val="left"/>
      </w:pPr>
      <w:r>
        <w:rPr>
          <w:rFonts w:ascii="Times New Roman" w:hAnsi="Times New Roman" w:cs="Times New Roman" w:eastAsia="Times New Roman" w:hint="default"/>
        </w:rPr>
        <w:t>2019</w:t>
      </w:r>
      <w:r>
        <w:rPr/>
        <w:t>年，国盛证券向云南省红河县捐赠</w:t>
      </w:r>
      <w:r>
        <w:rPr>
          <w:rFonts w:ascii="Times New Roman" w:hAnsi="Times New Roman" w:cs="Times New Roman" w:eastAsia="Times New Roman" w:hint="default"/>
        </w:rPr>
        <w:t>100</w:t>
      </w:r>
      <w:r>
        <w:rPr/>
        <w:t>万元，用于推动当地扶贫综合农旅项目开发建设。</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left="152"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5070"/>
        <w:gridCol w:w="1702"/>
        <w:gridCol w:w="2797"/>
      </w:tblGrid>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指标</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计量单位</w:t>
            </w:r>
            <w:r>
              <w:rPr>
                <w:rFonts w:ascii="Microsoft JhengHei" w:hAnsi="Microsoft JhengHei" w:cs="Microsoft JhengHei" w:eastAsia="Microsoft JhengHei" w:hint="default"/>
                <w:sz w:val="21"/>
                <w:szCs w:val="21"/>
              </w:rPr>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7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开展情况</w:t>
            </w:r>
            <w:r>
              <w:rPr>
                <w:rFonts w:ascii="Microsoft JhengHei" w:hAnsi="Microsoft JhengHei" w:cs="Microsoft JhengHei" w:eastAsia="Microsoft JhengHei" w:hint="default"/>
                <w:sz w:val="21"/>
                <w:szCs w:val="21"/>
              </w:rPr>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tabs>
                <w:tab w:pos="1075" w:val="left" w:leader="none"/>
              </w:tabs>
              <w:spacing w:line="240" w:lineRule="auto" w:before="28"/>
              <w:ind w:left="235" w:right="0"/>
              <w:jc w:val="left"/>
              <w:rPr>
                <w:rFonts w:ascii="宋体" w:hAnsi="宋体" w:cs="宋体" w:eastAsia="宋体" w:hint="default"/>
                <w:sz w:val="21"/>
                <w:szCs w:val="21"/>
              </w:rPr>
            </w:pPr>
            <w:r>
              <w:rPr>
                <w:rFonts w:ascii="宋体" w:hAnsi="宋体" w:cs="宋体" w:eastAsia="宋体" w:hint="default"/>
                <w:spacing w:val="-1"/>
                <w:sz w:val="21"/>
                <w:szCs w:val="21"/>
              </w:rPr>
              <w:t>其中：</w:t>
              <w:tab/>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资金</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701.3</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物资折款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12</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产业发展脱贫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tabs>
                <w:tab w:pos="1075"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tab/>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产业发展脱贫项目类型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3" w:right="0"/>
              <w:jc w:val="left"/>
              <w:rPr>
                <w:rFonts w:ascii="宋体" w:hAnsi="宋体" w:cs="宋体" w:eastAsia="宋体" w:hint="default"/>
                <w:sz w:val="21"/>
                <w:szCs w:val="21"/>
              </w:rPr>
            </w:pPr>
            <w:r>
              <w:rPr>
                <w:rFonts w:ascii="宋体" w:hAnsi="宋体" w:cs="宋体" w:eastAsia="宋体" w:hint="default"/>
                <w:sz w:val="21"/>
                <w:szCs w:val="21"/>
              </w:rPr>
              <w:t>农林产业扶贫</w:t>
            </w:r>
          </w:p>
        </w:tc>
      </w:tr>
      <w:tr>
        <w:trPr>
          <w:trHeight w:val="40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产业发展脱贫项目个数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个</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产业发展脱贫项目投入金额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326.3</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转移就业脱贫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易地搬迁脱贫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教育扶贫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改善贫困地区教育资源投入金额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218</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健康扶贫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生态保护扶贫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tabs>
                <w:tab w:pos="1075"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tab/>
            </w:r>
            <w:r>
              <w:rPr>
                <w:rFonts w:ascii="Times New Roman" w:hAnsi="Times New Roman" w:cs="Times New Roman" w:eastAsia="Times New Roman" w:hint="default"/>
                <w:sz w:val="21"/>
                <w:szCs w:val="21"/>
              </w:rPr>
              <w:t>6.1 </w:t>
            </w:r>
            <w:r>
              <w:rPr>
                <w:rFonts w:ascii="宋体" w:hAnsi="宋体" w:cs="宋体" w:eastAsia="宋体" w:hint="default"/>
                <w:sz w:val="21"/>
                <w:szCs w:val="21"/>
              </w:rPr>
              <w:t>项目类型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8" w:right="0"/>
              <w:jc w:val="left"/>
              <w:rPr>
                <w:rFonts w:ascii="宋体" w:hAnsi="宋体" w:cs="宋体" w:eastAsia="宋体" w:hint="default"/>
                <w:sz w:val="21"/>
                <w:szCs w:val="21"/>
              </w:rPr>
            </w:pPr>
            <w:r>
              <w:rPr>
                <w:rFonts w:ascii="宋体" w:hAnsi="宋体" w:cs="宋体" w:eastAsia="宋体" w:hint="default"/>
                <w:sz w:val="21"/>
                <w:szCs w:val="21"/>
              </w:rPr>
              <w:t>开展生态保护与建设</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 </w:t>
            </w:r>
            <w:r>
              <w:rPr>
                <w:rFonts w:ascii="宋体" w:hAnsi="宋体" w:cs="宋体" w:eastAsia="宋体" w:hint="default"/>
                <w:sz w:val="21"/>
                <w:szCs w:val="21"/>
              </w:rPr>
              <w:t>投入金额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55</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兜底保障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社会扶贫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定点扶贫工作投入金额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90</w:t>
            </w:r>
          </w:p>
        </w:tc>
      </w:tr>
      <w:tr>
        <w:trPr>
          <w:trHeight w:val="40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国盛证券获评江西证监局、江西证券期货业协会扶贫工作先进单位</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left="152" w:right="0"/>
        <w:jc w:val="both"/>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64" w:lineRule="auto"/>
        <w:ind w:right="1126" w:firstLine="420"/>
        <w:jc w:val="both"/>
      </w:pPr>
      <w:r>
        <w:rPr>
          <w:rFonts w:ascii="Times New Roman" w:hAnsi="Times New Roman" w:cs="Times New Roman" w:eastAsia="Times New Roman" w:hint="default"/>
          <w:spacing w:val="-2"/>
        </w:rPr>
        <w:t>2020</w:t>
      </w:r>
      <w:r>
        <w:rPr>
          <w:spacing w:val="-2"/>
        </w:rPr>
        <w:t>年，是全国脱贫攻坚的收官之年，本集团将继续按照党中央的有关精神和证监会的部署要求，进</w:t>
      </w:r>
      <w:r>
        <w:rPr>
          <w:w w:val="100"/>
        </w:rPr>
        <w:t> </w:t>
      </w:r>
      <w:r>
        <w:rPr>
          <w:spacing w:val="-2"/>
        </w:rPr>
        <w:t>一步贯彻落实易会满主席在证券基金行业文化建设动员大会重要讲话精神，全力以赴，在精准扶贫、公益</w:t>
      </w:r>
      <w:r>
        <w:rPr>
          <w:spacing w:val="-43"/>
        </w:rPr>
        <w:t> </w:t>
      </w:r>
      <w:r>
        <w:rPr>
          <w:spacing w:val="-43"/>
        </w:rPr>
      </w:r>
      <w:r>
        <w:rPr/>
        <w:t>慈善等方面下功夫。各项工作计划如下：</w:t>
      </w:r>
    </w:p>
    <w:p>
      <w:pPr>
        <w:pStyle w:val="BodyText"/>
        <w:spacing w:line="256" w:lineRule="auto" w:before="16"/>
        <w:ind w:left="573" w:right="0"/>
        <w:jc w:val="left"/>
      </w:pPr>
      <w:r>
        <w:rPr/>
        <w:t>①加大教育帮扶力度，继续推广复制</w:t>
      </w:r>
      <w:r>
        <w:rPr>
          <w:rFonts w:ascii="Times New Roman" w:hAnsi="Times New Roman" w:cs="Times New Roman" w:eastAsia="Times New Roman" w:hint="default"/>
        </w:rPr>
        <w:t>“1+X”</w:t>
      </w:r>
      <w:r>
        <w:rPr/>
        <w:t>共享课堂模式项目。</w:t>
      </w:r>
      <w:r>
        <w:rPr>
          <w:w w:val="100"/>
        </w:rPr>
        <w:t> </w:t>
      </w:r>
      <w:r>
        <w:rPr/>
        <w:t>国盛</w:t>
      </w:r>
      <w:r>
        <w:rPr>
          <w:rFonts w:ascii="Times New Roman" w:hAnsi="Times New Roman" w:cs="Times New Roman" w:eastAsia="Times New Roman" w:hint="default"/>
        </w:rPr>
        <w:t>“1+X”</w:t>
      </w:r>
      <w:r>
        <w:rPr/>
        <w:t>共享课堂项目在赣州市于都县梓山中心小学的开启，在赣州市南康区隆木乡上饶市横峰县</w:t>
      </w:r>
    </w:p>
    <w:p>
      <w:pPr>
        <w:pStyle w:val="BodyText"/>
        <w:spacing w:line="256" w:lineRule="auto" w:before="5"/>
        <w:ind w:right="1128"/>
        <w:jc w:val="both"/>
      </w:pPr>
      <w:r>
        <w:rPr>
          <w:spacing w:val="-2"/>
        </w:rPr>
        <w:t>龙畈乡推广复制，获得了监管部门、媒体和当地教育部门的充分认可和一致好评。</w:t>
      </w:r>
      <w:r>
        <w:rPr>
          <w:rFonts w:ascii="Times New Roman" w:hAnsi="Times New Roman" w:cs="Times New Roman" w:eastAsia="Times New Roman" w:hint="default"/>
          <w:spacing w:val="-2"/>
        </w:rPr>
        <w:t>2020</w:t>
      </w:r>
      <w:r>
        <w:rPr>
          <w:spacing w:val="-2"/>
        </w:rPr>
        <w:t>年，将继续在于都</w:t>
      </w:r>
      <w:r>
        <w:rPr>
          <w:spacing w:val="-43"/>
        </w:rPr>
        <w:t> </w:t>
      </w:r>
      <w:r>
        <w:rPr>
          <w:spacing w:val="-43"/>
        </w:rPr>
      </w:r>
      <w:r>
        <w:rPr>
          <w:spacing w:val="-1"/>
        </w:rPr>
        <w:t>县、寻乌县复制推广国盛</w:t>
      </w:r>
      <w:r>
        <w:rPr>
          <w:rFonts w:ascii="Times New Roman" w:hAnsi="Times New Roman" w:cs="Times New Roman" w:eastAsia="Times New Roman" w:hint="default"/>
          <w:spacing w:val="-1"/>
        </w:rPr>
        <w:t>“1+X”</w:t>
      </w:r>
      <w:r>
        <w:rPr>
          <w:spacing w:val="-1"/>
        </w:rPr>
        <w:t>共享课堂项目模式，促进项目形成连片化，规模化，让更多的优质教学资</w:t>
      </w:r>
      <w:r>
        <w:rPr>
          <w:spacing w:val="-11"/>
        </w:rPr>
        <w:t> </w:t>
      </w:r>
      <w:r>
        <w:rPr>
          <w:spacing w:val="-11"/>
        </w:rPr>
      </w:r>
      <w:r>
        <w:rPr/>
        <w:t>源可通过互联网通讯技术被分享至更多学校、更多教室及更多学生。</w:t>
      </w:r>
    </w:p>
    <w:p>
      <w:pPr>
        <w:pStyle w:val="BodyText"/>
        <w:spacing w:line="273" w:lineRule="auto" w:before="23"/>
        <w:ind w:left="573" w:right="0"/>
        <w:jc w:val="left"/>
      </w:pPr>
      <w:r>
        <w:rPr/>
        <w:t>②培育造血机制，稳步推进国盛产业园建设</w:t>
      </w:r>
      <w:r>
        <w:rPr>
          <w:w w:val="100"/>
        </w:rPr>
        <w:t> </w:t>
      </w:r>
      <w:r>
        <w:rPr>
          <w:spacing w:val="-2"/>
        </w:rPr>
        <w:t>继续在扶贫县建设帮扶产业基地，打造“国盛帮扶产业园”，以当地特色农产品为切入口，培育特色</w:t>
      </w:r>
    </w:p>
    <w:p>
      <w:pPr>
        <w:spacing w:after="0" w:line="27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1131"/>
        <w:jc w:val="both"/>
      </w:pPr>
      <w:r>
        <w:rPr>
          <w:spacing w:val="-2"/>
        </w:rPr>
        <w:t>农产品种植基地，扩大生产规模，推动打造特色化的农产品生产、销售一体化发展平台建设，培育当地农</w:t>
      </w:r>
      <w:r>
        <w:rPr>
          <w:spacing w:val="-49"/>
        </w:rPr>
        <w:t> </w:t>
      </w:r>
      <w:r>
        <w:rPr>
          <w:spacing w:val="-49"/>
        </w:rPr>
      </w:r>
      <w:r>
        <w:rPr/>
        <w:t>户造血机能，帮助当地农户增加收入，实现脱贫致富，为当地产业发展持续助力。</w:t>
      </w:r>
    </w:p>
    <w:p>
      <w:pPr>
        <w:pStyle w:val="BodyText"/>
        <w:spacing w:line="273" w:lineRule="auto" w:before="7"/>
        <w:ind w:left="573" w:right="0"/>
        <w:jc w:val="left"/>
      </w:pPr>
      <w:r>
        <w:rPr/>
        <w:t>③开展志愿者活动，继续践行公益扶贫</w:t>
      </w:r>
      <w:r>
        <w:rPr>
          <w:w w:val="100"/>
        </w:rPr>
        <w:t> </w:t>
      </w:r>
      <w:r>
        <w:rPr>
          <w:spacing w:val="-7"/>
        </w:rPr>
        <w:t>继续组织志愿者公益爱心活动，让更多志愿者参与到活动中来，共同传递文明，奉献爱心，助力扶贫、</w:t>
      </w:r>
    </w:p>
    <w:p>
      <w:pPr>
        <w:pStyle w:val="BodyText"/>
        <w:spacing w:line="240" w:lineRule="auto" w:before="7"/>
        <w:ind w:right="0"/>
        <w:jc w:val="both"/>
      </w:pPr>
      <w:r>
        <w:rPr/>
        <w:t>环保等公益事业。</w:t>
      </w:r>
    </w:p>
    <w:p>
      <w:pPr>
        <w:pStyle w:val="BodyText"/>
        <w:spacing w:line="273" w:lineRule="auto" w:before="37"/>
        <w:ind w:left="573" w:right="0"/>
        <w:jc w:val="left"/>
      </w:pPr>
      <w:r>
        <w:rPr/>
        <w:t>④助销特色农产品，持续助力消费扶贫</w:t>
      </w:r>
      <w:r>
        <w:rPr>
          <w:w w:val="100"/>
        </w:rPr>
        <w:t> </w:t>
      </w:r>
      <w:r>
        <w:rPr>
          <w:spacing w:val="-2"/>
        </w:rPr>
        <w:t>继续做好消费扶贫工作，发挥网点优势，面向横峰、于都、寻乌等结对帮扶点开展特色农产品集中采</w:t>
      </w:r>
    </w:p>
    <w:p>
      <w:pPr>
        <w:pStyle w:val="BodyText"/>
        <w:spacing w:line="240" w:lineRule="auto" w:before="7"/>
        <w:ind w:right="0"/>
        <w:jc w:val="both"/>
      </w:pPr>
      <w:r>
        <w:rPr/>
        <w:t>购活动，助销当地特色农产品。</w:t>
      </w:r>
    </w:p>
    <w:p>
      <w:pPr>
        <w:pStyle w:val="BodyText"/>
        <w:spacing w:line="256" w:lineRule="auto" w:before="37"/>
        <w:ind w:left="573" w:right="0"/>
        <w:jc w:val="left"/>
      </w:pPr>
      <w:r>
        <w:rPr/>
        <w:t>⑤响应</w:t>
      </w:r>
      <w:r>
        <w:rPr>
          <w:rFonts w:ascii="Times New Roman" w:hAnsi="Times New Roman" w:cs="Times New Roman" w:eastAsia="Times New Roman" w:hint="default"/>
        </w:rPr>
        <w:t>“</w:t>
      </w:r>
      <w:r>
        <w:rPr/>
        <w:t>映山红行动</w:t>
      </w:r>
      <w:r>
        <w:rPr>
          <w:rFonts w:ascii="Times New Roman" w:hAnsi="Times New Roman" w:cs="Times New Roman" w:eastAsia="Times New Roman" w:hint="default"/>
        </w:rPr>
        <w:t>”</w:t>
      </w:r>
      <w:r>
        <w:rPr/>
        <w:t>，积极推动金融扶贫</w:t>
      </w:r>
      <w:r>
        <w:rPr>
          <w:w w:val="100"/>
        </w:rPr>
        <w:t> </w:t>
      </w:r>
      <w:r>
        <w:rPr>
          <w:spacing w:val="-2"/>
        </w:rPr>
        <w:t>推进落实项目收益债、企业债发行工作，推动赣州于都县和上饶横峰县项目收益债发行工作。</w:t>
      </w:r>
    </w:p>
    <w:p>
      <w:pPr>
        <w:spacing w:line="240" w:lineRule="auto" w:before="8"/>
        <w:rPr>
          <w:rFonts w:ascii="宋体" w:hAnsi="宋体" w:cs="宋体" w:eastAsia="宋体" w:hint="default"/>
          <w:sz w:val="19"/>
          <w:szCs w:val="19"/>
        </w:rPr>
      </w:pPr>
    </w:p>
    <w:p>
      <w:pPr>
        <w:pStyle w:val="Heading4"/>
        <w:spacing w:line="240" w:lineRule="auto"/>
        <w:ind w:left="152"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tabs>
          <w:tab w:pos="9502" w:val="left" w:leader="none"/>
        </w:tabs>
        <w:spacing w:line="307" w:lineRule="auto"/>
        <w:ind w:left="573" w:right="1150" w:hanging="421"/>
        <w:jc w:val="left"/>
      </w:pPr>
      <w:r>
        <w:rPr>
          <w:spacing w:val="-2"/>
        </w:rPr>
        <w:t>上市公司及其子公司是否属于环境保护部门公布的重点排污单位</w:t>
        <w:tab/>
      </w:r>
      <w:r>
        <w:rPr/>
        <w:t>否</w:t>
      </w:r>
      <w:r>
        <w:rPr>
          <w:w w:val="100"/>
        </w:rPr>
        <w:t> </w:t>
      </w:r>
      <w:r>
        <w:rPr>
          <w:spacing w:val="-7"/>
        </w:rPr>
        <w:t>本集团报告期从事证券、投资、金融科技业务，不涉及重大环保问题。本集团严格遵循《环境保护法》</w:t>
      </w:r>
    </w:p>
    <w:p>
      <w:pPr>
        <w:pStyle w:val="BodyText"/>
        <w:spacing w:line="253" w:lineRule="exact"/>
        <w:ind w:right="0"/>
        <w:jc w:val="both"/>
      </w:pPr>
      <w:r>
        <w:rPr/>
        <w:t>《节约能源法》等法律法规，始终将绿色经营贯穿于经营管理全过程中，在经营的各个方面注重绿色环保</w:t>
      </w:r>
    </w:p>
    <w:p>
      <w:pPr>
        <w:pStyle w:val="BodyText"/>
        <w:spacing w:line="264" w:lineRule="auto" w:before="37"/>
        <w:ind w:right="1126"/>
        <w:jc w:val="both"/>
      </w:pPr>
      <w:r>
        <w:rPr>
          <w:spacing w:val="-7"/>
        </w:rPr>
        <w:t>的经营理念，以实现可持续增长，达到社会、环境、经济效益的有机结合。本集团积极践行绿色经营理念，</w:t>
      </w:r>
      <w:r>
        <w:rPr>
          <w:spacing w:val="-17"/>
        </w:rPr>
        <w:t> </w:t>
      </w:r>
      <w:r>
        <w:rPr>
          <w:spacing w:val="-17"/>
        </w:rPr>
      </w:r>
      <w:r>
        <w:rPr>
          <w:spacing w:val="-4"/>
        </w:rPr>
        <w:t>持续加强信息化建设，优化</w:t>
      </w:r>
      <w:r>
        <w:rPr>
          <w:rFonts w:ascii="Times New Roman" w:hAnsi="Times New Roman" w:cs="Times New Roman" w:eastAsia="Times New Roman" w:hint="default"/>
          <w:spacing w:val="-4"/>
        </w:rPr>
        <w:t>OA</w:t>
      </w:r>
      <w:r>
        <w:rPr>
          <w:spacing w:val="-4"/>
        </w:rPr>
        <w:t>办公流程，大力倡导无纸化办公，采取多种手段减少企业运行对环境和天然</w:t>
      </w:r>
      <w:r>
        <w:rPr>
          <w:spacing w:val="-42"/>
        </w:rPr>
        <w:t> </w:t>
      </w:r>
      <w:r>
        <w:rPr>
          <w:spacing w:val="-42"/>
        </w:rPr>
      </w:r>
      <w:r>
        <w:rPr/>
        <w:t>资源产生的不利影响。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tabs>
          <w:tab w:pos="8187" w:val="left" w:leader="none"/>
        </w:tabs>
        <w:spacing w:before="0"/>
        <w:ind w:left="152" w:right="0" w:firstLine="0"/>
        <w:jc w:val="both"/>
        <w:rPr>
          <w:rFonts w:ascii="宋体" w:hAnsi="宋体" w:cs="宋体" w:eastAsia="宋体" w:hint="default"/>
          <w:sz w:val="21"/>
          <w:szCs w:val="21"/>
        </w:rPr>
      </w:pPr>
      <w:r>
        <w:rPr>
          <w:rFonts w:ascii="Microsoft JhengHei" w:hAnsi="Microsoft JhengHei" w:cs="Microsoft JhengHei" w:eastAsia="Microsoft JhengHei" w:hint="default"/>
          <w:b/>
          <w:bCs/>
          <w:spacing w:val="-1"/>
          <w:sz w:val="24"/>
          <w:szCs w:val="24"/>
        </w:rPr>
        <w:t>十九、其他重大事项的说明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不适用</w:t>
      </w:r>
      <w:r>
        <w:rPr>
          <w:rFonts w:ascii="宋体" w:hAnsi="宋体" w:cs="宋体" w:eastAsia="宋体" w:hint="default"/>
          <w:sz w:val="21"/>
          <w:szCs w:val="21"/>
        </w:rPr>
      </w:r>
    </w:p>
    <w:p>
      <w:pPr>
        <w:spacing w:line="240" w:lineRule="auto" w:before="8"/>
        <w:rPr>
          <w:rFonts w:ascii="宋体" w:hAnsi="宋体" w:cs="宋体" w:eastAsia="宋体" w:hint="default"/>
          <w:sz w:val="22"/>
          <w:szCs w:val="22"/>
        </w:rPr>
      </w:pPr>
    </w:p>
    <w:p>
      <w:pPr>
        <w:pStyle w:val="BodyText"/>
        <w:spacing w:line="256" w:lineRule="auto"/>
        <w:ind w:right="1126" w:firstLine="420"/>
        <w:jc w:val="both"/>
        <w:rPr>
          <w:rFonts w:ascii="Times New Roman" w:hAnsi="Times New Roman" w:cs="Times New Roman" w:eastAsia="Times New Roman" w:hint="default"/>
        </w:rPr>
      </w:pPr>
      <w:r>
        <w:rPr/>
        <w:t>报告期，公司收到深圳证券交易所出具的《关于国盛金融控股集团股份有限公司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年非公开发行</w:t>
      </w:r>
      <w:r>
        <w:rPr>
          <w:w w:val="100"/>
        </w:rPr>
        <w:t> </w:t>
      </w:r>
      <w:r>
        <w:rPr>
          <w:spacing w:val="-7"/>
          <w:w w:val="100"/>
        </w:rPr>
        <w:t>公司债券符合深交所转让条件的无异议函》（深证函</w:t>
      </w:r>
      <w:r>
        <w:rPr>
          <w:rFonts w:ascii="Times New Roman" w:hAnsi="Times New Roman" w:cs="Times New Roman" w:eastAsia="Times New Roman" w:hint="default"/>
          <w:spacing w:val="-7"/>
          <w:w w:val="100"/>
        </w:rPr>
        <w:t>[2019]663</w:t>
      </w:r>
      <w:r>
        <w:rPr>
          <w:rFonts w:ascii="Times New Roman" w:hAnsi="Times New Roman" w:cs="Times New Roman" w:eastAsia="Times New Roman" w:hint="default"/>
          <w:w w:val="100"/>
        </w:rPr>
        <w:t> </w:t>
      </w:r>
      <w:r>
        <w:rPr>
          <w:spacing w:val="-10"/>
          <w:w w:val="100"/>
        </w:rPr>
        <w:t>号），深交所对公司申请确认非公开发行面值</w:t>
      </w:r>
      <w:r>
        <w:rPr>
          <w:spacing w:val="-69"/>
          <w:w w:val="100"/>
        </w:rPr>
        <w:t> </w:t>
      </w:r>
      <w:r>
        <w:rPr>
          <w:spacing w:val="-69"/>
          <w:w w:val="100"/>
        </w:rPr>
      </w:r>
      <w:r>
        <w:rPr/>
        <w:t>不超过 </w:t>
      </w:r>
      <w:r>
        <w:rPr>
          <w:rFonts w:ascii="Times New Roman" w:hAnsi="Times New Roman" w:cs="Times New Roman" w:eastAsia="Times New Roman" w:hint="default"/>
        </w:rPr>
        <w:t>5 </w:t>
      </w:r>
      <w:r>
        <w:rPr/>
        <w:t>亿元人民币的公司债券符合深交所转让条件无异议。该无异议函自出具之日（</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4"/>
        </w:rPr>
        <w:t>11  </w:t>
      </w:r>
      <w:r>
        <w:rPr/>
        <w:t>月</w:t>
      </w:r>
      <w:r>
        <w:rPr>
          <w:spacing w:val="-68"/>
        </w:rPr>
        <w:t> </w:t>
      </w:r>
      <w:r>
        <w:rPr>
          <w:rFonts w:ascii="Times New Roman" w:hAnsi="Times New Roman" w:cs="Times New Roman" w:eastAsia="Times New Roman" w:hint="default"/>
        </w:rPr>
        <w:t>22</w:t>
      </w:r>
    </w:p>
    <w:p>
      <w:pPr>
        <w:pStyle w:val="BodyText"/>
        <w:spacing w:line="240" w:lineRule="auto" w:before="5"/>
        <w:ind w:right="0"/>
        <w:jc w:val="both"/>
      </w:pPr>
      <w:r>
        <w:rPr/>
        <w:t>日）起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个月内有效（根据中国证监会《关于延长公司债券许可批复时限支持防控新型冠状病毒感染肺</w:t>
      </w:r>
    </w:p>
    <w:p>
      <w:pPr>
        <w:pStyle w:val="BodyText"/>
        <w:spacing w:line="256" w:lineRule="auto" w:before="21"/>
        <w:ind w:right="1128"/>
        <w:jc w:val="both"/>
      </w:pPr>
      <w:r>
        <w:rPr>
          <w:spacing w:val="-8"/>
          <w:w w:val="100"/>
        </w:rPr>
        <w:t>炎疫情的通知》，该无异议函有效期自</w:t>
      </w:r>
      <w:r>
        <w:rPr>
          <w:spacing w:val="-38"/>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12"/>
          <w:w w:val="100"/>
        </w:rPr>
        <w:t> </w:t>
      </w:r>
      <w:r>
        <w:rPr>
          <w:w w:val="100"/>
        </w:rPr>
        <w:t>年</w:t>
      </w:r>
      <w:r>
        <w:rPr>
          <w:spacing w:val="-41"/>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4"/>
          <w:w w:val="100"/>
        </w:rPr>
        <w:t> </w:t>
      </w:r>
      <w:r>
        <w:rPr>
          <w:w w:val="100"/>
        </w:rPr>
        <w:t>月</w:t>
      </w:r>
      <w:r>
        <w:rPr>
          <w:spacing w:val="-41"/>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4"/>
          <w:w w:val="100"/>
        </w:rPr>
        <w:t> </w:t>
      </w:r>
      <w:r>
        <w:rPr>
          <w:spacing w:val="-6"/>
          <w:w w:val="100"/>
        </w:rPr>
        <w:t>日起暂缓计算）。截至本报告披露日，前述债券尚未</w:t>
      </w:r>
      <w:r>
        <w:rPr>
          <w:w w:val="100"/>
        </w:rPr>
        <w:t> </w:t>
      </w:r>
      <w:r>
        <w:rPr/>
        <w:t>发行。</w:t>
      </w:r>
    </w:p>
    <w:p>
      <w:pPr>
        <w:spacing w:line="240" w:lineRule="auto" w:before="11"/>
        <w:rPr>
          <w:rFonts w:ascii="宋体" w:hAnsi="宋体" w:cs="宋体" w:eastAsia="宋体" w:hint="default"/>
          <w:sz w:val="16"/>
          <w:szCs w:val="16"/>
        </w:rPr>
      </w:pPr>
    </w:p>
    <w:p>
      <w:pPr>
        <w:tabs>
          <w:tab w:pos="8187" w:val="left" w:leader="none"/>
        </w:tabs>
        <w:spacing w:before="0"/>
        <w:ind w:left="152" w:right="0" w:firstLine="0"/>
        <w:jc w:val="both"/>
        <w:rPr>
          <w:rFonts w:ascii="宋体" w:hAnsi="宋体" w:cs="宋体" w:eastAsia="宋体" w:hint="default"/>
          <w:sz w:val="21"/>
          <w:szCs w:val="21"/>
        </w:rPr>
      </w:pPr>
      <w:r>
        <w:rPr>
          <w:rFonts w:ascii="Microsoft JhengHei" w:hAnsi="Microsoft JhengHei" w:cs="Microsoft JhengHei" w:eastAsia="Microsoft JhengHei" w:hint="default"/>
          <w:b/>
          <w:bCs/>
          <w:spacing w:val="-4"/>
          <w:sz w:val="24"/>
          <w:szCs w:val="24"/>
        </w:rPr>
        <w:t>二十、公司子公司重大事项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after="0"/>
        <w:jc w:val="both"/>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2964" w:right="0"/>
        <w:jc w:val="left"/>
        <w:rPr>
          <w:b w:val="0"/>
          <w:bCs w:val="0"/>
        </w:rPr>
      </w:pPr>
      <w:bookmarkStart w:name="_TOC_250007" w:id="6"/>
      <w:r>
        <w:rPr/>
        <w:t>第六节 </w:t>
      </w:r>
      <w:r>
        <w:rPr>
          <w:spacing w:val="11"/>
        </w:rPr>
        <w:t> </w:t>
      </w:r>
      <w:r>
        <w:rPr/>
        <w:t>股份变动及股东情况</w:t>
      </w:r>
      <w:bookmarkEnd w:id="6"/>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339"/>
        <w:jc w:val="right"/>
      </w:pPr>
      <w:r>
        <w:rPr>
          <w:spacing w:val="-1"/>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0" w:right="1102" w:firstLine="0"/>
        <w:jc w:val="right"/>
        <w:rPr>
          <w:rFonts w:ascii="宋体" w:hAnsi="宋体" w:cs="宋体" w:eastAsia="宋体" w:hint="default"/>
          <w:sz w:val="18"/>
          <w:szCs w:val="18"/>
        </w:rPr>
      </w:pPr>
      <w:r>
        <w:rPr/>
        <w:pict>
          <v:shape style="position:absolute;margin-left:58.080002pt;margin-top:-30.918272pt;width:479.4pt;height:357.9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2"/>
                    <w:gridCol w:w="1100"/>
                    <w:gridCol w:w="823"/>
                    <w:gridCol w:w="487"/>
                    <w:gridCol w:w="283"/>
                    <w:gridCol w:w="711"/>
                    <w:gridCol w:w="1133"/>
                    <w:gridCol w:w="1135"/>
                    <w:gridCol w:w="1155"/>
                    <w:gridCol w:w="794"/>
                  </w:tblGrid>
                  <w:tr>
                    <w:trPr>
                      <w:trHeight w:val="403" w:hRule="exact"/>
                    </w:trPr>
                    <w:tc>
                      <w:tcPr>
                        <w:tcW w:w="1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952"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比例（</w:t>
                        </w:r>
                        <w:r>
                          <w:rPr>
                            <w:rFonts w:ascii="Times New Roman" w:hAnsi="Times New Roman" w:cs="Times New Roman" w:eastAsia="Times New Roman" w:hint="default"/>
                            <w:spacing w:val="-3"/>
                            <w:sz w:val="18"/>
                            <w:szCs w:val="18"/>
                          </w:rPr>
                          <w:t>%</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59"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59"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7" w:right="43"/>
                          <w:jc w:val="left"/>
                          <w:rPr>
                            <w:rFonts w:ascii="宋体" w:hAnsi="宋体" w:cs="宋体" w:eastAsia="宋体" w:hint="default"/>
                            <w:sz w:val="18"/>
                            <w:szCs w:val="18"/>
                          </w:rPr>
                        </w:pPr>
                        <w:r>
                          <w:rPr>
                            <w:rFonts w:ascii="宋体" w:hAnsi="宋体" w:cs="宋体" w:eastAsia="宋体" w:hint="default"/>
                            <w:sz w:val="18"/>
                            <w:szCs w:val="18"/>
                          </w:rPr>
                          <w:t>送 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比例（</w:t>
                        </w:r>
                        <w:r>
                          <w:rPr>
                            <w:rFonts w:ascii="Times New Roman" w:hAnsi="Times New Roman" w:cs="Times New Roman" w:eastAsia="Times New Roman" w:hint="default"/>
                            <w:spacing w:val="-11"/>
                            <w:sz w:val="18"/>
                            <w:szCs w:val="18"/>
                          </w:rPr>
                          <w:t>%</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1,307,070,343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67.55</w:t>
                        </w: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-994,891,560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-994,891,560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312,178,783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16.13</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311,734,019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16.11</w:t>
                        </w: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311,734,019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16.11</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995,336,324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51.44</w:t>
                        </w: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-994,891,560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-994,891,560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994,779,646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51.41</w:t>
                        </w: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-994,779,646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-994,779,646</w:t>
                        </w:r>
                      </w:p>
                    </w:tc>
                    <w:tc>
                      <w:tcPr>
                        <w:tcW w:w="115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556,678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-111,914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-111,914</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628,014,310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32.45</w:t>
                        </w: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994,891,560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994,891,560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1,622,905,870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83.87</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628,014,310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32.45</w:t>
                        </w: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994,891,560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994,891,560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1,622,905,870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83.87</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1,935,084,653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4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1,935,084,653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tabs>
          <w:tab w:pos="8134" w:val="left" w:leader="none"/>
        </w:tabs>
        <w:spacing w:line="240" w:lineRule="auto" w:before="36"/>
        <w:ind w:right="0"/>
        <w:jc w:val="left"/>
      </w:pPr>
      <w:r>
        <w:rPr>
          <w:spacing w:val="-1"/>
        </w:rPr>
        <w:t>股份变动的原因</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pStyle w:val="BodyText"/>
        <w:spacing w:line="256" w:lineRule="auto" w:before="59"/>
        <w:ind w:right="0" w:firstLine="42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20</w:t>
      </w:r>
      <w:r>
        <w:rPr>
          <w:spacing w:val="-4"/>
        </w:rPr>
        <w:t>日，前海发展、前海远大、凤凰财鑫、西藏迅杰、北京岫晞等</w:t>
      </w:r>
      <w:r>
        <w:rPr>
          <w:rFonts w:ascii="Times New Roman" w:hAnsi="Times New Roman" w:cs="Times New Roman" w:eastAsia="Times New Roman" w:hint="default"/>
          <w:spacing w:val="-4"/>
        </w:rPr>
        <w:t>5</w:t>
      </w:r>
      <w:r>
        <w:rPr>
          <w:spacing w:val="-4"/>
        </w:rPr>
        <w:t>家股东所持公司股份合</w:t>
      </w:r>
      <w:r>
        <w:rPr>
          <w:w w:val="100"/>
        </w:rPr>
        <w:t> </w:t>
      </w:r>
      <w:r>
        <w:rPr/>
        <w:t>计</w:t>
      </w:r>
      <w:r>
        <w:rPr>
          <w:rFonts w:ascii="Times New Roman" w:hAnsi="Times New Roman" w:cs="Times New Roman" w:eastAsia="Times New Roman" w:hint="default"/>
        </w:rPr>
        <w:t>994,779,646</w:t>
      </w:r>
      <w:r>
        <w:rPr/>
        <w:t>股解除限售上市流通。</w:t>
      </w:r>
    </w:p>
    <w:p>
      <w:pPr>
        <w:pStyle w:val="BodyText"/>
        <w:spacing w:line="240" w:lineRule="auto" w:before="5"/>
        <w:ind w:left="0" w:right="1028"/>
        <w:jc w:val="center"/>
      </w:pPr>
      <w:r>
        <w:rPr>
          <w:rFonts w:ascii="Times New Roman" w:hAnsi="Times New Roman" w:cs="Times New Roman" w:eastAsia="Times New Roman" w:hint="default"/>
        </w:rPr>
        <w:t>2</w:t>
      </w:r>
      <w:r>
        <w:rPr/>
        <w:t>、报告期，部分董监高所持股份按有关规定锁定与解锁，导致有限售条件股份减少</w:t>
      </w:r>
      <w:r>
        <w:rPr>
          <w:rFonts w:ascii="Times New Roman" w:hAnsi="Times New Roman" w:cs="Times New Roman" w:eastAsia="Times New Roman" w:hint="default"/>
        </w:rPr>
        <w:t>111,914</w:t>
      </w:r>
      <w:r>
        <w:rPr/>
        <w:t>股。</w:t>
      </w:r>
    </w:p>
    <w:p>
      <w:pPr>
        <w:spacing w:line="240" w:lineRule="auto" w:before="8"/>
        <w:rPr>
          <w:rFonts w:ascii="宋体" w:hAnsi="宋体" w:cs="宋体" w:eastAsia="宋体" w:hint="default"/>
          <w:sz w:val="28"/>
          <w:szCs w:val="28"/>
        </w:rPr>
      </w:pPr>
    </w:p>
    <w:p>
      <w:pPr>
        <w:pStyle w:val="BodyText"/>
        <w:tabs>
          <w:tab w:pos="8134" w:val="left" w:leader="none"/>
        </w:tabs>
        <w:spacing w:line="240" w:lineRule="auto"/>
        <w:ind w:right="0"/>
        <w:jc w:val="left"/>
      </w:pPr>
      <w:r>
        <w:rPr>
          <w:spacing w:val="-1"/>
        </w:rPr>
        <w:t>股份变动的批准情况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8134" w:val="left" w:leader="none"/>
        </w:tabs>
        <w:spacing w:line="240" w:lineRule="auto" w:before="62"/>
        <w:ind w:right="0"/>
        <w:jc w:val="left"/>
      </w:pPr>
      <w:r>
        <w:rPr>
          <w:spacing w:val="-1"/>
        </w:rPr>
        <w:t>股份变动的过户情况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8134" w:val="left" w:leader="none"/>
        </w:tabs>
        <w:spacing w:line="240" w:lineRule="auto" w:before="59"/>
        <w:ind w:right="0"/>
        <w:jc w:val="left"/>
      </w:pPr>
      <w:r>
        <w:rPr>
          <w:spacing w:val="-2"/>
        </w:rPr>
        <w:t>股份回购的实施进展情况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8134" w:val="left" w:leader="none"/>
        </w:tabs>
        <w:spacing w:line="283" w:lineRule="auto" w:before="62"/>
        <w:ind w:right="1179"/>
        <w:jc w:val="left"/>
      </w:pPr>
      <w:r>
        <w:rPr>
          <w:spacing w:val="-2"/>
        </w:rPr>
        <w:t>采用集中竞价方式减持回购股份的实施进展情况</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r>
        <w:rPr>
          <w:w w:val="100"/>
        </w:rPr>
        <w:t> </w:t>
      </w:r>
      <w:r>
        <w:rPr/>
        <w:t>股份变动对最近一年和最近一期基本每股收益和稀释每股收益、归属于公司普通股股东的每股净资产等</w:t>
      </w:r>
      <w:r>
        <w:rPr>
          <w:w w:val="100"/>
        </w:rPr>
        <w:t> </w:t>
      </w:r>
      <w:r>
        <w:rPr>
          <w:spacing w:val="-1"/>
        </w:rPr>
        <w:t>财务指标的影响</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after="0" w:line="283"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tabs>
          <w:tab w:pos="8137" w:val="left" w:leader="none"/>
        </w:tabs>
        <w:spacing w:line="240" w:lineRule="auto" w:before="36"/>
        <w:ind w:right="0"/>
        <w:jc w:val="left"/>
      </w:pPr>
      <w:r>
        <w:rPr>
          <w:spacing w:val="-2"/>
        </w:rPr>
        <w:t>公司认为必要或证券监管机构要求披露的其他内容</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6"/>
        <w:rPr>
          <w:rFonts w:ascii="宋体" w:hAnsi="宋体" w:cs="宋体" w:eastAsia="宋体" w:hint="default"/>
          <w:sz w:val="19"/>
          <w:szCs w:val="19"/>
        </w:rPr>
      </w:pPr>
    </w:p>
    <w:p>
      <w:pPr>
        <w:tabs>
          <w:tab w:pos="8141"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、限售股份变动情况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2"/>
        <w:rPr>
          <w:rFonts w:ascii="宋体" w:hAnsi="宋体" w:cs="宋体" w:eastAsia="宋体" w:hint="default"/>
          <w:sz w:val="24"/>
          <w:szCs w:val="24"/>
        </w:rPr>
      </w:pPr>
    </w:p>
    <w:p>
      <w:pPr>
        <w:pStyle w:val="BodyText"/>
        <w:spacing w:line="240" w:lineRule="auto"/>
        <w:ind w:left="0" w:right="1339"/>
        <w:jc w:val="right"/>
      </w:pPr>
      <w:r>
        <w:rPr>
          <w:spacing w:val="-1"/>
        </w:rPr>
        <w:t>单位：股</w:t>
      </w:r>
    </w:p>
    <w:p>
      <w:pPr>
        <w:spacing w:line="240" w:lineRule="auto" w:before="10"/>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952"/>
        <w:gridCol w:w="1419"/>
        <w:gridCol w:w="991"/>
        <w:gridCol w:w="1277"/>
        <w:gridCol w:w="1133"/>
        <w:gridCol w:w="1433"/>
        <w:gridCol w:w="1368"/>
      </w:tblGrid>
      <w:tr>
        <w:trPr>
          <w:trHeight w:val="7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6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期初限售股数</w:t>
            </w:r>
            <w:r>
              <w:rPr>
                <w:rFonts w:ascii="Microsoft JhengHei" w:hAnsi="Microsoft JhengHei" w:cs="Microsoft JhengHei" w:eastAsia="Microsoft JhengHei"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47"/>
              <w:ind w:left="69" w:right="6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限售股数</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本期解除</w:t>
            </w:r>
            <w:r>
              <w:rPr>
                <w:rFonts w:ascii="Microsoft JhengHei" w:hAnsi="Microsoft JhengHei" w:cs="Microsoft JhengHei" w:eastAsia="Microsoft JhengHei" w:hint="default"/>
                <w:sz w:val="21"/>
                <w:szCs w:val="21"/>
              </w:rPr>
            </w:r>
          </w:p>
          <w:p>
            <w:pPr>
              <w:pStyle w:val="TableParagraph"/>
              <w:spacing w:line="359" w:lineRule="exact"/>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限售股数</w:t>
            </w:r>
            <w:r>
              <w:rPr>
                <w:rFonts w:ascii="Microsoft JhengHei" w:hAnsi="Microsoft JhengHei" w:cs="Microsoft JhengHei" w:eastAsia="Microsoft JhengHei"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期末限售</w:t>
            </w:r>
            <w:r>
              <w:rPr>
                <w:rFonts w:ascii="Microsoft JhengHei" w:hAnsi="Microsoft JhengHei" w:cs="Microsoft JhengHei" w:eastAsia="Microsoft JhengHei" w:hint="default"/>
                <w:sz w:val="21"/>
                <w:szCs w:val="21"/>
              </w:rPr>
            </w:r>
          </w:p>
          <w:p>
            <w:pPr>
              <w:pStyle w:val="TableParagraph"/>
              <w:spacing w:line="3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股数</w:t>
            </w:r>
            <w:r>
              <w:rPr>
                <w:rFonts w:ascii="Microsoft JhengHei" w:hAnsi="Microsoft JhengHei" w:cs="Microsoft JhengHei" w:eastAsia="Microsoft JhengHei" w:hint="default"/>
                <w:sz w:val="21"/>
                <w:szCs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解除限售原因</w:t>
            </w:r>
            <w:r>
              <w:rPr>
                <w:rFonts w:ascii="Microsoft JhengHei" w:hAnsi="Microsoft JhengHei" w:cs="Microsoft JhengHei" w:eastAsia="Microsoft JhengHei"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解除限售日期</w:t>
            </w:r>
            <w:r>
              <w:rPr>
                <w:rFonts w:ascii="Microsoft JhengHei" w:hAnsi="Microsoft JhengHei" w:cs="Microsoft JhengHei" w:eastAsia="Microsoft JhengHei" w:hint="default"/>
                <w:sz w:val="21"/>
                <w:szCs w:val="21"/>
              </w:rPr>
            </w: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2"/>
              <w:jc w:val="left"/>
              <w:rPr>
                <w:rFonts w:ascii="宋体" w:hAnsi="宋体" w:cs="宋体" w:eastAsia="宋体" w:hint="default"/>
                <w:sz w:val="21"/>
                <w:szCs w:val="21"/>
              </w:rPr>
            </w:pPr>
            <w:r>
              <w:rPr>
                <w:rFonts w:ascii="宋体" w:hAnsi="宋体" w:cs="宋体" w:eastAsia="宋体" w:hint="default"/>
                <w:sz w:val="21"/>
                <w:szCs w:val="21"/>
              </w:rPr>
              <w:t>深圳前海财智发展投</w:t>
            </w:r>
            <w:r>
              <w:rPr>
                <w:rFonts w:ascii="宋体" w:hAnsi="宋体" w:cs="宋体" w:eastAsia="宋体" w:hint="default"/>
                <w:w w:val="100"/>
                <w:sz w:val="21"/>
                <w:szCs w:val="21"/>
              </w:rPr>
              <w:t> </w:t>
            </w:r>
            <w:r>
              <w:rPr>
                <w:rFonts w:ascii="宋体" w:hAnsi="宋体" w:cs="宋体" w:eastAsia="宋体" w:hint="default"/>
                <w:sz w:val="21"/>
                <w:szCs w:val="21"/>
              </w:rPr>
              <w:t>资中心（有限合伙）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330,157,746</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330,157,746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5"/>
              <w:jc w:val="left"/>
              <w:rPr>
                <w:rFonts w:ascii="宋体" w:hAnsi="宋体" w:cs="宋体" w:eastAsia="宋体" w:hint="default"/>
                <w:sz w:val="21"/>
                <w:szCs w:val="21"/>
              </w:rPr>
            </w:pPr>
            <w:r>
              <w:rPr>
                <w:rFonts w:ascii="宋体" w:hAnsi="宋体" w:cs="宋体" w:eastAsia="宋体" w:hint="default"/>
                <w:sz w:val="21"/>
                <w:szCs w:val="21"/>
              </w:rPr>
              <w:t>承诺期满解除</w:t>
            </w:r>
            <w:r>
              <w:rPr>
                <w:rFonts w:ascii="宋体" w:hAnsi="宋体" w:cs="宋体" w:eastAsia="宋体" w:hint="default"/>
                <w:w w:val="100"/>
                <w:sz w:val="21"/>
                <w:szCs w:val="21"/>
              </w:rPr>
              <w:t> </w:t>
            </w:r>
            <w:r>
              <w:rPr>
                <w:rFonts w:ascii="宋体" w:hAnsi="宋体" w:cs="宋体" w:eastAsia="宋体" w:hint="default"/>
                <w:sz w:val="21"/>
                <w:szCs w:val="21"/>
              </w:rPr>
              <w:t>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2"/>
              <w:jc w:val="left"/>
              <w:rPr>
                <w:rFonts w:ascii="宋体" w:hAnsi="宋体" w:cs="宋体" w:eastAsia="宋体" w:hint="default"/>
                <w:sz w:val="21"/>
                <w:szCs w:val="21"/>
              </w:rPr>
            </w:pPr>
            <w:r>
              <w:rPr>
                <w:rFonts w:ascii="宋体" w:hAnsi="宋体" w:cs="宋体" w:eastAsia="宋体" w:hint="default"/>
                <w:sz w:val="21"/>
                <w:szCs w:val="21"/>
              </w:rPr>
              <w:t>深圳前海财智远大投</w:t>
            </w:r>
            <w:r>
              <w:rPr>
                <w:rFonts w:ascii="宋体" w:hAnsi="宋体" w:cs="宋体" w:eastAsia="宋体" w:hint="default"/>
                <w:w w:val="100"/>
                <w:sz w:val="21"/>
                <w:szCs w:val="21"/>
              </w:rPr>
              <w:t> </w:t>
            </w:r>
            <w:r>
              <w:rPr>
                <w:rFonts w:ascii="宋体" w:hAnsi="宋体" w:cs="宋体" w:eastAsia="宋体" w:hint="default"/>
                <w:sz w:val="21"/>
                <w:szCs w:val="21"/>
              </w:rPr>
              <w:t>资中心（有限合伙）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258,384,325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258,384,325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5"/>
              <w:jc w:val="left"/>
              <w:rPr>
                <w:rFonts w:ascii="宋体" w:hAnsi="宋体" w:cs="宋体" w:eastAsia="宋体" w:hint="default"/>
                <w:sz w:val="21"/>
                <w:szCs w:val="21"/>
              </w:rPr>
            </w:pPr>
            <w:r>
              <w:rPr>
                <w:rFonts w:ascii="宋体" w:hAnsi="宋体" w:cs="宋体" w:eastAsia="宋体" w:hint="default"/>
                <w:sz w:val="21"/>
                <w:szCs w:val="21"/>
              </w:rPr>
              <w:t>承诺期满解除</w:t>
            </w:r>
            <w:r>
              <w:rPr>
                <w:rFonts w:ascii="宋体" w:hAnsi="宋体" w:cs="宋体" w:eastAsia="宋体" w:hint="default"/>
                <w:w w:val="100"/>
                <w:sz w:val="21"/>
                <w:szCs w:val="21"/>
              </w:rPr>
              <w:t> </w:t>
            </w:r>
            <w:r>
              <w:rPr>
                <w:rFonts w:ascii="宋体" w:hAnsi="宋体" w:cs="宋体" w:eastAsia="宋体" w:hint="default"/>
                <w:sz w:val="21"/>
                <w:szCs w:val="21"/>
              </w:rPr>
              <w:t>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2"/>
              <w:jc w:val="left"/>
              <w:rPr>
                <w:rFonts w:ascii="宋体" w:hAnsi="宋体" w:cs="宋体" w:eastAsia="宋体" w:hint="default"/>
                <w:sz w:val="21"/>
                <w:szCs w:val="21"/>
              </w:rPr>
            </w:pPr>
            <w:r>
              <w:rPr>
                <w:rFonts w:ascii="宋体" w:hAnsi="宋体" w:cs="宋体" w:eastAsia="宋体" w:hint="default"/>
                <w:sz w:val="21"/>
                <w:szCs w:val="21"/>
              </w:rPr>
              <w:t>西藏迅杰新科科技有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210,654,997</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210,654,997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5"/>
              <w:jc w:val="left"/>
              <w:rPr>
                <w:rFonts w:ascii="宋体" w:hAnsi="宋体" w:cs="宋体" w:eastAsia="宋体" w:hint="default"/>
                <w:sz w:val="21"/>
                <w:szCs w:val="21"/>
              </w:rPr>
            </w:pPr>
            <w:r>
              <w:rPr>
                <w:rFonts w:ascii="宋体" w:hAnsi="宋体" w:cs="宋体" w:eastAsia="宋体" w:hint="default"/>
                <w:sz w:val="21"/>
                <w:szCs w:val="21"/>
              </w:rPr>
              <w:t>承诺期满解除</w:t>
            </w:r>
            <w:r>
              <w:rPr>
                <w:rFonts w:ascii="宋体" w:hAnsi="宋体" w:cs="宋体" w:eastAsia="宋体" w:hint="default"/>
                <w:w w:val="100"/>
                <w:sz w:val="21"/>
                <w:szCs w:val="21"/>
              </w:rPr>
              <w:t> </w:t>
            </w:r>
            <w:r>
              <w:rPr>
                <w:rFonts w:ascii="宋体" w:hAnsi="宋体" w:cs="宋体" w:eastAsia="宋体" w:hint="default"/>
                <w:sz w:val="21"/>
                <w:szCs w:val="21"/>
              </w:rPr>
              <w:t>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2"/>
              <w:jc w:val="left"/>
              <w:rPr>
                <w:rFonts w:ascii="宋体" w:hAnsi="宋体" w:cs="宋体" w:eastAsia="宋体" w:hint="default"/>
                <w:sz w:val="21"/>
                <w:szCs w:val="21"/>
              </w:rPr>
            </w:pPr>
            <w:r>
              <w:rPr>
                <w:rFonts w:ascii="宋体" w:hAnsi="宋体" w:cs="宋体" w:eastAsia="宋体" w:hint="default"/>
                <w:sz w:val="21"/>
                <w:szCs w:val="21"/>
              </w:rPr>
              <w:t>北京凤凰财鑫股权投</w:t>
            </w:r>
            <w:r>
              <w:rPr>
                <w:rFonts w:ascii="宋体" w:hAnsi="宋体" w:cs="宋体" w:eastAsia="宋体" w:hint="default"/>
                <w:w w:val="100"/>
                <w:sz w:val="21"/>
                <w:szCs w:val="21"/>
              </w:rPr>
              <w:t> </w:t>
            </w:r>
            <w:r>
              <w:rPr>
                <w:rFonts w:ascii="宋体" w:hAnsi="宋体" w:cs="宋体" w:eastAsia="宋体" w:hint="default"/>
                <w:sz w:val="21"/>
                <w:szCs w:val="21"/>
              </w:rPr>
              <w:t>资中心（有限合伙）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143,546,846</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143,546,846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5"/>
              <w:jc w:val="left"/>
              <w:rPr>
                <w:rFonts w:ascii="宋体" w:hAnsi="宋体" w:cs="宋体" w:eastAsia="宋体" w:hint="default"/>
                <w:sz w:val="21"/>
                <w:szCs w:val="21"/>
              </w:rPr>
            </w:pPr>
            <w:r>
              <w:rPr>
                <w:rFonts w:ascii="宋体" w:hAnsi="宋体" w:cs="宋体" w:eastAsia="宋体" w:hint="default"/>
                <w:sz w:val="21"/>
                <w:szCs w:val="21"/>
              </w:rPr>
              <w:t>承诺期满解除</w:t>
            </w:r>
            <w:r>
              <w:rPr>
                <w:rFonts w:ascii="宋体" w:hAnsi="宋体" w:cs="宋体" w:eastAsia="宋体" w:hint="default"/>
                <w:w w:val="100"/>
                <w:sz w:val="21"/>
                <w:szCs w:val="21"/>
              </w:rPr>
              <w:t> </w:t>
            </w:r>
            <w:r>
              <w:rPr>
                <w:rFonts w:ascii="宋体" w:hAnsi="宋体" w:cs="宋体" w:eastAsia="宋体" w:hint="default"/>
                <w:sz w:val="21"/>
                <w:szCs w:val="21"/>
              </w:rPr>
              <w:t>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2"/>
              <w:jc w:val="left"/>
              <w:rPr>
                <w:rFonts w:ascii="宋体" w:hAnsi="宋体" w:cs="宋体" w:eastAsia="宋体" w:hint="default"/>
                <w:sz w:val="21"/>
                <w:szCs w:val="21"/>
              </w:rPr>
            </w:pPr>
            <w:r>
              <w:rPr>
                <w:rFonts w:ascii="宋体" w:hAnsi="宋体" w:cs="宋体" w:eastAsia="宋体" w:hint="default"/>
                <w:sz w:val="21"/>
                <w:szCs w:val="21"/>
              </w:rPr>
              <w:t>北京岫晞股权投资中</w:t>
            </w:r>
            <w:r>
              <w:rPr>
                <w:rFonts w:ascii="宋体" w:hAnsi="宋体" w:cs="宋体" w:eastAsia="宋体" w:hint="default"/>
                <w:w w:val="100"/>
                <w:sz w:val="21"/>
                <w:szCs w:val="21"/>
              </w:rPr>
              <w:t> </w:t>
            </w:r>
            <w:r>
              <w:rPr>
                <w:rFonts w:ascii="宋体" w:hAnsi="宋体" w:cs="宋体" w:eastAsia="宋体" w:hint="default"/>
                <w:sz w:val="21"/>
                <w:szCs w:val="21"/>
              </w:rPr>
              <w:t>心（有限合伙）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52,035,732</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52,035,732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5"/>
              <w:jc w:val="left"/>
              <w:rPr>
                <w:rFonts w:ascii="宋体" w:hAnsi="宋体" w:cs="宋体" w:eastAsia="宋体" w:hint="default"/>
                <w:sz w:val="21"/>
                <w:szCs w:val="21"/>
              </w:rPr>
            </w:pPr>
            <w:r>
              <w:rPr>
                <w:rFonts w:ascii="宋体" w:hAnsi="宋体" w:cs="宋体" w:eastAsia="宋体" w:hint="default"/>
                <w:sz w:val="21"/>
                <w:szCs w:val="21"/>
              </w:rPr>
              <w:t>承诺期满解除</w:t>
            </w:r>
            <w:r>
              <w:rPr>
                <w:rFonts w:ascii="宋体" w:hAnsi="宋体" w:cs="宋体" w:eastAsia="宋体" w:hint="default"/>
                <w:w w:val="100"/>
                <w:sz w:val="21"/>
                <w:szCs w:val="21"/>
              </w:rPr>
              <w:t> </w:t>
            </w:r>
            <w:r>
              <w:rPr>
                <w:rFonts w:ascii="宋体" w:hAnsi="宋体" w:cs="宋体" w:eastAsia="宋体" w:hint="default"/>
                <w:sz w:val="21"/>
                <w:szCs w:val="21"/>
              </w:rPr>
              <w:t>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71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478,624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3"/>
                <w:sz w:val="21"/>
              </w:rPr>
              <w:t>111,914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366,710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5"/>
              <w:jc w:val="left"/>
              <w:rPr>
                <w:rFonts w:ascii="宋体" w:hAnsi="宋体" w:cs="宋体" w:eastAsia="宋体" w:hint="default"/>
                <w:sz w:val="21"/>
                <w:szCs w:val="21"/>
              </w:rPr>
            </w:pPr>
            <w:r>
              <w:rPr>
                <w:rFonts w:ascii="宋体" w:hAnsi="宋体" w:cs="宋体" w:eastAsia="宋体" w:hint="default"/>
                <w:sz w:val="21"/>
                <w:szCs w:val="21"/>
              </w:rPr>
              <w:t>执行董监高股</w:t>
            </w:r>
            <w:r>
              <w:rPr>
                <w:rFonts w:ascii="宋体" w:hAnsi="宋体" w:cs="宋体" w:eastAsia="宋体" w:hint="default"/>
                <w:w w:val="100"/>
                <w:sz w:val="21"/>
                <w:szCs w:val="21"/>
              </w:rPr>
              <w:t> </w:t>
            </w:r>
            <w:r>
              <w:rPr>
                <w:rFonts w:ascii="宋体" w:hAnsi="宋体" w:cs="宋体" w:eastAsia="宋体" w:hint="default"/>
                <w:sz w:val="21"/>
                <w:szCs w:val="21"/>
              </w:rPr>
              <w:t>份管理规定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1"/>
              <w:jc w:val="left"/>
              <w:rPr>
                <w:rFonts w:ascii="宋体" w:hAnsi="宋体" w:cs="宋体" w:eastAsia="宋体" w:hint="default"/>
                <w:sz w:val="21"/>
                <w:szCs w:val="21"/>
              </w:rPr>
            </w:pPr>
            <w:r>
              <w:rPr>
                <w:rFonts w:ascii="宋体" w:hAnsi="宋体" w:cs="宋体" w:eastAsia="宋体" w:hint="default"/>
                <w:spacing w:val="6"/>
                <w:sz w:val="21"/>
                <w:szCs w:val="21"/>
              </w:rPr>
              <w:t>执行董监高股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份管理规定</w:t>
            </w:r>
          </w:p>
        </w:tc>
      </w:tr>
      <w:tr>
        <w:trPr>
          <w:trHeight w:val="40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pacing w:val="-1"/>
                <w:sz w:val="21"/>
              </w:rPr>
              <w:t>995,258,270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994,891,560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366,710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21"/>
                <w:szCs w:val="21"/>
              </w:rPr>
            </w:pPr>
            <w:r>
              <w:rPr>
                <w:rFonts w:ascii="Times New Roman"/>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tabs>
          <w:tab w:pos="8151"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Microsoft JhengHei" w:hAnsi="Microsoft JhengHei" w:cs="Microsoft JhengHei" w:eastAsia="Microsoft JhengHei" w:hint="default"/>
          <w:b/>
          <w:bCs/>
          <w:spacing w:val="-1"/>
          <w:sz w:val="21"/>
          <w:szCs w:val="21"/>
        </w:rPr>
        <w:t>、报告期内证券发行（不含优先股）情况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11"/>
        <w:rPr>
          <w:rFonts w:ascii="宋体" w:hAnsi="宋体" w:cs="宋体" w:eastAsia="宋体" w:hint="default"/>
          <w:sz w:val="18"/>
          <w:szCs w:val="18"/>
        </w:rPr>
      </w:pPr>
    </w:p>
    <w:p>
      <w:pPr>
        <w:tabs>
          <w:tab w:pos="8163"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、公司股份总数及股东结构的变动、公司资产和负债结构的变动情况说明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0"/>
        <w:rPr>
          <w:rFonts w:ascii="宋体" w:hAnsi="宋体" w:cs="宋体" w:eastAsia="宋体" w:hint="default"/>
          <w:sz w:val="19"/>
          <w:szCs w:val="19"/>
        </w:rPr>
      </w:pPr>
    </w:p>
    <w:p>
      <w:pPr>
        <w:tabs>
          <w:tab w:pos="8187"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3</w:t>
      </w:r>
      <w:r>
        <w:rPr>
          <w:rFonts w:ascii="Microsoft JhengHei" w:hAnsi="Microsoft JhengHei" w:cs="Microsoft JhengHei" w:eastAsia="Microsoft JhengHei" w:hint="default"/>
          <w:b/>
          <w:bCs/>
          <w:spacing w:val="-6"/>
          <w:sz w:val="21"/>
          <w:szCs w:val="21"/>
        </w:rPr>
        <w:t>、现存的内部职工股情况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12"/>
        <w:gridCol w:w="622"/>
        <w:gridCol w:w="401"/>
        <w:gridCol w:w="466"/>
        <w:gridCol w:w="953"/>
        <w:gridCol w:w="142"/>
        <w:gridCol w:w="991"/>
        <w:gridCol w:w="994"/>
        <w:gridCol w:w="94"/>
        <w:gridCol w:w="882"/>
        <w:gridCol w:w="1137"/>
        <w:gridCol w:w="581"/>
        <w:gridCol w:w="1154"/>
      </w:tblGrid>
      <w:tr>
        <w:trPr>
          <w:trHeight w:val="1337"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1" w:right="58" w:hanging="9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44,371</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4"/>
              <w:jc w:val="center"/>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42,096</w:t>
            </w:r>
          </w:p>
        </w:tc>
        <w:tc>
          <w:tcPr>
            <w:tcW w:w="1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报告期末表 决权恢复的 优先股股东 总数</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0</w:t>
            </w:r>
          </w:p>
        </w:tc>
        <w:tc>
          <w:tcPr>
            <w:tcW w:w="1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 w:right="34"/>
              <w:jc w:val="center"/>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62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9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4" w:hRule="exact"/>
        </w:trPr>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8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0" w:right="0"/>
              <w:jc w:val="left"/>
              <w:rPr>
                <w:rFonts w:ascii="宋体" w:hAnsi="宋体" w:cs="宋体" w:eastAsia="宋体" w:hint="default"/>
                <w:sz w:val="18"/>
                <w:szCs w:val="18"/>
              </w:rPr>
            </w:pPr>
            <w:r>
              <w:rPr>
                <w:rFonts w:ascii="宋体" w:hAnsi="宋体" w:cs="宋体" w:eastAsia="宋体" w:hint="default"/>
                <w:sz w:val="18"/>
                <w:szCs w:val="18"/>
              </w:rPr>
              <w:t>报告期增减</w:t>
            </w:r>
          </w:p>
        </w:tc>
        <w:tc>
          <w:tcPr>
            <w:tcW w:w="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持有有限售</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 w:right="0"/>
              <w:jc w:val="left"/>
              <w:rPr>
                <w:rFonts w:ascii="宋体" w:hAnsi="宋体" w:cs="宋体" w:eastAsia="宋体" w:hint="default"/>
                <w:sz w:val="18"/>
                <w:szCs w:val="18"/>
              </w:rPr>
            </w:pPr>
            <w:r>
              <w:rPr>
                <w:rFonts w:ascii="宋体" w:hAnsi="宋体" w:cs="宋体" w:eastAsia="宋体" w:hint="default"/>
                <w:sz w:val="18"/>
                <w:szCs w:val="18"/>
              </w:rPr>
              <w:t>持有无限售条</w:t>
            </w: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834"/>
        <w:gridCol w:w="867"/>
        <w:gridCol w:w="1094"/>
        <w:gridCol w:w="991"/>
        <w:gridCol w:w="994"/>
        <w:gridCol w:w="530"/>
        <w:gridCol w:w="430"/>
        <w:gridCol w:w="1153"/>
        <w:gridCol w:w="581"/>
        <w:gridCol w:w="1154"/>
      </w:tblGrid>
      <w:tr>
        <w:trPr>
          <w:trHeight w:val="713"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条件股份数</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1" w:right="0"/>
              <w:jc w:val="left"/>
              <w:rPr>
                <w:rFonts w:ascii="宋体" w:hAnsi="宋体" w:cs="宋体" w:eastAsia="宋体" w:hint="default"/>
                <w:sz w:val="18"/>
                <w:szCs w:val="18"/>
              </w:rPr>
            </w:pPr>
            <w:r>
              <w:rPr>
                <w:rFonts w:ascii="宋体" w:hAnsi="宋体" w:cs="宋体" w:eastAsia="宋体" w:hint="default"/>
                <w:sz w:val="18"/>
                <w:szCs w:val="18"/>
              </w:rPr>
              <w:t>件股份数</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3"/>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深圳前海财智发展投 资中心（有限合伙）</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330,157,746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330,157,746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330,157,746</w:t>
            </w:r>
          </w:p>
        </w:tc>
      </w:tr>
      <w:tr>
        <w:trPr>
          <w:trHeight w:val="71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雪松国际信托股份有 限公司</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16.11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311,734,019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-27,510,488</w:t>
            </w:r>
            <w:r>
              <w:rPr>
                <w:rFonts w:ascii="Times New Roman"/>
                <w:sz w:val="18"/>
              </w:rPr>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311,734,019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311,734,019</w:t>
            </w:r>
          </w:p>
        </w:tc>
      </w:tr>
      <w:tr>
        <w:trPr>
          <w:trHeight w:val="71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深圳前海财智远大投 资中心（有限合伙）</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258,384,325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258,384,325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41,008,566</w:t>
            </w:r>
          </w:p>
        </w:tc>
      </w:tr>
      <w:tr>
        <w:trPr>
          <w:trHeight w:val="71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西藏迅杰新科科技有 限公司</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210,654,997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210,654,997</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173,018,808</w:t>
            </w:r>
          </w:p>
        </w:tc>
      </w:tr>
      <w:tr>
        <w:trPr>
          <w:trHeight w:val="71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北京凤凰财鑫股权投 资中心（有限合伙）</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143,546,846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143,546,846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39,632,174</w:t>
            </w:r>
          </w:p>
        </w:tc>
      </w:tr>
      <w:tr>
        <w:trPr>
          <w:trHeight w:val="71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江西赣粤高速公路股 份有限公司</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96,411,818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-10,000,040</w:t>
            </w:r>
            <w:r>
              <w:rPr>
                <w:rFonts w:ascii="Times New Roman"/>
                <w:sz w:val="18"/>
              </w:rPr>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96,411,818</w:t>
            </w:r>
          </w:p>
        </w:tc>
        <w:tc>
          <w:tcPr>
            <w:tcW w:w="5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北京凤凰财智创新投 资中心（有限合伙）</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67,617,360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67,617,360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66,464,883</w:t>
            </w:r>
          </w:p>
        </w:tc>
      </w:tr>
      <w:tr>
        <w:trPr>
          <w:trHeight w:val="71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北京岫晞股权投资中 心（有限合伙）</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51,935,732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51,935,732</w:t>
            </w:r>
          </w:p>
        </w:tc>
        <w:tc>
          <w:tcPr>
            <w:tcW w:w="5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江西省财政投资管理 公司</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30,502,517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30,502,517</w:t>
            </w:r>
          </w:p>
        </w:tc>
        <w:tc>
          <w:tcPr>
            <w:tcW w:w="5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华鑫国际信托有限公 司－华鑫信托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国鑫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23,741,303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23,741,303</w:t>
            </w:r>
          </w:p>
        </w:tc>
        <w:tc>
          <w:tcPr>
            <w:tcW w:w="5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92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 系说明</w:t>
            </w:r>
          </w:p>
        </w:tc>
        <w:tc>
          <w:tcPr>
            <w:tcW w:w="6927"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上述股东中，前海发展、前海远大、凤凰财鑫、凤凰财智均为公司实际控制人杜力先生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及其一致行动人张巍先生控制的企业，为一致行动人。除此以外，公司未知其他股东间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是否存在《上市公司收购管理办法》规定的关联关系或一致行动关系。</w:t>
            </w:r>
          </w:p>
        </w:tc>
      </w:tr>
      <w:tr>
        <w:trPr>
          <w:trHeight w:val="404" w:hRule="exact"/>
        </w:trPr>
        <w:tc>
          <w:tcPr>
            <w:tcW w:w="962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3795" w:type="dxa"/>
            <w:gridSpan w:val="3"/>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16" w:type="dxa"/>
            <w:gridSpan w:val="3"/>
            <w:vMerge w:val="restart"/>
            <w:tcBorders>
              <w:top w:val="single" w:sz="4" w:space="0" w:color="000000"/>
              <w:left w:val="single" w:sz="4" w:space="0" w:color="000000"/>
              <w:right w:val="single" w:sz="4" w:space="0" w:color="000000"/>
            </w:tcBorders>
          </w:tcPr>
          <w:p>
            <w:pPr>
              <w:pStyle w:val="TableParagraph"/>
              <w:spacing w:line="316" w:lineRule="auto" w:before="94"/>
              <w:ind w:left="1072" w:right="81" w:hanging="989"/>
              <w:jc w:val="left"/>
              <w:rPr>
                <w:rFonts w:ascii="宋体" w:hAnsi="宋体" w:cs="宋体" w:eastAsia="宋体" w:hint="default"/>
                <w:sz w:val="18"/>
                <w:szCs w:val="18"/>
              </w:rPr>
            </w:pPr>
            <w:r>
              <w:rPr>
                <w:rFonts w:ascii="宋体" w:hAnsi="宋体" w:cs="宋体" w:eastAsia="宋体" w:hint="default"/>
                <w:sz w:val="18"/>
                <w:szCs w:val="18"/>
              </w:rPr>
              <w:t>报告期末持有无限售条件股份 数量</w:t>
            </w:r>
          </w:p>
        </w:tc>
        <w:tc>
          <w:tcPr>
            <w:tcW w:w="33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3795" w:type="dxa"/>
            <w:gridSpan w:val="3"/>
            <w:vMerge/>
            <w:tcBorders>
              <w:left w:val="single" w:sz="4" w:space="0" w:color="000000"/>
              <w:bottom w:val="single" w:sz="4" w:space="0" w:color="000000"/>
              <w:right w:val="single" w:sz="4" w:space="0" w:color="000000"/>
            </w:tcBorders>
          </w:tcPr>
          <w:p>
            <w:pPr/>
          </w:p>
        </w:tc>
        <w:tc>
          <w:tcPr>
            <w:tcW w:w="2516" w:type="dxa"/>
            <w:gridSpan w:val="3"/>
            <w:vMerge/>
            <w:tcBorders>
              <w:left w:val="single" w:sz="4" w:space="0" w:color="000000"/>
              <w:bottom w:val="single" w:sz="4" w:space="0" w:color="000000"/>
              <w:right w:val="single" w:sz="4" w:space="0" w:color="000000"/>
            </w:tcBorders>
          </w:tcPr>
          <w:p>
            <w:pPr/>
          </w:p>
        </w:tc>
        <w:tc>
          <w:tcPr>
            <w:tcW w:w="2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深圳前海财智发展投资中心（有限合伙）</w:t>
            </w:r>
          </w:p>
        </w:tc>
        <w:tc>
          <w:tcPr>
            <w:tcW w:w="2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4" w:right="0"/>
              <w:jc w:val="left"/>
              <w:rPr>
                <w:rFonts w:ascii="Times New Roman" w:hAnsi="Times New Roman" w:cs="Times New Roman" w:eastAsia="Times New Roman" w:hint="default"/>
                <w:sz w:val="18"/>
                <w:szCs w:val="18"/>
              </w:rPr>
            </w:pPr>
            <w:r>
              <w:rPr>
                <w:rFonts w:ascii="Times New Roman"/>
                <w:sz w:val="18"/>
              </w:rPr>
              <w:t>330,157,746</w:t>
            </w:r>
          </w:p>
        </w:tc>
        <w:tc>
          <w:tcPr>
            <w:tcW w:w="2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330,157,746</w:t>
            </w:r>
          </w:p>
        </w:tc>
      </w:tr>
      <w:tr>
        <w:trPr>
          <w:trHeight w:val="403"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深圳前海财智远大投资中心（有限合伙）</w:t>
            </w:r>
          </w:p>
        </w:tc>
        <w:tc>
          <w:tcPr>
            <w:tcW w:w="2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4" w:right="0"/>
              <w:jc w:val="left"/>
              <w:rPr>
                <w:rFonts w:ascii="Times New Roman" w:hAnsi="Times New Roman" w:cs="Times New Roman" w:eastAsia="Times New Roman" w:hint="default"/>
                <w:sz w:val="18"/>
                <w:szCs w:val="18"/>
              </w:rPr>
            </w:pPr>
            <w:r>
              <w:rPr>
                <w:rFonts w:ascii="Times New Roman"/>
                <w:sz w:val="18"/>
              </w:rPr>
              <w:t>258,384,325</w:t>
            </w:r>
          </w:p>
        </w:tc>
        <w:tc>
          <w:tcPr>
            <w:tcW w:w="2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258,384,325</w:t>
            </w:r>
          </w:p>
        </w:tc>
      </w:tr>
      <w:tr>
        <w:trPr>
          <w:trHeight w:val="401"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西藏迅杰新科科技有限公司</w:t>
            </w:r>
          </w:p>
        </w:tc>
        <w:tc>
          <w:tcPr>
            <w:tcW w:w="2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4" w:right="0"/>
              <w:jc w:val="left"/>
              <w:rPr>
                <w:rFonts w:ascii="Times New Roman" w:hAnsi="Times New Roman" w:cs="Times New Roman" w:eastAsia="Times New Roman" w:hint="default"/>
                <w:sz w:val="18"/>
                <w:szCs w:val="18"/>
              </w:rPr>
            </w:pPr>
            <w:r>
              <w:rPr>
                <w:rFonts w:ascii="Times New Roman"/>
                <w:sz w:val="18"/>
              </w:rPr>
              <w:t>210,654,997</w:t>
            </w:r>
          </w:p>
        </w:tc>
        <w:tc>
          <w:tcPr>
            <w:tcW w:w="2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210,654,997</w:t>
            </w:r>
          </w:p>
        </w:tc>
      </w:tr>
      <w:tr>
        <w:trPr>
          <w:trHeight w:val="403"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北京凤凰财鑫股权投资中心（有限合伙）</w:t>
            </w:r>
          </w:p>
        </w:tc>
        <w:tc>
          <w:tcPr>
            <w:tcW w:w="2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4" w:right="0"/>
              <w:jc w:val="left"/>
              <w:rPr>
                <w:rFonts w:ascii="Times New Roman" w:hAnsi="Times New Roman" w:cs="Times New Roman" w:eastAsia="Times New Roman" w:hint="default"/>
                <w:sz w:val="18"/>
                <w:szCs w:val="18"/>
              </w:rPr>
            </w:pPr>
            <w:r>
              <w:rPr>
                <w:rFonts w:ascii="Times New Roman"/>
                <w:sz w:val="18"/>
              </w:rPr>
              <w:t>143,546,846</w:t>
            </w:r>
          </w:p>
        </w:tc>
        <w:tc>
          <w:tcPr>
            <w:tcW w:w="2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143,546,846</w:t>
            </w:r>
          </w:p>
        </w:tc>
      </w:tr>
      <w:tr>
        <w:trPr>
          <w:trHeight w:val="401"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江西赣粤高速公路股份有限公司</w:t>
            </w:r>
          </w:p>
        </w:tc>
        <w:tc>
          <w:tcPr>
            <w:tcW w:w="2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96,411,818</w:t>
            </w:r>
          </w:p>
        </w:tc>
        <w:tc>
          <w:tcPr>
            <w:tcW w:w="2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96,411,818</w:t>
            </w:r>
          </w:p>
        </w:tc>
      </w:tr>
      <w:tr>
        <w:trPr>
          <w:trHeight w:val="404"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北京凤凰财智创新投资中心（有限合伙）</w:t>
            </w:r>
          </w:p>
        </w:tc>
        <w:tc>
          <w:tcPr>
            <w:tcW w:w="2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67,617,360</w:t>
            </w:r>
          </w:p>
        </w:tc>
        <w:tc>
          <w:tcPr>
            <w:tcW w:w="2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67,617,360</w:t>
            </w:r>
          </w:p>
        </w:tc>
      </w:tr>
      <w:tr>
        <w:trPr>
          <w:trHeight w:val="403" w:hRule="exact"/>
        </w:trPr>
        <w:tc>
          <w:tcPr>
            <w:tcW w:w="37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北京岫晞股权投资中心（有限合伙）</w:t>
            </w:r>
          </w:p>
        </w:tc>
        <w:tc>
          <w:tcPr>
            <w:tcW w:w="2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51,935,732</w:t>
            </w:r>
          </w:p>
        </w:tc>
        <w:tc>
          <w:tcPr>
            <w:tcW w:w="21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51,935,732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795"/>
        <w:gridCol w:w="2516"/>
        <w:gridCol w:w="2163"/>
        <w:gridCol w:w="1154"/>
      </w:tblGrid>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江西省财政投资管理公司</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30,502,517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30,502,517</w:t>
            </w:r>
          </w:p>
        </w:tc>
      </w:tr>
      <w:tr>
        <w:trPr>
          <w:trHeight w:val="71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85"/>
              <w:jc w:val="left"/>
              <w:rPr>
                <w:rFonts w:ascii="宋体" w:hAnsi="宋体" w:cs="宋体" w:eastAsia="宋体" w:hint="default"/>
                <w:sz w:val="18"/>
                <w:szCs w:val="18"/>
              </w:rPr>
            </w:pPr>
            <w:r>
              <w:rPr>
                <w:rFonts w:ascii="宋体" w:hAnsi="宋体" w:cs="宋体" w:eastAsia="宋体" w:hint="default"/>
                <w:sz w:val="18"/>
                <w:szCs w:val="18"/>
              </w:rPr>
              <w:t>华鑫国际信托有限公司－华鑫信托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国鑫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集合资金信托计划</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23,741,303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23,741,303</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罗卫霞</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20,800,000</w:t>
            </w:r>
          </w:p>
        </w:tc>
      </w:tr>
      <w:tr>
        <w:trPr>
          <w:trHeight w:val="102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w:t>
            </w:r>
          </w:p>
          <w:p>
            <w:pPr>
              <w:pStyle w:val="TableParagraph"/>
              <w:spacing w:line="300" w:lineRule="auto" w:before="60"/>
              <w:ind w:left="24" w:right="68"/>
              <w:jc w:val="left"/>
              <w:rPr>
                <w:rFonts w:ascii="宋体" w:hAnsi="宋体" w:cs="宋体" w:eastAsia="宋体" w:hint="default"/>
                <w:sz w:val="18"/>
                <w:szCs w:val="18"/>
              </w:rPr>
            </w:pPr>
            <w:r>
              <w:rPr>
                <w:rFonts w:ascii="宋体" w:hAnsi="宋体" w:cs="宋体" w:eastAsia="宋体" w:hint="default"/>
                <w:sz w:val="18"/>
                <w:szCs w:val="18"/>
              </w:rPr>
              <w:t>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 或一致行动的说明</w:t>
            </w:r>
          </w:p>
        </w:tc>
        <w:tc>
          <w:tcPr>
            <w:tcW w:w="5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w:t>
            </w:r>
          </w:p>
          <w:p>
            <w:pPr>
              <w:pStyle w:val="TableParagraph"/>
              <w:spacing w:line="300" w:lineRule="auto" w:before="60"/>
              <w:ind w:left="24" w:right="125"/>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名普通股股东之间是否存在《上市公司收购管理办法》 规定的关联关系或一致行动关系。</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名普通股股东参与融资融券业务情况说明</w:t>
            </w:r>
          </w:p>
        </w:tc>
        <w:tc>
          <w:tcPr>
            <w:tcW w:w="5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tabs>
          <w:tab w:pos="8818" w:val="left" w:leader="none"/>
        </w:tabs>
        <w:spacing w:line="290" w:lineRule="auto" w:before="28"/>
        <w:ind w:left="573" w:right="1128" w:hanging="421"/>
        <w:jc w:val="left"/>
      </w:pPr>
      <w:r>
        <w:rPr/>
        <w:t>公司前</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8"/>
        </w:rPr>
        <w:t>名普通股股东、前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t>公司前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9"/>
        <w:rPr>
          <w:rFonts w:ascii="宋体" w:hAnsi="宋体" w:cs="宋体" w:eastAsia="宋体" w:hint="default"/>
          <w:sz w:val="15"/>
          <w:szCs w:val="15"/>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307" w:lineRule="auto"/>
        <w:ind w:right="6408"/>
        <w:jc w:val="left"/>
      </w:pPr>
      <w:r>
        <w:rPr>
          <w:spacing w:val="-2"/>
        </w:rPr>
        <w:t>控股股东性质：自然人控股</w:t>
      </w:r>
      <w:r>
        <w:rPr>
          <w:spacing w:val="-82"/>
        </w:rPr>
        <w:t> </w:t>
      </w:r>
      <w:r>
        <w:rPr>
          <w:spacing w:val="-82"/>
        </w:rPr>
      </w:r>
      <w:r>
        <w:rPr/>
        <w:t>控股股东类型：法人</w:t>
      </w:r>
    </w:p>
    <w:p>
      <w:pPr>
        <w:spacing w:line="240" w:lineRule="auto" w:before="1"/>
        <w:rPr>
          <w:rFonts w:ascii="宋体" w:hAnsi="宋体" w:cs="宋体" w:eastAsia="宋体" w:hint="default"/>
          <w:sz w:val="2"/>
          <w:szCs w:val="2"/>
        </w:rPr>
      </w:pPr>
    </w:p>
    <w:p>
      <w:pPr>
        <w:spacing w:line="3991" w:lineRule="exact"/>
        <w:ind w:left="181" w:right="0" w:firstLine="0"/>
        <w:rPr>
          <w:rFonts w:ascii="宋体" w:hAnsi="宋体" w:cs="宋体" w:eastAsia="宋体" w:hint="default"/>
          <w:sz w:val="20"/>
          <w:szCs w:val="20"/>
        </w:rPr>
      </w:pPr>
      <w:r>
        <w:rPr>
          <w:rFonts w:ascii="宋体" w:hAnsi="宋体" w:cs="宋体" w:eastAsia="宋体" w:hint="default"/>
          <w:position w:val="-79"/>
          <w:sz w:val="20"/>
          <w:szCs w:val="20"/>
        </w:rPr>
        <w:pict>
          <v:group style="width:480.95pt;height:199.6pt;mso-position-horizontal-relative:char;mso-position-vertical-relative:line" coordorigin="0,0" coordsize="9619,3992">
            <v:group style="position:absolute;left:10;top:10;width:2226;height:2" coordorigin="10,10" coordsize="2226,2">
              <v:shape style="position:absolute;left:10;top:10;width:2226;height:2" coordorigin="10,10" coordsize="2226,0" path="m10,10l2235,10e" filled="false" stroked="true" strokeweight=".47998pt" strokecolor="#000000">
                <v:path arrowok="t"/>
              </v:shape>
            </v:group>
            <v:group style="position:absolute;left:2244;top:10;width:1268;height:2" coordorigin="2244,10" coordsize="1268,2">
              <v:shape style="position:absolute;left:2244;top:10;width:1268;height:2" coordorigin="2244,10" coordsize="1268,0" path="m2244,10l3512,10e" filled="false" stroked="true" strokeweight=".47998pt" strokecolor="#000000">
                <v:path arrowok="t"/>
              </v:shape>
            </v:group>
            <v:group style="position:absolute;left:3522;top:10;width:1835;height:2" coordorigin="3522,10" coordsize="1835,2">
              <v:shape style="position:absolute;left:3522;top:10;width:1835;height:2" coordorigin="3522,10" coordsize="1835,0" path="m3522,10l5356,10e" filled="false" stroked="true" strokeweight=".47998pt" strokecolor="#000000">
                <v:path arrowok="t"/>
              </v:shape>
            </v:group>
            <v:group style="position:absolute;left:5365;top:10;width:2115;height:2" coordorigin="5365,10" coordsize="2115,2">
              <v:shape style="position:absolute;left:5365;top:10;width:2115;height:2" coordorigin="5365,10" coordsize="2115,0" path="m5365,10l7480,10e" filled="false" stroked="true" strokeweight=".47998pt" strokecolor="#000000">
                <v:path arrowok="t"/>
              </v:shape>
            </v:group>
            <v:group style="position:absolute;left:7489;top:10;width:2079;height:2" coordorigin="7489,10" coordsize="2079,2">
              <v:shape style="position:absolute;left:7489;top:10;width:2079;height:2" coordorigin="7489,10" coordsize="2079,0" path="m7489,10l9568,10e" filled="false" stroked="true" strokeweight=".47998pt" strokecolor="#000000">
                <v:path arrowok="t"/>
              </v:shape>
            </v:group>
            <v:group style="position:absolute;left:10;top:722;width:2226;height:2" coordorigin="10,722" coordsize="2226,2">
              <v:shape style="position:absolute;left:10;top:722;width:2226;height:2" coordorigin="10,722" coordsize="2226,0" path="m10,722l2235,722e" filled="false" stroked="true" strokeweight=".48001pt" strokecolor="#000000">
                <v:path arrowok="t"/>
              </v:shape>
            </v:group>
            <v:group style="position:absolute;left:2244;top:722;width:1268;height:2" coordorigin="2244,722" coordsize="1268,2">
              <v:shape style="position:absolute;left:2244;top:722;width:1268;height:2" coordorigin="2244,722" coordsize="1268,0" path="m2244,722l3512,722e" filled="false" stroked="true" strokeweight=".48001pt" strokecolor="#000000">
                <v:path arrowok="t"/>
              </v:shape>
            </v:group>
            <v:group style="position:absolute;left:3522;top:722;width:1835;height:2" coordorigin="3522,722" coordsize="1835,2">
              <v:shape style="position:absolute;left:3522;top:722;width:1835;height:2" coordorigin="3522,722" coordsize="1835,0" path="m3522,722l5356,722e" filled="false" stroked="true" strokeweight=".48001pt" strokecolor="#000000">
                <v:path arrowok="t"/>
              </v:shape>
            </v:group>
            <v:group style="position:absolute;left:5365;top:722;width:2115;height:2" coordorigin="5365,722" coordsize="2115,2">
              <v:shape style="position:absolute;left:5365;top:722;width:2115;height:2" coordorigin="5365,722" coordsize="2115,0" path="m5365,722l7480,722e" filled="false" stroked="true" strokeweight=".48001pt" strokecolor="#000000">
                <v:path arrowok="t"/>
              </v:shape>
            </v:group>
            <v:group style="position:absolute;left:7489;top:722;width:2079;height:2" coordorigin="7489,722" coordsize="2079,2">
              <v:shape style="position:absolute;left:7489;top:722;width:2079;height:2" coordorigin="7489,722" coordsize="2079,0" path="m7489,722l9568,722e" filled="false" stroked="true" strokeweight=".48001pt" strokecolor="#000000">
                <v:path arrowok="t"/>
              </v:shape>
            </v:group>
            <v:group style="position:absolute;left:10;top:1438;width:2226;height:2" coordorigin="10,1438" coordsize="2226,2">
              <v:shape style="position:absolute;left:10;top:1438;width:2226;height:2" coordorigin="10,1438" coordsize="2226,0" path="m10,1438l2235,1438e" filled="false" stroked="true" strokeweight=".48001pt" strokecolor="#000000">
                <v:path arrowok="t"/>
              </v:shape>
            </v:group>
            <v:group style="position:absolute;left:2244;top:1438;width:1268;height:2" coordorigin="2244,1438" coordsize="1268,2">
              <v:shape style="position:absolute;left:2244;top:1438;width:1268;height:2" coordorigin="2244,1438" coordsize="1268,0" path="m2244,1438l3512,1438e" filled="false" stroked="true" strokeweight=".48001pt" strokecolor="#000000">
                <v:path arrowok="t"/>
              </v:shape>
            </v:group>
            <v:group style="position:absolute;left:3522;top:1438;width:1835;height:2" coordorigin="3522,1438" coordsize="1835,2">
              <v:shape style="position:absolute;left:3522;top:1438;width:1835;height:2" coordorigin="3522,1438" coordsize="1835,0" path="m3522,1438l5356,1438e" filled="false" stroked="true" strokeweight=".48001pt" strokecolor="#000000">
                <v:path arrowok="t"/>
              </v:shape>
            </v:group>
            <v:group style="position:absolute;left:5365;top:1438;width:2115;height:2" coordorigin="5365,1438" coordsize="2115,2">
              <v:shape style="position:absolute;left:5365;top:1438;width:2115;height:2" coordorigin="5365,1438" coordsize="2115,0" path="m5365,1438l7480,1438e" filled="false" stroked="true" strokeweight=".48001pt" strokecolor="#000000">
                <v:path arrowok="t"/>
              </v:shape>
            </v:group>
            <v:group style="position:absolute;left:7489;top:1438;width:2079;height:2" coordorigin="7489,1438" coordsize="2079,2">
              <v:shape style="position:absolute;left:7489;top:1438;width:2079;height:2" coordorigin="7489,1438" coordsize="2079,0" path="m7489,1438l9568,1438e" filled="false" stroked="true" strokeweight=".48001pt" strokecolor="#000000">
                <v:path arrowok="t"/>
              </v:shape>
            </v:group>
            <v:group style="position:absolute;left:10;top:2151;width:2226;height:2" coordorigin="10,2151" coordsize="2226,2">
              <v:shape style="position:absolute;left:10;top:2151;width:2226;height:2" coordorigin="10,2151" coordsize="2226,0" path="m10,2151l2235,2151e" filled="false" stroked="true" strokeweight=".48001pt" strokecolor="#000000">
                <v:path arrowok="t"/>
              </v:shape>
            </v:group>
            <v:group style="position:absolute;left:2244;top:2151;width:1268;height:2" coordorigin="2244,2151" coordsize="1268,2">
              <v:shape style="position:absolute;left:2244;top:2151;width:1268;height:2" coordorigin="2244,2151" coordsize="1268,0" path="m2244,2151l3512,2151e" filled="false" stroked="true" strokeweight=".48001pt" strokecolor="#000000">
                <v:path arrowok="t"/>
              </v:shape>
            </v:group>
            <v:group style="position:absolute;left:3522;top:2151;width:1835;height:2" coordorigin="3522,2151" coordsize="1835,2">
              <v:shape style="position:absolute;left:3522;top:2151;width:1835;height:2" coordorigin="3522,2151" coordsize="1835,0" path="m3522,2151l5356,2151e" filled="false" stroked="true" strokeweight=".48001pt" strokecolor="#000000">
                <v:path arrowok="t"/>
              </v:shape>
            </v:group>
            <v:group style="position:absolute;left:5365;top:2151;width:2115;height:2" coordorigin="5365,2151" coordsize="2115,2">
              <v:shape style="position:absolute;left:5365;top:2151;width:2115;height:2" coordorigin="5365,2151" coordsize="2115,0" path="m5365,2151l7480,2151e" filled="false" stroked="true" strokeweight=".48001pt" strokecolor="#000000">
                <v:path arrowok="t"/>
              </v:shape>
            </v:group>
            <v:group style="position:absolute;left:7489;top:2151;width:2079;height:2" coordorigin="7489,2151" coordsize="2079,2">
              <v:shape style="position:absolute;left:7489;top:2151;width:2079;height:2" coordorigin="7489,2151" coordsize="2079,0" path="m7489,2151l9568,2151e" filled="false" stroked="true" strokeweight=".48001pt" strokecolor="#000000">
                <v:path arrowok="t"/>
              </v:shape>
            </v:group>
            <v:group style="position:absolute;left:10;top:2866;width:2226;height:2" coordorigin="10,2866" coordsize="2226,2">
              <v:shape style="position:absolute;left:10;top:2866;width:2226;height:2" coordorigin="10,2866" coordsize="2226,0" path="m10,2866l2235,2866e" filled="false" stroked="true" strokeweight=".47998pt" strokecolor="#000000">
                <v:path arrowok="t"/>
              </v:shape>
            </v:group>
            <v:group style="position:absolute;left:2244;top:2866;width:1268;height:2" coordorigin="2244,2866" coordsize="1268,2">
              <v:shape style="position:absolute;left:2244;top:2866;width:1268;height:2" coordorigin="2244,2866" coordsize="1268,0" path="m2244,2866l3512,2866e" filled="false" stroked="true" strokeweight=".47998pt" strokecolor="#000000">
                <v:path arrowok="t"/>
              </v:shape>
            </v:group>
            <v:group style="position:absolute;left:3522;top:2866;width:1835;height:2" coordorigin="3522,2866" coordsize="1835,2">
              <v:shape style="position:absolute;left:3522;top:2866;width:1835;height:2" coordorigin="3522,2866" coordsize="1835,0" path="m3522,2866l5356,2866e" filled="false" stroked="true" strokeweight=".47998pt" strokecolor="#000000">
                <v:path arrowok="t"/>
              </v:shape>
            </v:group>
            <v:group style="position:absolute;left:5365;top:2866;width:2115;height:2" coordorigin="5365,2866" coordsize="2115,2">
              <v:shape style="position:absolute;left:5365;top:2866;width:2115;height:2" coordorigin="5365,2866" coordsize="2115,0" path="m5365,2866l7480,2866e" filled="false" stroked="true" strokeweight=".47998pt" strokecolor="#000000">
                <v:path arrowok="t"/>
              </v:shape>
            </v:group>
            <v:group style="position:absolute;left:7489;top:2866;width:2079;height:2" coordorigin="7489,2866" coordsize="2079,2">
              <v:shape style="position:absolute;left:7489;top:2866;width:2079;height:2" coordorigin="7489,2866" coordsize="2079,0" path="m7489,2866l9568,2866e" filled="false" stroked="true" strokeweight=".47998pt" strokecolor="#000000">
                <v:path arrowok="t"/>
              </v:shape>
            </v:group>
            <v:group style="position:absolute;left:2240;top:5;width:2;height:3579" coordorigin="2240,5" coordsize="2,3579">
              <v:shape style="position:absolute;left:2240;top:5;width:2;height:3579" coordorigin="2240,5" coordsize="0,3579" path="m2240,5l2240,3584e" filled="false" stroked="true" strokeweight=".48pt" strokecolor="#000000">
                <v:path arrowok="t"/>
              </v:shape>
            </v:group>
            <v:group style="position:absolute;left:3517;top:5;width:2;height:3579" coordorigin="3517,5" coordsize="2,3579">
              <v:shape style="position:absolute;left:3517;top:5;width:2;height:3579" coordorigin="3517,5" coordsize="0,3579" path="m3517,5l3517,3584e" filled="false" stroked="true" strokeweight=".48pt" strokecolor="#000000">
                <v:path arrowok="t"/>
              </v:shape>
            </v:group>
            <v:group style="position:absolute;left:5361;top:5;width:2;height:3579" coordorigin="5361,5" coordsize="2,3579">
              <v:shape style="position:absolute;left:5361;top:5;width:2;height:3579" coordorigin="5361,5" coordsize="0,3579" path="m5361,5l5361,3584e" filled="false" stroked="true" strokeweight=".47998pt" strokecolor="#000000">
                <v:path arrowok="t"/>
              </v:shape>
            </v:group>
            <v:group style="position:absolute;left:10;top:3579;width:2226;height:2" coordorigin="10,3579" coordsize="2226,2">
              <v:shape style="position:absolute;left:10;top:3579;width:2226;height:2" coordorigin="10,3579" coordsize="2226,0" path="m10,3579l2235,3579e" filled="false" stroked="true" strokeweight=".47998pt" strokecolor="#000000">
                <v:path arrowok="t"/>
              </v:shape>
            </v:group>
            <v:group style="position:absolute;left:2244;top:3579;width:1268;height:2" coordorigin="2244,3579" coordsize="1268,2">
              <v:shape style="position:absolute;left:2244;top:3579;width:1268;height:2" coordorigin="2244,3579" coordsize="1268,0" path="m2244,3579l3512,3579e" filled="false" stroked="true" strokeweight=".47998pt" strokecolor="#000000">
                <v:path arrowok="t"/>
              </v:shape>
            </v:group>
            <v:group style="position:absolute;left:3522;top:3579;width:1835;height:2" coordorigin="3522,3579" coordsize="1835,2">
              <v:shape style="position:absolute;left:3522;top:3579;width:1835;height:2" coordorigin="3522,3579" coordsize="1835,0" path="m3522,3579l5356,3579e" filled="false" stroked="true" strokeweight=".47998pt" strokecolor="#000000">
                <v:path arrowok="t"/>
              </v:shape>
            </v:group>
            <v:group style="position:absolute;left:5365;top:3579;width:2115;height:2" coordorigin="5365,3579" coordsize="2115,2">
              <v:shape style="position:absolute;left:5365;top:3579;width:2115;height:2" coordorigin="5365,3579" coordsize="2115,0" path="m5365,3579l7480,3579e" filled="false" stroked="true" strokeweight=".47998pt" strokecolor="#000000">
                <v:path arrowok="t"/>
              </v:shape>
            </v:group>
            <v:group style="position:absolute;left:7489;top:3579;width:2079;height:2" coordorigin="7489,3579" coordsize="2079,2">
              <v:shape style="position:absolute;left:7489;top:3579;width:2079;height:2" coordorigin="7489,3579" coordsize="2079,0" path="m7489,3579l9568,3579e" filled="false" stroked="true" strokeweight=".47998pt" strokecolor="#000000">
                <v:path arrowok="t"/>
              </v:shape>
            </v:group>
            <v:group style="position:absolute;left:5;top:5;width:2;height:3982" coordorigin="5,5" coordsize="2,3982">
              <v:shape style="position:absolute;left:5;top:5;width:2;height:3982" coordorigin="5,5" coordsize="0,3982" path="m5,5l5,3987e" filled="false" stroked="true" strokeweight=".48pt" strokecolor="#000000">
                <v:path arrowok="t"/>
              </v:shape>
            </v:group>
            <v:group style="position:absolute;left:10;top:3982;width:7471;height:2" coordorigin="10,3982" coordsize="7471,2">
              <v:shape style="position:absolute;left:10;top:3982;width:7471;height:2" coordorigin="10,3982" coordsize="7471,0" path="m10,3982l7480,3982e" filled="false" stroked="true" strokeweight=".47998pt" strokecolor="#000000">
                <v:path arrowok="t"/>
              </v:shape>
            </v:group>
            <v:group style="position:absolute;left:7485;top:5;width:2;height:3982" coordorigin="7485,5" coordsize="2,3982">
              <v:shape style="position:absolute;left:7485;top:5;width:2;height:3982" coordorigin="7485,5" coordsize="0,3982" path="m7485,5l7485,3987e" filled="false" stroked="true" strokeweight=".48001pt" strokecolor="#000000">
                <v:path arrowok="t"/>
              </v:shape>
            </v:group>
            <v:group style="position:absolute;left:7489;top:3982;width:2079;height:2" coordorigin="7489,3982" coordsize="2079,2">
              <v:shape style="position:absolute;left:7489;top:3982;width:2079;height:2" coordorigin="7489,3982" coordsize="2079,0" path="m7489,3982l9568,3982e" filled="false" stroked="true" strokeweight=".47998pt" strokecolor="#000000">
                <v:path arrowok="t"/>
              </v:shape>
            </v:group>
            <v:group style="position:absolute;left:9573;top:5;width:2;height:3982" coordorigin="9573,5" coordsize="2,3982">
              <v:shape style="position:absolute;left:9573;top:5;width:2;height:3982" coordorigin="9573,5" coordsize="0,3982" path="m9573,5l9573,3987e" filled="false" stroked="true" strokeweight=".47998pt" strokecolor="#000000">
                <v:path arrowok="t"/>
              </v:shape>
              <v:shape style="position:absolute;left:490;top:262;width:1268;height:212" type="#_x0000_t202" filled="false" stroked="false">
                <v:textbox inset="0,0,0,0">
                  <w:txbxContent>
                    <w:p>
                      <w:pPr>
                        <w:spacing w:line="211"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控股股东名称</w:t>
                      </w:r>
                      <w:r>
                        <w:rPr>
                          <w:rFonts w:ascii="Microsoft JhengHei" w:hAnsi="Microsoft JhengHei" w:cs="Microsoft JhengHei" w:eastAsia="Microsoft JhengHei" w:hint="default"/>
                          <w:sz w:val="21"/>
                          <w:szCs w:val="21"/>
                        </w:rPr>
                      </w:r>
                    </w:p>
                  </w:txbxContent>
                </v:textbox>
                <w10:wrap type="none"/>
              </v:shape>
              <v:shape style="position:absolute;left:2321;top:106;width:1118;height:524" type="#_x0000_t202" filled="false" stroked="false">
                <v:textbox inset="0,0,0,0">
                  <w:txbxContent>
                    <w:p>
                      <w:pPr>
                        <w:spacing w:line="208" w:lineRule="exact" w:before="0"/>
                        <w:ind w:left="28" w:right="0" w:hanging="29"/>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法定代表人</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315" w:lineRule="exact" w:before="0"/>
                        <w:ind w:left="2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单位负责人</w:t>
                      </w:r>
                      <w:r>
                        <w:rPr>
                          <w:rFonts w:ascii="Microsoft JhengHei" w:hAnsi="Microsoft JhengHei" w:cs="Microsoft JhengHei" w:eastAsia="Microsoft JhengHei" w:hint="default"/>
                          <w:sz w:val="21"/>
                          <w:szCs w:val="21"/>
                        </w:rPr>
                      </w:r>
                    </w:p>
                  </w:txbxContent>
                </v:textbox>
                <w10:wrap type="none"/>
              </v:shape>
              <v:shape style="position:absolute;left:4019;top:262;width:845;height:212" type="#_x0000_t202" filled="false" stroked="false">
                <v:textbox inset="0,0,0,0">
                  <w:txbxContent>
                    <w:p>
                      <w:pPr>
                        <w:spacing w:line="211"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成立日期</w:t>
                      </w:r>
                      <w:r>
                        <w:rPr>
                          <w:rFonts w:ascii="Microsoft JhengHei" w:hAnsi="Microsoft JhengHei" w:cs="Microsoft JhengHei" w:eastAsia="Microsoft JhengHei" w:hint="default"/>
                          <w:sz w:val="21"/>
                          <w:szCs w:val="21"/>
                        </w:rPr>
                      </w:r>
                    </w:p>
                  </w:txbxContent>
                </v:textbox>
                <w10:wrap type="none"/>
              </v:shape>
              <v:shape style="position:absolute;left:5581;top:262;width:1690;height:212" type="#_x0000_t202" filled="false" stroked="false">
                <v:textbox inset="0,0,0,0">
                  <w:txbxContent>
                    <w:p>
                      <w:pPr>
                        <w:spacing w:line="211"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统一社会信用代码</w:t>
                      </w:r>
                      <w:r>
                        <w:rPr>
                          <w:rFonts w:ascii="Microsoft JhengHei" w:hAnsi="Microsoft JhengHei" w:cs="Microsoft JhengHei" w:eastAsia="Microsoft JhengHei" w:hint="default"/>
                          <w:sz w:val="21"/>
                          <w:szCs w:val="21"/>
                        </w:rPr>
                      </w:r>
                    </w:p>
                  </w:txbxContent>
                </v:textbox>
                <w10:wrap type="none"/>
              </v:shape>
              <v:shape style="position:absolute;left:7900;top:262;width:1268;height:212" type="#_x0000_t202" filled="false" stroked="false">
                <v:textbox inset="0,0,0,0">
                  <w:txbxContent>
                    <w:p>
                      <w:pPr>
                        <w:spacing w:line="211" w:lineRule="exact" w:before="0"/>
                        <w:ind w:left="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主要经营业务</w:t>
                      </w:r>
                      <w:r>
                        <w:rPr>
                          <w:rFonts w:ascii="Microsoft JhengHei" w:hAnsi="Microsoft JhengHei" w:cs="Microsoft JhengHei" w:eastAsia="Microsoft JhengHei" w:hint="default"/>
                          <w:sz w:val="21"/>
                          <w:szCs w:val="21"/>
                        </w:rPr>
                      </w:r>
                    </w:p>
                  </w:txbxContent>
                </v:textbox>
                <w10:wrap type="none"/>
              </v:shape>
              <v:shape style="position:absolute;left:34;top:822;width:2103;height:2665"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深圳前海财智发展投资</w:t>
                      </w:r>
                    </w:p>
                    <w:p>
                      <w:pPr>
                        <w:spacing w:before="34"/>
                        <w:ind w:left="0" w:right="0" w:firstLine="0"/>
                        <w:jc w:val="left"/>
                        <w:rPr>
                          <w:rFonts w:ascii="宋体" w:hAnsi="宋体" w:cs="宋体" w:eastAsia="宋体" w:hint="default"/>
                          <w:sz w:val="21"/>
                          <w:szCs w:val="21"/>
                        </w:rPr>
                      </w:pPr>
                      <w:r>
                        <w:rPr>
                          <w:rFonts w:ascii="宋体" w:hAnsi="宋体" w:cs="宋体" w:eastAsia="宋体" w:hint="default"/>
                          <w:sz w:val="21"/>
                          <w:szCs w:val="21"/>
                        </w:rPr>
                        <w:t>中心（有限合伙）</w:t>
                      </w:r>
                    </w:p>
                    <w:p>
                      <w:pPr>
                        <w:spacing w:line="273" w:lineRule="auto" w:before="128"/>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深圳前海财智远大投资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中心（有限合伙）</w:t>
                      </w:r>
                    </w:p>
                    <w:p>
                      <w:pPr>
                        <w:spacing w:line="271" w:lineRule="auto" w:before="99"/>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北京凤凰财鑫股权投资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中心（有限合伙）</w:t>
                      </w:r>
                    </w:p>
                    <w:p>
                      <w:pPr>
                        <w:spacing w:line="310" w:lineRule="atLeast" w:before="66"/>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北京凤凰财智创新投资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中心（有限合伙）</w:t>
                      </w:r>
                    </w:p>
                  </w:txbxContent>
                </v:textbox>
                <w10:wrap type="none"/>
              </v:shape>
              <v:shape style="position:absolute;left:2268;top:978;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叶强</w:t>
                      </w:r>
                    </w:p>
                  </w:txbxContent>
                </v:textbox>
                <w10:wrap type="none"/>
              </v:shape>
              <v:shape style="position:absolute;left:3546;top:978;width:3828;height:223" type="#_x0000_t202" filled="false" stroked="false">
                <v:textbox inset="0,0,0,0">
                  <w:txbxContent>
                    <w:p>
                      <w:pPr>
                        <w:spacing w:line="223" w:lineRule="exact" w:before="0"/>
                        <w:ind w:left="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9144030035912216XQ</w:t>
                      </w:r>
                    </w:p>
                  </w:txbxContent>
                </v:textbox>
                <w10:wrap type="none"/>
              </v:shape>
              <v:shape style="position:absolute;left:2268;top:1691;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杜力</w:t>
                      </w:r>
                    </w:p>
                  </w:txbxContent>
                </v:textbox>
                <w10:wrap type="none"/>
              </v:shape>
              <v:shape style="position:absolute;left:3546;top:1691;width:1736;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xbxContent>
                </v:textbox>
                <w10:wrap type="none"/>
              </v:shape>
              <v:shape style="position:absolute;left:5389;top:1700;width:1979;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2"/>
                          <w:sz w:val="21"/>
                        </w:rPr>
                        <w:t>91440300359116261W</w:t>
                      </w:r>
                    </w:p>
                  </w:txbxContent>
                </v:textbox>
                <w10:wrap type="none"/>
              </v:shape>
              <v:shape style="position:absolute;left:2268;top:24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杜力</w:t>
                      </w:r>
                    </w:p>
                  </w:txbxContent>
                </v:textbox>
                <w10:wrap type="none"/>
              </v:shape>
              <v:shape style="position:absolute;left:3546;top:2406;width:1736;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xbxContent>
                </v:textbox>
                <w10:wrap type="none"/>
              </v:shape>
              <v:shape style="position:absolute;left:5389;top:2415;width:187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2"/>
                          <w:sz w:val="21"/>
                        </w:rPr>
                        <w:t>911100003442295620</w:t>
                      </w:r>
                    </w:p>
                  </w:txbxContent>
                </v:textbox>
                <w10:wrap type="none"/>
              </v:shape>
              <v:shape style="position:absolute;left:2268;top:3119;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杜力</w:t>
                      </w:r>
                    </w:p>
                  </w:txbxContent>
                </v:textbox>
                <w10:wrap type="none"/>
              </v:shape>
              <v:shape style="position:absolute;left:3546;top:3119;width:1736;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xbxContent>
                </v:textbox>
                <w10:wrap type="none"/>
              </v:shape>
              <v:shape style="position:absolute;left:5389;top:3128;width:1870;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2"/>
                          <w:sz w:val="21"/>
                        </w:rPr>
                        <w:t>911101053181136545</w:t>
                      </w:r>
                    </w:p>
                  </w:txbxContent>
                </v:textbox>
                <w10:wrap type="none"/>
              </v:shape>
              <v:shape style="position:absolute;left:34;top:3678;width:588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控股股东报告期内控股和参股的其他境内外上市公司的股权情况</w:t>
                      </w:r>
                    </w:p>
                  </w:txbxContent>
                </v:textbox>
                <w10:wrap type="none"/>
              </v:shape>
              <v:shape style="position:absolute;left:7516;top:822;width:2103;height:3068"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项目投资；投资管理；</w:t>
                      </w:r>
                    </w:p>
                    <w:p>
                      <w:pPr>
                        <w:spacing w:before="34"/>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投资咨询；资产管理。</w:t>
                      </w:r>
                    </w:p>
                    <w:p>
                      <w:pPr>
                        <w:spacing w:line="273" w:lineRule="auto" w:before="128"/>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项目投资；投资管理；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投资咨询；资产管理。</w:t>
                      </w:r>
                    </w:p>
                    <w:p>
                      <w:pPr>
                        <w:spacing w:line="271" w:lineRule="auto" w:before="99"/>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项目投资；投资管理；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投资咨询；资产管理。</w:t>
                      </w:r>
                    </w:p>
                    <w:p>
                      <w:pPr>
                        <w:spacing w:line="273" w:lineRule="auto" w:before="101"/>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项目投资；投资管理；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投资咨询；资产管理。</w:t>
                      </w:r>
                    </w:p>
                    <w:p>
                      <w:pPr>
                        <w:spacing w:before="99"/>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txbxContent>
                </v:textbox>
                <w10:wrap type="none"/>
              </v:shape>
            </v:group>
          </v:group>
        </w:pict>
      </w:r>
      <w:r>
        <w:rPr>
          <w:rFonts w:ascii="宋体" w:hAnsi="宋体" w:cs="宋体" w:eastAsia="宋体" w:hint="default"/>
          <w:position w:val="-79"/>
          <w:sz w:val="20"/>
          <w:szCs w:val="20"/>
        </w:rPr>
      </w:r>
    </w:p>
    <w:p>
      <w:pPr>
        <w:pStyle w:val="BodyText"/>
        <w:tabs>
          <w:tab w:pos="8134" w:val="left" w:leader="none"/>
        </w:tabs>
        <w:spacing w:line="240" w:lineRule="auto" w:before="24"/>
        <w:ind w:right="0"/>
        <w:jc w:val="left"/>
      </w:pPr>
      <w:r>
        <w:rPr>
          <w:spacing w:val="-2"/>
        </w:rPr>
        <w:t>控股股东报告期内变更</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spacing w:line="240" w:lineRule="auto" w:before="59"/>
        <w:ind w:left="573" w:right="0"/>
        <w:jc w:val="left"/>
      </w:pPr>
      <w:r>
        <w:rPr/>
        <w:t>公司报告期控股股东未发生变更。</w:t>
      </w:r>
    </w:p>
    <w:p>
      <w:pPr>
        <w:spacing w:line="240" w:lineRule="auto" w:before="9"/>
        <w:rPr>
          <w:rFonts w:ascii="宋体" w:hAnsi="宋体" w:cs="宋体" w:eastAsia="宋体" w:hint="default"/>
          <w:sz w:val="20"/>
          <w:szCs w:val="20"/>
        </w:rPr>
      </w:pPr>
    </w:p>
    <w:p>
      <w:pPr>
        <w:pStyle w:val="Heading4"/>
        <w:spacing w:line="240" w:lineRule="auto"/>
        <w:ind w:left="152"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307" w:lineRule="auto"/>
        <w:ind w:right="6408"/>
        <w:jc w:val="left"/>
      </w:pPr>
      <w:r>
        <w:rPr>
          <w:spacing w:val="-2"/>
        </w:rPr>
        <w:t>实际控制人性质：境内自然人</w:t>
      </w:r>
      <w:r>
        <w:rPr>
          <w:spacing w:val="-79"/>
        </w:rPr>
        <w:t> </w:t>
      </w:r>
      <w:r>
        <w:rPr>
          <w:spacing w:val="-79"/>
        </w:rPr>
      </w:r>
      <w:r>
        <w:rPr/>
        <w:t>实际控制人类型：自然人</w:t>
      </w:r>
    </w:p>
    <w:p>
      <w:pPr>
        <w:spacing w:line="240" w:lineRule="auto" w:before="3"/>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2391"/>
        <w:gridCol w:w="3815"/>
        <w:gridCol w:w="1561"/>
        <w:gridCol w:w="1802"/>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实际控制人姓名</w:t>
            </w:r>
            <w:r>
              <w:rPr>
                <w:rFonts w:ascii="Microsoft JhengHei" w:hAnsi="Microsoft JhengHei" w:cs="Microsoft JhengHei" w:eastAsia="Microsoft JhengHei" w:hint="default"/>
                <w:sz w:val="21"/>
                <w:szCs w:val="21"/>
              </w:rPr>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与实际控制人关系</w:t>
            </w:r>
            <w:r>
              <w:rPr>
                <w:rFonts w:ascii="Microsoft JhengHei" w:hAnsi="Microsoft JhengHei" w:cs="Microsoft JhengHei" w:eastAsia="Microsoft JhengHei"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国籍</w:t>
            </w:r>
            <w:r>
              <w:rPr>
                <w:rFonts w:ascii="Microsoft JhengHei" w:hAnsi="Microsoft JhengHei" w:cs="Microsoft JhengHei" w:eastAsia="Microsoft JhengHei"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4"/>
              <w:ind w:left="263" w:right="48"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是否取得其他国家</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或地区居留权</w:t>
            </w:r>
            <w:r>
              <w:rPr>
                <w:rFonts w:ascii="Microsoft JhengHei" w:hAnsi="Microsoft JhengHei" w:cs="Microsoft JhengHei" w:eastAsia="Microsoft JhengHei" w:hint="default"/>
                <w:sz w:val="21"/>
                <w:szCs w:val="21"/>
              </w:rPr>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本人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一致行动（含协议、亲属、同一控制）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Times New Roman" w:hAnsi="Times New Roman" w:cs="Times New Roman" w:eastAsia="Times New Roman" w:hint="default"/>
                <w:sz w:val="21"/>
                <w:szCs w:val="21"/>
              </w:rPr>
              <w:t>“</w:t>
            </w:r>
            <w:r>
              <w:rPr>
                <w:rFonts w:ascii="宋体" w:hAnsi="宋体" w:cs="宋体" w:eastAsia="宋体" w:hint="default"/>
                <w:sz w:val="21"/>
                <w:szCs w:val="21"/>
              </w:rPr>
              <w:t>第九节</w:t>
            </w:r>
            <w:r>
              <w:rPr>
                <w:rFonts w:ascii="宋体" w:hAnsi="宋体" w:cs="宋体" w:eastAsia="宋体" w:hint="default"/>
                <w:spacing w:val="-4"/>
                <w:sz w:val="21"/>
                <w:szCs w:val="21"/>
              </w:rPr>
              <w:t> </w:t>
            </w:r>
            <w:r>
              <w:rPr>
                <w:rFonts w:ascii="宋体" w:hAnsi="宋体" w:cs="宋体" w:eastAsia="宋体" w:hint="default"/>
                <w:sz w:val="21"/>
                <w:szCs w:val="21"/>
              </w:rPr>
              <w:t>董事、监事、高级管理人员和员工情况</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3"/>
        <w:rPr>
          <w:rFonts w:ascii="宋体" w:hAnsi="宋体" w:cs="宋体" w:eastAsia="宋体" w:hint="default"/>
          <w:sz w:val="24"/>
          <w:szCs w:val="24"/>
        </w:rPr>
      </w:pPr>
    </w:p>
    <w:p>
      <w:pPr>
        <w:spacing w:line="734" w:lineRule="exact"/>
        <w:ind w:left="181"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8.9pt;height:36.75pt;mso-position-horizontal-relative:char;mso-position-vertical-relative:line" coordorigin="0,0" coordsize="9578,735">
            <v:group style="position:absolute;left:10;top:10;width:2382;height:2" coordorigin="10,10" coordsize="2382,2">
              <v:shape style="position:absolute;left:10;top:10;width:2382;height:2" coordorigin="10,10" coordsize="2382,0" path="m10,10l2391,10e" filled="false" stroked="true" strokeweight=".48pt" strokecolor="#000000">
                <v:path arrowok="t"/>
              </v:shape>
            </v:group>
            <v:group style="position:absolute;left:2400;top:10;width:7168;height:2" coordorigin="2400,10" coordsize="7168,2">
              <v:shape style="position:absolute;left:2400;top:10;width:7168;height:2" coordorigin="2400,10" coordsize="7168,0" path="m2400,10l9568,10e" filled="false" stroked="true" strokeweight=".48pt" strokecolor="#000000">
                <v:path arrowok="t"/>
              </v:shape>
            </v:group>
            <v:group style="position:absolute;left:5;top:5;width:2;height:726" coordorigin="5,5" coordsize="2,726">
              <v:shape style="position:absolute;left:5;top:5;width:2;height:726" coordorigin="5,5" coordsize="0,726" path="m5,5l5,730e" filled="false" stroked="true" strokeweight=".48pt" strokecolor="#000000">
                <v:path arrowok="t"/>
              </v:shape>
            </v:group>
            <v:group style="position:absolute;left:10;top:725;width:2382;height:2" coordorigin="10,725" coordsize="2382,2">
              <v:shape style="position:absolute;left:10;top:725;width:2382;height:2" coordorigin="10,725" coordsize="2382,0" path="m10,725l2391,725e" filled="false" stroked="true" strokeweight=".48pt" strokecolor="#000000">
                <v:path arrowok="t"/>
              </v:shape>
            </v:group>
            <v:group style="position:absolute;left:2396;top:5;width:2;height:726" coordorigin="2396,5" coordsize="2,726">
              <v:shape style="position:absolute;left:2396;top:5;width:2;height:726" coordorigin="2396,5" coordsize="0,726" path="m2396,5l2396,730e" filled="false" stroked="true" strokeweight=".48pt" strokecolor="#000000">
                <v:path arrowok="t"/>
              </v:shape>
            </v:group>
            <v:group style="position:absolute;left:2400;top:725;width:7168;height:2" coordorigin="2400,725" coordsize="7168,2">
              <v:shape style="position:absolute;left:2400;top:725;width:7168;height:2" coordorigin="2400,725" coordsize="7168,0" path="m2400,725l9568,725e" filled="false" stroked="true" strokeweight=".48pt" strokecolor="#000000">
                <v:path arrowok="t"/>
              </v:shape>
            </v:group>
            <v:group style="position:absolute;left:9573;top:5;width:2;height:726" coordorigin="9573,5" coordsize="2,726">
              <v:shape style="position:absolute;left:9573;top:5;width:2;height:726" coordorigin="9573,5" coordsize="0,726" path="m9573,5l9573,730e" filled="false" stroked="true" strokeweight=".47998pt" strokecolor="#000000">
                <v:path arrowok="t"/>
              </v:shape>
              <v:shape style="position:absolute;left:5;top:10;width:2391;height:716" type="#_x0000_t202" filled="false" stroked="false">
                <v:textbox inset="0,0,0,0">
                  <w:txbxContent>
                    <w:p>
                      <w:pPr>
                        <w:spacing w:line="256" w:lineRule="auto" w:before="33"/>
                        <w:ind w:left="28" w:right="151" w:firstLine="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年曾控股的境内</w:t>
                      </w:r>
                      <w:r>
                        <w:rPr>
                          <w:rFonts w:ascii="宋体" w:hAnsi="宋体" w:cs="宋体" w:eastAsia="宋体" w:hint="default"/>
                          <w:w w:val="100"/>
                          <w:sz w:val="21"/>
                          <w:szCs w:val="21"/>
                        </w:rPr>
                        <w:t> </w:t>
                      </w:r>
                      <w:r>
                        <w:rPr>
                          <w:rFonts w:ascii="宋体" w:hAnsi="宋体" w:cs="宋体" w:eastAsia="宋体" w:hint="default"/>
                          <w:sz w:val="21"/>
                          <w:szCs w:val="21"/>
                        </w:rPr>
                        <w:t>外上市公司情况</w:t>
                      </w:r>
                    </w:p>
                  </w:txbxContent>
                </v:textbox>
                <w10:wrap type="none"/>
              </v:shape>
              <v:shape style="position:absolute;left:2396;top:10;width:7178;height:716" type="#_x0000_t202" filled="false" stroked="false">
                <v:textbox inset="0,0,0,0">
                  <w:txbxContent>
                    <w:p>
                      <w:pPr>
                        <w:spacing w:line="256" w:lineRule="auto" w:before="33"/>
                        <w:ind w:left="31"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日，杜力先生及其一致行动人以股权受让方式取得广州达意隆</w:t>
                      </w:r>
                      <w:r>
                        <w:rPr>
                          <w:rFonts w:ascii="宋体" w:hAnsi="宋体" w:cs="宋体" w:eastAsia="宋体" w:hint="default"/>
                          <w:w w:val="100"/>
                          <w:sz w:val="21"/>
                          <w:szCs w:val="21"/>
                        </w:rPr>
                        <w:t> </w:t>
                      </w:r>
                      <w:r>
                        <w:rPr>
                          <w:rFonts w:ascii="宋体" w:hAnsi="宋体" w:cs="宋体" w:eastAsia="宋体" w:hint="default"/>
                          <w:sz w:val="21"/>
                          <w:szCs w:val="21"/>
                        </w:rPr>
                        <w:t>包装机械股份有限公司控制权；截至期末，二人不再控制该公司。</w:t>
                      </w:r>
                    </w:p>
                  </w:txbxContent>
                </v:textbox>
                <w10:wrap type="none"/>
              </v:shape>
            </v:group>
          </v:group>
        </w:pict>
      </w:r>
      <w:r>
        <w:rPr>
          <w:rFonts w:ascii="宋体" w:hAnsi="宋体" w:cs="宋体" w:eastAsia="宋体" w:hint="default"/>
          <w:position w:val="-14"/>
          <w:sz w:val="20"/>
          <w:szCs w:val="20"/>
        </w:rPr>
      </w:r>
    </w:p>
    <w:p>
      <w:pPr>
        <w:pStyle w:val="BodyText"/>
        <w:tabs>
          <w:tab w:pos="8134" w:val="left" w:leader="none"/>
        </w:tabs>
        <w:spacing w:line="240" w:lineRule="auto" w:before="24"/>
        <w:ind w:right="0"/>
        <w:jc w:val="left"/>
      </w:pPr>
      <w:r>
        <w:rPr>
          <w:spacing w:val="-2"/>
        </w:rPr>
        <w:t>实际控制人报告期内变更</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spacing w:line="614" w:lineRule="auto" w:before="59"/>
        <w:ind w:right="3233" w:firstLine="420"/>
        <w:jc w:val="left"/>
      </w:pPr>
      <w:r>
        <w:rPr/>
        <w:pict>
          <v:shape style="position:absolute;margin-left:101.879997pt;margin-top:66.793694pt;width:390.96pt;height:197.4pt;mso-position-horizontal-relative:page;mso-position-vertical-relative:paragraph;z-index:-1330696" type="#_x0000_t75" stroked="false">
            <v:imagedata r:id="rId30" o:title=""/>
          </v:shape>
        </w:pict>
      </w:r>
      <w:r>
        <w:rPr/>
        <w:t>公司报告期实际控制人未发生变更。</w:t>
      </w:r>
      <w:r>
        <w:rPr>
          <w:w w:val="100"/>
        </w:rPr>
        <w:t> </w:t>
      </w:r>
      <w:r>
        <w:rPr>
          <w:spacing w:val="-2"/>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tabs>
          <w:tab w:pos="7928" w:val="left" w:leader="none"/>
        </w:tabs>
        <w:spacing w:line="490" w:lineRule="atLeast"/>
        <w:ind w:left="573" w:right="1313" w:hanging="421"/>
        <w:jc w:val="left"/>
      </w:pPr>
      <w:r>
        <w:rPr>
          <w:spacing w:val="-2"/>
        </w:rPr>
        <w:t>实际控制人通过信托或其他资产管理方式控制公司</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r>
        <w:rPr>
          <w:w w:val="100"/>
        </w:rPr>
        <w:t> </w:t>
      </w:r>
      <w:r>
        <w:rPr>
          <w:spacing w:val="-2"/>
        </w:rPr>
        <w:t>公司实际控制人通过前海发展、前海远大、凤凰财鑫、凤凰财智四家有限合伙企业控制公司。根据</w:t>
      </w:r>
    </w:p>
    <w:p>
      <w:pPr>
        <w:pStyle w:val="BodyText"/>
        <w:spacing w:line="273" w:lineRule="auto" w:before="37"/>
        <w:ind w:right="0"/>
        <w:jc w:val="left"/>
      </w:pPr>
      <w:r>
        <w:rPr>
          <w:spacing w:val="-4"/>
          <w:w w:val="100"/>
        </w:rPr>
        <w:t>前海发展、前海远大、凤凰财鑫、凤凰财智的《合伙协议》，相关合伙企业的普通合伙人有权就合伙企业</w:t>
      </w:r>
      <w:r>
        <w:rPr>
          <w:spacing w:val="-91"/>
          <w:w w:val="100"/>
        </w:rPr>
        <w:t> </w:t>
      </w:r>
      <w:r>
        <w:rPr>
          <w:spacing w:val="-91"/>
          <w:w w:val="100"/>
        </w:rPr>
      </w:r>
      <w:r>
        <w:rPr/>
        <w:t>的日常运营、投资决策、变更企业名称、经营范围、接纳新合伙人或同意现有合伙人追加出资等重大事</w:t>
      </w:r>
      <w:r>
        <w:rPr>
          <w:w w:val="100"/>
        </w:rPr>
        <w:t> </w:t>
      </w:r>
      <w:r>
        <w:rPr/>
        <w:t>项作出决策，有限合伙人不参与合伙事务。故此，前海发展、前海远大、凤凰财鑫、凤凰财智的普通合</w:t>
      </w:r>
      <w:r>
        <w:rPr>
          <w:w w:val="100"/>
        </w:rPr>
        <w:t> </w:t>
      </w:r>
      <w:r>
        <w:rPr/>
        <w:t>伙人能够有效控制相关合伙企业。</w:t>
      </w:r>
    </w:p>
    <w:p>
      <w:pPr>
        <w:spacing w:line="240" w:lineRule="auto" w:before="5"/>
        <w:rPr>
          <w:rFonts w:ascii="宋体" w:hAnsi="宋体" w:cs="宋体" w:eastAsia="宋体" w:hint="default"/>
          <w:sz w:val="18"/>
          <w:szCs w:val="18"/>
        </w:rPr>
      </w:pPr>
    </w:p>
    <w:p>
      <w:pPr>
        <w:tabs>
          <w:tab w:pos="8187"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4</w:t>
      </w:r>
      <w:r>
        <w:rPr>
          <w:rFonts w:ascii="Microsoft JhengHei" w:hAnsi="Microsoft JhengHei" w:cs="Microsoft JhengHei" w:eastAsia="Microsoft JhengHei" w:hint="default"/>
          <w:b/>
          <w:bCs/>
          <w:spacing w:val="-3"/>
          <w:sz w:val="21"/>
          <w:szCs w:val="21"/>
        </w:rPr>
        <w:t>、其他持股在</w:t>
      </w:r>
      <w:r>
        <w:rPr>
          <w:rFonts w:ascii="Microsoft JhengHei" w:hAnsi="Microsoft JhengHei" w:cs="Microsoft JhengHei" w:eastAsia="Microsoft JhengHei" w:hint="default"/>
          <w:b/>
          <w:bCs/>
          <w:spacing w:val="17"/>
          <w:sz w:val="21"/>
          <w:szCs w:val="21"/>
        </w:rPr>
        <w:t> </w:t>
      </w: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以上的法人股东</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36"/>
        <w:ind w:left="0" w:right="1085"/>
        <w:jc w:val="right"/>
      </w:pPr>
      <w:r>
        <w:rPr/>
        <w:pict>
          <v:shape style="position:absolute;margin-left:58.080002pt;margin-top:-35.886307pt;width:479.15pt;height:216.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1274"/>
                    <w:gridCol w:w="994"/>
                    <w:gridCol w:w="1702"/>
                    <w:gridCol w:w="4638"/>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6" w:right="51" w:hanging="212"/>
                          <w:jc w:val="left"/>
                          <w:rPr>
                            <w:rFonts w:ascii="宋体" w:hAnsi="宋体" w:cs="宋体" w:eastAsia="宋体" w:hint="default"/>
                            <w:sz w:val="21"/>
                            <w:szCs w:val="21"/>
                          </w:rPr>
                        </w:pPr>
                        <w:r>
                          <w:rPr>
                            <w:rFonts w:ascii="宋体" w:hAnsi="宋体" w:cs="宋体" w:eastAsia="宋体" w:hint="default"/>
                            <w:sz w:val="21"/>
                            <w:szCs w:val="21"/>
                          </w:rPr>
                          <w:t>法人股东</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107" w:right="71" w:hanging="29"/>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单位负责人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2"/>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59"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r>
                  <w:tr>
                    <w:trPr>
                      <w:trHeight w:val="360" w:hRule="exact"/>
                    </w:trPr>
                    <w:tc>
                      <w:tcPr>
                        <w:tcW w:w="960"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4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pacing w:val="-8"/>
                            <w:sz w:val="21"/>
                            <w:szCs w:val="21"/>
                          </w:rPr>
                          <w:t>资金信托；动产信托；不动产信托；有价证券信托</w:t>
                        </w: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63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其他财产或财产权信托；作为投资基金或者基金管</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63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理公司的发起人从事投资基金业务；经营企业资产</w:t>
                        </w:r>
                      </w:p>
                    </w:tc>
                  </w:tr>
                  <w:tr>
                    <w:trPr>
                      <w:trHeight w:val="124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71" w:lineRule="auto" w:before="145"/>
                          <w:ind w:left="24" w:right="82"/>
                          <w:jc w:val="both"/>
                          <w:rPr>
                            <w:rFonts w:ascii="宋体" w:hAnsi="宋体" w:cs="宋体" w:eastAsia="宋体" w:hint="default"/>
                            <w:sz w:val="21"/>
                            <w:szCs w:val="21"/>
                          </w:rPr>
                        </w:pPr>
                        <w:r>
                          <w:rPr>
                            <w:rFonts w:ascii="宋体" w:hAnsi="宋体" w:cs="宋体" w:eastAsia="宋体" w:hint="default"/>
                            <w:sz w:val="21"/>
                            <w:szCs w:val="21"/>
                          </w:rPr>
                          <w:t>雪松国际</w:t>
                        </w:r>
                        <w:r>
                          <w:rPr>
                            <w:rFonts w:ascii="宋体" w:hAnsi="宋体" w:cs="宋体" w:eastAsia="宋体" w:hint="default"/>
                            <w:w w:val="100"/>
                            <w:sz w:val="21"/>
                            <w:szCs w:val="21"/>
                          </w:rPr>
                          <w:t> </w:t>
                        </w:r>
                        <w:r>
                          <w:rPr>
                            <w:rFonts w:ascii="宋体" w:hAnsi="宋体" w:cs="宋体" w:eastAsia="宋体" w:hint="default"/>
                            <w:sz w:val="21"/>
                            <w:szCs w:val="21"/>
                          </w:rPr>
                          <w:t>信托股份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林伟龙</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04</w:t>
                        </w:r>
                        <w:r>
                          <w:rPr>
                            <w:rFonts w:ascii="Times New Roman" w:hAnsi="Times New Roman" w:cs="Times New Roman" w:eastAsia="Times New Roman" w:hint="default"/>
                            <w:sz w:val="21"/>
                            <w:szCs w:val="21"/>
                          </w:rPr>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300,505.1748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63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both"/>
                          <w:rPr>
                            <w:rFonts w:ascii="宋体" w:hAnsi="宋体" w:cs="宋体" w:eastAsia="宋体" w:hint="default"/>
                            <w:sz w:val="21"/>
                            <w:szCs w:val="21"/>
                          </w:rPr>
                        </w:pPr>
                        <w:r>
                          <w:rPr>
                            <w:rFonts w:ascii="宋体" w:hAnsi="宋体" w:cs="宋体" w:eastAsia="宋体" w:hint="default"/>
                            <w:spacing w:val="-4"/>
                            <w:sz w:val="21"/>
                            <w:szCs w:val="21"/>
                          </w:rPr>
                          <w:t>的重组、购并及项目融资、公司理财、财务顾问等</w:t>
                        </w:r>
                      </w:p>
                      <w:p>
                        <w:pPr>
                          <w:pStyle w:val="TableParagraph"/>
                          <w:spacing w:line="273" w:lineRule="auto" w:before="37"/>
                          <w:ind w:left="23" w:right="14"/>
                          <w:jc w:val="both"/>
                          <w:rPr>
                            <w:rFonts w:ascii="宋体" w:hAnsi="宋体" w:cs="宋体" w:eastAsia="宋体" w:hint="default"/>
                            <w:sz w:val="21"/>
                            <w:szCs w:val="21"/>
                          </w:rPr>
                        </w:pPr>
                        <w:r>
                          <w:rPr>
                            <w:rFonts w:ascii="宋体" w:hAnsi="宋体" w:cs="宋体" w:eastAsia="宋体" w:hint="default"/>
                            <w:spacing w:val="-3"/>
                            <w:sz w:val="21"/>
                            <w:szCs w:val="21"/>
                          </w:rPr>
                          <w:t>业务；受托经营国务院有关部门批准的证券承销业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务；办理居间、咨询、资信调查等业务；代保管及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保管箱业务；以存放同业、拆放同业、贷款、租赁</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63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投资方式运用固有财产；以固有财产为他人提供担</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463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保；从事同业拆借；法律法规规定或中国银行业监</w:t>
                        </w: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4638"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督管理委员会批准的其他业务。</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西藏迅杰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钟声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09</w:t>
                        </w:r>
                        <w:r>
                          <w:rPr>
                            <w:rFonts w:ascii="Times New Roman" w:hAnsi="Times New Roman" w:cs="Times New Roman" w:eastAsia="Times New Roman"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200,000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hAnsi="宋体" w:cs="宋体" w:eastAsia="宋体" w:hint="default"/>
                            <w:spacing w:val="-4"/>
                            <w:sz w:val="21"/>
                            <w:szCs w:val="21"/>
                          </w:rPr>
                          <w:t>销售计算机软硬件、电子产品、通讯器材、机械设</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6"/>
        <w:ind w:left="0" w:right="1088"/>
        <w:jc w:val="right"/>
      </w:pPr>
      <w:r>
        <w:rPr>
          <w:w w:val="100"/>
        </w:rPr>
        <w:t>、</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960"/>
        <w:gridCol w:w="1274"/>
        <w:gridCol w:w="994"/>
        <w:gridCol w:w="1702"/>
        <w:gridCol w:w="4638"/>
      </w:tblGrid>
      <w:tr>
        <w:trPr>
          <w:trHeight w:val="324"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新科科技</w:t>
            </w:r>
          </w:p>
        </w:tc>
        <w:tc>
          <w:tcPr>
            <w:tcW w:w="1274" w:type="dxa"/>
            <w:vMerge w:val="restart"/>
            <w:tcBorders>
              <w:top w:val="single" w:sz="4" w:space="0" w:color="000000"/>
              <w:left w:val="single" w:sz="4" w:space="0" w:color="000000"/>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79"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2" w:type="dxa"/>
            <w:vMerge w:val="restart"/>
            <w:tcBorders>
              <w:top w:val="single" w:sz="4" w:space="0" w:color="000000"/>
              <w:left w:val="single" w:sz="4" w:space="0" w:color="000000"/>
              <w:right w:val="single" w:sz="4" w:space="0" w:color="000000"/>
            </w:tcBorders>
          </w:tcPr>
          <w:p>
            <w:pPr/>
          </w:p>
        </w:tc>
        <w:tc>
          <w:tcPr>
            <w:tcW w:w="4638"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备</w:t>
            </w:r>
            <w:r>
              <w:rPr>
                <w:rFonts w:ascii="宋体" w:hAnsi="宋体" w:cs="宋体" w:eastAsia="宋体" w:hint="default"/>
                <w:spacing w:val="-48"/>
                <w:w w:val="100"/>
                <w:sz w:val="21"/>
                <w:szCs w:val="21"/>
              </w:rPr>
              <w:t>；</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咨</w:t>
            </w:r>
            <w:r>
              <w:rPr>
                <w:rFonts w:ascii="宋体" w:hAnsi="宋体" w:cs="宋体" w:eastAsia="宋体" w:hint="default"/>
                <w:spacing w:val="-48"/>
                <w:w w:val="100"/>
                <w:sz w:val="21"/>
                <w:szCs w:val="21"/>
              </w:rPr>
              <w:t>询</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含</w:t>
            </w:r>
            <w:r>
              <w:rPr>
                <w:rFonts w:ascii="宋体" w:hAnsi="宋体" w:cs="宋体" w:eastAsia="宋体" w:hint="default"/>
                <w:spacing w:val="-3"/>
                <w:w w:val="100"/>
                <w:sz w:val="21"/>
                <w:szCs w:val="21"/>
              </w:rPr>
              <w:t>中</w:t>
            </w:r>
            <w:r>
              <w:rPr>
                <w:rFonts w:ascii="宋体" w:hAnsi="宋体" w:cs="宋体" w:eastAsia="宋体" w:hint="default"/>
                <w:w w:val="100"/>
                <w:sz w:val="21"/>
                <w:szCs w:val="21"/>
              </w:rPr>
              <w:t>介</w:t>
            </w:r>
            <w:r>
              <w:rPr>
                <w:rFonts w:ascii="宋体" w:hAnsi="宋体" w:cs="宋体" w:eastAsia="宋体" w:hint="default"/>
                <w:spacing w:val="-3"/>
                <w:w w:val="100"/>
                <w:sz w:val="21"/>
                <w:szCs w:val="21"/>
              </w:rPr>
              <w:t>服</w:t>
            </w:r>
            <w:r>
              <w:rPr>
                <w:rFonts w:ascii="宋体" w:hAnsi="宋体" w:cs="宋体" w:eastAsia="宋体" w:hint="default"/>
                <w:spacing w:val="-1"/>
                <w:w w:val="100"/>
                <w:sz w:val="21"/>
                <w:szCs w:val="21"/>
              </w:rPr>
              <w:t>务</w:t>
            </w:r>
            <w:r>
              <w:rPr>
                <w:rFonts w:ascii="宋体" w:hAnsi="宋体" w:cs="宋体" w:eastAsia="宋体" w:hint="default"/>
                <w:spacing w:val="-106"/>
                <w:w w:val="100"/>
                <w:sz w:val="21"/>
                <w:szCs w:val="21"/>
              </w:rPr>
              <w:t>）</w:t>
            </w:r>
            <w:r>
              <w:rPr>
                <w:rFonts w:ascii="宋体" w:hAnsi="宋体" w:cs="宋体" w:eastAsia="宋体" w:hint="default"/>
                <w:spacing w:val="-48"/>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算</w:t>
            </w:r>
            <w:r>
              <w:rPr>
                <w:rFonts w:ascii="宋体" w:hAnsi="宋体" w:cs="宋体" w:eastAsia="宋体" w:hint="default"/>
                <w:spacing w:val="-3"/>
                <w:w w:val="100"/>
                <w:sz w:val="21"/>
                <w:szCs w:val="21"/>
              </w:rPr>
              <w:t>机</w:t>
            </w:r>
            <w:r>
              <w:rPr>
                <w:rFonts w:ascii="宋体" w:hAnsi="宋体" w:cs="宋体" w:eastAsia="宋体" w:hint="default"/>
                <w:w w:val="100"/>
                <w:sz w:val="21"/>
                <w:szCs w:val="21"/>
              </w:rPr>
              <w:t>软</w:t>
            </w:r>
            <w:r>
              <w:rPr>
                <w:rFonts w:ascii="宋体" w:hAnsi="宋体" w:cs="宋体" w:eastAsia="宋体" w:hint="default"/>
                <w:spacing w:val="-3"/>
                <w:w w:val="100"/>
                <w:sz w:val="21"/>
                <w:szCs w:val="21"/>
              </w:rPr>
              <w:t>硬</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技</w:t>
            </w:r>
          </w:p>
        </w:tc>
      </w:tr>
      <w:tr>
        <w:trPr>
          <w:trHeight w:val="306"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4" w:type="dxa"/>
            <w:vMerge/>
            <w:tcBorders>
              <w:left w:val="single" w:sz="4" w:space="0" w:color="000000"/>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702" w:type="dxa"/>
            <w:vMerge/>
            <w:tcBorders>
              <w:left w:val="single" w:sz="4" w:space="0" w:color="000000"/>
              <w:right w:val="single" w:sz="4" w:space="0" w:color="000000"/>
            </w:tcBorders>
          </w:tcPr>
          <w:p>
            <w:pPr/>
          </w:p>
        </w:tc>
        <w:tc>
          <w:tcPr>
            <w:tcW w:w="463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术开发、技术咨询、技术转让、技术服务；计算机</w:t>
            </w: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463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网络技术服务。</w:t>
            </w:r>
          </w:p>
        </w:tc>
      </w:tr>
    </w:tbl>
    <w:p>
      <w:pPr>
        <w:spacing w:line="240" w:lineRule="auto" w:before="3"/>
        <w:rPr>
          <w:rFonts w:ascii="宋体" w:hAnsi="宋体" w:cs="宋体" w:eastAsia="宋体" w:hint="default"/>
          <w:sz w:val="19"/>
          <w:szCs w:val="19"/>
        </w:rPr>
      </w:pPr>
    </w:p>
    <w:p>
      <w:pPr>
        <w:tabs>
          <w:tab w:pos="8161" w:val="left" w:leader="none"/>
        </w:tabs>
        <w:spacing w:line="335"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Microsoft JhengHei" w:hAnsi="Microsoft JhengHei" w:cs="Microsoft JhengHei" w:eastAsia="Microsoft JhengHei" w:hint="default"/>
          <w:b/>
          <w:bCs/>
          <w:spacing w:val="-1"/>
          <w:sz w:val="21"/>
          <w:szCs w:val="21"/>
        </w:rPr>
        <w:t>、控股股东、实际控制人、重组方及其他承诺主体股份限制减持情况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after="0" w:line="335"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285" w:right="0"/>
        <w:jc w:val="left"/>
        <w:rPr>
          <w:b w:val="0"/>
          <w:bCs w:val="0"/>
        </w:rPr>
      </w:pPr>
      <w:bookmarkStart w:name="_TOC_250006" w:id="7"/>
      <w:r>
        <w:rPr/>
        <w:t>第七节 </w:t>
      </w:r>
      <w:r>
        <w:rPr>
          <w:spacing w:val="8"/>
        </w:rPr>
        <w:t> </w:t>
      </w:r>
      <w:r>
        <w:rPr/>
        <w:t>优先股相关情况</w:t>
      </w:r>
      <w:bookmarkEnd w:id="7"/>
      <w:r>
        <w:rPr>
          <w:b w:val="0"/>
          <w:bCs w:val="0"/>
        </w:rPr>
      </w:r>
    </w:p>
    <w:p>
      <w:pPr>
        <w:spacing w:line="240" w:lineRule="auto" w:before="13"/>
        <w:rPr>
          <w:rFonts w:ascii="Microsoft JhengHei" w:hAnsi="Microsoft JhengHei" w:cs="Microsoft JhengHei" w:eastAsia="Microsoft JhengHei" w:hint="default"/>
          <w:b/>
          <w:bCs/>
          <w:sz w:val="26"/>
          <w:szCs w:val="26"/>
        </w:rPr>
      </w:pPr>
    </w:p>
    <w:p>
      <w:pPr>
        <w:pStyle w:val="BodyText"/>
        <w:spacing w:line="290" w:lineRule="auto" w:before="36"/>
        <w:ind w:right="77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报告期公司不存在优先股。</w:t>
      </w:r>
    </w:p>
    <w:p>
      <w:pPr>
        <w:spacing w:after="0" w:line="29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2642" w:right="0"/>
        <w:jc w:val="left"/>
        <w:rPr>
          <w:b w:val="0"/>
          <w:bCs w:val="0"/>
        </w:rPr>
      </w:pPr>
      <w:bookmarkStart w:name="_TOC_250005" w:id="8"/>
      <w:r>
        <w:rPr/>
        <w:t>第八节 </w:t>
      </w:r>
      <w:r>
        <w:rPr>
          <w:spacing w:val="13"/>
        </w:rPr>
        <w:t> </w:t>
      </w:r>
      <w:r>
        <w:rPr/>
        <w:t>可转换公司债券相关情况</w:t>
      </w:r>
      <w:bookmarkEnd w:id="8"/>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BodyText"/>
        <w:spacing w:line="290" w:lineRule="auto"/>
        <w:ind w:right="64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报告期公司不存在可转换公司债券。</w:t>
      </w:r>
    </w:p>
    <w:p>
      <w:pPr>
        <w:spacing w:after="0" w:line="29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1679" w:right="0"/>
        <w:jc w:val="left"/>
        <w:rPr>
          <w:b w:val="0"/>
          <w:bCs w:val="0"/>
        </w:rPr>
      </w:pPr>
      <w:bookmarkStart w:name="_TOC_250004" w:id="9"/>
      <w:r>
        <w:rPr/>
        <w:t>第九节 </w:t>
      </w:r>
      <w:r>
        <w:rPr>
          <w:spacing w:val="18"/>
        </w:rPr>
        <w:t> </w:t>
      </w:r>
      <w:r>
        <w:rPr/>
        <w:t>董事、监事、高级管理人员和员工情况</w:t>
      </w:r>
      <w:bookmarkEnd w:id="9"/>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6"/>
        <w:rPr>
          <w:rFonts w:ascii="Microsoft JhengHei" w:hAnsi="Microsoft JhengHei" w:cs="Microsoft JhengHei" w:eastAsia="Microsoft JhengHei" w:hint="default"/>
          <w:b/>
          <w:bCs/>
          <w:sz w:val="14"/>
          <w:szCs w:val="14"/>
        </w:rPr>
      </w:pPr>
    </w:p>
    <w:p>
      <w:pPr>
        <w:pStyle w:val="Heading4"/>
        <w:spacing w:line="335" w:lineRule="exact"/>
        <w:ind w:left="152" w:right="0"/>
        <w:jc w:val="left"/>
        <w:rPr>
          <w:b w:val="0"/>
          <w:bCs w:val="0"/>
        </w:rPr>
      </w:pPr>
      <w:r>
        <w:rPr>
          <w:rFonts w:ascii="Times New Roman" w:hAnsi="Times New Roman" w:cs="Times New Roman" w:eastAsia="Times New Roman" w:hint="default"/>
        </w:rPr>
        <w:t>1</w:t>
      </w:r>
      <w:r>
        <w:rPr/>
        <w:t>、报告期董事、监事和高级管理人员</w:t>
      </w:r>
      <w:r>
        <w:rPr>
          <w:b w:val="0"/>
          <w:bCs w:val="0"/>
        </w:rPr>
      </w:r>
    </w:p>
    <w:p>
      <w:pPr>
        <w:pStyle w:val="BodyText"/>
        <w:spacing w:line="240" w:lineRule="auto" w:before="54"/>
        <w:ind w:left="0" w:right="1128"/>
        <w:jc w:val="right"/>
      </w:pPr>
      <w:r>
        <w:rPr>
          <w:spacing w:val="-1"/>
        </w:rPr>
        <w:t>单位：股</w:t>
      </w:r>
    </w:p>
    <w:p>
      <w:pPr>
        <w:spacing w:line="240" w:lineRule="auto" w:before="10"/>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244"/>
        <w:gridCol w:w="1274"/>
        <w:gridCol w:w="569"/>
        <w:gridCol w:w="425"/>
        <w:gridCol w:w="991"/>
        <w:gridCol w:w="920"/>
        <w:gridCol w:w="910"/>
        <w:gridCol w:w="758"/>
        <w:gridCol w:w="908"/>
        <w:gridCol w:w="778"/>
        <w:gridCol w:w="852"/>
      </w:tblGrid>
      <w:tr>
        <w:trPr>
          <w:trHeight w:val="10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3" w:right="-13"/>
              <w:jc w:val="left"/>
              <w:rPr>
                <w:rFonts w:ascii="宋体" w:hAnsi="宋体" w:cs="宋体" w:eastAsia="宋体" w:hint="default"/>
                <w:sz w:val="21"/>
                <w:szCs w:val="21"/>
              </w:rPr>
            </w:pPr>
            <w:r>
              <w:rPr>
                <w:rFonts w:ascii="宋体" w:hAnsi="宋体" w:cs="宋体" w:eastAsia="宋体" w:hint="default"/>
                <w:spacing w:val="22"/>
                <w:sz w:val="21"/>
                <w:szCs w:val="21"/>
              </w:rPr>
              <w:t>任期起始</w:t>
            </w:r>
            <w:r>
              <w:rPr>
                <w:rFonts w:ascii="宋体" w:hAnsi="宋体" w:cs="宋体" w:eastAsia="宋体" w:hint="default"/>
                <w:spacing w:val="-96"/>
                <w:sz w:val="21"/>
                <w:szCs w:val="21"/>
              </w:rPr>
              <w:t> </w:t>
            </w:r>
            <w:r>
              <w:rPr>
                <w:rFonts w:ascii="宋体" w:hAnsi="宋体" w:cs="宋体" w:eastAsia="宋体" w:hint="default"/>
                <w:sz w:val="21"/>
                <w:szCs w:val="21"/>
              </w:rPr>
              <w:t>日期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20"/>
              <w:jc w:val="left"/>
              <w:rPr>
                <w:rFonts w:ascii="宋体" w:hAnsi="宋体" w:cs="宋体" w:eastAsia="宋体" w:hint="default"/>
                <w:sz w:val="21"/>
                <w:szCs w:val="21"/>
              </w:rPr>
            </w:pPr>
            <w:r>
              <w:rPr>
                <w:rFonts w:ascii="宋体" w:hAnsi="宋体" w:cs="宋体" w:eastAsia="宋体" w:hint="default"/>
                <w:spacing w:val="3"/>
                <w:sz w:val="21"/>
                <w:szCs w:val="21"/>
              </w:rPr>
              <w:t>任期终止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日期</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65"/>
              <w:ind w:left="134" w:right="131" w:firstLine="10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持股数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59" w:right="53"/>
              <w:jc w:val="both"/>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8" w:right="24"/>
              <w:jc w:val="left"/>
              <w:rPr>
                <w:rFonts w:ascii="宋体" w:hAnsi="宋体" w:cs="宋体" w:eastAsia="宋体" w:hint="default"/>
                <w:sz w:val="21"/>
                <w:szCs w:val="21"/>
              </w:rPr>
            </w:pPr>
            <w:r>
              <w:rPr>
                <w:rFonts w:ascii="宋体" w:hAnsi="宋体" w:cs="宋体" w:eastAsia="宋体" w:hint="default"/>
                <w:sz w:val="21"/>
                <w:szCs w:val="21"/>
              </w:rPr>
              <w:t>本期减持</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67" w:right="65"/>
              <w:jc w:val="left"/>
              <w:rPr>
                <w:rFonts w:ascii="宋体" w:hAnsi="宋体" w:cs="宋体" w:eastAsia="宋体" w:hint="default"/>
                <w:sz w:val="21"/>
                <w:szCs w:val="21"/>
              </w:rPr>
            </w:pPr>
            <w:r>
              <w:rPr>
                <w:rFonts w:ascii="宋体" w:hAnsi="宋体" w:cs="宋体" w:eastAsia="宋体" w:hint="default"/>
                <w:sz w:val="21"/>
                <w:szCs w:val="21"/>
              </w:rPr>
              <w:t>其他增</w:t>
            </w:r>
            <w:r>
              <w:rPr>
                <w:rFonts w:ascii="宋体" w:hAnsi="宋体" w:cs="宋体" w:eastAsia="宋体" w:hint="default"/>
                <w:spacing w:val="-102"/>
                <w:sz w:val="21"/>
                <w:szCs w:val="21"/>
              </w:rPr>
              <w:t> </w:t>
            </w:r>
            <w:r>
              <w:rPr>
                <w:rFonts w:ascii="宋体" w:hAnsi="宋体" w:cs="宋体" w:eastAsia="宋体" w:hint="default"/>
                <w:sz w:val="21"/>
                <w:szCs w:val="21"/>
              </w:rPr>
              <w:t>减变动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65"/>
              <w:ind w:left="105" w:right="101" w:firstLine="10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持股数</w:t>
            </w: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316" w:right="101" w:hanging="209"/>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1"/>
              <w:jc w:val="center"/>
              <w:rPr>
                <w:rFonts w:ascii="宋体" w:hAnsi="宋体" w:cs="宋体" w:eastAsia="宋体" w:hint="default"/>
                <w:sz w:val="21"/>
                <w:szCs w:val="21"/>
              </w:rPr>
            </w:pPr>
            <w:r>
              <w:rPr>
                <w:rFonts w:ascii="宋体" w:hAnsi="宋体" w:cs="宋体" w:eastAsia="宋体" w:hint="default"/>
                <w:sz w:val="21"/>
                <w:szCs w:val="21"/>
              </w:rPr>
              <w:t>董事、董事</w:t>
            </w:r>
            <w:r>
              <w:rPr>
                <w:rFonts w:ascii="宋体" w:hAnsi="宋体" w:cs="宋体" w:eastAsia="宋体" w:hint="default"/>
                <w:w w:val="100"/>
                <w:sz w:val="21"/>
                <w:szCs w:val="21"/>
              </w:rPr>
              <w:t> </w:t>
            </w:r>
            <w:r>
              <w:rPr>
                <w:rFonts w:ascii="宋体" w:hAnsi="宋体" w:cs="宋体" w:eastAsia="宋体" w:hint="default"/>
                <w:sz w:val="21"/>
                <w:szCs w:val="21"/>
              </w:rPr>
              <w:t>会秘书、财</w:t>
            </w:r>
            <w:r>
              <w:rPr>
                <w:rFonts w:ascii="宋体" w:hAnsi="宋体" w:cs="宋体" w:eastAsia="宋体" w:hint="default"/>
                <w:w w:val="100"/>
                <w:sz w:val="21"/>
                <w:szCs w:val="21"/>
              </w:rPr>
              <w:t> </w:t>
            </w:r>
            <w:r>
              <w:rPr>
                <w:rFonts w:ascii="宋体" w:hAnsi="宋体" w:cs="宋体" w:eastAsia="宋体" w:hint="default"/>
                <w:sz w:val="21"/>
                <w:szCs w:val="21"/>
              </w:rPr>
              <w:t>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488,947</w:t>
            </w: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120,000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368,947</w:t>
            </w: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422" w:right="101" w:hanging="315"/>
              <w:jc w:val="left"/>
              <w:rPr>
                <w:rFonts w:ascii="宋体" w:hAnsi="宋体" w:cs="宋体" w:eastAsia="宋体" w:hint="default"/>
                <w:sz w:val="21"/>
                <w:szCs w:val="21"/>
              </w:rPr>
            </w:pPr>
            <w:r>
              <w:rPr>
                <w:rFonts w:ascii="宋体" w:hAnsi="宋体" w:cs="宋体" w:eastAsia="宋体" w:hint="default"/>
                <w:sz w:val="21"/>
                <w:szCs w:val="21"/>
              </w:rPr>
              <w:t>董事、副总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1</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刘琛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104,072</w:t>
            </w: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方胜玲</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Lin Chienher</w:t>
            </w:r>
          </w:p>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林建何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7" w:right="101"/>
              <w:jc w:val="left"/>
              <w:rPr>
                <w:rFonts w:ascii="宋体" w:hAnsi="宋体" w:cs="宋体" w:eastAsia="宋体" w:hint="default"/>
                <w:sz w:val="21"/>
                <w:szCs w:val="21"/>
              </w:rPr>
            </w:pPr>
            <w:r>
              <w:rPr>
                <w:rFonts w:ascii="宋体" w:hAnsi="宋体" w:cs="宋体" w:eastAsia="宋体" w:hint="default"/>
                <w:sz w:val="21"/>
                <w:szCs w:val="21"/>
              </w:rPr>
              <w:t>副总经理兼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首席信息官</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1"/>
                <w:szCs w:val="21"/>
              </w:rPr>
            </w:pPr>
            <w:r>
              <w:rPr>
                <w:rFonts w:ascii="Times New Roman"/>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6" w:right="0"/>
              <w:jc w:val="left"/>
              <w:rPr>
                <w:rFonts w:ascii="Times New Roman" w:hAnsi="Times New Roman" w:cs="Times New Roman" w:eastAsia="Times New Roman" w:hint="default"/>
                <w:sz w:val="21"/>
                <w:szCs w:val="21"/>
              </w:rPr>
            </w:pPr>
            <w:r>
              <w:rPr>
                <w:rFonts w:ascii="Times New Roman"/>
                <w:sz w:val="21"/>
              </w:rPr>
              <w:t>593,019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4" w:right="0"/>
              <w:jc w:val="left"/>
              <w:rPr>
                <w:rFonts w:ascii="Times New Roman" w:hAnsi="Times New Roman" w:cs="Times New Roman" w:eastAsia="Times New Roman" w:hint="default"/>
                <w:sz w:val="21"/>
                <w:szCs w:val="21"/>
              </w:rPr>
            </w:pPr>
            <w:r>
              <w:rPr>
                <w:rFonts w:ascii="Times New Roman"/>
                <w:sz w:val="21"/>
              </w:rPr>
              <w:t>120,000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Times New Roman" w:hAnsi="Times New Roman" w:cs="Times New Roman" w:eastAsia="Times New Roman" w:hint="default"/>
                <w:sz w:val="21"/>
                <w:szCs w:val="21"/>
              </w:rPr>
            </w:pPr>
            <w:r>
              <w:rPr>
                <w:rFonts w:ascii="Times New Roman"/>
                <w:sz w:val="21"/>
              </w:rPr>
              <w:t>473,019</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0"/>
        <w:jc w:val="left"/>
      </w:pPr>
      <w:r>
        <w:rPr>
          <w:spacing w:val="-2"/>
        </w:rPr>
        <w:t>注：职务栏中有多个职务时，仅标注第一个职务的任期。连选连任的董事、监事，其任期起始日为其首</w:t>
      </w:r>
      <w:r>
        <w:rPr>
          <w:spacing w:val="-21"/>
        </w:rPr>
        <w:t> </w:t>
      </w:r>
      <w:r>
        <w:rPr>
          <w:spacing w:val="-21"/>
        </w:rPr>
      </w:r>
      <w:r>
        <w:rPr/>
        <w:t>次担任公司董事、监事之日；连选连任的高级管理人员，其任期起始日为首次上任之日。</w:t>
      </w:r>
    </w:p>
    <w:p>
      <w:pPr>
        <w:spacing w:line="240" w:lineRule="auto" w:before="6"/>
        <w:rPr>
          <w:rFonts w:ascii="宋体" w:hAnsi="宋体" w:cs="宋体" w:eastAsia="宋体" w:hint="default"/>
          <w:sz w:val="22"/>
          <w:szCs w:val="22"/>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、本报告披露日董事、监事、高级管理人员</w:t>
      </w:r>
      <w:r>
        <w:rPr>
          <w:b w:val="0"/>
          <w:bCs w:val="0"/>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81" w:type="dxa"/>
        <w:tblLayout w:type="fixed"/>
        <w:tblCellMar>
          <w:top w:w="0" w:type="dxa"/>
          <w:left w:w="0" w:type="dxa"/>
          <w:bottom w:w="0" w:type="dxa"/>
          <w:right w:w="0" w:type="dxa"/>
        </w:tblCellMar>
        <w:tblLook w:val="01E0"/>
      </w:tblPr>
      <w:tblGrid>
        <w:gridCol w:w="1244"/>
        <w:gridCol w:w="1274"/>
        <w:gridCol w:w="569"/>
        <w:gridCol w:w="425"/>
        <w:gridCol w:w="991"/>
        <w:gridCol w:w="920"/>
        <w:gridCol w:w="910"/>
        <w:gridCol w:w="758"/>
        <w:gridCol w:w="908"/>
        <w:gridCol w:w="778"/>
        <w:gridCol w:w="852"/>
      </w:tblGrid>
      <w:tr>
        <w:trPr>
          <w:trHeight w:val="102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13"/>
              <w:jc w:val="left"/>
              <w:rPr>
                <w:rFonts w:ascii="宋体" w:hAnsi="宋体" w:cs="宋体" w:eastAsia="宋体" w:hint="default"/>
                <w:sz w:val="21"/>
                <w:szCs w:val="21"/>
              </w:rPr>
            </w:pPr>
            <w:r>
              <w:rPr>
                <w:rFonts w:ascii="宋体" w:hAnsi="宋体" w:cs="宋体" w:eastAsia="宋体" w:hint="default"/>
                <w:spacing w:val="22"/>
                <w:sz w:val="21"/>
                <w:szCs w:val="21"/>
              </w:rPr>
              <w:t>任期起始</w:t>
            </w:r>
            <w:r>
              <w:rPr>
                <w:rFonts w:ascii="宋体" w:hAnsi="宋体" w:cs="宋体" w:eastAsia="宋体" w:hint="default"/>
                <w:spacing w:val="-96"/>
                <w:sz w:val="21"/>
                <w:szCs w:val="21"/>
              </w:rPr>
              <w:t> </w:t>
            </w:r>
            <w:r>
              <w:rPr>
                <w:rFonts w:ascii="宋体" w:hAnsi="宋体" w:cs="宋体" w:eastAsia="宋体" w:hint="default"/>
                <w:sz w:val="21"/>
                <w:szCs w:val="21"/>
              </w:rPr>
              <w:t>日期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24" w:right="20"/>
              <w:jc w:val="left"/>
              <w:rPr>
                <w:rFonts w:ascii="宋体" w:hAnsi="宋体" w:cs="宋体" w:eastAsia="宋体" w:hint="default"/>
                <w:sz w:val="21"/>
                <w:szCs w:val="21"/>
              </w:rPr>
            </w:pPr>
            <w:r>
              <w:rPr>
                <w:rFonts w:ascii="宋体" w:hAnsi="宋体" w:cs="宋体" w:eastAsia="宋体" w:hint="default"/>
                <w:spacing w:val="3"/>
                <w:sz w:val="21"/>
                <w:szCs w:val="21"/>
              </w:rPr>
              <w:t>任期终止</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日期</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34" w:right="131" w:firstLine="10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持股数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9" w:right="53"/>
              <w:jc w:val="both"/>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28" w:right="24"/>
              <w:jc w:val="left"/>
              <w:rPr>
                <w:rFonts w:ascii="宋体" w:hAnsi="宋体" w:cs="宋体" w:eastAsia="宋体" w:hint="default"/>
                <w:sz w:val="21"/>
                <w:szCs w:val="21"/>
              </w:rPr>
            </w:pPr>
            <w:r>
              <w:rPr>
                <w:rFonts w:ascii="宋体" w:hAnsi="宋体" w:cs="宋体" w:eastAsia="宋体" w:hint="default"/>
                <w:sz w:val="21"/>
                <w:szCs w:val="21"/>
              </w:rPr>
              <w:t>本期减持</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其他增</w:t>
            </w:r>
            <w:r>
              <w:rPr>
                <w:rFonts w:ascii="宋体" w:hAnsi="宋体" w:cs="宋体" w:eastAsia="宋体" w:hint="default"/>
                <w:spacing w:val="-102"/>
                <w:sz w:val="21"/>
                <w:szCs w:val="21"/>
              </w:rPr>
              <w:t> </w:t>
            </w:r>
            <w:r>
              <w:rPr>
                <w:rFonts w:ascii="宋体" w:hAnsi="宋体" w:cs="宋体" w:eastAsia="宋体" w:hint="default"/>
                <w:sz w:val="21"/>
                <w:szCs w:val="21"/>
              </w:rPr>
              <w:t>减变动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5"/>
              <w:ind w:left="105" w:right="101" w:firstLine="10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持股数</w:t>
            </w: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16" w:right="101" w:hanging="209"/>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8" w:right="101"/>
              <w:jc w:val="center"/>
              <w:rPr>
                <w:rFonts w:ascii="宋体" w:hAnsi="宋体" w:cs="宋体" w:eastAsia="宋体" w:hint="default"/>
                <w:sz w:val="21"/>
                <w:szCs w:val="21"/>
              </w:rPr>
            </w:pPr>
            <w:r>
              <w:rPr>
                <w:rFonts w:ascii="宋体" w:hAnsi="宋体" w:cs="宋体" w:eastAsia="宋体" w:hint="default"/>
                <w:sz w:val="21"/>
                <w:szCs w:val="21"/>
              </w:rPr>
              <w:t>董事、董事</w:t>
            </w:r>
            <w:r>
              <w:rPr>
                <w:rFonts w:ascii="宋体" w:hAnsi="宋体" w:cs="宋体" w:eastAsia="宋体" w:hint="default"/>
                <w:w w:val="100"/>
                <w:sz w:val="21"/>
                <w:szCs w:val="21"/>
              </w:rPr>
              <w:t> </w:t>
            </w:r>
            <w:r>
              <w:rPr>
                <w:rFonts w:ascii="宋体" w:hAnsi="宋体" w:cs="宋体" w:eastAsia="宋体" w:hint="default"/>
                <w:sz w:val="21"/>
                <w:szCs w:val="21"/>
              </w:rPr>
              <w:t>会秘书、财</w:t>
            </w:r>
            <w:r>
              <w:rPr>
                <w:rFonts w:ascii="宋体" w:hAnsi="宋体" w:cs="宋体" w:eastAsia="宋体" w:hint="default"/>
                <w:w w:val="100"/>
                <w:sz w:val="21"/>
                <w:szCs w:val="21"/>
              </w:rPr>
              <w:t> </w:t>
            </w:r>
            <w:r>
              <w:rPr>
                <w:rFonts w:ascii="宋体" w:hAnsi="宋体" w:cs="宋体" w:eastAsia="宋体" w:hint="default"/>
                <w:sz w:val="21"/>
                <w:szCs w:val="21"/>
              </w:rPr>
              <w:t>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22" w:right="101" w:hanging="315"/>
              <w:jc w:val="left"/>
              <w:rPr>
                <w:rFonts w:ascii="宋体" w:hAnsi="宋体" w:cs="宋体" w:eastAsia="宋体" w:hint="default"/>
                <w:sz w:val="21"/>
                <w:szCs w:val="21"/>
              </w:rPr>
            </w:pPr>
            <w:r>
              <w:rPr>
                <w:rFonts w:ascii="宋体" w:hAnsi="宋体" w:cs="宋体" w:eastAsia="宋体" w:hint="default"/>
                <w:sz w:val="21"/>
                <w:szCs w:val="21"/>
              </w:rPr>
              <w:t>董事、副总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22" w:right="101" w:hanging="315"/>
              <w:jc w:val="left"/>
              <w:rPr>
                <w:rFonts w:ascii="宋体" w:hAnsi="宋体" w:cs="宋体" w:eastAsia="宋体" w:hint="default"/>
                <w:sz w:val="21"/>
                <w:szCs w:val="21"/>
              </w:rPr>
            </w:pPr>
            <w:r>
              <w:rPr>
                <w:rFonts w:ascii="宋体" w:hAnsi="宋体" w:cs="宋体" w:eastAsia="宋体" w:hint="default"/>
                <w:sz w:val="21"/>
                <w:szCs w:val="21"/>
              </w:rPr>
              <w:t>董事、副总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杨志平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邵彬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傅继军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王晓龙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方胜玲</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73" w:lineRule="auto"/>
        <w:ind w:right="0"/>
        <w:jc w:val="left"/>
      </w:pPr>
      <w:r>
        <w:rPr>
          <w:spacing w:val="-2"/>
        </w:rPr>
        <w:t>注：职务栏中有多个职务时，仅标注第一个职务的任期。连选连任的董事、监事，其任期起始日为其首</w:t>
      </w:r>
      <w:r>
        <w:rPr>
          <w:spacing w:val="-21"/>
        </w:rPr>
        <w:t> </w:t>
      </w:r>
      <w:r>
        <w:rPr>
          <w:spacing w:val="-21"/>
        </w:rPr>
      </w:r>
      <w:r>
        <w:rPr/>
        <w:t>次担任公司董事、监事之日；连选连任的高级管理人员，其任期起始日为首次上任之日。</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二、公司董事、监事、高级管理人员变动情况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307" w:lineRule="auto"/>
        <w:ind w:left="573" w:right="1126"/>
        <w:jc w:val="left"/>
      </w:pPr>
      <w:r>
        <w:rPr/>
        <w:t>报告期公司董事、监事、高级管理人员未发生变动。</w:t>
      </w:r>
      <w:r>
        <w:rPr>
          <w:w w:val="100"/>
        </w:rPr>
        <w:t> </w:t>
      </w:r>
      <w:r>
        <w:rPr/>
        <w:t>公司第三届董事会董事、第三届监事会监事任期于</w:t>
      </w:r>
      <w:r>
        <w:rPr>
          <w:spacing w:val="-3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8"/>
        </w:rPr>
        <w:t> </w:t>
      </w:r>
      <w:r>
        <w:rPr/>
        <w:t>年</w:t>
      </w:r>
      <w:r>
        <w:rPr>
          <w:spacing w:val="-34"/>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月届满，董事刘世明先生、独立董事张</w:t>
      </w:r>
    </w:p>
    <w:p>
      <w:pPr>
        <w:spacing w:after="0" w:line="307"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61" w:lineRule="auto" w:before="36"/>
        <w:ind w:right="1126"/>
        <w:jc w:val="both"/>
      </w:pPr>
      <w:r>
        <w:rPr>
          <w:spacing w:val="-8"/>
        </w:rPr>
        <w:t>李平先生和周春生先生、监事刘琛女士、副总经理兼首席信息官林建何先生（</w:t>
      </w:r>
      <w:r>
        <w:rPr>
          <w:rFonts w:ascii="Times New Roman" w:hAnsi="Times New Roman" w:cs="Times New Roman" w:eastAsia="Times New Roman" w:hint="default"/>
          <w:spacing w:val="-8"/>
        </w:rPr>
        <w:t>Lin </w:t>
      </w:r>
      <w:r>
        <w:rPr>
          <w:rFonts w:ascii="Times New Roman" w:hAnsi="Times New Roman" w:cs="Times New Roman" w:eastAsia="Times New Roman" w:hint="default"/>
          <w:spacing w:val="-6"/>
        </w:rPr>
        <w:t>Chienher</w:t>
      </w:r>
      <w:r>
        <w:rPr>
          <w:spacing w:val="-6"/>
        </w:rPr>
        <w:t>）任期届满离任。</w:t>
      </w:r>
      <w:r>
        <w:rPr>
          <w:spacing w:val="-55"/>
        </w:rPr>
        <w:t> </w:t>
      </w:r>
      <w:r>
        <w:rPr>
          <w:spacing w:val="-55"/>
        </w:rPr>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日公司选举杨志平先生为董事、邵彬先生和傅继军先生为独立董事、王晓龙先生为监事，</w:t>
      </w:r>
      <w:r>
        <w:rPr>
          <w:w w:val="100"/>
        </w:rPr>
        <w:t> </w:t>
      </w:r>
      <w:r>
        <w:rPr>
          <w:spacing w:val="-2"/>
        </w:rPr>
        <w:t>并聘任李英明先生为副总经理。除此以外，报告期末至本报告披露日，公司董事、监事、高级管理人员未</w:t>
      </w:r>
      <w:r>
        <w:rPr>
          <w:spacing w:val="-43"/>
        </w:rPr>
        <w:t> </w:t>
      </w:r>
      <w:r>
        <w:rPr>
          <w:spacing w:val="-43"/>
        </w:rPr>
      </w:r>
      <w:r>
        <w:rPr/>
        <w:t>发生变动。</w:t>
      </w: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7" w:lineRule="auto"/>
        <w:ind w:left="573" w:right="0"/>
        <w:jc w:val="left"/>
      </w:pPr>
      <w:r>
        <w:rPr/>
        <w:t>公司现任董事、监事、高级管理人员专业背景、主要工作经历如下：</w:t>
      </w:r>
      <w:r>
        <w:rPr>
          <w:w w:val="100"/>
        </w:rPr>
        <w:t> </w:t>
      </w:r>
      <w:r>
        <w:rPr>
          <w:rFonts w:ascii="Microsoft JhengHei" w:hAnsi="Microsoft JhengHei" w:cs="Microsoft JhengHei" w:eastAsia="Microsoft JhengHei" w:hint="default"/>
          <w:b/>
          <w:bCs/>
          <w:spacing w:val="-2"/>
        </w:rPr>
        <w:t>杜力先生</w:t>
      </w:r>
      <w:r>
        <w:rPr>
          <w:spacing w:val="-2"/>
        </w:rPr>
        <w:t>，</w:t>
      </w:r>
      <w:r>
        <w:rPr>
          <w:rFonts w:ascii="Times New Roman" w:hAnsi="Times New Roman" w:cs="Times New Roman" w:eastAsia="Times New Roman" w:hint="default"/>
          <w:spacing w:val="-2"/>
        </w:rPr>
        <w:t>1980</w:t>
      </w:r>
      <w:r>
        <w:rPr>
          <w:spacing w:val="-2"/>
        </w:rPr>
        <w:t>年出生，中国国籍，无境外永久居留权，硕士研究生学历。曾任广东达意隆包装机械</w:t>
      </w:r>
    </w:p>
    <w:p>
      <w:pPr>
        <w:pStyle w:val="BodyText"/>
        <w:spacing w:line="312" w:lineRule="exact"/>
        <w:ind w:left="573" w:right="0" w:hanging="421"/>
        <w:jc w:val="left"/>
      </w:pPr>
      <w:r>
        <w:rPr/>
        <w:t>股份有限公司董事长，现任公司董事长、子公司国盛证券董事长等职。</w:t>
      </w:r>
      <w:r>
        <w:rPr>
          <w:w w:val="100"/>
        </w:rPr>
        <w:t> </w:t>
      </w:r>
      <w:r>
        <w:rPr>
          <w:rFonts w:ascii="Microsoft JhengHei" w:hAnsi="Microsoft JhengHei" w:cs="Microsoft JhengHei" w:eastAsia="Microsoft JhengHei" w:hint="default"/>
          <w:b/>
          <w:bCs/>
          <w:spacing w:val="-2"/>
        </w:rPr>
        <w:t>张巍先生</w:t>
      </w:r>
      <w:r>
        <w:rPr>
          <w:spacing w:val="-2"/>
        </w:rPr>
        <w:t>，</w:t>
      </w:r>
      <w:r>
        <w:rPr>
          <w:rFonts w:ascii="Times New Roman" w:hAnsi="Times New Roman" w:cs="Times New Roman" w:eastAsia="Times New Roman" w:hint="default"/>
          <w:spacing w:val="-2"/>
        </w:rPr>
        <w:t>1980</w:t>
      </w:r>
      <w:r>
        <w:rPr>
          <w:spacing w:val="-2"/>
        </w:rPr>
        <w:t>年出生，中国国籍，无境外永久居留权，硕士研究生学历。曾任江苏通达动力科技股</w:t>
      </w:r>
    </w:p>
    <w:p>
      <w:pPr>
        <w:pStyle w:val="BodyText"/>
        <w:spacing w:line="273" w:lineRule="auto" w:before="5"/>
        <w:ind w:right="1126"/>
        <w:jc w:val="both"/>
      </w:pPr>
      <w:r>
        <w:rPr>
          <w:spacing w:val="-2"/>
        </w:rPr>
        <w:t>份有限公司副总经理、董事会秘书，北京凤凰财富投资管理有限公司总经理，北京凤凰财富控股集团有限</w:t>
      </w:r>
      <w:r>
        <w:rPr>
          <w:spacing w:val="-45"/>
        </w:rPr>
        <w:t> </w:t>
      </w:r>
      <w:r>
        <w:rPr>
          <w:spacing w:val="-45"/>
        </w:rPr>
      </w:r>
      <w:r>
        <w:rPr/>
        <w:t>公司总裁，现任公司副董事长、总经理，子公司国盛证券副董事长等职。</w:t>
      </w:r>
    </w:p>
    <w:p>
      <w:pPr>
        <w:pStyle w:val="BodyText"/>
        <w:spacing w:line="312" w:lineRule="exact" w:before="3"/>
        <w:ind w:right="1129" w:firstLine="420"/>
        <w:jc w:val="both"/>
      </w:pPr>
      <w:r>
        <w:rPr>
          <w:rFonts w:ascii="Microsoft JhengHei" w:hAnsi="Microsoft JhengHei" w:cs="Microsoft JhengHei" w:eastAsia="Microsoft JhengHei" w:hint="default"/>
          <w:b/>
          <w:bCs/>
          <w:spacing w:val="-2"/>
        </w:rPr>
        <w:t>赵岑女士</w:t>
      </w:r>
      <w:r>
        <w:rPr>
          <w:spacing w:val="-2"/>
        </w:rPr>
        <w:t>，</w:t>
      </w:r>
      <w:r>
        <w:rPr>
          <w:rFonts w:ascii="Times New Roman" w:hAnsi="Times New Roman" w:cs="Times New Roman" w:eastAsia="Times New Roman" w:hint="default"/>
          <w:spacing w:val="-2"/>
        </w:rPr>
        <w:t>1967</w:t>
      </w:r>
      <w:r>
        <w:rPr>
          <w:spacing w:val="-2"/>
        </w:rPr>
        <w:t>年出生，中国国籍，无境外永久居留权，硕士研究生学历。现任公司董事、董事会秘</w:t>
      </w:r>
      <w:r>
        <w:rPr>
          <w:w w:val="100"/>
        </w:rPr>
        <w:t> </w:t>
      </w:r>
      <w:r>
        <w:rPr/>
        <w:t>书、财务总监，子公司深圳投资监事。</w:t>
      </w:r>
    </w:p>
    <w:p>
      <w:pPr>
        <w:pStyle w:val="BodyText"/>
        <w:spacing w:line="312" w:lineRule="exact"/>
        <w:ind w:right="1126" w:firstLine="420"/>
        <w:jc w:val="both"/>
      </w:pPr>
      <w:r>
        <w:rPr>
          <w:rFonts w:ascii="Microsoft JhengHei" w:hAnsi="Microsoft JhengHei" w:cs="Microsoft JhengHei" w:eastAsia="Microsoft JhengHei" w:hint="default"/>
          <w:b/>
          <w:bCs/>
          <w:spacing w:val="-2"/>
        </w:rPr>
        <w:t>李英明先生</w:t>
      </w:r>
      <w:r>
        <w:rPr>
          <w:spacing w:val="-2"/>
        </w:rPr>
        <w:t>，</w:t>
      </w:r>
      <w:r>
        <w:rPr>
          <w:rFonts w:ascii="Times New Roman" w:hAnsi="Times New Roman" w:cs="Times New Roman" w:eastAsia="Times New Roman" w:hint="default"/>
          <w:spacing w:val="-2"/>
        </w:rPr>
        <w:t>1978</w:t>
      </w:r>
      <w:r>
        <w:rPr>
          <w:spacing w:val="-2"/>
        </w:rPr>
        <w:t>年出生，中国国籍，无境外永久居留权，硕士研究生学历。曾任正略钧策管理顾问</w:t>
      </w:r>
      <w:r>
        <w:rPr>
          <w:w w:val="100"/>
        </w:rPr>
        <w:t> </w:t>
      </w:r>
      <w:r>
        <w:rPr>
          <w:spacing w:val="-2"/>
        </w:rPr>
        <w:t>公司高级顾问、投资经理，现任公司董事、副总经理，子公司深圳投资执行董事、经理，子公司弘大嘉豪</w:t>
      </w:r>
      <w:r>
        <w:rPr>
          <w:spacing w:val="-42"/>
        </w:rPr>
        <w:t> </w:t>
      </w:r>
      <w:r>
        <w:rPr>
          <w:spacing w:val="-42"/>
        </w:rPr>
      </w:r>
      <w:r>
        <w:rPr/>
        <w:t>执行董事，海南阿凡题科技有限公司董事等职。</w:t>
      </w:r>
    </w:p>
    <w:p>
      <w:pPr>
        <w:pStyle w:val="BodyText"/>
        <w:spacing w:line="312" w:lineRule="exact"/>
        <w:ind w:right="1126" w:firstLine="420"/>
        <w:jc w:val="both"/>
      </w:pPr>
      <w:r>
        <w:rPr>
          <w:rFonts w:ascii="Microsoft JhengHei" w:hAnsi="Microsoft JhengHei" w:cs="Microsoft JhengHei" w:eastAsia="Microsoft JhengHei" w:hint="default"/>
          <w:b/>
          <w:bCs/>
          <w:spacing w:val="-2"/>
        </w:rPr>
        <w:t>李娥女士</w:t>
      </w:r>
      <w:r>
        <w:rPr>
          <w:spacing w:val="-2"/>
        </w:rPr>
        <w:t>，</w:t>
      </w:r>
      <w:r>
        <w:rPr>
          <w:rFonts w:ascii="Times New Roman" w:hAnsi="Times New Roman" w:cs="Times New Roman" w:eastAsia="Times New Roman" w:hint="default"/>
          <w:spacing w:val="-2"/>
        </w:rPr>
        <w:t>1979</w:t>
      </w:r>
      <w:r>
        <w:rPr>
          <w:spacing w:val="-2"/>
        </w:rPr>
        <w:t>年出生，中国国籍，无永久境外居留权，硕士研究生学历。曾任北京青云创业投资管</w:t>
      </w:r>
      <w:r>
        <w:rPr>
          <w:w w:val="100"/>
        </w:rPr>
        <w:t> </w:t>
      </w:r>
      <w:r>
        <w:rPr>
          <w:spacing w:val="-2"/>
        </w:rPr>
        <w:t>理有限公司人力资源兼行政主管、国开金泰资本投资有限责任公司人力资源兼行政总监、北京凤凰财富创</w:t>
      </w:r>
      <w:r>
        <w:rPr>
          <w:spacing w:val="-44"/>
        </w:rPr>
        <w:t> </w:t>
      </w:r>
      <w:r>
        <w:rPr>
          <w:spacing w:val="-44"/>
        </w:rPr>
      </w:r>
      <w:r>
        <w:rPr>
          <w:spacing w:val="-2"/>
        </w:rPr>
        <w:t>新投资有限公司副总裁，现任公司董事、副总经理，子公司北京国盛互联信息咨询有限公司执行董事、经</w:t>
      </w:r>
    </w:p>
    <w:p>
      <w:pPr>
        <w:pStyle w:val="BodyText"/>
        <w:spacing w:line="260" w:lineRule="exact" w:before="4"/>
        <w:ind w:right="0"/>
        <w:jc w:val="left"/>
      </w:pPr>
      <w:r>
        <w:rPr/>
        <w:t>理等职。</w:t>
      </w:r>
    </w:p>
    <w:p>
      <w:pPr>
        <w:pStyle w:val="BodyText"/>
        <w:spacing w:line="312" w:lineRule="exact" w:before="47"/>
        <w:ind w:right="1129" w:firstLine="420"/>
        <w:jc w:val="both"/>
      </w:pPr>
      <w:r>
        <w:rPr>
          <w:rFonts w:ascii="Microsoft JhengHei" w:hAnsi="Microsoft JhengHei" w:cs="Microsoft JhengHei" w:eastAsia="Microsoft JhengHei" w:hint="default"/>
          <w:b/>
          <w:bCs/>
          <w:spacing w:val="-2"/>
        </w:rPr>
        <w:t>杨志平先生</w:t>
      </w:r>
      <w:r>
        <w:rPr>
          <w:spacing w:val="-2"/>
        </w:rPr>
        <w:t>，</w:t>
      </w:r>
      <w:r>
        <w:rPr>
          <w:rFonts w:ascii="Times New Roman" w:hAnsi="Times New Roman" w:cs="Times New Roman" w:eastAsia="Times New Roman" w:hint="default"/>
          <w:spacing w:val="-2"/>
        </w:rPr>
        <w:t>1964</w:t>
      </w:r>
      <w:r>
        <w:rPr>
          <w:spacing w:val="-2"/>
        </w:rPr>
        <w:t>年出生，中国国籍，无境外永久居留权，硕士研究生学历，中国注册会计师、中国</w:t>
      </w:r>
      <w:r>
        <w:rPr>
          <w:w w:val="100"/>
        </w:rPr>
        <w:t> </w:t>
      </w:r>
      <w:r>
        <w:rPr/>
        <w:t>注册税务师。现任立信会计师事务所（特殊普通合伙）权益合伙人、公司董事。</w:t>
      </w:r>
    </w:p>
    <w:p>
      <w:pPr>
        <w:pStyle w:val="BodyText"/>
        <w:spacing w:line="312" w:lineRule="exact"/>
        <w:ind w:right="1126" w:firstLine="420"/>
        <w:jc w:val="both"/>
      </w:pPr>
      <w:r>
        <w:rPr>
          <w:rFonts w:ascii="Microsoft JhengHei" w:hAnsi="Microsoft JhengHei" w:cs="Microsoft JhengHei" w:eastAsia="Microsoft JhengHei" w:hint="default"/>
          <w:b/>
          <w:bCs/>
          <w:spacing w:val="-7"/>
        </w:rPr>
        <w:t>徐强国先生</w:t>
      </w:r>
      <w:r>
        <w:rPr>
          <w:spacing w:val="-7"/>
        </w:rPr>
        <w:t>，</w:t>
      </w:r>
      <w:r>
        <w:rPr>
          <w:rFonts w:ascii="Times New Roman" w:hAnsi="Times New Roman" w:cs="Times New Roman" w:eastAsia="Times New Roman" w:hint="default"/>
          <w:spacing w:val="-7"/>
        </w:rPr>
        <w:t>1964</w:t>
      </w:r>
      <w:r>
        <w:rPr>
          <w:spacing w:val="-7"/>
        </w:rPr>
        <w:t>年出生，中国国籍，无境外永久居留权，博士研究生学历。曾任天津商业大学教授，</w:t>
      </w:r>
      <w:r>
        <w:rPr>
          <w:w w:val="100"/>
        </w:rPr>
        <w:t> </w:t>
      </w:r>
      <w:r>
        <w:rPr>
          <w:spacing w:val="-2"/>
        </w:rPr>
        <w:t>现任浙江工商大学财务与会计学院教授、公司独立董事、浙江仙通橡胶股份有限公司独立董事、江苏诺泰</w:t>
      </w:r>
      <w:r>
        <w:rPr>
          <w:spacing w:val="-44"/>
        </w:rPr>
        <w:t> </w:t>
      </w:r>
      <w:r>
        <w:rPr>
          <w:spacing w:val="-44"/>
        </w:rPr>
      </w:r>
      <w:r>
        <w:rPr/>
        <w:t>澳赛诺生物制药股份有限公司独立董事、乐歌人体工学科技股份有限公司独立董事等职。</w:t>
      </w:r>
    </w:p>
    <w:p>
      <w:pPr>
        <w:pStyle w:val="BodyText"/>
        <w:spacing w:line="312" w:lineRule="exact"/>
        <w:ind w:right="1129" w:firstLine="420"/>
        <w:jc w:val="both"/>
      </w:pPr>
      <w:r>
        <w:rPr>
          <w:rFonts w:ascii="Microsoft JhengHei" w:hAnsi="Microsoft JhengHei" w:cs="Microsoft JhengHei" w:eastAsia="Microsoft JhengHei" w:hint="default"/>
          <w:b/>
          <w:bCs/>
          <w:spacing w:val="-2"/>
        </w:rPr>
        <w:t>邵彬先生</w:t>
      </w:r>
      <w:r>
        <w:rPr>
          <w:spacing w:val="-2"/>
        </w:rPr>
        <w:t>，</w:t>
      </w:r>
      <w:r>
        <w:rPr>
          <w:rFonts w:ascii="Times New Roman" w:hAnsi="Times New Roman" w:cs="Times New Roman" w:eastAsia="Times New Roman" w:hint="default"/>
          <w:spacing w:val="-2"/>
        </w:rPr>
        <w:t>1986</w:t>
      </w:r>
      <w:r>
        <w:rPr>
          <w:spacing w:val="-2"/>
        </w:rPr>
        <w:t>年出生，中国国籍，无境外永久居留权，硕士研究生学历，执业律师。现任上海市广</w:t>
      </w:r>
      <w:r>
        <w:rPr>
          <w:w w:val="100"/>
        </w:rPr>
        <w:t> </w:t>
      </w:r>
      <w:r>
        <w:rPr/>
        <w:t>发律师事务所合伙人、公司独立董事。</w:t>
      </w:r>
    </w:p>
    <w:p>
      <w:pPr>
        <w:pStyle w:val="BodyText"/>
        <w:spacing w:line="312" w:lineRule="exact"/>
        <w:ind w:right="1028" w:firstLine="420"/>
        <w:jc w:val="both"/>
      </w:pPr>
      <w:r>
        <w:rPr>
          <w:rFonts w:ascii="Microsoft JhengHei" w:hAnsi="Microsoft JhengHei" w:cs="Microsoft JhengHei" w:eastAsia="Microsoft JhengHei" w:hint="default"/>
          <w:b/>
          <w:bCs/>
          <w:spacing w:val="-2"/>
        </w:rPr>
        <w:t>傅继军先生</w:t>
      </w:r>
      <w:r>
        <w:rPr>
          <w:spacing w:val="-2"/>
        </w:rPr>
        <w:t>，</w:t>
      </w:r>
      <w:r>
        <w:rPr>
          <w:rFonts w:ascii="Times New Roman" w:hAnsi="Times New Roman" w:cs="Times New Roman" w:eastAsia="Times New Roman" w:hint="default"/>
          <w:spacing w:val="-2"/>
        </w:rPr>
        <w:t>1957</w:t>
      </w:r>
      <w:r>
        <w:rPr>
          <w:spacing w:val="-2"/>
        </w:rPr>
        <w:t>年出生，中国国籍，无境外永久居留权，博士研究生学历，高级经济师、国际注册</w:t>
      </w:r>
      <w:r>
        <w:rPr>
          <w:w w:val="100"/>
        </w:rPr>
        <w:t> </w:t>
      </w:r>
      <w:r>
        <w:rPr>
          <w:spacing w:val="-2"/>
        </w:rPr>
        <w:t>管理咨询师。现任中华财务咨询有限公司董事长、中国企业联合会管理咨询委员会副主任委员、中国并购</w:t>
      </w:r>
      <w:r>
        <w:rPr>
          <w:spacing w:val="-42"/>
        </w:rPr>
        <w:t> </w:t>
      </w:r>
      <w:r>
        <w:rPr>
          <w:spacing w:val="-42"/>
        </w:rPr>
      </w:r>
      <w:r>
        <w:rPr/>
        <w:t>公会常务理事、中国财政学会理事会理事、天津财经大学客座教授、哈尔滨工业大学深圳学院客座教授、</w:t>
      </w:r>
    </w:p>
    <w:p>
      <w:pPr>
        <w:pStyle w:val="BodyText"/>
        <w:spacing w:line="312" w:lineRule="exact"/>
        <w:ind w:left="573" w:right="0" w:hanging="421"/>
        <w:jc w:val="left"/>
      </w:pPr>
      <w:r>
        <w:rPr/>
        <w:t>公司独立董事、农银汇理基金管理有限公司独立董事、凌云工业股份有限公司独立董事等职。</w:t>
      </w:r>
      <w:r>
        <w:rPr>
          <w:w w:val="100"/>
        </w:rPr>
        <w:t> </w:t>
      </w:r>
      <w:r>
        <w:rPr>
          <w:rFonts w:ascii="Microsoft JhengHei" w:hAnsi="Microsoft JhengHei" w:cs="Microsoft JhengHei" w:eastAsia="Microsoft JhengHei" w:hint="default"/>
          <w:b/>
          <w:bCs/>
          <w:spacing w:val="-2"/>
        </w:rPr>
        <w:t>叶强先生</w:t>
      </w:r>
      <w:r>
        <w:rPr>
          <w:spacing w:val="-2"/>
        </w:rPr>
        <w:t>，</w:t>
      </w:r>
      <w:r>
        <w:rPr>
          <w:rFonts w:ascii="Times New Roman" w:hAnsi="Times New Roman" w:cs="Times New Roman" w:eastAsia="Times New Roman" w:hint="default"/>
          <w:spacing w:val="-2"/>
        </w:rPr>
        <w:t>1980</w:t>
      </w:r>
      <w:r>
        <w:rPr>
          <w:spacing w:val="-2"/>
        </w:rPr>
        <w:t>年出生，中国国籍，无境外永久居留权，硕士研究生学历。曾任屈臣氏集团有限公司</w:t>
      </w:r>
    </w:p>
    <w:p>
      <w:pPr>
        <w:pStyle w:val="BodyText"/>
        <w:spacing w:line="273" w:lineRule="auto" w:before="4"/>
        <w:ind w:right="1028"/>
        <w:jc w:val="both"/>
      </w:pPr>
      <w:r>
        <w:rPr/>
        <w:t>区域经理、北京凤凰财富控股集团有限公司副总裁，现任公司监事会主席，子公司国盛证券监事会主席、</w:t>
      </w:r>
      <w:r>
        <w:rPr>
          <w:spacing w:val="-24"/>
        </w:rPr>
        <w:t> </w:t>
      </w:r>
      <w:r>
        <w:rPr>
          <w:spacing w:val="-24"/>
        </w:rPr>
      </w:r>
      <w:r>
        <w:rPr/>
        <w:t>办公室主任等职。</w:t>
      </w:r>
    </w:p>
    <w:p>
      <w:pPr>
        <w:pStyle w:val="BodyText"/>
        <w:spacing w:line="312" w:lineRule="exact" w:before="3"/>
        <w:ind w:right="1126" w:firstLine="420"/>
        <w:jc w:val="both"/>
      </w:pPr>
      <w:r>
        <w:rPr>
          <w:rFonts w:ascii="Microsoft JhengHei" w:hAnsi="Microsoft JhengHei" w:cs="Microsoft JhengHei" w:eastAsia="Microsoft JhengHei" w:hint="default"/>
          <w:b/>
          <w:bCs/>
          <w:spacing w:val="-2"/>
        </w:rPr>
        <w:t>王晓龙先生</w:t>
      </w:r>
      <w:r>
        <w:rPr>
          <w:spacing w:val="-2"/>
        </w:rPr>
        <w:t>，</w:t>
      </w:r>
      <w:r>
        <w:rPr>
          <w:rFonts w:ascii="Times New Roman" w:hAnsi="Times New Roman" w:cs="Times New Roman" w:eastAsia="Times New Roman" w:hint="default"/>
          <w:spacing w:val="-2"/>
        </w:rPr>
        <w:t>1988</w:t>
      </w:r>
      <w:r>
        <w:rPr>
          <w:spacing w:val="-2"/>
        </w:rPr>
        <w:t>年出生，中国国籍，无境外永久居留权，本科学历。曾任北京凤凰财富控股集团有</w:t>
      </w:r>
      <w:r>
        <w:rPr>
          <w:w w:val="100"/>
        </w:rPr>
        <w:t> </w:t>
      </w:r>
      <w:r>
        <w:rPr>
          <w:spacing w:val="-2"/>
        </w:rPr>
        <w:t>限公司投资总监、广州达意隆包装机械股份有限公司证券事务代表，现任公司监事、子公司深圳前海弘大</w:t>
      </w:r>
      <w:r>
        <w:rPr>
          <w:spacing w:val="-44"/>
        </w:rPr>
        <w:t> </w:t>
      </w:r>
      <w:r>
        <w:rPr>
          <w:spacing w:val="-44"/>
        </w:rPr>
      </w:r>
      <w:r>
        <w:rPr/>
        <w:t>嘉豪资本管理有限公司投资总监。</w:t>
      </w:r>
    </w:p>
    <w:p>
      <w:pPr>
        <w:pStyle w:val="BodyText"/>
        <w:spacing w:line="312" w:lineRule="exact"/>
        <w:ind w:right="1129" w:firstLine="420"/>
        <w:jc w:val="both"/>
      </w:pPr>
      <w:r>
        <w:rPr>
          <w:rFonts w:ascii="Microsoft JhengHei" w:hAnsi="Microsoft JhengHei" w:cs="Microsoft JhengHei" w:eastAsia="Microsoft JhengHei" w:hint="default"/>
          <w:b/>
          <w:bCs/>
          <w:spacing w:val="-2"/>
        </w:rPr>
        <w:t>方胜玲女士</w:t>
      </w:r>
      <w:r>
        <w:rPr>
          <w:spacing w:val="-2"/>
        </w:rPr>
        <w:t>，</w:t>
      </w:r>
      <w:r>
        <w:rPr>
          <w:rFonts w:ascii="Times New Roman" w:hAnsi="Times New Roman" w:cs="Times New Roman" w:eastAsia="Times New Roman" w:hint="default"/>
          <w:spacing w:val="-2"/>
        </w:rPr>
        <w:t>1990</w:t>
      </w:r>
      <w:r>
        <w:rPr>
          <w:spacing w:val="-2"/>
        </w:rPr>
        <w:t>年出生，中国国籍，无境外永久居留权，本科学历。曾任证券事务助理等职，现任</w:t>
      </w:r>
      <w:r>
        <w:rPr>
          <w:w w:val="100"/>
        </w:rPr>
        <w:t> </w:t>
      </w:r>
      <w:r>
        <w:rPr/>
        <w:t>公司监事、证券事务代表。</w:t>
      </w:r>
    </w:p>
    <w:p>
      <w:pPr>
        <w:spacing w:line="240" w:lineRule="auto" w:before="4"/>
        <w:rPr>
          <w:rFonts w:ascii="宋体" w:hAnsi="宋体" w:cs="宋体" w:eastAsia="宋体" w:hint="default"/>
          <w:sz w:val="27"/>
          <w:szCs w:val="27"/>
        </w:rPr>
      </w:pPr>
    </w:p>
    <w:p>
      <w:pPr>
        <w:pStyle w:val="BodyText"/>
        <w:tabs>
          <w:tab w:pos="8134" w:val="left" w:leader="none"/>
        </w:tabs>
        <w:spacing w:line="240" w:lineRule="auto"/>
        <w:ind w:right="0"/>
        <w:jc w:val="left"/>
      </w:pPr>
      <w:r>
        <w:rPr>
          <w:spacing w:val="-1"/>
        </w:rPr>
        <w:t>在股东单位任职情况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819"/>
        <w:gridCol w:w="3118"/>
        <w:gridCol w:w="1587"/>
        <w:gridCol w:w="2384"/>
        <w:gridCol w:w="1661"/>
      </w:tblGrid>
      <w:tr>
        <w:trPr>
          <w:trHeight w:val="754"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88" w:right="84"/>
              <w:jc w:val="left"/>
              <w:rPr>
                <w:rFonts w:ascii="宋体" w:hAnsi="宋体" w:cs="宋体" w:eastAsia="宋体" w:hint="default"/>
                <w:sz w:val="21"/>
                <w:szCs w:val="21"/>
              </w:rPr>
            </w:pPr>
            <w:r>
              <w:rPr>
                <w:rFonts w:ascii="宋体" w:hAnsi="宋体" w:cs="宋体" w:eastAsia="宋体" w:hint="default"/>
                <w:sz w:val="21"/>
                <w:szCs w:val="21"/>
              </w:rPr>
              <w:t>任职人</w:t>
            </w:r>
            <w:r>
              <w:rPr>
                <w:rFonts w:ascii="宋体" w:hAnsi="宋体" w:cs="宋体" w:eastAsia="宋体" w:hint="default"/>
                <w:spacing w:val="-102"/>
                <w:sz w:val="21"/>
                <w:szCs w:val="21"/>
              </w:rPr>
              <w:t> </w:t>
            </w:r>
            <w:r>
              <w:rPr>
                <w:rFonts w:ascii="宋体" w:hAnsi="宋体" w:cs="宋体" w:eastAsia="宋体" w:hint="default"/>
                <w:sz w:val="21"/>
                <w:szCs w:val="21"/>
              </w:rPr>
              <w:t>员姓名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2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63" w:right="257"/>
              <w:jc w:val="left"/>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67" w:right="0"/>
              <w:jc w:val="left"/>
              <w:rPr>
                <w:rFonts w:ascii="宋体" w:hAnsi="宋体" w:cs="宋体" w:eastAsia="宋体" w:hint="default"/>
                <w:sz w:val="21"/>
                <w:szCs w:val="21"/>
              </w:rPr>
            </w:pPr>
            <w:r>
              <w:rPr>
                <w:rFonts w:ascii="宋体" w:hAnsi="宋体" w:cs="宋体" w:eastAsia="宋体" w:hint="default"/>
                <w:sz w:val="21"/>
                <w:szCs w:val="21"/>
              </w:rPr>
              <w:t>任职期间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23" w:right="16"/>
              <w:jc w:val="left"/>
              <w:rPr>
                <w:rFonts w:ascii="宋体" w:hAnsi="宋体" w:cs="宋体" w:eastAsia="宋体" w:hint="default"/>
                <w:sz w:val="21"/>
                <w:szCs w:val="21"/>
              </w:rPr>
            </w:pPr>
            <w:r>
              <w:rPr>
                <w:rFonts w:ascii="宋体" w:hAnsi="宋体" w:cs="宋体" w:eastAsia="宋体" w:hint="default"/>
                <w:spacing w:val="17"/>
                <w:sz w:val="21"/>
                <w:szCs w:val="21"/>
              </w:rPr>
              <w:t>在股东单位是否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领取报酬津贴</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深圳前海财智远大投资中心（有限</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合伙）</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left"/>
              <w:rPr>
                <w:rFonts w:ascii="宋体" w:hAnsi="宋体" w:cs="宋体" w:eastAsia="宋体" w:hint="default"/>
                <w:sz w:val="21"/>
                <w:szCs w:val="21"/>
              </w:rPr>
            </w:pPr>
            <w:r>
              <w:rPr>
                <w:rFonts w:ascii="宋体" w:hAnsi="宋体" w:cs="宋体" w:eastAsia="宋体" w:hint="default"/>
                <w:spacing w:val="6"/>
                <w:sz w:val="21"/>
                <w:szCs w:val="21"/>
              </w:rPr>
              <w:t>执行事务合伙人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委派代表</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1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北京凤凰财鑫股权投资中心（有限</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合伙）</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
              <w:jc w:val="left"/>
              <w:rPr>
                <w:rFonts w:ascii="宋体" w:hAnsi="宋体" w:cs="宋体" w:eastAsia="宋体" w:hint="default"/>
                <w:sz w:val="21"/>
                <w:szCs w:val="21"/>
              </w:rPr>
            </w:pPr>
            <w:r>
              <w:rPr>
                <w:rFonts w:ascii="宋体" w:hAnsi="宋体" w:cs="宋体" w:eastAsia="宋体" w:hint="default"/>
                <w:spacing w:val="6"/>
                <w:sz w:val="21"/>
                <w:szCs w:val="21"/>
              </w:rPr>
              <w:t>执行事务合伙人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委派代表</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1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北京凤凰财智创新投资中心（有限</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合伙）</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
              <w:jc w:val="left"/>
              <w:rPr>
                <w:rFonts w:ascii="宋体" w:hAnsi="宋体" w:cs="宋体" w:eastAsia="宋体" w:hint="default"/>
                <w:sz w:val="21"/>
                <w:szCs w:val="21"/>
              </w:rPr>
            </w:pPr>
            <w:r>
              <w:rPr>
                <w:rFonts w:ascii="宋体" w:hAnsi="宋体" w:cs="宋体" w:eastAsia="宋体" w:hint="default"/>
                <w:spacing w:val="6"/>
                <w:sz w:val="21"/>
                <w:szCs w:val="21"/>
              </w:rPr>
              <w:t>执行事务合伙人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委派代表</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15"/>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pacing w:val="-8"/>
                <w:w w:val="100"/>
                <w:sz w:val="21"/>
                <w:szCs w:val="21"/>
              </w:rPr>
              <w:t>深圳前海财智发展投资中心（有限</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合伙）</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9"/>
              <w:jc w:val="left"/>
              <w:rPr>
                <w:rFonts w:ascii="宋体" w:hAnsi="宋体" w:cs="宋体" w:eastAsia="宋体" w:hint="default"/>
                <w:sz w:val="21"/>
                <w:szCs w:val="21"/>
              </w:rPr>
            </w:pPr>
            <w:r>
              <w:rPr>
                <w:rFonts w:ascii="宋体" w:hAnsi="宋体" w:cs="宋体" w:eastAsia="宋体" w:hint="default"/>
                <w:spacing w:val="6"/>
                <w:sz w:val="21"/>
                <w:szCs w:val="21"/>
              </w:rPr>
              <w:t>执行事务合伙人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委派代表</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15"/>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26"/>
          <w:szCs w:val="26"/>
        </w:rPr>
      </w:pPr>
    </w:p>
    <w:p>
      <w:pPr>
        <w:pStyle w:val="BodyText"/>
        <w:tabs>
          <w:tab w:pos="8134" w:val="left" w:leader="none"/>
        </w:tabs>
        <w:spacing w:line="240" w:lineRule="auto" w:before="36"/>
        <w:ind w:right="0"/>
        <w:jc w:val="left"/>
      </w:pPr>
      <w:r>
        <w:rPr>
          <w:spacing w:val="-1"/>
        </w:rPr>
        <w:t>在其他单位任职情况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p>
    <w:p>
      <w:pPr>
        <w:spacing w:line="240" w:lineRule="auto" w:before="7"/>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819"/>
        <w:gridCol w:w="3118"/>
        <w:gridCol w:w="1560"/>
        <w:gridCol w:w="2410"/>
        <w:gridCol w:w="1661"/>
      </w:tblGrid>
      <w:tr>
        <w:trPr>
          <w:trHeight w:val="754"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88" w:right="84"/>
              <w:jc w:val="left"/>
              <w:rPr>
                <w:rFonts w:ascii="宋体" w:hAnsi="宋体" w:cs="宋体" w:eastAsia="宋体" w:hint="default"/>
                <w:sz w:val="21"/>
                <w:szCs w:val="21"/>
              </w:rPr>
            </w:pPr>
            <w:r>
              <w:rPr>
                <w:rFonts w:ascii="宋体" w:hAnsi="宋体" w:cs="宋体" w:eastAsia="宋体" w:hint="default"/>
                <w:sz w:val="21"/>
                <w:szCs w:val="21"/>
              </w:rPr>
              <w:t>任职人</w:t>
            </w:r>
            <w:r>
              <w:rPr>
                <w:rFonts w:ascii="宋体" w:hAnsi="宋体" w:cs="宋体" w:eastAsia="宋体" w:hint="default"/>
                <w:spacing w:val="-102"/>
                <w:sz w:val="21"/>
                <w:szCs w:val="21"/>
              </w:rPr>
              <w:t> </w:t>
            </w:r>
            <w:r>
              <w:rPr>
                <w:rFonts w:ascii="宋体" w:hAnsi="宋体" w:cs="宋体" w:eastAsia="宋体" w:hint="default"/>
                <w:sz w:val="21"/>
                <w:szCs w:val="21"/>
              </w:rPr>
              <w:t>员姓名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8"/>
              <w:ind w:left="249" w:right="245"/>
              <w:jc w:val="left"/>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9" w:right="0"/>
              <w:jc w:val="left"/>
              <w:rPr>
                <w:rFonts w:ascii="宋体" w:hAnsi="宋体" w:cs="宋体" w:eastAsia="宋体" w:hint="default"/>
                <w:sz w:val="21"/>
                <w:szCs w:val="21"/>
              </w:rPr>
            </w:pPr>
            <w:r>
              <w:rPr>
                <w:rFonts w:ascii="宋体" w:hAnsi="宋体" w:cs="宋体" w:eastAsia="宋体" w:hint="default"/>
                <w:sz w:val="21"/>
                <w:szCs w:val="21"/>
              </w:rPr>
              <w:t>任职期间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196" w:right="84"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7"/>
              <w:jc w:val="left"/>
              <w:rPr>
                <w:rFonts w:ascii="宋体" w:hAnsi="宋体" w:cs="宋体" w:eastAsia="宋体" w:hint="default"/>
                <w:sz w:val="21"/>
                <w:szCs w:val="21"/>
              </w:rPr>
            </w:pPr>
            <w:r>
              <w:rPr>
                <w:rFonts w:ascii="宋体" w:hAnsi="宋体" w:cs="宋体" w:eastAsia="宋体" w:hint="default"/>
                <w:spacing w:val="-2"/>
                <w:sz w:val="21"/>
                <w:szCs w:val="21"/>
              </w:rPr>
              <w:t>深圳前海财智远大投资中心（有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北京凤凰财鑫股权投资中心（有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3" w:right="137"/>
              <w:jc w:val="left"/>
              <w:rPr>
                <w:rFonts w:ascii="宋体" w:hAnsi="宋体" w:cs="宋体" w:eastAsia="宋体" w:hint="default"/>
                <w:sz w:val="21"/>
                <w:szCs w:val="21"/>
              </w:rPr>
            </w:pPr>
            <w:r>
              <w:rPr>
                <w:rFonts w:ascii="宋体" w:hAnsi="宋体" w:cs="宋体" w:eastAsia="宋体" w:hint="default"/>
                <w:spacing w:val="-2"/>
                <w:sz w:val="21"/>
                <w:szCs w:val="21"/>
              </w:rPr>
              <w:t>北京凤凰财智创新投资中心（有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北京凤凰财鑫投资管理有限公司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北京凤凰财富资产管理有限公司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北京凤凰财富创新投资有限公司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北京凤凰财富投资咨询有限公司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北京凤凰财富投资管理有限公司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北京凤凰财富控股集团有限公司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北京凤凰祥瑞互联投资基金（有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7"/>
              <w:jc w:val="left"/>
              <w:rPr>
                <w:rFonts w:ascii="宋体" w:hAnsi="宋体" w:cs="宋体" w:eastAsia="宋体" w:hint="default"/>
                <w:sz w:val="21"/>
                <w:szCs w:val="21"/>
              </w:rPr>
            </w:pPr>
            <w:r>
              <w:rPr>
                <w:rFonts w:ascii="宋体" w:hAnsi="宋体" w:cs="宋体" w:eastAsia="宋体" w:hint="default"/>
                <w:spacing w:val="-2"/>
                <w:sz w:val="21"/>
                <w:szCs w:val="21"/>
              </w:rPr>
              <w:t>北京凤凰财富成长投资中心（有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国盛证券有限责任公司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北京凤凰鼎耀投资管理有限公司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北京凤凰鼎丰创业投资中心（有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7"/>
              <w:jc w:val="left"/>
              <w:rPr>
                <w:rFonts w:ascii="宋体" w:hAnsi="宋体" w:cs="宋体" w:eastAsia="宋体" w:hint="default"/>
                <w:sz w:val="21"/>
                <w:szCs w:val="21"/>
              </w:rPr>
            </w:pPr>
            <w:r>
              <w:rPr>
                <w:rFonts w:ascii="宋体" w:hAnsi="宋体" w:cs="宋体" w:eastAsia="宋体" w:hint="default"/>
                <w:spacing w:val="-2"/>
                <w:sz w:val="21"/>
                <w:szCs w:val="21"/>
              </w:rPr>
              <w:t>北京凤凰鼎耀创新投资中心（有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北京凤凰金服投资有限公司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819"/>
        <w:gridCol w:w="3118"/>
        <w:gridCol w:w="1560"/>
        <w:gridCol w:w="2410"/>
        <w:gridCol w:w="1661"/>
      </w:tblGrid>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深圳乐丰投资管理有限公司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执行董事、总经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深圳华意实业投资有限公司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执行董事、总经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深圳前海宏业远大投资中心（有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7"/>
              <w:jc w:val="left"/>
              <w:rPr>
                <w:rFonts w:ascii="宋体" w:hAnsi="宋体" w:cs="宋体" w:eastAsia="宋体" w:hint="default"/>
                <w:sz w:val="21"/>
                <w:szCs w:val="21"/>
              </w:rPr>
            </w:pPr>
            <w:r>
              <w:rPr>
                <w:rFonts w:ascii="宋体" w:hAnsi="宋体" w:cs="宋体" w:eastAsia="宋体" w:hint="default"/>
                <w:spacing w:val="-2"/>
                <w:sz w:val="21"/>
                <w:szCs w:val="21"/>
              </w:rPr>
              <w:t>深圳前海金服佳华投资中心（有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深圳前海金服鼎盛投资中心（有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委派代表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7"/>
              <w:jc w:val="left"/>
              <w:rPr>
                <w:rFonts w:ascii="宋体" w:hAnsi="宋体" w:cs="宋体" w:eastAsia="宋体" w:hint="default"/>
                <w:sz w:val="21"/>
                <w:szCs w:val="21"/>
              </w:rPr>
            </w:pPr>
            <w:r>
              <w:rPr>
                <w:rFonts w:ascii="宋体" w:hAnsi="宋体" w:cs="宋体" w:eastAsia="宋体" w:hint="default"/>
                <w:spacing w:val="-2"/>
                <w:sz w:val="21"/>
                <w:szCs w:val="21"/>
              </w:rPr>
              <w:t>宁波梅山保税港区励锐投资管理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北京凤凰财富资产管理有限公司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北京凤凰财富控股集团有限公司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国盛证券有限责任公司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珠海横琴极盛科技有限公司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54"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北京左江科技股份有限公司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5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深圳前海国盛科技有限公司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执行董事、总经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广州仁诺互联网小额贷款有限公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北京凤凰财富创新投资有限公司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北京凤凰财富投资咨询有限公司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北京凤凰财鑫投资管理有限公司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北京凤凰鼎耀投资管理有限公司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北京凤凰金服投资有限公司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深圳乐丰投资管理有限公司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深圳华意实业投资有限公司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上海程欧信息咨询合伙企业（有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北京悟空保科技集团有限公司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深圳国盛前海投资有限公司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深圳国盛前海投资有限公司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执行董事、总经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21"/>
              <w:jc w:val="left"/>
              <w:rPr>
                <w:rFonts w:ascii="宋体" w:hAnsi="宋体" w:cs="宋体" w:eastAsia="宋体" w:hint="default"/>
                <w:sz w:val="21"/>
                <w:szCs w:val="21"/>
              </w:rPr>
            </w:pPr>
            <w:r>
              <w:rPr>
                <w:rFonts w:ascii="宋体" w:hAnsi="宋体" w:cs="宋体" w:eastAsia="宋体" w:hint="default"/>
                <w:spacing w:val="5"/>
                <w:sz w:val="21"/>
                <w:szCs w:val="21"/>
              </w:rPr>
              <w:t>深圳前海弘大嘉豪资本管理有限</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819"/>
        <w:gridCol w:w="3118"/>
        <w:gridCol w:w="1560"/>
        <w:gridCol w:w="2410"/>
        <w:gridCol w:w="1661"/>
      </w:tblGrid>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海南阿凡题科技有限公司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北京国盛互联信息咨询有限公司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深圳前海国盛科技有限公司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广州极盛融资租赁有限公司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执行董事、总经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上海钰信金融信息服务有限公司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天津国盛信安科技有限公司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执行董事、总经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宁波梅山保税港区励锐投资管理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香港弊服科技有限公司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Qudian</w:t>
            </w:r>
            <w:r>
              <w:rPr>
                <w:rFonts w:ascii="Times New Roman"/>
                <w:spacing w:val="-4"/>
                <w:sz w:val="21"/>
              </w:rPr>
              <w:t> </w:t>
            </w:r>
            <w:r>
              <w:rPr>
                <w:rFonts w:ascii="Times New Roman"/>
                <w:sz w:val="21"/>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沿海惠融科技（北京）有限公司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宁波梅花天使投资管理有限公司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珠海凡泰极客有限责任公司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北京国盛互联信息咨询有限公司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杨志平</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1"/>
              <w:jc w:val="left"/>
              <w:rPr>
                <w:rFonts w:ascii="宋体" w:hAnsi="宋体" w:cs="宋体" w:eastAsia="宋体" w:hint="default"/>
                <w:sz w:val="21"/>
                <w:szCs w:val="21"/>
              </w:rPr>
            </w:pPr>
            <w:r>
              <w:rPr>
                <w:rFonts w:ascii="宋体" w:hAnsi="宋体" w:cs="宋体" w:eastAsia="宋体" w:hint="default"/>
                <w:spacing w:val="5"/>
                <w:sz w:val="21"/>
                <w:szCs w:val="21"/>
              </w:rPr>
              <w:t>立信会计师事务所（特殊普通合</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权益合伙人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浙江仙通橡胶股份有限公司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37"/>
              <w:jc w:val="left"/>
              <w:rPr>
                <w:rFonts w:ascii="宋体" w:hAnsi="宋体" w:cs="宋体" w:eastAsia="宋体" w:hint="default"/>
                <w:sz w:val="21"/>
                <w:szCs w:val="21"/>
              </w:rPr>
            </w:pPr>
            <w:r>
              <w:rPr>
                <w:rFonts w:ascii="宋体" w:hAnsi="宋体" w:cs="宋体" w:eastAsia="宋体" w:hint="default"/>
                <w:spacing w:val="-2"/>
                <w:sz w:val="21"/>
                <w:szCs w:val="21"/>
              </w:rPr>
              <w:t>江苏诺泰澳赛诺生物制药股份有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乐歌人体工学科技股份有限公司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邵彬</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上海市广发律师事务所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傅继军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中华财务咨询有限公司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傅继军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博略现代咨询（北京）有限公司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董事长、经理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傅继军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国合现代（深圳）资本研究院有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傅继军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上海量阶企业管理咨询有限公司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执行董事兼总经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傅继军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原画（北京）影业投资有限公司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傅继军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凌云工业股份有限公司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2022</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珠海横琴极盛科技有限公司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国盛证券有限责任公司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1"/>
              <w:jc w:val="left"/>
              <w:rPr>
                <w:rFonts w:ascii="宋体" w:hAnsi="宋体" w:cs="宋体" w:eastAsia="宋体" w:hint="default"/>
                <w:sz w:val="21"/>
                <w:szCs w:val="21"/>
              </w:rPr>
            </w:pPr>
            <w:r>
              <w:rPr>
                <w:rFonts w:ascii="宋体" w:hAnsi="宋体" w:cs="宋体" w:eastAsia="宋体" w:hint="default"/>
                <w:sz w:val="21"/>
                <w:szCs w:val="21"/>
              </w:rPr>
              <w:t>监事会主席、办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公室主任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819"/>
        <w:gridCol w:w="3118"/>
        <w:gridCol w:w="1560"/>
        <w:gridCol w:w="2410"/>
        <w:gridCol w:w="1661"/>
      </w:tblGrid>
      <w:tr>
        <w:trPr>
          <w:trHeight w:val="71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王晓龙</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深圳前海弘大嘉豪资本管理有限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王晓龙</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北京凤凰金服投资有限公司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王晓龙</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37"/>
              <w:jc w:val="left"/>
              <w:rPr>
                <w:rFonts w:ascii="宋体" w:hAnsi="宋体" w:cs="宋体" w:eastAsia="宋体" w:hint="default"/>
                <w:sz w:val="21"/>
                <w:szCs w:val="21"/>
              </w:rPr>
            </w:pPr>
            <w:r>
              <w:rPr>
                <w:rFonts w:ascii="宋体" w:hAnsi="宋体" w:cs="宋体" w:eastAsia="宋体" w:hint="default"/>
                <w:spacing w:val="-2"/>
                <w:sz w:val="21"/>
                <w:szCs w:val="21"/>
              </w:rPr>
              <w:t>深圳前海鸿大盛世资本管理有限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tabs>
          <w:tab w:pos="8139" w:val="left" w:leader="none"/>
        </w:tabs>
        <w:spacing w:line="240" w:lineRule="auto" w:before="28"/>
        <w:ind w:right="0"/>
        <w:jc w:val="left"/>
      </w:pPr>
      <w:r>
        <w:rPr>
          <w:spacing w:val="-2"/>
        </w:rPr>
        <w:t>公司现任及报告期内离任董事、监事和高级管理人员近三年证券监管机构处罚的情况</w:t>
        <w:tab/>
      </w:r>
      <w:r>
        <w:rPr>
          <w:rFonts w:ascii="Times New Roman" w:hAnsi="Times New Roman" w:cs="Times New Roman" w:eastAsia="Times New Roman" w:hint="default"/>
        </w:rPr>
        <w:t>□  </w:t>
      </w:r>
      <w:r>
        <w:rPr>
          <w:spacing w:val="-2"/>
        </w:rPr>
        <w:t>适用</w:t>
      </w:r>
      <w:r>
        <w:rPr>
          <w:spacing w:val="9"/>
        </w:rPr>
        <w:t> </w:t>
      </w:r>
      <w:r>
        <w:rPr>
          <w:rFonts w:ascii="Times New Roman" w:hAnsi="Times New Roman" w:cs="Times New Roman" w:eastAsia="Times New Roman" w:hint="default"/>
          <w:spacing w:val="-2"/>
        </w:rPr>
        <w:t>√</w:t>
      </w:r>
      <w:r>
        <w:rPr>
          <w:spacing w:val="-2"/>
        </w:rPr>
        <w:t>不适用</w:t>
      </w: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309" w:lineRule="auto"/>
        <w:ind w:left="573" w:right="0" w:hanging="421"/>
        <w:jc w:val="left"/>
      </w:pPr>
      <w:r>
        <w:rPr/>
        <w:t>董事、监事、高级管理人员报酬的决策程序、确定依据、实际支付情况</w:t>
      </w:r>
      <w:r>
        <w:rPr>
          <w:w w:val="100"/>
        </w:rPr>
        <w:t> </w:t>
      </w:r>
      <w:r>
        <w:rPr/>
        <w:t>公司董事、监事津贴方案经股东大会批准后实施，公司高级管理人员薪酬方案经董事会批准后实施。</w:t>
      </w:r>
    </w:p>
    <w:p>
      <w:pPr>
        <w:spacing w:line="240" w:lineRule="auto" w:before="5"/>
        <w:rPr>
          <w:rFonts w:ascii="宋体" w:hAnsi="宋体" w:cs="宋体" w:eastAsia="宋体" w:hint="default"/>
          <w:sz w:val="22"/>
          <w:szCs w:val="22"/>
        </w:rPr>
      </w:pPr>
    </w:p>
    <w:p>
      <w:pPr>
        <w:pStyle w:val="BodyText"/>
        <w:spacing w:line="240" w:lineRule="auto" w:before="36"/>
        <w:ind w:right="0"/>
        <w:jc w:val="left"/>
      </w:pPr>
      <w:r>
        <w:rPr/>
        <w:t>报告期董事、监事和高级管理人员报酬情况</w:t>
      </w:r>
    </w:p>
    <w:p>
      <w:pPr>
        <w:pStyle w:val="BodyText"/>
        <w:spacing w:line="240" w:lineRule="auto" w:before="75"/>
        <w:ind w:left="0" w:right="112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2679"/>
        <w:gridCol w:w="3428"/>
        <w:gridCol w:w="1346"/>
        <w:gridCol w:w="2175"/>
      </w:tblGrid>
      <w:tr>
        <w:trPr>
          <w:trHeight w:val="71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874" w:right="27" w:hanging="841"/>
              <w:jc w:val="left"/>
              <w:rPr>
                <w:rFonts w:ascii="宋体" w:hAnsi="宋体" w:cs="宋体" w:eastAsia="宋体" w:hint="default"/>
                <w:sz w:val="21"/>
                <w:szCs w:val="21"/>
              </w:rPr>
            </w:pPr>
            <w:r>
              <w:rPr>
                <w:rFonts w:ascii="宋体" w:hAnsi="宋体" w:cs="宋体" w:eastAsia="宋体" w:hint="default"/>
                <w:spacing w:val="-2"/>
                <w:sz w:val="21"/>
                <w:szCs w:val="21"/>
              </w:rPr>
              <w:t>从公司获得的税前报酬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总额</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杜力</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15.00</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张巍</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223.89</w:t>
            </w:r>
          </w:p>
        </w:tc>
      </w:tr>
      <w:tr>
        <w:trPr>
          <w:trHeight w:val="404"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董事、董事会秘书、财务总监</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206.85</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15.00</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李英明</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60.04</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李娥</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107.10</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15.00</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周春生</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15.00</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徐强国</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15.00</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叶强</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178.18</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刘琛</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方胜玲</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38.19</w:t>
            </w:r>
          </w:p>
        </w:tc>
      </w:tr>
      <w:tr>
        <w:trPr>
          <w:trHeight w:val="40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Lin</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Chienher</w:t>
            </w:r>
            <w:r>
              <w:rPr>
                <w:rFonts w:ascii="宋体" w:hAnsi="宋体" w:cs="宋体" w:eastAsia="宋体" w:hint="default"/>
                <w:sz w:val="21"/>
                <w:szCs w:val="21"/>
              </w:rPr>
              <w:t>（林建何）</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副总经理兼首席信息官</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280.27</w:t>
            </w:r>
          </w:p>
        </w:tc>
      </w:tr>
      <w:tr>
        <w:trPr>
          <w:trHeight w:val="401"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1,169.52</w:t>
            </w:r>
          </w:p>
        </w:tc>
      </w:tr>
    </w:tbl>
    <w:p>
      <w:pPr>
        <w:pStyle w:val="BodyText"/>
        <w:spacing w:line="256" w:lineRule="auto" w:before="28"/>
        <w:ind w:right="0"/>
        <w:jc w:val="left"/>
      </w:pPr>
      <w:r>
        <w:rPr>
          <w:spacing w:val="-1"/>
        </w:rPr>
        <w:t>注：报告期董事、监事、高级管理人员除在上述</w:t>
      </w:r>
      <w:r>
        <w:rPr>
          <w:rFonts w:ascii="Times New Roman" w:hAnsi="Times New Roman" w:cs="Times New Roman" w:eastAsia="Times New Roman" w:hint="default"/>
          <w:spacing w:val="-1"/>
        </w:rPr>
        <w:t>“</w:t>
      </w:r>
      <w:r>
        <w:rPr>
          <w:spacing w:val="-1"/>
        </w:rPr>
        <w:t>股东单位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其他单位</w:t>
      </w:r>
      <w:r>
        <w:rPr>
          <w:rFonts w:ascii="Times New Roman" w:hAnsi="Times New Roman" w:cs="Times New Roman" w:eastAsia="Times New Roman" w:hint="default"/>
          <w:spacing w:val="-1"/>
        </w:rPr>
        <w:t>”</w:t>
      </w:r>
      <w:r>
        <w:rPr>
          <w:spacing w:val="-1"/>
        </w:rPr>
        <w:t>任职并领取报酬（如有）外，未</w:t>
      </w:r>
      <w:r>
        <w:rPr>
          <w:spacing w:val="-43"/>
        </w:rPr>
        <w:t> </w:t>
      </w:r>
      <w:r>
        <w:rPr>
          <w:spacing w:val="-43"/>
        </w:rPr>
      </w:r>
      <w:r>
        <w:rPr/>
        <w:t>在公司其他关联方单位领取报酬。</w:t>
      </w:r>
    </w:p>
    <w:p>
      <w:pPr>
        <w:spacing w:line="240" w:lineRule="auto" w:before="0"/>
        <w:rPr>
          <w:rFonts w:ascii="宋体" w:hAnsi="宋体" w:cs="宋体" w:eastAsia="宋体" w:hint="default"/>
          <w:sz w:val="20"/>
          <w:szCs w:val="20"/>
        </w:rPr>
      </w:pPr>
    </w:p>
    <w:p>
      <w:pPr>
        <w:pStyle w:val="BodyText"/>
        <w:tabs>
          <w:tab w:pos="8139" w:val="left" w:leader="none"/>
        </w:tabs>
        <w:spacing w:line="240" w:lineRule="auto" w:before="152"/>
        <w:ind w:right="0"/>
        <w:jc w:val="left"/>
      </w:pPr>
      <w:r>
        <w:rPr>
          <w:spacing w:val="-2"/>
        </w:rPr>
        <w:t>公司董事、高级管理人员报告期内被授予的股权激励情况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Microsoft JhengHei" w:hAnsi="Microsoft JhengHei" w:cs="Microsoft JhengHei" w:eastAsia="Microsoft JhengHei" w:hint="default"/>
          <w:b/>
          <w:bCs/>
          <w:sz w:val="15"/>
          <w:szCs w:val="15"/>
        </w:rPr>
      </w:pPr>
    </w:p>
    <w:p>
      <w:pPr>
        <w:pStyle w:val="Heading4"/>
        <w:spacing w:line="335" w:lineRule="exact"/>
        <w:ind w:left="152"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5356"/>
        <w:gridCol w:w="4213"/>
      </w:tblGrid>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27</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2,726</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2,743</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2,743</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2</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6"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4"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业务人员</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1,946</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研究人员</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171</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信息技术人员</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183</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法律、合规、风控、稽核人员</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85</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104</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115</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139</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2,743</w:t>
            </w:r>
          </w:p>
        </w:tc>
      </w:tr>
      <w:tr>
        <w:trPr>
          <w:trHeight w:val="40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301</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1,842</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硕士研究生</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578</w:t>
            </w:r>
          </w:p>
        </w:tc>
      </w:tr>
      <w:tr>
        <w:trPr>
          <w:trHeight w:val="401"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博士研究生</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22</w:t>
            </w:r>
          </w:p>
        </w:tc>
      </w:tr>
      <w:tr>
        <w:trPr>
          <w:trHeight w:val="403" w:hRule="exact"/>
        </w:trPr>
        <w:tc>
          <w:tcPr>
            <w:tcW w:w="5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2,743</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left="152"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56" w:lineRule="auto"/>
        <w:ind w:right="0" w:firstLine="420"/>
        <w:jc w:val="left"/>
      </w:pPr>
      <w:r>
        <w:rPr>
          <w:spacing w:val="-2"/>
        </w:rPr>
        <w:t>公司薪酬管理秉承</w:t>
      </w:r>
      <w:r>
        <w:rPr>
          <w:rFonts w:ascii="Times New Roman" w:hAnsi="Times New Roman" w:cs="Times New Roman" w:eastAsia="Times New Roman" w:hint="default"/>
          <w:spacing w:val="-2"/>
        </w:rPr>
        <w:t>“</w:t>
      </w:r>
      <w:r>
        <w:rPr>
          <w:spacing w:val="-2"/>
        </w:rPr>
        <w:t>价值分配、务实高效、公平规范、可持续发展</w:t>
      </w:r>
      <w:r>
        <w:rPr>
          <w:rFonts w:ascii="Times New Roman" w:hAnsi="Times New Roman" w:cs="Times New Roman" w:eastAsia="Times New Roman" w:hint="default"/>
          <w:spacing w:val="-2"/>
        </w:rPr>
        <w:t>”</w:t>
      </w:r>
      <w:r>
        <w:rPr>
          <w:spacing w:val="-2"/>
        </w:rPr>
        <w:t>的原则，兼顾内部公平性和市场竞</w:t>
      </w:r>
      <w:r>
        <w:rPr>
          <w:w w:val="100"/>
        </w:rPr>
        <w:t> </w:t>
      </w:r>
      <w:r>
        <w:rPr/>
        <w:t>争性，旨在吸引、留住和激励优秀人才，支撑公司经营战略的实现，促进公司持续、稳定、健康发展。</w:t>
      </w:r>
    </w:p>
    <w:p>
      <w:pPr>
        <w:pStyle w:val="BodyText"/>
        <w:spacing w:line="273" w:lineRule="auto" w:before="63"/>
        <w:ind w:right="0" w:firstLine="420"/>
        <w:jc w:val="left"/>
      </w:pPr>
      <w:r>
        <w:rPr/>
        <w:t>公司员工薪酬主要由基本工资、绩效工资、福利津贴、奖金构成。基本工资根据员工的职务、职级、</w:t>
      </w:r>
      <w:r>
        <w:rPr>
          <w:w w:val="100"/>
        </w:rPr>
        <w:t> </w:t>
      </w:r>
      <w:r>
        <w:rPr>
          <w:spacing w:val="-2"/>
        </w:rPr>
        <w:t>资历以及公司薪酬水平市场定位等因素确定；绩效工资根据员工的绩效贡献确定；福利津贴根据公司倡导</w:t>
      </w:r>
      <w:r>
        <w:rPr>
          <w:spacing w:val="-42"/>
        </w:rPr>
        <w:t> </w:t>
      </w:r>
      <w:r>
        <w:rPr>
          <w:spacing w:val="-42"/>
        </w:rPr>
      </w:r>
      <w:r>
        <w:rPr/>
        <w:t>的文化及员工实际工作需求、环境等因素确定；奖金根据公司全年经营效益及员工绩效贡献确定。</w:t>
      </w:r>
    </w:p>
    <w:p>
      <w:pPr>
        <w:pStyle w:val="BodyText"/>
        <w:spacing w:line="273" w:lineRule="auto" w:before="48"/>
        <w:ind w:right="0" w:firstLine="420"/>
        <w:jc w:val="left"/>
      </w:pPr>
      <w:r>
        <w:rPr>
          <w:spacing w:val="-7"/>
        </w:rPr>
        <w:t>公司根据经营效益、人才市场行情、物价等因素，不定期进行薪酬调整，接轨市场，保持薪酬竞争力。</w:t>
      </w:r>
      <w:r>
        <w:rPr>
          <w:w w:val="100"/>
        </w:rPr>
        <w:t> </w:t>
      </w:r>
      <w:r>
        <w:rPr/>
        <w:t>同时，各子公司所处行业、发展阶段和市场薪酬水平不一样，薪酬组合结构也不尽相同。</w:t>
      </w:r>
    </w:p>
    <w:p>
      <w:pPr>
        <w:spacing w:line="240" w:lineRule="auto" w:before="3"/>
        <w:rPr>
          <w:rFonts w:ascii="宋体" w:hAnsi="宋体" w:cs="宋体" w:eastAsia="宋体" w:hint="default"/>
          <w:sz w:val="18"/>
          <w:szCs w:val="18"/>
        </w:rPr>
      </w:pPr>
    </w:p>
    <w:p>
      <w:pPr>
        <w:pStyle w:val="Heading4"/>
        <w:spacing w:line="240" w:lineRule="auto"/>
        <w:ind w:left="152"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573" w:right="0"/>
        <w:jc w:val="left"/>
      </w:pPr>
      <w:r>
        <w:rPr/>
        <w:t>公司将继续推进培训资源的开发与整合，进一步完善培训管理体系。培训工作将以提升员工能力、驱</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73" w:lineRule="auto" w:before="36"/>
        <w:ind w:right="0"/>
        <w:jc w:val="left"/>
      </w:pPr>
      <w:r>
        <w:rPr>
          <w:spacing w:val="-2"/>
        </w:rPr>
        <w:t>动公司战略实现、满足业务需求为核心目标，在对各层级培训需求进行深入调研和分析的基础上，重点开</w:t>
      </w:r>
      <w:r>
        <w:rPr>
          <w:spacing w:val="-44"/>
        </w:rPr>
        <w:t> </w:t>
      </w:r>
      <w:r>
        <w:rPr>
          <w:spacing w:val="-44"/>
        </w:rPr>
      </w:r>
      <w:r>
        <w:rPr/>
        <w:t>展以下工作：</w:t>
      </w:r>
    </w:p>
    <w:p>
      <w:pPr>
        <w:pStyle w:val="BodyText"/>
        <w:spacing w:line="240" w:lineRule="auto" w:before="48"/>
        <w:ind w:left="573" w:right="0"/>
        <w:jc w:val="left"/>
      </w:pPr>
      <w:r>
        <w:rPr/>
        <w:t>（</w:t>
      </w:r>
      <w:r>
        <w:rPr>
          <w:rFonts w:ascii="Times New Roman" w:hAnsi="Times New Roman" w:cs="Times New Roman" w:eastAsia="Times New Roman" w:hint="default"/>
        </w:rPr>
        <w:t>1</w:t>
      </w:r>
      <w:r>
        <w:rPr/>
        <w:t>）开发内部培训资源，推进内部课程开发常态化、系统化；</w:t>
      </w:r>
    </w:p>
    <w:p>
      <w:pPr>
        <w:pStyle w:val="BodyText"/>
        <w:spacing w:line="240" w:lineRule="auto" w:before="59"/>
        <w:ind w:left="573" w:right="0"/>
        <w:jc w:val="left"/>
      </w:pPr>
      <w:r>
        <w:rPr/>
        <w:t>（</w:t>
      </w:r>
      <w:r>
        <w:rPr>
          <w:rFonts w:ascii="Times New Roman" w:hAnsi="Times New Roman" w:cs="Times New Roman" w:eastAsia="Times New Roman" w:hint="default"/>
        </w:rPr>
        <w:t>2</w:t>
      </w:r>
      <w:r>
        <w:rPr/>
        <w:t>）逐步搭建线上、线下相结合的培训管理平台；</w:t>
      </w:r>
    </w:p>
    <w:p>
      <w:pPr>
        <w:pStyle w:val="BodyText"/>
        <w:spacing w:line="240" w:lineRule="auto" w:before="62"/>
        <w:ind w:left="573" w:right="0"/>
        <w:jc w:val="left"/>
      </w:pPr>
      <w:r>
        <w:rPr/>
        <w:t>（</w:t>
      </w:r>
      <w:r>
        <w:rPr>
          <w:rFonts w:ascii="Times New Roman" w:hAnsi="Times New Roman" w:cs="Times New Roman" w:eastAsia="Times New Roman" w:hint="default"/>
        </w:rPr>
        <w:t>3</w:t>
      </w:r>
      <w:r>
        <w:rPr/>
        <w:t>）制定多层次、多维度的专项人才培养方案，全面提升员工综合素质。</w:t>
      </w:r>
    </w:p>
    <w:p>
      <w:pPr>
        <w:spacing w:line="240" w:lineRule="auto" w:before="6"/>
        <w:rPr>
          <w:rFonts w:ascii="宋体" w:hAnsi="宋体" w:cs="宋体" w:eastAsia="宋体" w:hint="default"/>
          <w:sz w:val="19"/>
          <w:szCs w:val="19"/>
        </w:rPr>
      </w:pPr>
    </w:p>
    <w:p>
      <w:pPr>
        <w:tabs>
          <w:tab w:pos="8187"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8"/>
          <w:sz w:val="21"/>
          <w:szCs w:val="21"/>
        </w:rPr>
        <w:t>4</w:t>
      </w:r>
      <w:r>
        <w:rPr>
          <w:rFonts w:ascii="Microsoft JhengHei" w:hAnsi="Microsoft JhengHei" w:cs="Microsoft JhengHei" w:eastAsia="Microsoft JhengHei" w:hint="default"/>
          <w:b/>
          <w:bCs/>
          <w:spacing w:val="-8"/>
          <w:sz w:val="21"/>
          <w:szCs w:val="21"/>
        </w:rPr>
        <w:t>、劳务外包情况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976"/>
        <w:jc w:val="center"/>
        <w:rPr>
          <w:b w:val="0"/>
          <w:bCs w:val="0"/>
        </w:rPr>
      </w:pPr>
      <w:bookmarkStart w:name="_TOC_250003" w:id="10"/>
      <w:r>
        <w:rPr/>
        <w:t>第十节 </w:t>
      </w:r>
      <w:r>
        <w:rPr>
          <w:spacing w:val="9"/>
        </w:rPr>
        <w:t> </w:t>
      </w:r>
      <w:r>
        <w:rPr/>
        <w:t>公司治理</w:t>
      </w:r>
      <w:bookmarkEnd w:id="10"/>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73" w:lineRule="auto"/>
        <w:ind w:right="0" w:firstLine="420"/>
        <w:jc w:val="left"/>
      </w:pPr>
      <w:r>
        <w:rPr/>
        <w:t>公司严格按照《公司法》《证券法》《深圳证券交易所股票上市规则》等有关法律法规、部门规章、</w:t>
      </w:r>
      <w:r>
        <w:rPr>
          <w:w w:val="100"/>
        </w:rPr>
        <w:t> </w:t>
      </w:r>
      <w:r>
        <w:rPr>
          <w:spacing w:val="-2"/>
        </w:rPr>
        <w:t>规范性文件的要求，不断完善法人治理结构，董事会下设战略委员会、审计委员会、提名委员会、薪酬与</w:t>
      </w:r>
      <w:r>
        <w:rPr>
          <w:spacing w:val="-43"/>
        </w:rPr>
        <w:t> </w:t>
      </w:r>
      <w:r>
        <w:rPr>
          <w:spacing w:val="-43"/>
        </w:rPr>
      </w:r>
      <w:r>
        <w:rPr>
          <w:spacing w:val="-2"/>
        </w:rPr>
        <w:t>考核委员会等专门委员会，为董事会提供咨询、建议，保证董事会议事、决策的专业化与高效化。公司股</w:t>
      </w:r>
      <w:r>
        <w:rPr>
          <w:spacing w:val="-43"/>
        </w:rPr>
        <w:t> </w:t>
      </w:r>
      <w:r>
        <w:rPr>
          <w:spacing w:val="-43"/>
        </w:rPr>
      </w:r>
      <w:r>
        <w:rPr>
          <w:spacing w:val="-2"/>
        </w:rPr>
        <w:t>东大会、董事会、监事会和经营管理层责权分明、各司其职、有效制衡、科学决策、协调运营，为公司持</w:t>
      </w:r>
      <w:r>
        <w:rPr>
          <w:spacing w:val="-47"/>
        </w:rPr>
        <w:t> </w:t>
      </w:r>
      <w:r>
        <w:rPr>
          <w:spacing w:val="-47"/>
        </w:rPr>
      </w:r>
      <w:r>
        <w:rPr/>
        <w:t>续、稳定、健康发展奠定了坚实的基础。</w:t>
      </w:r>
    </w:p>
    <w:p>
      <w:pPr>
        <w:spacing w:line="240" w:lineRule="auto" w:before="7"/>
        <w:rPr>
          <w:rFonts w:ascii="宋体" w:hAnsi="宋体" w:cs="宋体" w:eastAsia="宋体" w:hint="default"/>
          <w:sz w:val="27"/>
          <w:szCs w:val="27"/>
        </w:rPr>
      </w:pPr>
    </w:p>
    <w:p>
      <w:pPr>
        <w:pStyle w:val="BodyText"/>
        <w:tabs>
          <w:tab w:pos="8770" w:val="left" w:leader="none"/>
        </w:tabs>
        <w:spacing w:line="290" w:lineRule="auto"/>
        <w:ind w:left="573" w:right="1176" w:hanging="421"/>
        <w:jc w:val="left"/>
      </w:pPr>
      <w:r>
        <w:rPr>
          <w:spacing w:val="-2"/>
        </w:rPr>
        <w:t>公司治理的实际状况与中国证监会发布的有关上市公司治理的规范性文件是否存在重大差异</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t>公司治理的实际状况与中国证监会发布的有关上市公司治理的规范性文件不存在重大差异。</w:t>
      </w:r>
    </w:p>
    <w:p>
      <w:pPr>
        <w:spacing w:line="240" w:lineRule="auto" w:before="8"/>
        <w:rPr>
          <w:rFonts w:ascii="宋体" w:hAnsi="宋体" w:cs="宋体" w:eastAsia="宋体" w:hint="default"/>
          <w:sz w:val="14"/>
          <w:szCs w:val="14"/>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56" w:lineRule="auto"/>
        <w:ind w:right="1128" w:firstLine="420"/>
        <w:jc w:val="both"/>
      </w:pPr>
      <w:r>
        <w:rPr>
          <w:rFonts w:ascii="Times New Roman" w:hAnsi="Times New Roman" w:cs="Times New Roman" w:eastAsia="Times New Roman" w:hint="default"/>
          <w:spacing w:val="-5"/>
        </w:rPr>
        <w:t>1</w:t>
      </w:r>
      <w:r>
        <w:rPr>
          <w:spacing w:val="-5"/>
        </w:rPr>
        <w:t>、业务独立情况。公司具有独立、完整的业务流程及自主经营能力，有关业务决策按照《公司章程》</w:t>
      </w:r>
      <w:r>
        <w:rPr>
          <w:w w:val="100"/>
        </w:rPr>
        <w:t> </w:t>
      </w:r>
      <w:r>
        <w:rPr/>
        <w:t>等规定作出，独立于控股股东及其控制的其它企业。</w:t>
      </w:r>
    </w:p>
    <w:p>
      <w:pPr>
        <w:pStyle w:val="BodyText"/>
        <w:spacing w:line="268" w:lineRule="auto" w:before="22"/>
        <w:ind w:right="1126" w:firstLine="420"/>
        <w:jc w:val="both"/>
      </w:pPr>
      <w:r>
        <w:rPr>
          <w:rFonts w:ascii="Times New Roman" w:hAnsi="Times New Roman" w:cs="Times New Roman" w:eastAsia="Times New Roman" w:hint="default"/>
          <w:spacing w:val="-5"/>
        </w:rPr>
        <w:t>2</w:t>
      </w:r>
      <w:r>
        <w:rPr>
          <w:spacing w:val="-5"/>
        </w:rPr>
        <w:t>、人员独立情况。公司董事、监事、高级管理人员均严格按照《公司法》《公司章程》的有关规定选</w:t>
      </w:r>
      <w:r>
        <w:rPr>
          <w:w w:val="100"/>
        </w:rPr>
        <w:t> </w:t>
      </w:r>
      <w:r>
        <w:rPr>
          <w:spacing w:val="-7"/>
        </w:rPr>
        <w:t>举、聘任，不存在控股股东干预公司董事会和股东大会作出人事任免决定的情况。公司总经理、副总经理、</w:t>
      </w:r>
      <w:r>
        <w:rPr>
          <w:spacing w:val="-18"/>
        </w:rPr>
        <w:t> </w:t>
      </w:r>
      <w:r>
        <w:rPr>
          <w:spacing w:val="-18"/>
        </w:rPr>
      </w:r>
      <w:r>
        <w:rPr>
          <w:spacing w:val="-2"/>
        </w:rPr>
        <w:t>财务负责人、董事会秘书等高级管理人员不在控股股东及其控制的其它单位担任除董事以外的其它行政职</w:t>
      </w:r>
      <w:r>
        <w:rPr>
          <w:spacing w:val="-43"/>
        </w:rPr>
        <w:t> </w:t>
      </w:r>
      <w:r>
        <w:rPr>
          <w:spacing w:val="-43"/>
        </w:rPr>
      </w:r>
      <w:r>
        <w:rPr/>
        <w:t>务。公司财务人员不在控股股东及其控制的其它企业兼职。</w:t>
      </w:r>
    </w:p>
    <w:p>
      <w:pPr>
        <w:pStyle w:val="BodyText"/>
        <w:spacing w:line="240" w:lineRule="auto" w:before="12"/>
        <w:ind w:left="573" w:right="0"/>
        <w:jc w:val="left"/>
      </w:pPr>
      <w:r>
        <w:rPr>
          <w:rFonts w:ascii="Times New Roman" w:hAnsi="Times New Roman" w:cs="Times New Roman" w:eastAsia="Times New Roman" w:hint="default"/>
          <w:spacing w:val="-5"/>
        </w:rPr>
        <w:t>3</w:t>
      </w:r>
      <w:r>
        <w:rPr>
          <w:spacing w:val="-5"/>
        </w:rPr>
        <w:t>、资产完整情况。公司合法拥有与经营有关的资产，公司资产独立于控股股东及其控制的其它企业。</w:t>
      </w:r>
    </w:p>
    <w:p>
      <w:pPr>
        <w:pStyle w:val="BodyText"/>
        <w:spacing w:line="266" w:lineRule="auto" w:before="21"/>
        <w:ind w:right="1126" w:firstLine="420"/>
        <w:jc w:val="both"/>
      </w:pPr>
      <w:r>
        <w:rPr>
          <w:rFonts w:ascii="Times New Roman" w:hAnsi="Times New Roman" w:cs="Times New Roman" w:eastAsia="Times New Roman" w:hint="default"/>
          <w:spacing w:val="-5"/>
        </w:rPr>
        <w:t>4</w:t>
      </w:r>
      <w:r>
        <w:rPr>
          <w:spacing w:val="-5"/>
        </w:rPr>
        <w:t>、机构独立情况。公司拥有独立的法人治理结构，经营机构完整、独立，法人治理结构健全。公司在</w:t>
      </w:r>
      <w:r>
        <w:rPr>
          <w:w w:val="100"/>
        </w:rPr>
        <w:t> </w:t>
      </w:r>
      <w:r>
        <w:rPr>
          <w:spacing w:val="-2"/>
        </w:rPr>
        <w:t>劳动用工、薪酬分配、人事制度、经营管理等方面与控股股东及其控制的其它企业之间不存在交叉和上下</w:t>
      </w:r>
      <w:r>
        <w:rPr>
          <w:spacing w:val="-43"/>
        </w:rPr>
        <w:t> </w:t>
      </w:r>
      <w:r>
        <w:rPr>
          <w:spacing w:val="-43"/>
        </w:rPr>
      </w:r>
      <w:r>
        <w:rPr>
          <w:spacing w:val="-2"/>
        </w:rPr>
        <w:t>级关系。公司具有完全独立的办公机构与经营场所，不存在与控股股东及其控制的其它企业混合经营、合</w:t>
      </w:r>
      <w:r>
        <w:rPr>
          <w:spacing w:val="-43"/>
        </w:rPr>
        <w:t> </w:t>
      </w:r>
      <w:r>
        <w:rPr>
          <w:spacing w:val="-43"/>
        </w:rPr>
      </w:r>
      <w:r>
        <w:rPr/>
        <w:t>署办公的情形。</w:t>
      </w:r>
    </w:p>
    <w:p>
      <w:pPr>
        <w:pStyle w:val="BodyText"/>
        <w:spacing w:line="264" w:lineRule="auto" w:before="14"/>
        <w:ind w:right="1126" w:firstLine="420"/>
        <w:jc w:val="both"/>
      </w:pPr>
      <w:r>
        <w:rPr>
          <w:rFonts w:ascii="Times New Roman" w:hAnsi="Times New Roman" w:cs="Times New Roman" w:eastAsia="Times New Roman" w:hint="default"/>
          <w:spacing w:val="-5"/>
        </w:rPr>
        <w:t>5</w:t>
      </w:r>
      <w:r>
        <w:rPr>
          <w:spacing w:val="-5"/>
        </w:rPr>
        <w:t>、财务独立情况。公司建立了独立的财务部门，配备了专门的财务人员，建立了独立的会计核算体系</w:t>
      </w:r>
      <w:r>
        <w:rPr>
          <w:w w:val="100"/>
        </w:rPr>
        <w:t> </w:t>
      </w:r>
      <w:r>
        <w:rPr>
          <w:spacing w:val="-2"/>
        </w:rPr>
        <w:t>和财务管理制度等内控制度，能够独立作出财务决策；公司开立了独立的银行账户，并依法独立履行纳税</w:t>
      </w:r>
      <w:r>
        <w:rPr>
          <w:spacing w:val="-42"/>
        </w:rPr>
        <w:t> </w:t>
      </w:r>
      <w:r>
        <w:rPr>
          <w:spacing w:val="-42"/>
        </w:rPr>
      </w:r>
      <w:r>
        <w:rPr/>
        <w:t>义务。公司拥有财务独立性。</w:t>
      </w:r>
    </w:p>
    <w:p>
      <w:pPr>
        <w:spacing w:line="240" w:lineRule="auto" w:before="6"/>
        <w:rPr>
          <w:rFonts w:ascii="宋体" w:hAnsi="宋体" w:cs="宋体" w:eastAsia="宋体" w:hint="default"/>
          <w:sz w:val="16"/>
          <w:szCs w:val="16"/>
        </w:rPr>
      </w:pPr>
    </w:p>
    <w:p>
      <w:pPr>
        <w:tabs>
          <w:tab w:pos="8173"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三、同业竞争情况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pStyle w:val="Heading2"/>
        <w:spacing w:line="240" w:lineRule="auto" w:before="196"/>
        <w:ind w:right="0"/>
        <w:jc w:val="left"/>
        <w:rPr>
          <w:b w:val="0"/>
          <w:bCs w:val="0"/>
        </w:rPr>
      </w:pPr>
      <w:r>
        <w:rPr/>
        <w:t>四、报告期内召开的年度股东大会和临时股东大会的有关情况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152"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810"/>
        <w:gridCol w:w="1381"/>
        <w:gridCol w:w="1594"/>
        <w:gridCol w:w="1280"/>
        <w:gridCol w:w="1274"/>
        <w:gridCol w:w="2230"/>
      </w:tblGrid>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会议类型</w:t>
            </w:r>
            <w:r>
              <w:rPr>
                <w:rFonts w:ascii="Microsoft JhengHei" w:hAnsi="Microsoft JhengHei" w:cs="Microsoft JhengHei" w:eastAsia="Microsoft JhengHei"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4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投资者参与比例</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披露日期</w:t>
            </w:r>
            <w:r>
              <w:rPr>
                <w:rFonts w:ascii="Microsoft JhengHei" w:hAnsi="Microsoft JhengHei" w:cs="Microsoft JhengHei" w:eastAsia="Microsoft JhengHei" w:hint="default"/>
                <w:sz w:val="21"/>
                <w:szCs w:val="21"/>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6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披露索引</w:t>
            </w:r>
            <w:r>
              <w:rPr>
                <w:rFonts w:ascii="Microsoft JhengHei" w:hAnsi="Microsoft JhengHei" w:cs="Microsoft JhengHei" w:eastAsia="Microsoft JhengHei" w:hint="default"/>
                <w:sz w:val="21"/>
                <w:szCs w:val="21"/>
              </w:rPr>
            </w:r>
          </w:p>
        </w:tc>
      </w:tr>
      <w:tr>
        <w:trPr>
          <w:trHeight w:val="71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年第一次临时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41.41%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1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41.41%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1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40" w:lineRule="auto" w:before="19"/>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810"/>
        <w:gridCol w:w="1381"/>
        <w:gridCol w:w="1594"/>
        <w:gridCol w:w="1280"/>
        <w:gridCol w:w="1274"/>
        <w:gridCol w:w="2230"/>
      </w:tblGrid>
      <w:tr>
        <w:trPr>
          <w:trHeight w:val="71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年第二次临时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914" w:right="0"/>
              <w:jc w:val="left"/>
              <w:rPr>
                <w:rFonts w:ascii="Times New Roman" w:hAnsi="Times New Roman" w:cs="Times New Roman" w:eastAsia="Times New Roman" w:hint="default"/>
                <w:sz w:val="21"/>
                <w:szCs w:val="21"/>
              </w:rPr>
            </w:pPr>
            <w:r>
              <w:rPr>
                <w:rFonts w:ascii="Times New Roman"/>
                <w:sz w:val="21"/>
              </w:rPr>
              <w:t>41.52%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line="240" w:lineRule="auto" w:before="8"/>
        <w:rPr>
          <w:rFonts w:ascii="Microsoft JhengHei" w:hAnsi="Microsoft JhengHei" w:cs="Microsoft JhengHei" w:eastAsia="Microsoft JhengHei" w:hint="default"/>
          <w:b/>
          <w:bCs/>
          <w:sz w:val="14"/>
          <w:szCs w:val="14"/>
        </w:rPr>
      </w:pPr>
    </w:p>
    <w:p>
      <w:pPr>
        <w:tabs>
          <w:tab w:pos="8153" w:val="left" w:leader="none"/>
        </w:tabs>
        <w:spacing w:line="335" w:lineRule="exact"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、表决权恢复的优先股股东请求召开临时股东大会</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2"/>
        <w:rPr>
          <w:rFonts w:ascii="宋体" w:hAnsi="宋体" w:cs="宋体" w:eastAsia="宋体" w:hint="default"/>
          <w:sz w:val="16"/>
          <w:szCs w:val="16"/>
        </w:rPr>
      </w:pPr>
    </w:p>
    <w:p>
      <w:pPr>
        <w:pStyle w:val="Heading2"/>
        <w:spacing w:line="240" w:lineRule="auto"/>
        <w:ind w:right="0"/>
        <w:jc w:val="both"/>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152" w:right="0"/>
        <w:jc w:val="both"/>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40" w:lineRule="auto"/>
        <w:ind w:left="573" w:right="0"/>
        <w:jc w:val="left"/>
      </w:pPr>
      <w:r>
        <w:rPr/>
        <w:t>报告期，公司共召开董事会会议</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spacing w:val="-3"/>
        </w:rPr>
        <w:t>次，独立董事张李平先生、徐强国先生均亲自出席会议</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spacing w:val="-3"/>
        </w:rPr>
        <w:t>次，独立</w:t>
      </w:r>
    </w:p>
    <w:p>
      <w:pPr>
        <w:pStyle w:val="BodyText"/>
        <w:spacing w:line="240" w:lineRule="auto" w:before="21"/>
        <w:ind w:right="0"/>
        <w:jc w:val="both"/>
      </w:pPr>
      <w:r>
        <w:rPr/>
        <w:t>董事周春生先生亲自出席会议</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次，委托出席会议</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次。期内，独立董事出席股东大会</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次。</w:t>
      </w:r>
      <w:r>
        <w:rPr/>
      </w:r>
    </w:p>
    <w:p>
      <w:pPr>
        <w:spacing w:line="240" w:lineRule="auto" w:before="6"/>
        <w:rPr>
          <w:rFonts w:ascii="宋体" w:hAnsi="宋体" w:cs="宋体" w:eastAsia="宋体" w:hint="default"/>
          <w:sz w:val="19"/>
          <w:szCs w:val="19"/>
        </w:rPr>
      </w:pPr>
    </w:p>
    <w:p>
      <w:pPr>
        <w:pStyle w:val="Heading4"/>
        <w:spacing w:line="240" w:lineRule="auto"/>
        <w:ind w:left="152"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tabs>
          <w:tab w:pos="8765" w:val="left" w:leader="none"/>
        </w:tabs>
        <w:spacing w:line="240" w:lineRule="auto"/>
        <w:ind w:right="0"/>
        <w:jc w:val="both"/>
      </w:pPr>
      <w:r>
        <w:rPr>
          <w:spacing w:val="-2"/>
        </w:rPr>
        <w:t>独立董事对公司有关事项是否提出异议</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59"/>
        <w:ind w:left="573" w:right="0"/>
        <w:jc w:val="left"/>
      </w:pPr>
      <w:r>
        <w:rPr/>
        <w:t>报告期独立董事对公司有关事项未提出异议。</w:t>
      </w:r>
    </w:p>
    <w:p>
      <w:pPr>
        <w:spacing w:line="240" w:lineRule="auto" w:before="9"/>
        <w:rPr>
          <w:rFonts w:ascii="宋体" w:hAnsi="宋体" w:cs="宋体" w:eastAsia="宋体" w:hint="default"/>
          <w:sz w:val="20"/>
          <w:szCs w:val="20"/>
        </w:rPr>
      </w:pPr>
    </w:p>
    <w:p>
      <w:pPr>
        <w:pStyle w:val="Heading4"/>
        <w:spacing w:line="240" w:lineRule="auto"/>
        <w:ind w:left="152"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tabs>
          <w:tab w:pos="8768" w:val="left" w:leader="none"/>
        </w:tabs>
        <w:spacing w:line="240" w:lineRule="auto"/>
        <w:ind w:right="0"/>
        <w:jc w:val="both"/>
      </w:pPr>
      <w:r>
        <w:rPr>
          <w:spacing w:val="-2"/>
        </w:rPr>
        <w:t>独立董事对公司有关建议是否被采纳</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pStyle w:val="BodyText"/>
        <w:spacing w:line="307" w:lineRule="auto" w:before="62"/>
        <w:ind w:left="573" w:right="0" w:hanging="421"/>
        <w:jc w:val="left"/>
      </w:pPr>
      <w:r>
        <w:rPr/>
        <w:t>独立董事对公司有关建议被采纳或未被采纳的说明</w:t>
      </w:r>
      <w:r>
        <w:rPr>
          <w:w w:val="100"/>
        </w:rPr>
        <w:t> </w:t>
      </w:r>
      <w:r>
        <w:rPr>
          <w:spacing w:val="-2"/>
        </w:rPr>
        <w:t>报告期，公司独立董事严格按照有关法律、法规和《公司章程》的规定，关注公司运作，独立履行职</w:t>
      </w:r>
    </w:p>
    <w:p>
      <w:pPr>
        <w:pStyle w:val="BodyText"/>
        <w:spacing w:line="253" w:lineRule="exact"/>
        <w:ind w:right="0"/>
        <w:jc w:val="both"/>
      </w:pPr>
      <w:r>
        <w:rPr/>
        <w:t>责，对公司经营决策提出专业性意见，对报告期需要独立董事发表意见的事项出具独立、公正意见，为完</w:t>
      </w:r>
    </w:p>
    <w:p>
      <w:pPr>
        <w:pStyle w:val="BodyText"/>
        <w:spacing w:line="240" w:lineRule="auto" w:before="37"/>
        <w:ind w:right="0"/>
        <w:jc w:val="both"/>
      </w:pPr>
      <w:r>
        <w:rPr/>
        <w:t>善公司监督机制，维护公司和股东特别是中小股东合法权益发挥应有作用。</w:t>
      </w:r>
    </w:p>
    <w:p>
      <w:pPr>
        <w:spacing w:line="240" w:lineRule="auto" w:before="13"/>
        <w:rPr>
          <w:rFonts w:ascii="宋体" w:hAnsi="宋体" w:cs="宋体" w:eastAsia="宋体" w:hint="default"/>
          <w:sz w:val="17"/>
          <w:szCs w:val="17"/>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right="0" w:firstLine="420"/>
        <w:jc w:val="left"/>
      </w:pPr>
      <w:r>
        <w:rPr>
          <w:spacing w:val="-2"/>
        </w:rPr>
        <w:t>公司董事会下设战略委员会、审计委员会、提名委员会、薪酬与考核委员会、投资决策委员会等五个</w:t>
      </w:r>
      <w:r>
        <w:rPr>
          <w:w w:val="100"/>
        </w:rPr>
        <w:t> </w:t>
      </w:r>
      <w:r>
        <w:rPr/>
        <w:t>专门委员会，各专门委员会委员依据《公司章程》及有关规定，认真履行职责，就专业性事项进行研究，</w:t>
      </w:r>
      <w:r>
        <w:rPr>
          <w:spacing w:val="-24"/>
        </w:rPr>
        <w:t> </w:t>
      </w:r>
      <w:r>
        <w:rPr>
          <w:spacing w:val="-24"/>
        </w:rPr>
      </w:r>
      <w:r>
        <w:rPr>
          <w:spacing w:val="-2"/>
        </w:rPr>
        <w:t>提出意见及建议，供董事会决策参考。根据《公司章程》，专门委员会成员全部由董事组成，各专门委员</w:t>
      </w:r>
      <w:r>
        <w:rPr>
          <w:spacing w:val="-42"/>
        </w:rPr>
        <w:t> </w:t>
      </w:r>
      <w:r>
        <w:rPr>
          <w:spacing w:val="-42"/>
        </w:rPr>
      </w:r>
      <w:r>
        <w:rPr/>
        <w:t>会报告期履行职责情况如下：</w:t>
      </w:r>
    </w:p>
    <w:p>
      <w:pPr>
        <w:pStyle w:val="BodyText"/>
        <w:spacing w:line="273" w:lineRule="auto" w:before="8"/>
        <w:ind w:left="573" w:right="1150"/>
        <w:jc w:val="left"/>
      </w:pPr>
      <w:r>
        <w:rPr>
          <w:rFonts w:ascii="Times New Roman" w:hAnsi="Times New Roman" w:cs="Times New Roman" w:eastAsia="Times New Roman" w:hint="default"/>
        </w:rPr>
        <w:t>1</w:t>
      </w:r>
      <w:r>
        <w:rPr/>
        <w:t>、董事会战略委员会</w:t>
      </w:r>
      <w:r>
        <w:rPr>
          <w:w w:val="100"/>
        </w:rPr>
        <w:t> </w:t>
      </w:r>
      <w:r>
        <w:rPr/>
        <w:t>报告期，董事会战略委员会勤勉尽责地履行职责，及时对公司战略规划等事项进行研究。</w:t>
      </w:r>
      <w:r>
        <w:rPr>
          <w:w w:val="100"/>
        </w:rPr>
        <w:t> </w:t>
      </w:r>
      <w:r>
        <w:rPr>
          <w:rFonts w:ascii="Times New Roman" w:hAnsi="Times New Roman" w:cs="Times New Roman" w:eastAsia="Times New Roman" w:hint="default"/>
        </w:rPr>
        <w:t>2</w:t>
      </w:r>
      <w:r>
        <w:rPr/>
        <w:t>、董事会审计委员会</w:t>
      </w:r>
      <w:r>
        <w:rPr>
          <w:w w:val="100"/>
        </w:rPr>
        <w:t> </w:t>
      </w:r>
      <w:r>
        <w:rPr>
          <w:spacing w:val="-2"/>
        </w:rPr>
        <w:t>报告期，董事会审计委员会对立信</w:t>
      </w:r>
      <w:r>
        <w:rPr>
          <w:rFonts w:ascii="Times New Roman" w:hAnsi="Times New Roman" w:cs="Times New Roman" w:eastAsia="Times New Roman" w:hint="default"/>
          <w:spacing w:val="-2"/>
        </w:rPr>
        <w:t>2018</w:t>
      </w:r>
      <w:r>
        <w:rPr>
          <w:spacing w:val="-2"/>
        </w:rPr>
        <w:t>年度财务报告审计情况进行讨论，就审计过程中发现的问题</w:t>
      </w:r>
    </w:p>
    <w:p>
      <w:pPr>
        <w:pStyle w:val="BodyText"/>
        <w:spacing w:line="256" w:lineRule="auto"/>
        <w:ind w:right="1313"/>
        <w:jc w:val="both"/>
      </w:pPr>
      <w:r>
        <w:rPr>
          <w:spacing w:val="-2"/>
        </w:rPr>
        <w:t>进行了沟通和交流；审核了公司</w:t>
      </w:r>
      <w:r>
        <w:rPr>
          <w:rFonts w:ascii="Times New Roman" w:hAnsi="Times New Roman" w:cs="Times New Roman" w:eastAsia="Times New Roman" w:hint="default"/>
          <w:spacing w:val="-2"/>
        </w:rPr>
        <w:t>2018</w:t>
      </w:r>
      <w:r>
        <w:rPr>
          <w:spacing w:val="-2"/>
        </w:rPr>
        <w:t>年度报告及</w:t>
      </w:r>
      <w:r>
        <w:rPr>
          <w:rFonts w:ascii="Times New Roman" w:hAnsi="Times New Roman" w:cs="Times New Roman" w:eastAsia="Times New Roman" w:hint="default"/>
          <w:spacing w:val="-2"/>
        </w:rPr>
        <w:t>2019</w:t>
      </w:r>
      <w:r>
        <w:rPr>
          <w:spacing w:val="-2"/>
        </w:rPr>
        <w:t>年各定期报告；审核并听取了公司</w:t>
      </w:r>
      <w:r>
        <w:rPr>
          <w:rFonts w:ascii="Times New Roman" w:hAnsi="Times New Roman" w:cs="Times New Roman" w:eastAsia="Times New Roman" w:hint="default"/>
          <w:spacing w:val="-2"/>
        </w:rPr>
        <w:t>2019</w:t>
      </w:r>
      <w:r>
        <w:rPr>
          <w:spacing w:val="-2"/>
        </w:rPr>
        <w:t>年度审计工</w:t>
      </w:r>
      <w:r>
        <w:rPr>
          <w:spacing w:val="-14"/>
        </w:rPr>
        <w:t> </w:t>
      </w:r>
      <w:r>
        <w:rPr>
          <w:spacing w:val="-14"/>
        </w:rPr>
      </w:r>
      <w:r>
        <w:rPr>
          <w:spacing w:val="-2"/>
        </w:rPr>
        <w:t>作计划和内审工作季度汇报；向董事会提议聘请大华为</w:t>
      </w:r>
      <w:r>
        <w:rPr>
          <w:rFonts w:ascii="Times New Roman" w:hAnsi="Times New Roman" w:cs="Times New Roman" w:eastAsia="Times New Roman" w:hint="default"/>
          <w:spacing w:val="-2"/>
        </w:rPr>
        <w:t>2019</w:t>
      </w:r>
      <w:r>
        <w:rPr>
          <w:spacing w:val="-2"/>
        </w:rPr>
        <w:t>年度财务审计机构；审查督促了公司内控制</w:t>
      </w:r>
      <w:r>
        <w:rPr>
          <w:spacing w:val="-17"/>
        </w:rPr>
        <w:t> </w:t>
      </w:r>
      <w:r>
        <w:rPr>
          <w:spacing w:val="-17"/>
        </w:rPr>
      </w:r>
      <w:r>
        <w:rPr/>
        <w:t>度的建设。</w:t>
      </w:r>
    </w:p>
    <w:p>
      <w:pPr>
        <w:pStyle w:val="BodyText"/>
        <w:spacing w:line="261" w:lineRule="auto" w:before="61"/>
        <w:ind w:left="573" w:right="0"/>
        <w:jc w:val="left"/>
      </w:pPr>
      <w:r>
        <w:rPr>
          <w:rFonts w:ascii="Times New Roman" w:hAnsi="Times New Roman" w:cs="Times New Roman" w:eastAsia="Times New Roman" w:hint="default"/>
        </w:rPr>
        <w:t>3</w:t>
      </w:r>
      <w:r>
        <w:rPr/>
        <w:t>、董事会薪酬与考核委员会</w:t>
      </w:r>
      <w:r>
        <w:rPr>
          <w:w w:val="100"/>
        </w:rPr>
        <w:t> </w:t>
      </w:r>
      <w:r>
        <w:rPr/>
        <w:t>报告期，董事会薪酬与考核委员会根据相关规定对公司董事、高级管理人员薪酬进行审查。</w:t>
      </w:r>
      <w:r>
        <w:rPr>
          <w:w w:val="100"/>
        </w:rPr>
        <w:t> </w:t>
      </w:r>
      <w:r>
        <w:rPr>
          <w:rFonts w:ascii="Times New Roman" w:hAnsi="Times New Roman" w:cs="Times New Roman" w:eastAsia="Times New Roman" w:hint="default"/>
        </w:rPr>
        <w:t>4</w:t>
      </w:r>
      <w:r>
        <w:rPr/>
        <w:t>、董事会投资决策委员会</w:t>
      </w:r>
      <w:r>
        <w:rPr>
          <w:w w:val="100"/>
        </w:rPr>
        <w:t> </w:t>
      </w:r>
      <w:r>
        <w:rPr>
          <w:spacing w:val="-2"/>
        </w:rPr>
        <w:t>报告期，公司投资决策委员会按照有关规定履行职责，就公司投资决策的形成提出专业意见。</w:t>
      </w:r>
    </w:p>
    <w:p>
      <w:pPr>
        <w:spacing w:line="240" w:lineRule="auto" w:before="8"/>
        <w:rPr>
          <w:rFonts w:ascii="宋体" w:hAnsi="宋体" w:cs="宋体" w:eastAsia="宋体" w:hint="default"/>
          <w:sz w:val="16"/>
          <w:szCs w:val="16"/>
        </w:rPr>
      </w:pPr>
    </w:p>
    <w:p>
      <w:pPr>
        <w:pStyle w:val="Heading2"/>
        <w:spacing w:line="240" w:lineRule="auto"/>
        <w:ind w:right="0"/>
        <w:jc w:val="both"/>
        <w:rPr>
          <w:b w:val="0"/>
          <w:bCs w:val="0"/>
        </w:rPr>
      </w:pPr>
      <w:r>
        <w:rPr/>
        <w:t>七、监事会工作情况</w:t>
      </w:r>
      <w:r>
        <w:rPr>
          <w:b w:val="0"/>
          <w:bCs w:val="0"/>
        </w:rPr>
      </w:r>
    </w:p>
    <w:p>
      <w:pPr>
        <w:spacing w:after="0" w:line="240" w:lineRule="auto"/>
        <w:jc w:val="both"/>
        <w:sectPr>
          <w:pgSz w:w="11910" w:h="16840"/>
          <w:pgMar w:header="877" w:footer="979" w:top="1100" w:bottom="1160" w:left="980" w:right="0"/>
        </w:sectPr>
      </w:pPr>
    </w:p>
    <w:p>
      <w:pPr>
        <w:spacing w:line="240" w:lineRule="auto" w:before="12"/>
        <w:rPr>
          <w:rFonts w:ascii="Microsoft JhengHei" w:hAnsi="Microsoft JhengHei" w:cs="Microsoft JhengHei" w:eastAsia="Microsoft JhengHei" w:hint="default"/>
          <w:b/>
          <w:bCs/>
          <w:sz w:val="15"/>
          <w:szCs w:val="15"/>
        </w:rPr>
      </w:pPr>
    </w:p>
    <w:p>
      <w:pPr>
        <w:pStyle w:val="BodyText"/>
        <w:tabs>
          <w:tab w:pos="8768" w:val="left" w:leader="none"/>
        </w:tabs>
        <w:spacing w:line="290" w:lineRule="auto" w:before="36"/>
        <w:ind w:left="573" w:right="1179" w:hanging="421"/>
        <w:jc w:val="left"/>
      </w:pPr>
      <w:r>
        <w:rPr>
          <w:spacing w:val="-2"/>
        </w:rPr>
        <w:t>监事会在报告期内的监督活动中发现公司是否存在风险</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t>监事会对报告期的监督事项无异议。</w:t>
      </w:r>
    </w:p>
    <w:p>
      <w:pPr>
        <w:spacing w:line="240" w:lineRule="auto" w:before="6"/>
        <w:rPr>
          <w:rFonts w:ascii="宋体" w:hAnsi="宋体" w:cs="宋体" w:eastAsia="宋体" w:hint="default"/>
          <w:sz w:val="14"/>
          <w:szCs w:val="14"/>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right="1126" w:firstLine="420"/>
        <w:jc w:val="both"/>
      </w:pPr>
      <w:r>
        <w:rPr>
          <w:spacing w:val="-2"/>
        </w:rPr>
        <w:t>公司高级管理人员直接对董事会负责，接受董事会的考核，实行责权利统一的激励机制。高级管理人</w:t>
      </w:r>
      <w:r>
        <w:rPr>
          <w:w w:val="100"/>
        </w:rPr>
        <w:t> </w:t>
      </w:r>
      <w:r>
        <w:rPr>
          <w:spacing w:val="-2"/>
        </w:rPr>
        <w:t>员实行年薪制，薪资标准依据行业薪酬水平、企业经营效益、高管岗位职级等因素确定。年终对高管人员</w:t>
      </w:r>
      <w:r>
        <w:rPr>
          <w:spacing w:val="-50"/>
        </w:rPr>
        <w:t> </w:t>
      </w:r>
      <w:r>
        <w:rPr>
          <w:spacing w:val="-50"/>
        </w:rPr>
      </w:r>
      <w:r>
        <w:rPr/>
        <w:t>的履职情况和年度业绩情况予以考核，根据考核结果发放年度绩效薪酬。</w:t>
      </w:r>
    </w:p>
    <w:p>
      <w:pPr>
        <w:spacing w:line="240" w:lineRule="auto" w:before="10"/>
        <w:rPr>
          <w:rFonts w:ascii="宋体" w:hAnsi="宋体" w:cs="宋体" w:eastAsia="宋体" w:hint="default"/>
          <w:sz w:val="15"/>
          <w:szCs w:val="15"/>
        </w:rPr>
      </w:pPr>
    </w:p>
    <w:p>
      <w:pPr>
        <w:pStyle w:val="Heading2"/>
        <w:spacing w:line="240" w:lineRule="auto"/>
        <w:ind w:right="0"/>
        <w:jc w:val="left"/>
        <w:rPr>
          <w:b w:val="0"/>
          <w:bCs w:val="0"/>
        </w:rPr>
      </w:pPr>
      <w:r>
        <w:rPr/>
        <w:t>九、内部控制评价报告</w:t>
      </w:r>
      <w:r>
        <w:rPr>
          <w:b w:val="0"/>
          <w:bCs w:val="0"/>
        </w:rPr>
      </w:r>
    </w:p>
    <w:p>
      <w:pPr>
        <w:spacing w:line="240" w:lineRule="auto" w:before="6"/>
        <w:rPr>
          <w:rFonts w:ascii="Microsoft JhengHei" w:hAnsi="Microsoft JhengHei" w:cs="Microsoft JhengHei" w:eastAsia="Microsoft JhengHei" w:hint="default"/>
          <w:b/>
          <w:bCs/>
          <w:sz w:val="13"/>
          <w:szCs w:val="13"/>
        </w:rPr>
      </w:pPr>
    </w:p>
    <w:p>
      <w:pPr>
        <w:tabs>
          <w:tab w:pos="8679"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Microsoft JhengHei" w:hAnsi="Microsoft JhengHei" w:cs="Microsoft JhengHei" w:eastAsia="Microsoft JhengHei" w:hint="default"/>
          <w:b/>
          <w:bCs/>
          <w:spacing w:val="-1"/>
          <w:sz w:val="21"/>
          <w:szCs w:val="21"/>
        </w:rPr>
        <w:t>、报告期内发现的内部控制重大缺陷的具体情况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240" w:lineRule="auto" w:before="11"/>
        <w:rPr>
          <w:rFonts w:ascii="宋体" w:hAnsi="宋体" w:cs="宋体" w:eastAsia="宋体" w:hint="default"/>
          <w:sz w:val="18"/>
          <w:szCs w:val="18"/>
        </w:rPr>
      </w:pPr>
    </w:p>
    <w:p>
      <w:pPr>
        <w:pStyle w:val="Heading4"/>
        <w:spacing w:line="240" w:lineRule="auto"/>
        <w:ind w:left="152"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详见披露于深圳证券交易所网站（</w:t>
            </w:r>
            <w:hyperlink r:id="rId31">
              <w:r>
                <w:rPr>
                  <w:rFonts w:ascii="Times New Roman" w:hAnsi="Times New Roman" w:cs="Times New Roman" w:eastAsia="Times New Roman" w:hint="default"/>
                  <w:sz w:val="21"/>
                  <w:szCs w:val="21"/>
                </w:rPr>
                <w:t>www.szse.com.cn</w:t>
              </w:r>
            </w:hyperlink>
            <w:r>
              <w:rPr>
                <w:rFonts w:ascii="宋体" w:hAnsi="宋体" w:cs="宋体" w:eastAsia="宋体" w:hint="default"/>
                <w:sz w:val="21"/>
                <w:szCs w:val="21"/>
              </w:rPr>
              <w:t>）和巨潮资讯网</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w:t>
            </w:r>
            <w:hyperlink r:id="rId12">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.cn</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w:t>
              </w:r>
              <w:r>
                <w:rPr>
                  <w:rFonts w:ascii="Times New Roman" w:hAnsi="Times New Roman" w:cs="Times New Roman" w:eastAsia="Times New Roman" w:hint="default"/>
                  <w:spacing w:val="-1"/>
                  <w:w w:val="100"/>
                  <w:sz w:val="21"/>
                  <w:szCs w:val="21"/>
                </w:rPr>
                <w:t>f</w:t>
              </w:r>
              <w:r>
                <w:rPr>
                  <w:rFonts w:ascii="Times New Roman" w:hAnsi="Times New Roman" w:cs="Times New Roman" w:eastAsia="Times New Roman" w:hint="default"/>
                  <w:w w:val="100"/>
                  <w:sz w:val="21"/>
                  <w:szCs w:val="21"/>
                </w:rPr>
                <w:t>o.co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自我</w:t>
            </w:r>
            <w:r>
              <w:rPr>
                <w:rFonts w:ascii="宋体" w:hAnsi="宋体" w:cs="宋体" w:eastAsia="宋体" w:hint="default"/>
                <w:w w:val="100"/>
                <w:sz w:val="21"/>
                <w:szCs w:val="21"/>
              </w:rPr>
              <w:t>评价</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100.00%</w:t>
            </w:r>
          </w:p>
        </w:tc>
      </w:tr>
      <w:tr>
        <w:trPr>
          <w:trHeight w:val="71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14"/>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100.00%</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5"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650"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4"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322" w:type="dxa"/>
            <w:vMerge w:val="restart"/>
            <w:tcBorders>
              <w:top w:val="single" w:sz="4" w:space="0" w:color="000000"/>
              <w:left w:val="single" w:sz="4" w:space="0" w:color="000000"/>
              <w:right w:val="single" w:sz="4" w:space="0" w:color="000000"/>
            </w:tcBorders>
          </w:tcPr>
          <w:p>
            <w:pPr>
              <w:pStyle w:val="TableParagraph"/>
              <w:spacing w:line="261" w:lineRule="auto" w:before="28"/>
              <w:ind w:left="24" w:right="10"/>
              <w:jc w:val="both"/>
              <w:rPr>
                <w:rFonts w:ascii="宋体" w:hAnsi="宋体" w:cs="宋体" w:eastAsia="宋体" w:hint="default"/>
                <w:sz w:val="21"/>
                <w:szCs w:val="21"/>
              </w:rPr>
            </w:pPr>
            <w:r>
              <w:rPr>
                <w:rFonts w:ascii="宋体" w:hAnsi="宋体" w:cs="宋体" w:eastAsia="宋体" w:hint="default"/>
                <w:sz w:val="21"/>
                <w:szCs w:val="21"/>
              </w:rPr>
              <w:t>详见同日披露的《</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年度内部控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制自我评价报告》的</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三</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之</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（二）内</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部控制评价工作依据及内部控制缺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陷认定标准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051" w:type="dxa"/>
            <w:vMerge w:val="restart"/>
            <w:tcBorders>
              <w:top w:val="single" w:sz="4" w:space="0" w:color="000000"/>
              <w:left w:val="single" w:sz="4" w:space="0" w:color="000000"/>
              <w:right w:val="single" w:sz="4" w:space="0" w:color="000000"/>
            </w:tcBorders>
          </w:tcPr>
          <w:p>
            <w:pPr>
              <w:pStyle w:val="TableParagraph"/>
              <w:spacing w:line="256" w:lineRule="auto" w:before="28"/>
              <w:ind w:left="23" w:right="17"/>
              <w:jc w:val="both"/>
              <w:rPr>
                <w:rFonts w:ascii="宋体" w:hAnsi="宋体" w:cs="宋体" w:eastAsia="宋体" w:hint="default"/>
                <w:sz w:val="21"/>
                <w:szCs w:val="21"/>
              </w:rPr>
            </w:pPr>
            <w:r>
              <w:rPr>
                <w:rFonts w:ascii="宋体" w:hAnsi="宋体" w:cs="宋体" w:eastAsia="宋体" w:hint="default"/>
                <w:sz w:val="21"/>
                <w:szCs w:val="21"/>
              </w:rPr>
              <w:t>详见同日披露的《</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年度内部</w:t>
            </w:r>
            <w:r>
              <w:rPr>
                <w:rFonts w:ascii="宋体" w:hAnsi="宋体" w:cs="宋体" w:eastAsia="宋体" w:hint="default"/>
                <w:w w:val="100"/>
                <w:sz w:val="21"/>
                <w:szCs w:val="21"/>
              </w:rPr>
              <w:t> </w:t>
            </w:r>
            <w:r>
              <w:rPr>
                <w:rFonts w:ascii="宋体" w:hAnsi="宋体" w:cs="宋体" w:eastAsia="宋体" w:hint="default"/>
                <w:spacing w:val="17"/>
                <w:sz w:val="21"/>
                <w:szCs w:val="21"/>
              </w:rPr>
              <w:t>控制自我评价报告》</w:t>
            </w:r>
            <w:r>
              <w:rPr>
                <w:rFonts w:ascii="宋体" w:hAnsi="宋体" w:cs="宋体" w:eastAsia="宋体" w:hint="default"/>
                <w:spacing w:val="-76"/>
                <w:sz w:val="21"/>
                <w:szCs w:val="21"/>
              </w:rPr>
              <w:t> </w:t>
            </w:r>
            <w:r>
              <w:rPr>
                <w:rFonts w:ascii="宋体" w:hAnsi="宋体" w:cs="宋体" w:eastAsia="宋体" w:hint="default"/>
                <w:spacing w:val="11"/>
                <w:sz w:val="21"/>
                <w:szCs w:val="21"/>
              </w:rPr>
              <w:t>的</w:t>
            </w:r>
            <w:r>
              <w:rPr>
                <w:rFonts w:ascii="Times New Roman" w:hAnsi="Times New Roman" w:cs="Times New Roman" w:eastAsia="Times New Roman" w:hint="default"/>
                <w:spacing w:val="11"/>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0"/>
                <w:sz w:val="21"/>
                <w:szCs w:val="21"/>
              </w:rPr>
              <w:t>三</w:t>
            </w:r>
            <w:r>
              <w:rPr>
                <w:rFonts w:ascii="Times New Roman" w:hAnsi="Times New Roman" w:cs="Times New Roman" w:eastAsia="Times New Roman" w:hint="default"/>
                <w:spacing w:val="10"/>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之</w:t>
            </w:r>
            <w:r>
              <w:rPr>
                <w:rFonts w:ascii="宋体" w:hAnsi="宋体" w:cs="宋体" w:eastAsia="宋体" w:hint="default"/>
                <w:spacing w:val="-98"/>
                <w:sz w:val="21"/>
                <w:szCs w:val="21"/>
              </w:rPr>
              <w:t> </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（二）内部控制评价工作依据及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内部控制缺陷认定标准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8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4"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322"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十、内部控制鉴证报告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229"/>
        <w:gridCol w:w="6339"/>
      </w:tblGrid>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102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17"/>
              <w:jc w:val="both"/>
              <w:rPr>
                <w:rFonts w:ascii="宋体" w:hAnsi="宋体" w:cs="宋体" w:eastAsia="宋体" w:hint="default"/>
                <w:sz w:val="21"/>
                <w:szCs w:val="21"/>
              </w:rPr>
            </w:pPr>
            <w:r>
              <w:rPr>
                <w:rFonts w:ascii="宋体" w:hAnsi="宋体" w:cs="宋体" w:eastAsia="宋体" w:hint="default"/>
                <w:spacing w:val="-5"/>
                <w:sz w:val="21"/>
                <w:szCs w:val="21"/>
              </w:rPr>
              <w:t>内部控制鉴证机构认为，除“导致保留意见的事项”部分所述事项产生的影响外，国盛金控按照《企业内</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5"/>
                <w:sz w:val="21"/>
                <w:szCs w:val="21"/>
              </w:rPr>
              <w:t>部控制基本规范》和相关规定于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日在所有重大方面保持了与财务报表相关的有效的内部</w:t>
            </w:r>
            <w:r>
              <w:rPr>
                <w:rFonts w:ascii="宋体" w:hAnsi="宋体" w:cs="宋体" w:eastAsia="宋体" w:hint="default"/>
                <w:w w:val="100"/>
                <w:sz w:val="21"/>
                <w:szCs w:val="21"/>
              </w:rPr>
              <w:t> </w:t>
            </w:r>
            <w:r>
              <w:rPr>
                <w:rFonts w:ascii="宋体" w:hAnsi="宋体" w:cs="宋体" w:eastAsia="宋体" w:hint="default"/>
                <w:sz w:val="21"/>
                <w:szCs w:val="21"/>
              </w:rPr>
              <w:t>控制。</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内控鉴证报告披露情况</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披露</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229"/>
        <w:gridCol w:w="6339"/>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详见披露于深圳证券交易所网站（</w:t>
            </w:r>
            <w:hyperlink r:id="rId31">
              <w:r>
                <w:rPr>
                  <w:rFonts w:ascii="Times New Roman" w:hAnsi="Times New Roman" w:cs="Times New Roman" w:eastAsia="Times New Roman" w:hint="default"/>
                  <w:sz w:val="21"/>
                  <w:szCs w:val="21"/>
                </w:rPr>
                <w:t>www.szse.com.cn</w:t>
              </w:r>
            </w:hyperlink>
            <w:r>
              <w:rPr>
                <w:rFonts w:ascii="宋体" w:hAnsi="宋体" w:cs="宋体" w:eastAsia="宋体" w:hint="default"/>
                <w:sz w:val="21"/>
                <w:szCs w:val="21"/>
              </w:rPr>
              <w:t>）和巨潮资讯网</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w w:val="100"/>
                <w:sz w:val="21"/>
                <w:szCs w:val="21"/>
              </w:rPr>
              <w:t>（</w:t>
            </w:r>
            <w:hyperlink r:id="rId12">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.cn</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w:t>
              </w:r>
              <w:r>
                <w:rPr>
                  <w:rFonts w:ascii="Times New Roman" w:hAnsi="Times New Roman" w:cs="Times New Roman" w:eastAsia="Times New Roman" w:hint="default"/>
                  <w:spacing w:val="-1"/>
                  <w:w w:val="100"/>
                  <w:sz w:val="21"/>
                  <w:szCs w:val="21"/>
                </w:rPr>
                <w:t>f</w:t>
              </w:r>
              <w:r>
                <w:rPr>
                  <w:rFonts w:ascii="Times New Roman" w:hAnsi="Times New Roman" w:cs="Times New Roman" w:eastAsia="Times New Roman" w:hint="default"/>
                  <w:w w:val="100"/>
                  <w:sz w:val="21"/>
                  <w:szCs w:val="21"/>
                </w:rPr>
                <w:t>o.co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鉴证</w:t>
            </w:r>
            <w:r>
              <w:rPr>
                <w:rFonts w:ascii="宋体" w:hAnsi="宋体" w:cs="宋体" w:eastAsia="宋体" w:hint="default"/>
                <w:w w:val="100"/>
                <w:sz w:val="21"/>
                <w:szCs w:val="21"/>
              </w:rPr>
              <w:t>报告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保留意见</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tabs>
          <w:tab w:pos="8768" w:val="left" w:leader="none"/>
          <w:tab w:pos="9303" w:val="left" w:leader="none"/>
        </w:tabs>
        <w:spacing w:line="280" w:lineRule="auto" w:before="28"/>
        <w:ind w:right="1128"/>
        <w:jc w:val="right"/>
        <w:rPr>
          <w:rFonts w:ascii="Times New Roman" w:hAnsi="Times New Roman" w:cs="Times New Roman" w:eastAsia="Times New Roman" w:hint="default"/>
        </w:rPr>
      </w:pPr>
      <w:r>
        <w:rPr>
          <w:spacing w:val="-2"/>
        </w:rPr>
        <w:t>会计师事务所是否出具非标准意见的内部控制鉴证报告</w:t>
        <w:tab/>
      </w:r>
      <w:r>
        <w:rPr>
          <w:rFonts w:ascii="Times New Roman" w:hAnsi="Times New Roman" w:cs="Times New Roman" w:eastAsia="Times New Roman" w:hint="default"/>
          <w:spacing w:val="-1"/>
        </w:rPr>
        <w:t>√</w:t>
      </w:r>
      <w:r>
        <w:rPr>
          <w:spacing w:val="-1"/>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r>
        <w:rPr>
          <w:w w:val="100"/>
        </w:rPr>
        <w:t> </w:t>
      </w:r>
      <w:r>
        <w:rPr>
          <w:spacing w:val="-2"/>
          <w:w w:val="100"/>
        </w:rPr>
        <w:t>会计师事务所认为，“公司认为本年能够对被投资公司趣店实施重大影响，从本年开始对趣店的股权</w:t>
      </w:r>
      <w:r>
        <w:rPr>
          <w:w w:val="100"/>
        </w:rPr>
        <w:t> </w:t>
      </w:r>
      <w:r>
        <w:rPr>
          <w:spacing w:val="-4"/>
        </w:rPr>
        <w:t>投资按权益法核算。根据获取的证据，我们认为公司对趣店能实施重大影响时点的判断不恰当，应从</w:t>
      </w:r>
      <w:r>
        <w:rPr>
          <w:spacing w:val="36"/>
        </w:rPr>
        <w:t> </w:t>
      </w:r>
      <w:r>
        <w:rPr>
          <w:rFonts w:ascii="Times New Roman" w:hAnsi="Times New Roman" w:cs="Times New Roman" w:eastAsia="Times New Roman" w:hint="default"/>
        </w:rPr>
        <w:t>2016</w:t>
      </w:r>
    </w:p>
    <w:p>
      <w:pPr>
        <w:pStyle w:val="BodyText"/>
        <w:spacing w:line="272" w:lineRule="exact"/>
        <w:ind w:right="0"/>
        <w:jc w:val="left"/>
      </w:pP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月初始投资时采用权益法核算，该事项对公司财务报表构成重大影响。上述缺陷影响了会计核算准</w:t>
      </w:r>
    </w:p>
    <w:p>
      <w:pPr>
        <w:pStyle w:val="BodyText"/>
        <w:spacing w:line="240" w:lineRule="auto" w:before="22"/>
        <w:ind w:right="0"/>
        <w:jc w:val="left"/>
      </w:pPr>
      <w:r>
        <w:rPr>
          <w:w w:val="100"/>
        </w:rPr>
        <w:t>确性</w:t>
      </w:r>
      <w:r>
        <w:rPr>
          <w:spacing w:val="-3"/>
          <w:w w:val="100"/>
        </w:rPr>
        <w:t>及</w:t>
      </w:r>
      <w:r>
        <w:rPr>
          <w:w w:val="100"/>
        </w:rPr>
        <w:t>与</w:t>
      </w:r>
      <w:r>
        <w:rPr>
          <w:spacing w:val="-3"/>
          <w:w w:val="100"/>
        </w:rPr>
        <w:t>之</w:t>
      </w:r>
      <w:r>
        <w:rPr>
          <w:w w:val="100"/>
        </w:rPr>
        <w:t>相</w:t>
      </w:r>
      <w:r>
        <w:rPr>
          <w:spacing w:val="-3"/>
          <w:w w:val="100"/>
        </w:rPr>
        <w:t>关</w:t>
      </w:r>
      <w:r>
        <w:rPr>
          <w:w w:val="100"/>
        </w:rPr>
        <w:t>财</w:t>
      </w:r>
      <w:r>
        <w:rPr>
          <w:spacing w:val="-3"/>
          <w:w w:val="100"/>
        </w:rPr>
        <w:t>务</w:t>
      </w:r>
      <w:r>
        <w:rPr>
          <w:w w:val="100"/>
        </w:rPr>
        <w:t>报</w:t>
      </w:r>
      <w:r>
        <w:rPr>
          <w:spacing w:val="-3"/>
          <w:w w:val="100"/>
        </w:rPr>
        <w:t>表</w:t>
      </w:r>
      <w:r>
        <w:rPr>
          <w:w w:val="100"/>
        </w:rPr>
        <w:t>内部</w:t>
      </w:r>
      <w:r>
        <w:rPr>
          <w:spacing w:val="-3"/>
          <w:w w:val="100"/>
        </w:rPr>
        <w:t>控</w:t>
      </w:r>
      <w:r>
        <w:rPr>
          <w:w w:val="100"/>
        </w:rPr>
        <w:t>制</w:t>
      </w:r>
      <w:r>
        <w:rPr>
          <w:spacing w:val="-3"/>
          <w:w w:val="100"/>
        </w:rPr>
        <w:t>的</w:t>
      </w:r>
      <w:r>
        <w:rPr>
          <w:w w:val="100"/>
        </w:rPr>
        <w:t>有</w:t>
      </w:r>
      <w:r>
        <w:rPr>
          <w:spacing w:val="-3"/>
          <w:w w:val="100"/>
        </w:rPr>
        <w:t>效</w:t>
      </w:r>
      <w:r>
        <w:rPr>
          <w:w w:val="100"/>
        </w:rPr>
        <w:t>性</w:t>
      </w:r>
      <w:r>
        <w:rPr>
          <w:spacing w:val="-108"/>
          <w:w w:val="100"/>
        </w:rPr>
        <w:t>。</w:t>
      </w:r>
      <w:r>
        <w:rPr>
          <w:w w:val="100"/>
        </w:rPr>
        <w:t>”</w:t>
      </w:r>
    </w:p>
    <w:p>
      <w:pPr>
        <w:spacing w:line="240" w:lineRule="auto" w:before="0"/>
        <w:rPr>
          <w:rFonts w:ascii="宋体" w:hAnsi="宋体" w:cs="宋体" w:eastAsia="宋体" w:hint="default"/>
          <w:sz w:val="20"/>
          <w:szCs w:val="20"/>
        </w:rPr>
      </w:pPr>
    </w:p>
    <w:p>
      <w:pPr>
        <w:pStyle w:val="BodyText"/>
        <w:tabs>
          <w:tab w:pos="8770" w:val="left" w:leader="none"/>
          <w:tab w:pos="9317" w:val="left" w:leader="none"/>
        </w:tabs>
        <w:spacing w:line="290" w:lineRule="auto" w:before="169"/>
        <w:ind w:left="573" w:right="1210" w:hanging="421"/>
        <w:jc w:val="left"/>
      </w:pPr>
      <w:r>
        <w:rPr>
          <w:spacing w:val="-2"/>
        </w:rPr>
        <w:t>会计师事务所出具的内部控制鉴证报告与董事会的自我评价报告意见是否一致</w:t>
        <w:tab/>
      </w:r>
      <w:r>
        <w:rPr>
          <w:rFonts w:ascii="Times New Roman" w:hAnsi="Times New Roman" w:cs="Times New Roman" w:eastAsia="Times New Roman" w:hint="default"/>
          <w:spacing w:val="-2"/>
        </w:rPr>
        <w:t>□</w:t>
      </w:r>
      <w:r>
        <w:rPr>
          <w:spacing w:val="-2"/>
        </w:rPr>
        <w:t>是</w:t>
        <w:tab/>
      </w:r>
      <w:r>
        <w:rPr>
          <w:rFonts w:ascii="Times New Roman" w:hAnsi="Times New Roman" w:cs="Times New Roman" w:eastAsia="Times New Roman" w:hint="default"/>
          <w:spacing w:val="-2"/>
        </w:rPr>
        <w:t>√</w:t>
      </w:r>
      <w:r>
        <w:rPr>
          <w:spacing w:val="-2"/>
        </w:rPr>
        <w:t>否</w:t>
      </w:r>
      <w:r>
        <w:rPr>
          <w:w w:val="100"/>
        </w:rPr>
        <w:t> </w:t>
      </w:r>
      <w:r>
        <w:rPr/>
        <w:t>公司不认可大华上述对公司</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年内部控制鉴证报告出具保留意见的理由和依据，并认为该事项不</w:t>
      </w:r>
    </w:p>
    <w:p>
      <w:pPr>
        <w:pStyle w:val="BodyText"/>
        <w:spacing w:line="263" w:lineRule="exact"/>
        <w:ind w:right="0"/>
        <w:jc w:val="left"/>
      </w:pPr>
      <w:r>
        <w:rPr/>
        <w:t>对公司内部控制有效性产生影响，详见同日披露的《对</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年度内部控制鉴证报告保留意见所涉事项的</w:t>
      </w:r>
    </w:p>
    <w:p>
      <w:pPr>
        <w:pStyle w:val="BodyText"/>
        <w:spacing w:line="240" w:lineRule="auto" w:before="21"/>
        <w:ind w:right="0"/>
        <w:jc w:val="left"/>
      </w:pPr>
      <w:r>
        <w:rPr>
          <w:w w:val="100"/>
        </w:rPr>
        <w:t>专项</w:t>
      </w:r>
      <w:r>
        <w:rPr>
          <w:spacing w:val="-3"/>
          <w:w w:val="100"/>
        </w:rPr>
        <w:t>说</w:t>
      </w:r>
      <w:r>
        <w:rPr>
          <w:w w:val="100"/>
        </w:rPr>
        <w:t>明</w:t>
      </w:r>
      <w:r>
        <w:rPr>
          <w:spacing w:val="-3"/>
          <w:w w:val="100"/>
        </w:rPr>
        <w:t>》</w:t>
      </w:r>
      <w:r>
        <w:rPr>
          <w:w w:val="100"/>
        </w:rPr>
        <w:t>中</w:t>
      </w:r>
      <w:r>
        <w:rPr>
          <w:spacing w:val="-3"/>
          <w:w w:val="100"/>
        </w:rPr>
        <w:t>“</w:t>
      </w:r>
      <w:r>
        <w:rPr>
          <w:w w:val="100"/>
        </w:rPr>
        <w:t>三</w:t>
      </w:r>
      <w:r>
        <w:rPr>
          <w:spacing w:val="-3"/>
          <w:w w:val="100"/>
        </w:rPr>
        <w:t>、</w:t>
      </w:r>
      <w:r>
        <w:rPr>
          <w:w w:val="100"/>
        </w:rPr>
        <w:t>公</w:t>
      </w:r>
      <w:r>
        <w:rPr>
          <w:spacing w:val="-3"/>
          <w:w w:val="100"/>
        </w:rPr>
        <w:t>司</w:t>
      </w:r>
      <w:r>
        <w:rPr>
          <w:w w:val="100"/>
        </w:rPr>
        <w:t>对上</w:t>
      </w:r>
      <w:r>
        <w:rPr>
          <w:spacing w:val="-3"/>
          <w:w w:val="100"/>
        </w:rPr>
        <w:t>述</w:t>
      </w:r>
      <w:r>
        <w:rPr>
          <w:w w:val="100"/>
        </w:rPr>
        <w:t>事</w:t>
      </w:r>
      <w:r>
        <w:rPr>
          <w:spacing w:val="-3"/>
          <w:w w:val="100"/>
        </w:rPr>
        <w:t>项</w:t>
      </w:r>
      <w:r>
        <w:rPr>
          <w:w w:val="100"/>
        </w:rPr>
        <w:t>的</w:t>
      </w:r>
      <w:r>
        <w:rPr>
          <w:spacing w:val="-3"/>
          <w:w w:val="100"/>
        </w:rPr>
        <w:t>说</w:t>
      </w:r>
      <w:r>
        <w:rPr>
          <w:w w:val="100"/>
        </w:rPr>
        <w:t>明</w:t>
      </w:r>
      <w:r>
        <w:rPr>
          <w:spacing w:val="-108"/>
          <w:w w:val="100"/>
        </w:rPr>
        <w:t>”。</w:t>
      </w:r>
      <w:r>
        <w:rPr>
          <w:w w:val="10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981"/>
        <w:jc w:val="center"/>
        <w:rPr>
          <w:b w:val="0"/>
          <w:bCs w:val="0"/>
        </w:rPr>
      </w:pPr>
      <w:bookmarkStart w:name="_TOC_250002" w:id="11"/>
      <w:r>
        <w:rPr/>
        <w:t>第十一节 </w:t>
      </w:r>
      <w:r>
        <w:rPr>
          <w:spacing w:val="11"/>
        </w:rPr>
        <w:t> </w:t>
      </w:r>
      <w:r>
        <w:rPr/>
        <w:t>公司债券相关情况</w:t>
      </w:r>
      <w:bookmarkEnd w:id="11"/>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BodyText"/>
        <w:tabs>
          <w:tab w:pos="9500" w:val="left" w:leader="none"/>
        </w:tabs>
        <w:spacing w:line="273" w:lineRule="auto"/>
        <w:ind w:right="1150"/>
        <w:jc w:val="left"/>
      </w:pPr>
      <w:r>
        <w:rPr>
          <w:spacing w:val="-2"/>
        </w:rPr>
        <w:t>公司是否存在公开发行并在证券交易所上市，且在年度报告批准报出日未到期或到期未能全额兑付的公司</w:t>
      </w:r>
      <w:r>
        <w:rPr>
          <w:spacing w:val="-43"/>
        </w:rPr>
        <w:t> </w:t>
      </w:r>
      <w:r>
        <w:rPr>
          <w:spacing w:val="-43"/>
        </w:rPr>
      </w:r>
      <w:r>
        <w:rPr/>
        <w:t>债券</w:t>
        <w:tab/>
        <w:t>是</w:t>
      </w: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r>
        <w:rPr/>
        <w:t>一、公司债券基本信息</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6"/>
          <w:szCs w:val="16"/>
        </w:rPr>
      </w:pPr>
    </w:p>
    <w:p>
      <w:pPr>
        <w:pStyle w:val="BodyText"/>
        <w:spacing w:line="240" w:lineRule="auto" w:before="36"/>
        <w:ind w:left="0" w:right="1124"/>
        <w:jc w:val="right"/>
      </w:pPr>
      <w:r>
        <w:rPr/>
        <w:pict>
          <v:shape style="position:absolute;margin-left:58.080002pt;margin-top:-120.366341pt;width:479.15pt;height:550.9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0"/>
                    <w:gridCol w:w="992"/>
                    <w:gridCol w:w="994"/>
                    <w:gridCol w:w="991"/>
                    <w:gridCol w:w="994"/>
                    <w:gridCol w:w="991"/>
                    <w:gridCol w:w="708"/>
                    <w:gridCol w:w="2089"/>
                  </w:tblGrid>
                  <w:tr>
                    <w:trPr>
                      <w:trHeight w:val="7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债券简称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21"/>
                            <w:szCs w:val="21"/>
                          </w:rPr>
                        </w:pPr>
                        <w:r>
                          <w:rPr>
                            <w:rFonts w:ascii="宋体" w:hAnsi="宋体" w:cs="宋体" w:eastAsia="宋体" w:hint="default"/>
                            <w:sz w:val="21"/>
                            <w:szCs w:val="21"/>
                          </w:rPr>
                          <w:t>债券代码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宋体" w:hAnsi="宋体" w:cs="宋体" w:eastAsia="宋体" w:hint="default"/>
                            <w:sz w:val="21"/>
                            <w:szCs w:val="21"/>
                          </w:rPr>
                        </w:pPr>
                        <w:r>
                          <w:rPr>
                            <w:rFonts w:ascii="宋体" w:hAnsi="宋体" w:cs="宋体" w:eastAsia="宋体" w:hint="default"/>
                            <w:sz w:val="21"/>
                            <w:szCs w:val="21"/>
                          </w:rPr>
                          <w:t>债券余额</w:t>
                        </w:r>
                      </w:p>
                      <w:p>
                        <w:pPr>
                          <w:pStyle w:val="TableParagraph"/>
                          <w:spacing w:line="240" w:lineRule="auto" w:before="35"/>
                          <w:ind w:left="7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8"/>
                          <w:ind w:left="139" w:right="13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还本付息方式</w:t>
                        </w:r>
                      </w:p>
                    </w:tc>
                  </w:tr>
                  <w:tr>
                    <w:trPr>
                      <w:trHeight w:val="165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66" w:lineRule="auto"/>
                          <w:ind w:left="24" w:right="9"/>
                          <w:jc w:val="both"/>
                          <w:rPr>
                            <w:rFonts w:ascii="宋体" w:hAnsi="宋体" w:cs="宋体" w:eastAsia="宋体" w:hint="default"/>
                            <w:sz w:val="21"/>
                            <w:szCs w:val="21"/>
                          </w:rPr>
                        </w:pPr>
                        <w:r>
                          <w:rPr>
                            <w:rFonts w:ascii="宋体" w:hAnsi="宋体" w:cs="宋体" w:eastAsia="宋体" w:hint="default"/>
                            <w:spacing w:val="8"/>
                            <w:sz w:val="21"/>
                            <w:szCs w:val="21"/>
                          </w:rPr>
                          <w:t>广东国盛金控集团</w:t>
                        </w:r>
                        <w:r>
                          <w:rPr>
                            <w:rFonts w:ascii="宋体" w:hAnsi="宋体" w:cs="宋体" w:eastAsia="宋体" w:hint="default"/>
                            <w:spacing w:val="-88"/>
                            <w:sz w:val="21"/>
                            <w:szCs w:val="21"/>
                          </w:rPr>
                          <w:t> </w:t>
                        </w:r>
                        <w:r>
                          <w:rPr>
                            <w:rFonts w:ascii="宋体" w:hAnsi="宋体" w:cs="宋体" w:eastAsia="宋体" w:hint="default"/>
                            <w:sz w:val="21"/>
                            <w:szCs w:val="21"/>
                          </w:rPr>
                          <w:t>股份有限公司</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w w:val="100"/>
                            <w:sz w:val="21"/>
                            <w:szCs w:val="21"/>
                          </w:rPr>
                          <w:t> </w:t>
                        </w:r>
                        <w:r>
                          <w:rPr>
                            <w:rFonts w:ascii="宋体" w:hAnsi="宋体" w:cs="宋体" w:eastAsia="宋体" w:hint="default"/>
                            <w:spacing w:val="8"/>
                            <w:sz w:val="21"/>
                            <w:szCs w:val="21"/>
                          </w:rPr>
                          <w:t>年面向合格投资者</w:t>
                        </w:r>
                        <w:r>
                          <w:rPr>
                            <w:rFonts w:ascii="宋体" w:hAnsi="宋体" w:cs="宋体" w:eastAsia="宋体" w:hint="default"/>
                            <w:spacing w:val="-88"/>
                            <w:sz w:val="21"/>
                            <w:szCs w:val="21"/>
                          </w:rPr>
                          <w:t> </w:t>
                        </w:r>
                        <w:r>
                          <w:rPr>
                            <w:rFonts w:ascii="宋体" w:hAnsi="宋体" w:cs="宋体" w:eastAsia="宋体" w:hint="default"/>
                            <w:sz w:val="21"/>
                            <w:szCs w:val="21"/>
                          </w:rPr>
                          <w:t>公开发行公司债券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国盛金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4" w:right="0"/>
                          <w:jc w:val="left"/>
                          <w:rPr>
                            <w:rFonts w:ascii="Times New Roman" w:hAnsi="Times New Roman" w:cs="Times New Roman" w:eastAsia="Times New Roman" w:hint="default"/>
                            <w:sz w:val="21"/>
                            <w:szCs w:val="21"/>
                          </w:rPr>
                        </w:pPr>
                        <w:r>
                          <w:rPr>
                            <w:rFonts w:ascii="Times New Roman"/>
                            <w:sz w:val="21"/>
                          </w:rPr>
                          <w:t>112485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7"/>
                          <w:jc w:val="right"/>
                          <w:rPr>
                            <w:rFonts w:ascii="Times New Roman" w:hAnsi="Times New Roman" w:cs="Times New Roman" w:eastAsia="Times New Roman" w:hint="default"/>
                            <w:sz w:val="21"/>
                            <w:szCs w:val="21"/>
                          </w:rPr>
                        </w:pPr>
                        <w:r>
                          <w:rPr>
                            <w:rFonts w:ascii="Times New Roman"/>
                            <w:spacing w:val="-1"/>
                            <w:sz w:val="21"/>
                          </w:rPr>
                          <w:t>26,799.33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5" w:right="0"/>
                          <w:jc w:val="center"/>
                          <w:rPr>
                            <w:rFonts w:ascii="Times New Roman" w:hAnsi="Times New Roman" w:cs="Times New Roman" w:eastAsia="Times New Roman" w:hint="default"/>
                            <w:sz w:val="21"/>
                            <w:szCs w:val="21"/>
                          </w:rPr>
                        </w:pPr>
                        <w:r>
                          <w:rPr>
                            <w:rFonts w:ascii="Times New Roman"/>
                            <w:sz w:val="21"/>
                          </w:rPr>
                          <w:t>5.50%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0"/>
                          <w:jc w:val="both"/>
                          <w:rPr>
                            <w:rFonts w:ascii="宋体" w:hAnsi="宋体" w:cs="宋体" w:eastAsia="宋体" w:hint="default"/>
                            <w:sz w:val="21"/>
                            <w:szCs w:val="21"/>
                          </w:rPr>
                        </w:pPr>
                        <w:r>
                          <w:rPr>
                            <w:rFonts w:ascii="宋体" w:hAnsi="宋体" w:cs="宋体" w:eastAsia="宋体" w:hint="default"/>
                            <w:spacing w:val="-8"/>
                            <w:sz w:val="21"/>
                            <w:szCs w:val="21"/>
                          </w:rPr>
                          <w:t>采用单利按年计息，不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计复利，到期一次还</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本。利息每年支付一</w:t>
                        </w:r>
                        <w:r>
                          <w:rPr>
                            <w:rFonts w:ascii="宋体" w:hAnsi="宋体" w:cs="宋体" w:eastAsia="宋体" w:hint="default"/>
                            <w:spacing w:val="-86"/>
                            <w:sz w:val="21"/>
                            <w:szCs w:val="21"/>
                          </w:rPr>
                          <w:t> </w:t>
                        </w:r>
                        <w:r>
                          <w:rPr>
                            <w:rFonts w:ascii="宋体" w:hAnsi="宋体" w:cs="宋体" w:eastAsia="宋体" w:hint="default"/>
                            <w:spacing w:val="-8"/>
                            <w:sz w:val="21"/>
                            <w:szCs w:val="21"/>
                          </w:rPr>
                          <w:t>次，最后一期利息随本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金的兑付一起支付。</w:t>
                        </w:r>
                      </w:p>
                    </w:tc>
                  </w:tr>
                  <w:tr>
                    <w:trPr>
                      <w:trHeight w:val="102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9"/>
                          <w:jc w:val="both"/>
                          <w:rPr>
                            <w:rFonts w:ascii="宋体" w:hAnsi="宋体" w:cs="宋体" w:eastAsia="宋体" w:hint="default"/>
                            <w:sz w:val="21"/>
                            <w:szCs w:val="21"/>
                          </w:rPr>
                        </w:pPr>
                        <w:r>
                          <w:rPr>
                            <w:rFonts w:ascii="宋体" w:hAnsi="宋体" w:cs="宋体" w:eastAsia="宋体" w:hint="default"/>
                            <w:spacing w:val="8"/>
                            <w:sz w:val="21"/>
                            <w:szCs w:val="21"/>
                          </w:rPr>
                          <w:t>国盛证券有限责任</w:t>
                        </w:r>
                        <w:r>
                          <w:rPr>
                            <w:rFonts w:ascii="宋体" w:hAnsi="宋体" w:cs="宋体" w:eastAsia="宋体" w:hint="default"/>
                            <w:spacing w:val="-88"/>
                            <w:sz w:val="21"/>
                            <w:szCs w:val="21"/>
                          </w:rPr>
                          <w:t> </w:t>
                        </w:r>
                        <w:r>
                          <w:rPr>
                            <w:rFonts w:ascii="宋体" w:hAnsi="宋体" w:cs="宋体" w:eastAsia="宋体" w:hint="default"/>
                            <w:sz w:val="21"/>
                            <w:szCs w:val="21"/>
                          </w:rPr>
                          <w:t>公司公开发行</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年公司债券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国盛</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136442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55,550.00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5.00%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15"/>
                          <w:jc w:val="left"/>
                          <w:rPr>
                            <w:rFonts w:ascii="宋体" w:hAnsi="宋体" w:cs="宋体" w:eastAsia="宋体" w:hint="default"/>
                            <w:sz w:val="21"/>
                            <w:szCs w:val="21"/>
                          </w:rPr>
                        </w:pPr>
                        <w:r>
                          <w:rPr>
                            <w:rFonts w:ascii="宋体" w:hAnsi="宋体" w:cs="宋体" w:eastAsia="宋体" w:hint="default"/>
                            <w:sz w:val="21"/>
                            <w:szCs w:val="21"/>
                          </w:rPr>
                          <w:t>按年计息，不计复利</w:t>
                        </w:r>
                        <w:r>
                          <w:rPr>
                            <w:rFonts w:ascii="宋体" w:hAnsi="宋体" w:cs="宋体" w:eastAsia="宋体" w:hint="default"/>
                            <w:w w:val="100"/>
                            <w:sz w:val="21"/>
                            <w:szCs w:val="21"/>
                          </w:rPr>
                          <w:t> </w:t>
                        </w:r>
                        <w:r>
                          <w:rPr>
                            <w:rFonts w:ascii="宋体" w:hAnsi="宋体" w:cs="宋体" w:eastAsia="宋体" w:hint="default"/>
                            <w:spacing w:val="-8"/>
                            <w:sz w:val="21"/>
                            <w:szCs w:val="21"/>
                          </w:rPr>
                          <w:t>每年付息一次、到期一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次还本。</w:t>
                        </w:r>
                      </w:p>
                    </w:tc>
                  </w:tr>
                  <w:tr>
                    <w:trPr>
                      <w:trHeight w:val="404" w:hRule="exact"/>
                    </w:trPr>
                    <w:tc>
                      <w:tcPr>
                        <w:tcW w:w="280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24" w:right="0"/>
                          <w:jc w:val="left"/>
                          <w:rPr>
                            <w:rFonts w:ascii="宋体" w:hAnsi="宋体" w:cs="宋体" w:eastAsia="宋体" w:hint="default"/>
                            <w:sz w:val="21"/>
                            <w:szCs w:val="21"/>
                          </w:rPr>
                        </w:pPr>
                        <w:r>
                          <w:rPr>
                            <w:rFonts w:ascii="宋体" w:hAnsi="宋体" w:cs="宋体" w:eastAsia="宋体" w:hint="default"/>
                            <w:sz w:val="21"/>
                            <w:szCs w:val="21"/>
                          </w:rPr>
                          <w:t>公司债券上市或转让的交易场</w:t>
                        </w:r>
                      </w:p>
                    </w:tc>
                    <w:tc>
                      <w:tcPr>
                        <w:tcW w:w="67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国盛金：深圳证券交易所</w:t>
                        </w:r>
                      </w:p>
                    </w:tc>
                  </w:tr>
                  <w:tr>
                    <w:trPr>
                      <w:trHeight w:val="401" w:hRule="exact"/>
                    </w:trPr>
                    <w:tc>
                      <w:tcPr>
                        <w:tcW w:w="2802" w:type="dxa"/>
                        <w:gridSpan w:val="2"/>
                        <w:tcBorders>
                          <w:top w:val="nil" w:sz="6" w:space="0" w:color="auto"/>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67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国盛</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：上海证券交易所</w:t>
                        </w:r>
                      </w:p>
                    </w:tc>
                  </w:tr>
                  <w:tr>
                    <w:trPr>
                      <w:trHeight w:val="364" w:hRule="exact"/>
                    </w:trPr>
                    <w:tc>
                      <w:tcPr>
                        <w:tcW w:w="2802" w:type="dxa"/>
                        <w:gridSpan w:val="2"/>
                        <w:tcBorders>
                          <w:top w:val="single" w:sz="4" w:space="0" w:color="000000"/>
                          <w:left w:val="single" w:sz="4" w:space="0" w:color="000000"/>
                          <w:bottom w:val="nil" w:sz="6" w:space="0" w:color="auto"/>
                          <w:right w:val="single" w:sz="4" w:space="0" w:color="000000"/>
                        </w:tcBorders>
                      </w:tcPr>
                      <w:p>
                        <w:pPr/>
                      </w:p>
                    </w:tc>
                    <w:tc>
                      <w:tcPr>
                        <w:tcW w:w="6767"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国盛金：本次债券面向《公司债券发行与交易管理办法》所规定的合格</w:t>
                        </w:r>
                      </w:p>
                    </w:tc>
                  </w:tr>
                  <w:tr>
                    <w:trPr>
                      <w:trHeight w:val="31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投资</w:t>
                        </w:r>
                        <w:r>
                          <w:rPr>
                            <w:rFonts w:ascii="宋体" w:hAnsi="宋体" w:cs="宋体" w:eastAsia="宋体" w:hint="default"/>
                            <w:spacing w:val="-3"/>
                            <w:w w:val="100"/>
                            <w:sz w:val="21"/>
                            <w:szCs w:val="21"/>
                          </w:rPr>
                          <w:t>者</w:t>
                        </w:r>
                        <w:r>
                          <w:rPr>
                            <w:rFonts w:ascii="宋体" w:hAnsi="宋体" w:cs="宋体" w:eastAsia="宋体" w:hint="default"/>
                            <w:w w:val="100"/>
                            <w:sz w:val="21"/>
                            <w:szCs w:val="21"/>
                          </w:rPr>
                          <w:t>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spacing w:val="-5"/>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格投</w:t>
                        </w:r>
                        <w:r>
                          <w:rPr>
                            <w:rFonts w:ascii="宋体" w:hAnsi="宋体" w:cs="宋体" w:eastAsia="宋体" w:hint="default"/>
                            <w:w w:val="100"/>
                            <w:sz w:val="21"/>
                            <w:szCs w:val="21"/>
                          </w:rPr>
                          <w:t>资者</w:t>
                        </w:r>
                        <w:r>
                          <w:rPr>
                            <w:rFonts w:ascii="宋体" w:hAnsi="宋体" w:cs="宋体" w:eastAsia="宋体" w:hint="default"/>
                            <w:spacing w:val="-3"/>
                            <w:w w:val="100"/>
                            <w:sz w:val="21"/>
                            <w:szCs w:val="21"/>
                          </w:rPr>
                          <w:t>应</w:t>
                        </w:r>
                        <w:r>
                          <w:rPr>
                            <w:rFonts w:ascii="宋体" w:hAnsi="宋体" w:cs="宋体" w:eastAsia="宋体" w:hint="default"/>
                            <w:w w:val="100"/>
                            <w:sz w:val="21"/>
                            <w:szCs w:val="21"/>
                          </w:rPr>
                          <w:t>当</w:t>
                        </w:r>
                        <w:r>
                          <w:rPr>
                            <w:rFonts w:ascii="宋体" w:hAnsi="宋体" w:cs="宋体" w:eastAsia="宋体" w:hint="default"/>
                            <w:spacing w:val="-3"/>
                            <w:w w:val="100"/>
                            <w:sz w:val="21"/>
                            <w:szCs w:val="21"/>
                          </w:rPr>
                          <w:t>具</w:t>
                        </w:r>
                        <w:r>
                          <w:rPr>
                            <w:rFonts w:ascii="宋体" w:hAnsi="宋体" w:cs="宋体" w:eastAsia="宋体" w:hint="default"/>
                            <w:w w:val="100"/>
                            <w:sz w:val="21"/>
                            <w:szCs w:val="21"/>
                          </w:rPr>
                          <w:t>备</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资</w:t>
                        </w:r>
                        <w:r>
                          <w:rPr>
                            <w:rFonts w:ascii="宋体" w:hAnsi="宋体" w:cs="宋体" w:eastAsia="宋体" w:hint="default"/>
                            <w:w w:val="100"/>
                            <w:sz w:val="21"/>
                            <w:szCs w:val="21"/>
                          </w:rPr>
                          <w:t>质</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3"/>
                            <w:w w:val="100"/>
                            <w:sz w:val="21"/>
                            <w:szCs w:val="21"/>
                          </w:rPr>
                          <w:t>）经</w:t>
                        </w:r>
                        <w:r>
                          <w:rPr>
                            <w:rFonts w:ascii="宋体" w:hAnsi="宋体" w:cs="宋体" w:eastAsia="宋体" w:hint="default"/>
                            <w:w w:val="100"/>
                            <w:sz w:val="21"/>
                            <w:szCs w:val="21"/>
                          </w:rPr>
                          <w:t>有</w:t>
                        </w:r>
                        <w:r>
                          <w:rPr>
                            <w:rFonts w:ascii="宋体" w:hAnsi="宋体" w:cs="宋体" w:eastAsia="宋体" w:hint="default"/>
                            <w:spacing w:val="-3"/>
                            <w:w w:val="100"/>
                            <w:sz w:val="21"/>
                            <w:szCs w:val="21"/>
                          </w:rPr>
                          <w:t>关</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监</w:t>
                        </w:r>
                      </w:p>
                    </w:tc>
                  </w:tr>
                  <w:tr>
                    <w:trPr>
                      <w:trHeight w:val="306"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管部门批准设立的金融机构，包括证券公司、基金管理公司及其子公司、</w:t>
                        </w:r>
                      </w:p>
                    </w:tc>
                  </w:tr>
                  <w:tr>
                    <w:trPr>
                      <w:trHeight w:val="31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期货公司、商业银行、保险公司和信托公司等，以及经中国证券投资基金</w:t>
                        </w:r>
                      </w:p>
                    </w:tc>
                  </w:tr>
                  <w:tr>
                    <w:trPr>
                      <w:trHeight w:val="318"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业协</w:t>
                        </w:r>
                        <w:r>
                          <w:rPr>
                            <w:rFonts w:ascii="宋体" w:hAnsi="宋体" w:cs="宋体" w:eastAsia="宋体" w:hint="default"/>
                            <w:spacing w:val="-5"/>
                            <w:w w:val="100"/>
                            <w:sz w:val="21"/>
                            <w:szCs w:val="21"/>
                          </w:rPr>
                          <w:t>会</w:t>
                        </w:r>
                        <w:r>
                          <w:rPr>
                            <w:rFonts w:ascii="宋体" w:hAnsi="宋体" w:cs="宋体" w:eastAsia="宋体" w:hint="default"/>
                            <w:spacing w:val="-3"/>
                            <w:w w:val="100"/>
                            <w:sz w:val="21"/>
                            <w:szCs w:val="21"/>
                          </w:rPr>
                          <w:t>（</w:t>
                        </w:r>
                        <w:r>
                          <w:rPr>
                            <w:rFonts w:ascii="宋体" w:hAnsi="宋体" w:cs="宋体" w:eastAsia="宋体" w:hint="default"/>
                            <w:w w:val="100"/>
                            <w:sz w:val="21"/>
                            <w:szCs w:val="21"/>
                          </w:rPr>
                          <w:t>以下</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spacing w:val="-3"/>
                            <w:w w:val="100"/>
                            <w:sz w:val="21"/>
                            <w:szCs w:val="21"/>
                          </w:rPr>
                          <w:t>业</w:t>
                        </w:r>
                        <w:r>
                          <w:rPr>
                            <w:rFonts w:ascii="宋体" w:hAnsi="宋体" w:cs="宋体" w:eastAsia="宋体" w:hint="default"/>
                            <w:w w:val="100"/>
                            <w:sz w:val="21"/>
                            <w:szCs w:val="21"/>
                          </w:rPr>
                          <w:t>协</w:t>
                        </w:r>
                        <w:r>
                          <w:rPr>
                            <w:rFonts w:ascii="宋体" w:hAnsi="宋体" w:cs="宋体" w:eastAsia="宋体" w:hint="default"/>
                            <w:spacing w:val="-3"/>
                            <w:w w:val="100"/>
                            <w:sz w:val="21"/>
                            <w:szCs w:val="21"/>
                          </w:rPr>
                          <w:t>会）登</w:t>
                        </w:r>
                        <w:r>
                          <w:rPr>
                            <w:rFonts w:ascii="宋体" w:hAnsi="宋体" w:cs="宋体" w:eastAsia="宋体" w:hint="default"/>
                            <w:w w:val="100"/>
                            <w:sz w:val="21"/>
                            <w:szCs w:val="21"/>
                          </w:rPr>
                          <w:t>记的</w:t>
                        </w:r>
                        <w:r>
                          <w:rPr>
                            <w:rFonts w:ascii="宋体" w:hAnsi="宋体" w:cs="宋体" w:eastAsia="宋体" w:hint="default"/>
                            <w:spacing w:val="-3"/>
                            <w:w w:val="100"/>
                            <w:sz w:val="21"/>
                            <w:szCs w:val="21"/>
                          </w:rPr>
                          <w:t>私</w:t>
                        </w:r>
                        <w:r>
                          <w:rPr>
                            <w:rFonts w:ascii="宋体" w:hAnsi="宋体" w:cs="宋体" w:eastAsia="宋体" w:hint="default"/>
                            <w:w w:val="100"/>
                            <w:sz w:val="21"/>
                            <w:szCs w:val="21"/>
                          </w:rPr>
                          <w:t>募</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spacing w:val="-3"/>
                            <w:w w:val="100"/>
                            <w:sz w:val="21"/>
                            <w:szCs w:val="21"/>
                          </w:rPr>
                          <w:t>管</w:t>
                        </w:r>
                        <w:r>
                          <w:rPr>
                            <w:rFonts w:ascii="宋体" w:hAnsi="宋体" w:cs="宋体" w:eastAsia="宋体" w:hint="default"/>
                            <w:w w:val="100"/>
                            <w:sz w:val="21"/>
                            <w:szCs w:val="21"/>
                          </w:rPr>
                          <w:t>理人</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3"/>
                            <w:w w:val="100"/>
                            <w:sz w:val="21"/>
                            <w:szCs w:val="21"/>
                          </w:rPr>
                          <w:t>）上</w:t>
                        </w:r>
                        <w:r>
                          <w:rPr>
                            <w:rFonts w:ascii="宋体" w:hAnsi="宋体" w:cs="宋体" w:eastAsia="宋体" w:hint="default"/>
                            <w:w w:val="100"/>
                            <w:sz w:val="21"/>
                            <w:szCs w:val="21"/>
                          </w:rPr>
                          <w:t>述</w:t>
                        </w:r>
                        <w:r>
                          <w:rPr>
                            <w:rFonts w:ascii="宋体" w:hAnsi="宋体" w:cs="宋体" w:eastAsia="宋体" w:hint="default"/>
                            <w:spacing w:val="-3"/>
                            <w:w w:val="100"/>
                            <w:sz w:val="21"/>
                            <w:szCs w:val="21"/>
                          </w:rPr>
                          <w:t>金</w:t>
                        </w:r>
                        <w:r>
                          <w:rPr>
                            <w:rFonts w:ascii="宋体" w:hAnsi="宋体" w:cs="宋体" w:eastAsia="宋体" w:hint="default"/>
                            <w:w w:val="100"/>
                            <w:sz w:val="21"/>
                            <w:szCs w:val="21"/>
                          </w:rPr>
                          <w:t>融机</w:t>
                        </w:r>
                      </w:p>
                    </w:tc>
                  </w:tr>
                  <w:tr>
                    <w:trPr>
                      <w:trHeight w:val="306"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构面向投资者发行的理财产品，包括但不限于证券公司资产管理产品、基</w:t>
                        </w:r>
                      </w:p>
                    </w:tc>
                  </w:tr>
                  <w:tr>
                    <w:trPr>
                      <w:trHeight w:val="31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金及基金子公司产品、期货公司资产管理产品、银行理财产品、保险产品</w:t>
                        </w:r>
                      </w:p>
                    </w:tc>
                  </w:tr>
                  <w:tr>
                    <w:trPr>
                      <w:trHeight w:val="318"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信托</w:t>
                        </w:r>
                        <w:r>
                          <w:rPr>
                            <w:rFonts w:ascii="宋体" w:hAnsi="宋体" w:cs="宋体" w:eastAsia="宋体" w:hint="default"/>
                            <w:spacing w:val="-3"/>
                            <w:w w:val="100"/>
                            <w:sz w:val="21"/>
                            <w:szCs w:val="21"/>
                          </w:rPr>
                          <w:t>产</w:t>
                        </w:r>
                        <w:r>
                          <w:rPr>
                            <w:rFonts w:ascii="宋体" w:hAnsi="宋体" w:cs="宋体" w:eastAsia="宋体" w:hint="default"/>
                            <w:w w:val="100"/>
                            <w:sz w:val="21"/>
                            <w:szCs w:val="21"/>
                          </w:rPr>
                          <w:t>品</w:t>
                        </w:r>
                        <w:r>
                          <w:rPr>
                            <w:rFonts w:ascii="宋体" w:hAnsi="宋体" w:cs="宋体" w:eastAsia="宋体" w:hint="default"/>
                            <w:spacing w:val="-3"/>
                            <w:w w:val="100"/>
                            <w:sz w:val="21"/>
                            <w:szCs w:val="21"/>
                          </w:rPr>
                          <w:t>以</w:t>
                        </w:r>
                        <w:r>
                          <w:rPr>
                            <w:rFonts w:ascii="宋体" w:hAnsi="宋体" w:cs="宋体" w:eastAsia="宋体" w:hint="default"/>
                            <w:w w:val="100"/>
                            <w:sz w:val="21"/>
                            <w:szCs w:val="21"/>
                          </w:rPr>
                          <w:t>及</w:t>
                        </w:r>
                        <w:r>
                          <w:rPr>
                            <w:rFonts w:ascii="宋体" w:hAnsi="宋体" w:cs="宋体" w:eastAsia="宋体" w:hint="default"/>
                            <w:spacing w:val="-3"/>
                            <w:w w:val="100"/>
                            <w:sz w:val="21"/>
                            <w:szCs w:val="21"/>
                          </w:rPr>
                          <w:t>经</w:t>
                        </w:r>
                        <w:r>
                          <w:rPr>
                            <w:rFonts w:ascii="宋体" w:hAnsi="宋体" w:cs="宋体" w:eastAsia="宋体" w:hint="default"/>
                            <w:w w:val="100"/>
                            <w:sz w:val="21"/>
                            <w:szCs w:val="21"/>
                          </w:rPr>
                          <w:t>基</w:t>
                        </w:r>
                        <w:r>
                          <w:rPr>
                            <w:rFonts w:ascii="宋体" w:hAnsi="宋体" w:cs="宋体" w:eastAsia="宋体" w:hint="default"/>
                            <w:spacing w:val="-3"/>
                            <w:w w:val="100"/>
                            <w:sz w:val="21"/>
                            <w:szCs w:val="21"/>
                          </w:rPr>
                          <w:t>金</w:t>
                        </w:r>
                        <w:r>
                          <w:rPr>
                            <w:rFonts w:ascii="宋体" w:hAnsi="宋体" w:cs="宋体" w:eastAsia="宋体" w:hint="default"/>
                            <w:w w:val="100"/>
                            <w:sz w:val="21"/>
                            <w:szCs w:val="21"/>
                          </w:rPr>
                          <w:t>业</w:t>
                        </w:r>
                        <w:r>
                          <w:rPr>
                            <w:rFonts w:ascii="宋体" w:hAnsi="宋体" w:cs="宋体" w:eastAsia="宋体" w:hint="default"/>
                            <w:spacing w:val="-3"/>
                            <w:w w:val="100"/>
                            <w:sz w:val="21"/>
                            <w:szCs w:val="21"/>
                          </w:rPr>
                          <w:t>协</w:t>
                        </w:r>
                        <w:r>
                          <w:rPr>
                            <w:rFonts w:ascii="宋体" w:hAnsi="宋体" w:cs="宋体" w:eastAsia="宋体" w:hint="default"/>
                            <w:w w:val="100"/>
                            <w:sz w:val="21"/>
                            <w:szCs w:val="21"/>
                          </w:rPr>
                          <w:t>会备</w:t>
                        </w:r>
                        <w:r>
                          <w:rPr>
                            <w:rFonts w:ascii="宋体" w:hAnsi="宋体" w:cs="宋体" w:eastAsia="宋体" w:hint="default"/>
                            <w:spacing w:val="-3"/>
                            <w:w w:val="100"/>
                            <w:sz w:val="21"/>
                            <w:szCs w:val="21"/>
                          </w:rPr>
                          <w:t>案</w:t>
                        </w:r>
                        <w:r>
                          <w:rPr>
                            <w:rFonts w:ascii="宋体" w:hAnsi="宋体" w:cs="宋体" w:eastAsia="宋体" w:hint="default"/>
                            <w:w w:val="100"/>
                            <w:sz w:val="21"/>
                            <w:szCs w:val="21"/>
                          </w:rPr>
                          <w:t>的</w:t>
                        </w:r>
                        <w:r>
                          <w:rPr>
                            <w:rFonts w:ascii="宋体" w:hAnsi="宋体" w:cs="宋体" w:eastAsia="宋体" w:hint="default"/>
                            <w:spacing w:val="-3"/>
                            <w:w w:val="100"/>
                            <w:sz w:val="21"/>
                            <w:szCs w:val="21"/>
                          </w:rPr>
                          <w:t>私</w:t>
                        </w:r>
                        <w:r>
                          <w:rPr>
                            <w:rFonts w:ascii="宋体" w:hAnsi="宋体" w:cs="宋体" w:eastAsia="宋体" w:hint="default"/>
                            <w:w w:val="100"/>
                            <w:sz w:val="21"/>
                            <w:szCs w:val="21"/>
                          </w:rPr>
                          <w:t>募</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spacing w:val="-113"/>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100"/>
                            <w:sz w:val="21"/>
                            <w:szCs w:val="21"/>
                          </w:rPr>
                          <w:t>3</w:t>
                        </w:r>
                        <w:r>
                          <w:rPr>
                            <w:rFonts w:ascii="宋体" w:hAnsi="宋体" w:cs="宋体" w:eastAsia="宋体" w:hint="default"/>
                            <w:spacing w:val="-8"/>
                            <w:w w:val="100"/>
                            <w:sz w:val="21"/>
                            <w:szCs w:val="21"/>
                          </w:rPr>
                          <w:t>）</w:t>
                        </w:r>
                        <w:r>
                          <w:rPr>
                            <w:rFonts w:ascii="宋体" w:hAnsi="宋体" w:cs="宋体" w:eastAsia="宋体" w:hint="default"/>
                            <w:w w:val="100"/>
                            <w:sz w:val="21"/>
                            <w:szCs w:val="21"/>
                          </w:rPr>
                          <w:t>净资</w:t>
                        </w:r>
                        <w:r>
                          <w:rPr>
                            <w:rFonts w:ascii="宋体" w:hAnsi="宋体" w:cs="宋体" w:eastAsia="宋体" w:hint="default"/>
                            <w:spacing w:val="-3"/>
                            <w:w w:val="100"/>
                            <w:sz w:val="21"/>
                            <w:szCs w:val="21"/>
                          </w:rPr>
                          <w:t>产</w:t>
                        </w:r>
                        <w:r>
                          <w:rPr>
                            <w:rFonts w:ascii="宋体" w:hAnsi="宋体" w:cs="宋体" w:eastAsia="宋体" w:hint="default"/>
                            <w:w w:val="100"/>
                            <w:sz w:val="21"/>
                            <w:szCs w:val="21"/>
                          </w:rPr>
                          <w:t>不</w:t>
                        </w:r>
                        <w:r>
                          <w:rPr>
                            <w:rFonts w:ascii="宋体" w:hAnsi="宋体" w:cs="宋体" w:eastAsia="宋体" w:hint="default"/>
                            <w:spacing w:val="-3"/>
                            <w:w w:val="100"/>
                            <w:sz w:val="21"/>
                            <w:szCs w:val="21"/>
                          </w:rPr>
                          <w:t>低</w:t>
                        </w:r>
                        <w:r>
                          <w:rPr>
                            <w:rFonts w:ascii="宋体" w:hAnsi="宋体" w:cs="宋体" w:eastAsia="宋体" w:hint="default"/>
                            <w:w w:val="100"/>
                            <w:sz w:val="21"/>
                            <w:szCs w:val="21"/>
                          </w:rPr>
                          <w:t>于</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一</w:t>
                        </w:r>
                      </w:p>
                    </w:tc>
                  </w:tr>
                  <w:tr>
                    <w:trPr>
                      <w:trHeight w:val="31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千万</w:t>
                        </w:r>
                        <w:r>
                          <w:rPr>
                            <w:rFonts w:ascii="宋体" w:hAnsi="宋体" w:cs="宋体" w:eastAsia="宋体" w:hint="default"/>
                            <w:spacing w:val="-3"/>
                            <w:w w:val="100"/>
                            <w:sz w:val="21"/>
                            <w:szCs w:val="21"/>
                          </w:rPr>
                          <w:t>元</w:t>
                        </w:r>
                        <w:r>
                          <w:rPr>
                            <w:rFonts w:ascii="宋体" w:hAnsi="宋体" w:cs="宋体" w:eastAsia="宋体" w:hint="default"/>
                            <w:w w:val="100"/>
                            <w:sz w:val="21"/>
                            <w:szCs w:val="21"/>
                          </w:rPr>
                          <w:t>的</w:t>
                        </w:r>
                        <w:r>
                          <w:rPr>
                            <w:rFonts w:ascii="宋体" w:hAnsi="宋体" w:cs="宋体" w:eastAsia="宋体" w:hint="default"/>
                            <w:spacing w:val="-3"/>
                            <w:w w:val="100"/>
                            <w:sz w:val="21"/>
                            <w:szCs w:val="21"/>
                          </w:rPr>
                          <w:t>企</w:t>
                        </w:r>
                        <w:r>
                          <w:rPr>
                            <w:rFonts w:ascii="宋体" w:hAnsi="宋体" w:cs="宋体" w:eastAsia="宋体" w:hint="default"/>
                            <w:w w:val="100"/>
                            <w:sz w:val="21"/>
                            <w:szCs w:val="21"/>
                          </w:rPr>
                          <w:t>事</w:t>
                        </w:r>
                        <w:r>
                          <w:rPr>
                            <w:rFonts w:ascii="宋体" w:hAnsi="宋体" w:cs="宋体" w:eastAsia="宋体" w:hint="default"/>
                            <w:spacing w:val="-3"/>
                            <w:w w:val="100"/>
                            <w:sz w:val="21"/>
                            <w:szCs w:val="21"/>
                          </w:rPr>
                          <w:t>业</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w w:val="100"/>
                            <w:sz w:val="21"/>
                            <w:szCs w:val="21"/>
                          </w:rPr>
                          <w:t>法</w:t>
                        </w:r>
                        <w:r>
                          <w:rPr>
                            <w:rFonts w:ascii="宋体" w:hAnsi="宋体" w:cs="宋体" w:eastAsia="宋体" w:hint="default"/>
                            <w:spacing w:val="-3"/>
                            <w:w w:val="100"/>
                            <w:sz w:val="21"/>
                            <w:szCs w:val="21"/>
                          </w:rPr>
                          <w:t>人</w:t>
                        </w:r>
                        <w:r>
                          <w:rPr>
                            <w:rFonts w:ascii="宋体" w:hAnsi="宋体" w:cs="宋体" w:eastAsia="宋体" w:hint="default"/>
                            <w:w w:val="100"/>
                            <w:sz w:val="21"/>
                            <w:szCs w:val="21"/>
                          </w:rPr>
                          <w:t>、合</w:t>
                        </w:r>
                        <w:r>
                          <w:rPr>
                            <w:rFonts w:ascii="宋体" w:hAnsi="宋体" w:cs="宋体" w:eastAsia="宋体" w:hint="default"/>
                            <w:spacing w:val="-3"/>
                            <w:w w:val="100"/>
                            <w:sz w:val="21"/>
                            <w:szCs w:val="21"/>
                          </w:rPr>
                          <w:t>伙</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100"/>
                            <w:sz w:val="21"/>
                            <w:szCs w:val="21"/>
                          </w:rPr>
                          <w:t>4</w:t>
                        </w:r>
                        <w:r>
                          <w:rPr>
                            <w:rFonts w:ascii="宋体" w:hAnsi="宋体" w:cs="宋体" w:eastAsia="宋体" w:hint="default"/>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格</w:t>
                        </w:r>
                        <w:r>
                          <w:rPr>
                            <w:rFonts w:ascii="宋体" w:hAnsi="宋体" w:cs="宋体" w:eastAsia="宋体" w:hint="default"/>
                            <w:spacing w:val="-3"/>
                            <w:w w:val="100"/>
                            <w:sz w:val="21"/>
                            <w:szCs w:val="21"/>
                          </w:rPr>
                          <w:t>境</w:t>
                        </w:r>
                        <w:r>
                          <w:rPr>
                            <w:rFonts w:ascii="宋体" w:hAnsi="宋体" w:cs="宋体" w:eastAsia="宋体" w:hint="default"/>
                            <w:w w:val="100"/>
                            <w:sz w:val="21"/>
                            <w:szCs w:val="21"/>
                          </w:rPr>
                          <w:t>外机</w:t>
                        </w:r>
                        <w:r>
                          <w:rPr>
                            <w:rFonts w:ascii="宋体" w:hAnsi="宋体" w:cs="宋体" w:eastAsia="宋体" w:hint="default"/>
                            <w:spacing w:val="-3"/>
                            <w:w w:val="100"/>
                            <w:sz w:val="21"/>
                            <w:szCs w:val="21"/>
                          </w:rPr>
                          <w:t>构</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者</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Q</w:t>
                        </w:r>
                        <w:r>
                          <w:rPr>
                            <w:rFonts w:ascii="Times New Roman" w:hAnsi="Times New Roman" w:cs="Times New Roman" w:eastAsia="Times New Roman" w:hint="default"/>
                            <w:spacing w:val="-3"/>
                            <w:w w:val="100"/>
                            <w:sz w:val="21"/>
                            <w:szCs w:val="21"/>
                          </w:rPr>
                          <w:t>F</w:t>
                        </w:r>
                        <w:r>
                          <w:rPr>
                            <w:rFonts w:ascii="Times New Roman" w:hAnsi="Times New Roman" w:cs="Times New Roman" w:eastAsia="Times New Roman" w:hint="default"/>
                            <w:spacing w:val="-1"/>
                            <w:w w:val="100"/>
                            <w:sz w:val="21"/>
                            <w:szCs w:val="21"/>
                          </w:rPr>
                          <w:t>I</w:t>
                        </w:r>
                        <w:r>
                          <w:rPr>
                            <w:rFonts w:ascii="Times New Roman" w:hAnsi="Times New Roman" w:cs="Times New Roman" w:eastAsia="Times New Roman" w:hint="default"/>
                            <w:spacing w:val="-3"/>
                            <w:w w:val="100"/>
                            <w:sz w:val="21"/>
                            <w:szCs w:val="21"/>
                          </w:rPr>
                          <w:t>I</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r>
                    <w:trPr>
                      <w:trHeight w:val="31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人民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合</w:t>
                        </w:r>
                        <w:r>
                          <w:rPr>
                            <w:rFonts w:ascii="宋体" w:hAnsi="宋体" w:cs="宋体" w:eastAsia="宋体" w:hint="default"/>
                            <w:spacing w:val="-3"/>
                            <w:w w:val="100"/>
                            <w:sz w:val="21"/>
                            <w:szCs w:val="21"/>
                          </w:rPr>
                          <w:t>格</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机</w:t>
                        </w:r>
                        <w:r>
                          <w:rPr>
                            <w:rFonts w:ascii="宋体" w:hAnsi="宋体" w:cs="宋体" w:eastAsia="宋体" w:hint="default"/>
                            <w:spacing w:val="-3"/>
                            <w:w w:val="100"/>
                            <w:sz w:val="21"/>
                            <w:szCs w:val="21"/>
                          </w:rPr>
                          <w:t>构</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spacing w:val="-8"/>
                            <w:w w:val="100"/>
                            <w:sz w:val="21"/>
                            <w:szCs w:val="21"/>
                          </w:rPr>
                          <w:t>者</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2"/>
                            <w:w w:val="100"/>
                            <w:sz w:val="21"/>
                            <w:szCs w:val="21"/>
                          </w:rPr>
                          <w:t>R</w:t>
                        </w:r>
                        <w:r>
                          <w:rPr>
                            <w:rFonts w:ascii="Times New Roman" w:hAnsi="Times New Roman" w:cs="Times New Roman" w:eastAsia="Times New Roman" w:hint="default"/>
                            <w:w w:val="100"/>
                            <w:sz w:val="21"/>
                            <w:szCs w:val="21"/>
                          </w:rPr>
                          <w:t>Q</w:t>
                        </w:r>
                        <w:r>
                          <w:rPr>
                            <w:rFonts w:ascii="Times New Roman" w:hAnsi="Times New Roman" w:cs="Times New Roman" w:eastAsia="Times New Roman" w:hint="default"/>
                            <w:spacing w:val="-3"/>
                            <w:w w:val="100"/>
                            <w:sz w:val="21"/>
                            <w:szCs w:val="21"/>
                          </w:rPr>
                          <w:t>F</w:t>
                        </w:r>
                        <w:r>
                          <w:rPr>
                            <w:rFonts w:ascii="Times New Roman" w:hAnsi="Times New Roman" w:cs="Times New Roman" w:eastAsia="Times New Roman" w:hint="default"/>
                            <w:spacing w:val="-1"/>
                            <w:w w:val="100"/>
                            <w:sz w:val="21"/>
                            <w:szCs w:val="21"/>
                          </w:rPr>
                          <w:t>I</w:t>
                        </w:r>
                        <w:r>
                          <w:rPr>
                            <w:rFonts w:ascii="Times New Roman" w:hAnsi="Times New Roman" w:cs="Times New Roman" w:eastAsia="Times New Roman" w:hint="default"/>
                            <w:spacing w:val="-3"/>
                            <w:w w:val="100"/>
                            <w:sz w:val="21"/>
                            <w:szCs w:val="21"/>
                          </w:rPr>
                          <w:t>I</w:t>
                        </w:r>
                        <w:r>
                          <w:rPr>
                            <w:rFonts w:ascii="宋体" w:hAnsi="宋体" w:cs="宋体" w:eastAsia="宋体" w:hint="default"/>
                            <w:spacing w:val="-106"/>
                            <w:w w:val="100"/>
                            <w:sz w:val="21"/>
                            <w:szCs w:val="21"/>
                          </w:rPr>
                          <w:t>）</w:t>
                        </w:r>
                        <w:r>
                          <w:rPr>
                            <w:rFonts w:ascii="宋体" w:hAnsi="宋体" w:cs="宋体" w:eastAsia="宋体" w:hint="default"/>
                            <w:spacing w:val="-113"/>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5</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社</w:t>
                        </w:r>
                        <w:r>
                          <w:rPr>
                            <w:rFonts w:ascii="宋体" w:hAnsi="宋体" w:cs="宋体" w:eastAsia="宋体" w:hint="default"/>
                            <w:w w:val="100"/>
                            <w:sz w:val="21"/>
                            <w:szCs w:val="21"/>
                          </w:rPr>
                          <w:t>会</w:t>
                        </w:r>
                        <w:r>
                          <w:rPr>
                            <w:rFonts w:ascii="宋体" w:hAnsi="宋体" w:cs="宋体" w:eastAsia="宋体" w:hint="default"/>
                            <w:spacing w:val="-3"/>
                            <w:w w:val="100"/>
                            <w:sz w:val="21"/>
                            <w:szCs w:val="21"/>
                          </w:rPr>
                          <w:t>保</w:t>
                        </w:r>
                        <w:r>
                          <w:rPr>
                            <w:rFonts w:ascii="宋体" w:hAnsi="宋体" w:cs="宋体" w:eastAsia="宋体" w:hint="default"/>
                            <w:w w:val="100"/>
                            <w:sz w:val="21"/>
                            <w:szCs w:val="21"/>
                          </w:rPr>
                          <w:t>障基</w:t>
                        </w:r>
                        <w:r>
                          <w:rPr>
                            <w:rFonts w:ascii="宋体" w:hAnsi="宋体" w:cs="宋体" w:eastAsia="宋体" w:hint="default"/>
                            <w:spacing w:val="-3"/>
                            <w:w w:val="100"/>
                            <w:sz w:val="21"/>
                            <w:szCs w:val="21"/>
                          </w:rPr>
                          <w:t>金</w:t>
                        </w:r>
                        <w:r>
                          <w:rPr>
                            <w:rFonts w:ascii="宋体" w:hAnsi="宋体" w:cs="宋体" w:eastAsia="宋体" w:hint="default"/>
                            <w:spacing w:val="-10"/>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年</w:t>
                        </w:r>
                        <w:r>
                          <w:rPr>
                            <w:rFonts w:ascii="宋体" w:hAnsi="宋体" w:cs="宋体" w:eastAsia="宋体" w:hint="default"/>
                            <w:spacing w:val="-3"/>
                            <w:w w:val="100"/>
                            <w:sz w:val="21"/>
                            <w:szCs w:val="21"/>
                          </w:rPr>
                          <w:t>金</w:t>
                        </w:r>
                        <w:r>
                          <w:rPr>
                            <w:rFonts w:ascii="宋体" w:hAnsi="宋体" w:cs="宋体" w:eastAsia="宋体" w:hint="default"/>
                            <w:w w:val="100"/>
                            <w:sz w:val="21"/>
                            <w:szCs w:val="21"/>
                          </w:rPr>
                          <w:t>等养</w:t>
                        </w:r>
                      </w:p>
                    </w:tc>
                  </w:tr>
                  <w:tr>
                    <w:trPr>
                      <w:trHeight w:val="340" w:hRule="exact"/>
                    </w:trPr>
                    <w:tc>
                      <w:tcPr>
                        <w:tcW w:w="280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4" w:right="0"/>
                          <w:jc w:val="left"/>
                          <w:rPr>
                            <w:rFonts w:ascii="宋体" w:hAnsi="宋体" w:cs="宋体" w:eastAsia="宋体" w:hint="default"/>
                            <w:sz w:val="21"/>
                            <w:szCs w:val="21"/>
                          </w:rPr>
                        </w:pPr>
                        <w:r>
                          <w:rPr>
                            <w:rFonts w:ascii="宋体" w:hAnsi="宋体" w:cs="宋体" w:eastAsia="宋体" w:hint="default"/>
                            <w:sz w:val="21"/>
                            <w:szCs w:val="21"/>
                          </w:rPr>
                          <w:t>投资者适当性安排</w:t>
                        </w: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老基</w:t>
                        </w:r>
                        <w:r>
                          <w:rPr>
                            <w:rFonts w:ascii="宋体" w:hAnsi="宋体" w:cs="宋体" w:eastAsia="宋体" w:hint="default"/>
                            <w:spacing w:val="-3"/>
                            <w:w w:val="100"/>
                            <w:sz w:val="21"/>
                            <w:szCs w:val="21"/>
                          </w:rPr>
                          <w:t>金</w:t>
                        </w:r>
                        <w:r>
                          <w:rPr>
                            <w:rFonts w:ascii="宋体" w:hAnsi="宋体" w:cs="宋体" w:eastAsia="宋体" w:hint="default"/>
                            <w:spacing w:val="-5"/>
                            <w:w w:val="100"/>
                            <w:sz w:val="21"/>
                            <w:szCs w:val="21"/>
                          </w:rPr>
                          <w:t>，</w:t>
                        </w:r>
                        <w:r>
                          <w:rPr>
                            <w:rFonts w:ascii="宋体" w:hAnsi="宋体" w:cs="宋体" w:eastAsia="宋体" w:hint="default"/>
                            <w:w w:val="100"/>
                            <w:sz w:val="21"/>
                            <w:szCs w:val="21"/>
                          </w:rPr>
                          <w:t>慈</w:t>
                        </w:r>
                        <w:r>
                          <w:rPr>
                            <w:rFonts w:ascii="宋体" w:hAnsi="宋体" w:cs="宋体" w:eastAsia="宋体" w:hint="default"/>
                            <w:spacing w:val="-3"/>
                            <w:w w:val="100"/>
                            <w:sz w:val="21"/>
                            <w:szCs w:val="21"/>
                          </w:rPr>
                          <w:t>善</w:t>
                        </w:r>
                        <w:r>
                          <w:rPr>
                            <w:rFonts w:ascii="宋体" w:hAnsi="宋体" w:cs="宋体" w:eastAsia="宋体" w:hint="default"/>
                            <w:w w:val="100"/>
                            <w:sz w:val="21"/>
                            <w:szCs w:val="21"/>
                          </w:rPr>
                          <w:t>基</w:t>
                        </w:r>
                        <w:r>
                          <w:rPr>
                            <w:rFonts w:ascii="宋体" w:hAnsi="宋体" w:cs="宋体" w:eastAsia="宋体" w:hint="default"/>
                            <w:spacing w:val="-3"/>
                            <w:w w:val="100"/>
                            <w:sz w:val="21"/>
                            <w:szCs w:val="21"/>
                          </w:rPr>
                          <w:t>金</w:t>
                        </w:r>
                        <w:r>
                          <w:rPr>
                            <w:rFonts w:ascii="宋体" w:hAnsi="宋体" w:cs="宋体" w:eastAsia="宋体" w:hint="default"/>
                            <w:w w:val="100"/>
                            <w:sz w:val="21"/>
                            <w:szCs w:val="21"/>
                          </w:rPr>
                          <w:t>等</w:t>
                        </w:r>
                        <w:r>
                          <w:rPr>
                            <w:rFonts w:ascii="宋体" w:hAnsi="宋体" w:cs="宋体" w:eastAsia="宋体" w:hint="default"/>
                            <w:spacing w:val="-3"/>
                            <w:w w:val="100"/>
                            <w:sz w:val="21"/>
                            <w:szCs w:val="21"/>
                          </w:rPr>
                          <w:t>社会</w:t>
                        </w:r>
                        <w:r>
                          <w:rPr>
                            <w:rFonts w:ascii="宋体" w:hAnsi="宋体" w:cs="宋体" w:eastAsia="宋体" w:hint="default"/>
                            <w:w w:val="100"/>
                            <w:sz w:val="21"/>
                            <w:szCs w:val="21"/>
                          </w:rPr>
                          <w:t>公益</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6</w:t>
                        </w:r>
                        <w:r>
                          <w:rPr>
                            <w:rFonts w:ascii="宋体" w:hAnsi="宋体" w:cs="宋体" w:eastAsia="宋体" w:hint="default"/>
                            <w:spacing w:val="-5"/>
                            <w:w w:val="100"/>
                            <w:sz w:val="21"/>
                            <w:szCs w:val="21"/>
                          </w:rPr>
                          <w:t>）</w:t>
                        </w:r>
                        <w:r>
                          <w:rPr>
                            <w:rFonts w:ascii="宋体" w:hAnsi="宋体" w:cs="宋体" w:eastAsia="宋体" w:hint="default"/>
                            <w:w w:val="100"/>
                            <w:sz w:val="21"/>
                            <w:szCs w:val="21"/>
                          </w:rPr>
                          <w:t>名</w:t>
                        </w:r>
                        <w:r>
                          <w:rPr>
                            <w:rFonts w:ascii="宋体" w:hAnsi="宋体" w:cs="宋体" w:eastAsia="宋体" w:hint="default"/>
                            <w:spacing w:val="-3"/>
                            <w:w w:val="100"/>
                            <w:sz w:val="21"/>
                            <w:szCs w:val="21"/>
                          </w:rPr>
                          <w:t>下</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资产</w:t>
                        </w:r>
                        <w:r>
                          <w:rPr>
                            <w:rFonts w:ascii="宋体" w:hAnsi="宋体" w:cs="宋体" w:eastAsia="宋体" w:hint="default"/>
                            <w:spacing w:val="-3"/>
                            <w:w w:val="100"/>
                            <w:sz w:val="21"/>
                            <w:szCs w:val="21"/>
                          </w:rPr>
                          <w:t>不</w:t>
                        </w:r>
                        <w:r>
                          <w:rPr>
                            <w:rFonts w:ascii="宋体" w:hAnsi="宋体" w:cs="宋体" w:eastAsia="宋体" w:hint="default"/>
                            <w:w w:val="100"/>
                            <w:sz w:val="21"/>
                            <w:szCs w:val="21"/>
                          </w:rPr>
                          <w:t>低</w:t>
                        </w:r>
                        <w:r>
                          <w:rPr>
                            <w:rFonts w:ascii="宋体" w:hAnsi="宋体" w:cs="宋体" w:eastAsia="宋体" w:hint="default"/>
                            <w:spacing w:val="-3"/>
                            <w:w w:val="100"/>
                            <w:sz w:val="21"/>
                            <w:szCs w:val="21"/>
                          </w:rPr>
                          <w:t>于</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三</w:t>
                        </w:r>
                        <w:r>
                          <w:rPr>
                            <w:rFonts w:ascii="宋体" w:hAnsi="宋体" w:cs="宋体" w:eastAsia="宋体" w:hint="default"/>
                            <w:w w:val="100"/>
                            <w:sz w:val="21"/>
                            <w:szCs w:val="21"/>
                          </w:rPr>
                          <w:t>百</w:t>
                        </w:r>
                      </w:p>
                    </w:tc>
                  </w:tr>
                  <w:tr>
                    <w:trPr>
                      <w:trHeight w:val="284"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万元</w:t>
                        </w:r>
                        <w:r>
                          <w:rPr>
                            <w:rFonts w:ascii="宋体" w:hAnsi="宋体" w:cs="宋体" w:eastAsia="宋体" w:hint="default"/>
                            <w:spacing w:val="-3"/>
                            <w:w w:val="100"/>
                            <w:sz w:val="21"/>
                            <w:szCs w:val="21"/>
                          </w:rPr>
                          <w:t>的</w:t>
                        </w:r>
                        <w:r>
                          <w:rPr>
                            <w:rFonts w:ascii="宋体" w:hAnsi="宋体" w:cs="宋体" w:eastAsia="宋体" w:hint="default"/>
                            <w:w w:val="100"/>
                            <w:sz w:val="21"/>
                            <w:szCs w:val="21"/>
                          </w:rPr>
                          <w:t>个</w:t>
                        </w:r>
                        <w:r>
                          <w:rPr>
                            <w:rFonts w:ascii="宋体" w:hAnsi="宋体" w:cs="宋体" w:eastAsia="宋体" w:hint="default"/>
                            <w:spacing w:val="-3"/>
                            <w:w w:val="100"/>
                            <w:sz w:val="21"/>
                            <w:szCs w:val="21"/>
                          </w:rPr>
                          <w:t>人</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者</w:t>
                        </w:r>
                        <w:r>
                          <w:rPr>
                            <w:rFonts w:ascii="宋体" w:hAnsi="宋体" w:cs="宋体" w:eastAsia="宋体" w:hint="default"/>
                            <w:spacing w:val="-111"/>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100"/>
                            <w:sz w:val="21"/>
                            <w:szCs w:val="21"/>
                          </w:rPr>
                          <w:t>7</w:t>
                        </w:r>
                        <w:r>
                          <w:rPr>
                            <w:rFonts w:ascii="宋体" w:hAnsi="宋体" w:cs="宋体" w:eastAsia="宋体" w:hint="default"/>
                            <w:spacing w:val="-5"/>
                            <w:w w:val="100"/>
                            <w:sz w:val="21"/>
                            <w:szCs w:val="21"/>
                          </w:rPr>
                          <w:t>）</w:t>
                        </w:r>
                        <w:r>
                          <w:rPr>
                            <w:rFonts w:ascii="宋体" w:hAnsi="宋体" w:cs="宋体" w:eastAsia="宋体" w:hint="default"/>
                            <w:w w:val="100"/>
                            <w:sz w:val="21"/>
                            <w:szCs w:val="21"/>
                          </w:rPr>
                          <w:t>经中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监</w:t>
                        </w:r>
                        <w:r>
                          <w:rPr>
                            <w:rFonts w:ascii="宋体" w:hAnsi="宋体" w:cs="宋体" w:eastAsia="宋体" w:hint="default"/>
                            <w:w w:val="100"/>
                            <w:sz w:val="21"/>
                            <w:szCs w:val="21"/>
                          </w:rPr>
                          <w:t>会</w:t>
                        </w:r>
                        <w:r>
                          <w:rPr>
                            <w:rFonts w:ascii="宋体" w:hAnsi="宋体" w:cs="宋体" w:eastAsia="宋体" w:hint="default"/>
                            <w:spacing w:val="-3"/>
                            <w:w w:val="100"/>
                            <w:sz w:val="21"/>
                            <w:szCs w:val="21"/>
                          </w:rPr>
                          <w:t>认</w:t>
                        </w:r>
                        <w:r>
                          <w:rPr>
                            <w:rFonts w:ascii="宋体" w:hAnsi="宋体" w:cs="宋体" w:eastAsia="宋体" w:hint="default"/>
                            <w:w w:val="100"/>
                            <w:sz w:val="21"/>
                            <w:szCs w:val="21"/>
                          </w:rPr>
                          <w:t>可</w:t>
                        </w:r>
                        <w:r>
                          <w:rPr>
                            <w:rFonts w:ascii="宋体" w:hAnsi="宋体" w:cs="宋体" w:eastAsia="宋体" w:hint="default"/>
                            <w:spacing w:val="-3"/>
                            <w:w w:val="100"/>
                            <w:sz w:val="21"/>
                            <w:szCs w:val="21"/>
                          </w:rPr>
                          <w:t>的</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合格</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者</w:t>
                        </w:r>
                        <w:r>
                          <w:rPr>
                            <w:rFonts w:ascii="宋体" w:hAnsi="宋体" w:cs="宋体" w:eastAsia="宋体" w:hint="default"/>
                            <w:spacing w:val="-5"/>
                            <w:w w:val="100"/>
                            <w:sz w:val="21"/>
                            <w:szCs w:val="21"/>
                          </w:rPr>
                          <w:t>。</w:t>
                        </w:r>
                        <w:r>
                          <w:rPr>
                            <w:rFonts w:ascii="宋体" w:hAnsi="宋体" w:cs="宋体" w:eastAsia="宋体" w:hint="default"/>
                            <w:w w:val="100"/>
                            <w:sz w:val="21"/>
                            <w:szCs w:val="21"/>
                          </w:rPr>
                          <w:t>此</w:t>
                        </w:r>
                        <w:r>
                          <w:rPr>
                            <w:rFonts w:ascii="宋体" w:hAnsi="宋体" w:cs="宋体" w:eastAsia="宋体" w:hint="default"/>
                            <w:spacing w:val="-3"/>
                            <w:w w:val="100"/>
                            <w:sz w:val="21"/>
                            <w:szCs w:val="21"/>
                          </w:rPr>
                          <w:t>处</w:t>
                        </w:r>
                        <w:r>
                          <w:rPr>
                            <w:rFonts w:ascii="宋体" w:hAnsi="宋体" w:cs="宋体" w:eastAsia="宋体" w:hint="default"/>
                            <w:w w:val="100"/>
                            <w:sz w:val="21"/>
                            <w:szCs w:val="21"/>
                          </w:rPr>
                          <w:t>所称</w:t>
                        </w:r>
                      </w:p>
                    </w:tc>
                  </w:tr>
                  <w:tr>
                    <w:trPr>
                      <w:trHeight w:val="306"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金融资产包括银行存款、股票、债券、基金份额、资产管理计划、银行理</w:t>
                        </w:r>
                      </w:p>
                    </w:tc>
                  </w:tr>
                  <w:tr>
                    <w:trPr>
                      <w:trHeight w:val="31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财产品、信托计划、保险产品、期货权益等；理财产品、合伙企业拟将主</w:t>
                        </w:r>
                      </w:p>
                    </w:tc>
                  </w:tr>
                  <w:tr>
                    <w:trPr>
                      <w:trHeight w:val="31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要资产投向单一债券，需要穿透核查最终投资者是否为合格投资者并合并</w:t>
                        </w:r>
                      </w:p>
                    </w:tc>
                  </w:tr>
                  <w:tr>
                    <w:trPr>
                      <w:trHeight w:val="33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计算投资者人数，具体标准由基金业协会规定。</w:t>
                        </w:r>
                      </w:p>
                    </w:tc>
                  </w:tr>
                  <w:tr>
                    <w:trPr>
                      <w:trHeight w:val="375"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本次债券设有发行人上调票面利率选择权和投资者回售选择权条款。</w:t>
                        </w:r>
                      </w:p>
                    </w:tc>
                  </w:tr>
                  <w:tr>
                    <w:trPr>
                      <w:trHeight w:val="365"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国盛</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：本期债券认购机构均为合格投资者。发行人将严格按照根据</w:t>
                        </w:r>
                      </w:p>
                    </w:tc>
                  </w:tr>
                  <w:tr>
                    <w:trPr>
                      <w:trHeight w:val="305"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法</w:t>
                        </w:r>
                        <w:r>
                          <w:rPr>
                            <w:rFonts w:ascii="宋体" w:hAnsi="宋体" w:cs="宋体" w:eastAsia="宋体" w:hint="default"/>
                            <w:spacing w:val="-11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债</w:t>
                        </w:r>
                        <w:r>
                          <w:rPr>
                            <w:rFonts w:ascii="宋体" w:hAnsi="宋体" w:cs="宋体" w:eastAsia="宋体" w:hint="default"/>
                            <w:spacing w:val="-3"/>
                            <w:w w:val="100"/>
                            <w:sz w:val="21"/>
                            <w:szCs w:val="21"/>
                          </w:rPr>
                          <w:t>券</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与交</w:t>
                        </w:r>
                        <w:r>
                          <w:rPr>
                            <w:rFonts w:ascii="宋体" w:hAnsi="宋体" w:cs="宋体" w:eastAsia="宋体" w:hint="default"/>
                            <w:spacing w:val="-3"/>
                            <w:w w:val="100"/>
                            <w:sz w:val="21"/>
                            <w:szCs w:val="21"/>
                          </w:rPr>
                          <w:t>易</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办</w:t>
                        </w:r>
                        <w:r>
                          <w:rPr>
                            <w:rFonts w:ascii="宋体" w:hAnsi="宋体" w:cs="宋体" w:eastAsia="宋体" w:hint="default"/>
                            <w:spacing w:val="-3"/>
                            <w:w w:val="100"/>
                            <w:sz w:val="21"/>
                            <w:szCs w:val="21"/>
                          </w:rPr>
                          <w:t>法</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章</w:t>
                        </w:r>
                        <w:r>
                          <w:rPr>
                            <w:rFonts w:ascii="宋体" w:hAnsi="宋体" w:cs="宋体" w:eastAsia="宋体" w:hint="default"/>
                            <w:w w:val="100"/>
                            <w:sz w:val="21"/>
                            <w:szCs w:val="21"/>
                          </w:rPr>
                          <w:t>程</w:t>
                        </w:r>
                        <w:r>
                          <w:rPr>
                            <w:rFonts w:ascii="宋体" w:hAnsi="宋体" w:cs="宋体" w:eastAsia="宋体" w:hint="default"/>
                            <w:spacing w:val="-5"/>
                            <w:w w:val="100"/>
                            <w:sz w:val="21"/>
                            <w:szCs w:val="21"/>
                          </w:rPr>
                          <w:t>》</w:t>
                        </w:r>
                        <w:r>
                          <w:rPr>
                            <w:rFonts w:ascii="宋体" w:hAnsi="宋体" w:cs="宋体" w:eastAsia="宋体" w:hint="default"/>
                            <w:w w:val="100"/>
                            <w:sz w:val="21"/>
                            <w:szCs w:val="21"/>
                          </w:rPr>
                          <w:t>等</w:t>
                        </w:r>
                        <w:r>
                          <w:rPr>
                            <w:rFonts w:ascii="宋体" w:hAnsi="宋体" w:cs="宋体" w:eastAsia="宋体" w:hint="default"/>
                            <w:spacing w:val="-3"/>
                            <w:w w:val="100"/>
                            <w:sz w:val="21"/>
                            <w:szCs w:val="21"/>
                          </w:rPr>
                          <w:t>文</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规</w:t>
                        </w:r>
                      </w:p>
                    </w:tc>
                  </w:tr>
                  <w:tr>
                    <w:trPr>
                      <w:trHeight w:val="312" w:hRule="exact"/>
                    </w:trPr>
                    <w:tc>
                      <w:tcPr>
                        <w:tcW w:w="2802" w:type="dxa"/>
                        <w:gridSpan w:val="2"/>
                        <w:tcBorders>
                          <w:top w:val="nil" w:sz="6" w:space="0" w:color="auto"/>
                          <w:left w:val="single" w:sz="4" w:space="0" w:color="000000"/>
                          <w:bottom w:val="nil" w:sz="6" w:space="0" w:color="auto"/>
                          <w:right w:val="single" w:sz="4" w:space="0" w:color="000000"/>
                        </w:tcBorders>
                      </w:tcPr>
                      <w:p>
                        <w:pPr/>
                      </w:p>
                    </w:tc>
                    <w:tc>
                      <w:tcPr>
                        <w:tcW w:w="6767" w:type="dxa"/>
                        <w:gridSpan w:val="6"/>
                        <w:tcBorders>
                          <w:top w:val="nil" w:sz="6" w:space="0" w:color="auto"/>
                          <w:left w:val="single" w:sz="4" w:space="0" w:color="000000"/>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定，进行公司债券存续期间各类财务报表、审计报告及可能影响投资者实</w:t>
                        </w:r>
                      </w:p>
                    </w:tc>
                  </w:tr>
                  <w:tr>
                    <w:trPr>
                      <w:trHeight w:val="357" w:hRule="exact"/>
                    </w:trPr>
                    <w:tc>
                      <w:tcPr>
                        <w:tcW w:w="2802" w:type="dxa"/>
                        <w:gridSpan w:val="2"/>
                        <w:tcBorders>
                          <w:top w:val="nil" w:sz="6" w:space="0" w:color="auto"/>
                          <w:left w:val="single" w:sz="4" w:space="0" w:color="000000"/>
                          <w:bottom w:val="single" w:sz="4" w:space="0" w:color="000000"/>
                          <w:right w:val="single" w:sz="4" w:space="0" w:color="000000"/>
                        </w:tcBorders>
                      </w:tcPr>
                      <w:p>
                        <w:pPr/>
                      </w:p>
                    </w:tc>
                    <w:tc>
                      <w:tcPr>
                        <w:tcW w:w="6767" w:type="dxa"/>
                        <w:gridSpan w:val="6"/>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现其公司债券兑付的重大事项的披露工作。</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6"/>
        <w:ind w:left="0" w:right="1085"/>
        <w:jc w:val="right"/>
      </w:pPr>
      <w:r>
        <w:rPr>
          <w:w w:val="100"/>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36"/>
        <w:ind w:left="0" w:right="1121"/>
        <w:jc w:val="right"/>
      </w:pPr>
      <w:r>
        <w:rPr/>
        <w:pict>
          <v:shape style="position:absolute;margin-left:58.080002pt;margin-top:-133.916321pt;width:479.15pt;height:268.150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2"/>
                    <w:gridCol w:w="6767"/>
                  </w:tblGrid>
                  <w:tr>
                    <w:trPr>
                      <w:trHeight w:val="1025" w:hRule="exact"/>
                    </w:trPr>
                    <w:tc>
                      <w:tcPr>
                        <w:tcW w:w="2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20"/>
                            <w:szCs w:val="20"/>
                          </w:rPr>
                        </w:pPr>
                      </w:p>
                      <w:p>
                        <w:pPr>
                          <w:pStyle w:val="TableParagraph"/>
                          <w:spacing w:line="273" w:lineRule="auto"/>
                          <w:ind w:left="24" w:right="32"/>
                          <w:jc w:val="left"/>
                          <w:rPr>
                            <w:rFonts w:ascii="宋体" w:hAnsi="宋体" w:cs="宋体" w:eastAsia="宋体" w:hint="default"/>
                            <w:sz w:val="21"/>
                            <w:szCs w:val="21"/>
                          </w:rPr>
                        </w:pPr>
                        <w:r>
                          <w:rPr>
                            <w:rFonts w:ascii="宋体" w:hAnsi="宋体" w:cs="宋体" w:eastAsia="宋体" w:hint="default"/>
                            <w:spacing w:val="-2"/>
                            <w:sz w:val="21"/>
                            <w:szCs w:val="21"/>
                          </w:rPr>
                          <w:t>报告期内公司债券的付息兑付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情况</w:t>
                        </w: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国盛金：</w:t>
                        </w:r>
                        <w:r>
                          <w:rPr>
                            <w:rFonts w:ascii="Times New Roman" w:hAnsi="Times New Roman" w:cs="Times New Roman" w:eastAsia="Times New Roman" w:hint="default"/>
                            <w:spacing w:val="-4"/>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日（周一）全额支付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30  </w:t>
                        </w:r>
                        <w:r>
                          <w:rPr>
                            <w:rFonts w:ascii="宋体" w:hAnsi="宋体" w:cs="宋体" w:eastAsia="宋体" w:hint="default"/>
                            <w:spacing w:val="10"/>
                            <w:sz w:val="21"/>
                            <w:szCs w:val="21"/>
                          </w:rPr>
                          <w:t>日期间的利息 </w:t>
                        </w:r>
                        <w:r>
                          <w:rPr>
                            <w:rFonts w:ascii="Times New Roman" w:hAnsi="Times New Roman" w:cs="Times New Roman" w:eastAsia="Times New Roman" w:hint="default"/>
                            <w:sz w:val="21"/>
                            <w:szCs w:val="21"/>
                          </w:rPr>
                          <w:t>4,270  </w:t>
                        </w:r>
                        <w:r>
                          <w:rPr>
                            <w:rFonts w:ascii="Times New Roman" w:hAnsi="Times New Roman" w:cs="Times New Roman" w:eastAsia="Times New Roman" w:hint="default"/>
                            <w:spacing w:val="36"/>
                            <w:sz w:val="21"/>
                            <w:szCs w:val="21"/>
                          </w:rPr>
                          <w:t> </w:t>
                        </w:r>
                        <w:r>
                          <w:rPr>
                            <w:rFonts w:ascii="宋体" w:hAnsi="宋体" w:cs="宋体" w:eastAsia="宋体" w:hint="default"/>
                            <w:spacing w:val="12"/>
                            <w:sz w:val="21"/>
                            <w:szCs w:val="21"/>
                          </w:rPr>
                          <w:t>万元以及投资者回售部分债券本金</w:t>
                        </w:r>
                        <w:r>
                          <w:rPr>
                            <w:rFonts w:ascii="宋体" w:hAnsi="宋体" w:cs="宋体" w:eastAsia="宋体" w:hint="default"/>
                            <w:sz w:val="21"/>
                            <w:szCs w:val="21"/>
                          </w:rPr>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73,200.67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1027" w:hRule="exact"/>
                    </w:trPr>
                    <w:tc>
                      <w:tcPr>
                        <w:tcW w:w="2802" w:type="dxa"/>
                        <w:vMerge/>
                        <w:tcBorders>
                          <w:left w:val="single" w:sz="4" w:space="0" w:color="000000"/>
                          <w:bottom w:val="single" w:sz="4" w:space="0" w:color="000000"/>
                          <w:right w:val="single" w:sz="4" w:space="0" w:color="000000"/>
                        </w:tcBorders>
                      </w:tcPr>
                      <w:p>
                        <w:pP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国盛</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日全额支付</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1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日期间的利息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4,280 </w:t>
                        </w:r>
                        <w:r>
                          <w:rPr>
                            <w:rFonts w:ascii="宋体" w:hAnsi="宋体" w:cs="宋体" w:eastAsia="宋体" w:hint="default"/>
                            <w:sz w:val="21"/>
                            <w:szCs w:val="21"/>
                          </w:rPr>
                          <w:t>万元以及投资者回售部分债券本金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60,150</w:t>
                        </w:r>
                        <w:r>
                          <w:rPr>
                            <w:rFonts w:ascii="Times New Roman" w:hAnsi="Times New Roman" w:cs="Times New Roman" w:eastAsia="Times New Roman" w:hint="default"/>
                            <w:spacing w:val="-3"/>
                            <w:sz w:val="21"/>
                            <w:szCs w:val="21"/>
                          </w:rPr>
                          <w:t> </w:t>
                        </w:r>
                        <w:r>
                          <w:rPr>
                            <w:rFonts w:ascii="宋体" w:hAnsi="宋体" w:cs="宋体" w:eastAsia="宋体" w:hint="default"/>
                            <w:spacing w:val="-17"/>
                            <w:sz w:val="21"/>
                            <w:szCs w:val="21"/>
                          </w:rPr>
                          <w:t>万元（后</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发行</w:t>
                        </w:r>
                        <w:r>
                          <w:rPr>
                            <w:rFonts w:ascii="宋体" w:hAnsi="宋体" w:cs="宋体" w:eastAsia="宋体" w:hint="default"/>
                            <w:spacing w:val="-3"/>
                            <w:w w:val="100"/>
                            <w:sz w:val="21"/>
                            <w:szCs w:val="21"/>
                          </w:rPr>
                          <w:t>人</w:t>
                        </w:r>
                        <w:r>
                          <w:rPr>
                            <w:rFonts w:ascii="宋体" w:hAnsi="宋体" w:cs="宋体" w:eastAsia="宋体" w:hint="default"/>
                            <w:w w:val="100"/>
                            <w:sz w:val="21"/>
                            <w:szCs w:val="21"/>
                          </w:rPr>
                          <w:t>转</w:t>
                        </w:r>
                        <w:r>
                          <w:rPr>
                            <w:rFonts w:ascii="宋体" w:hAnsi="宋体" w:cs="宋体" w:eastAsia="宋体" w:hint="default"/>
                            <w:spacing w:val="-3"/>
                            <w:w w:val="100"/>
                            <w:sz w:val="21"/>
                            <w:szCs w:val="21"/>
                          </w:rPr>
                          <w:t>售债</w:t>
                        </w:r>
                        <w:r>
                          <w:rPr>
                            <w:rFonts w:ascii="宋体" w:hAnsi="宋体" w:cs="宋体" w:eastAsia="宋体" w:hint="default"/>
                            <w:w w:val="100"/>
                            <w:sz w:val="21"/>
                            <w:szCs w:val="21"/>
                          </w:rPr>
                          <w:t>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1649" w:hRule="exact"/>
                    </w:trPr>
                    <w:tc>
                      <w:tcPr>
                        <w:tcW w:w="2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0"/>
                          <w:ind w:right="0"/>
                          <w:jc w:val="left"/>
                          <w:rPr>
                            <w:rFonts w:ascii="Microsoft JhengHei" w:hAnsi="Microsoft JhengHei" w:cs="Microsoft JhengHei" w:eastAsia="Microsoft JhengHei" w:hint="default"/>
                            <w:b/>
                            <w:bCs/>
                            <w:sz w:val="18"/>
                            <w:szCs w:val="18"/>
                          </w:rPr>
                        </w:pPr>
                      </w:p>
                      <w:p>
                        <w:pPr>
                          <w:pStyle w:val="TableParagraph"/>
                          <w:spacing w:line="273" w:lineRule="auto"/>
                          <w:ind w:left="24" w:right="32"/>
                          <w:jc w:val="both"/>
                          <w:rPr>
                            <w:rFonts w:ascii="宋体" w:hAnsi="宋体" w:cs="宋体" w:eastAsia="宋体" w:hint="default"/>
                            <w:sz w:val="21"/>
                            <w:szCs w:val="21"/>
                          </w:rPr>
                        </w:pPr>
                        <w:r>
                          <w:rPr>
                            <w:rFonts w:ascii="宋体" w:hAnsi="宋体" w:cs="宋体" w:eastAsia="宋体" w:hint="default"/>
                            <w:spacing w:val="-2"/>
                            <w:sz w:val="21"/>
                            <w:szCs w:val="21"/>
                          </w:rPr>
                          <w:t>公司债券附发行人或投资者选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择权条款、可交换条款等特殊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条款的，报告期内相关条款的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执行情况</w:t>
                        </w: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6"/>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国盛金：本次债券的期限为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年，附第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年末、第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年末发行人上调票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面利率选择权和投资者回售选择权条款。</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月，发行人公告将本</w:t>
                        </w:r>
                        <w:r>
                          <w:rPr>
                            <w:rFonts w:ascii="宋体" w:hAnsi="宋体" w:cs="宋体" w:eastAsia="宋体" w:hint="default"/>
                            <w:w w:val="100"/>
                            <w:sz w:val="21"/>
                            <w:szCs w:val="21"/>
                          </w:rPr>
                          <w:t> </w:t>
                        </w:r>
                        <w:r>
                          <w:rPr>
                            <w:rFonts w:ascii="宋体" w:hAnsi="宋体" w:cs="宋体" w:eastAsia="宋体" w:hint="default"/>
                            <w:sz w:val="21"/>
                            <w:szCs w:val="21"/>
                          </w:rPr>
                          <w:t>次债券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日的票面利率上调至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5.50%</w:t>
                        </w:r>
                      </w:p>
                      <w:p>
                        <w:pPr>
                          <w:pStyle w:val="TableParagraph"/>
                          <w:spacing w:line="240" w:lineRule="auto" w:before="5"/>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月，投资者回售债券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73,200.67</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万元，截至期末，本次债券余额</w:t>
                        </w:r>
                      </w:p>
                      <w:p>
                        <w:pPr>
                          <w:pStyle w:val="TableParagraph"/>
                          <w:spacing w:line="240" w:lineRule="auto" w:before="22"/>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26,799.33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1651" w:hRule="exact"/>
                    </w:trPr>
                    <w:tc>
                      <w:tcPr>
                        <w:tcW w:w="2802" w:type="dxa"/>
                        <w:vMerge/>
                        <w:tcBorders>
                          <w:left w:val="single" w:sz="4" w:space="0" w:color="000000"/>
                          <w:bottom w:val="single" w:sz="4" w:space="0" w:color="000000"/>
                          <w:right w:val="single" w:sz="4" w:space="0" w:color="000000"/>
                        </w:tcBorders>
                      </w:tcPr>
                      <w:p>
                        <w:pPr/>
                      </w:p>
                    </w:tc>
                    <w:tc>
                      <w:tcPr>
                        <w:tcW w:w="6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国盛</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：本期债券的期限为</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年，附第</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年末发行人上调票面利率选</w:t>
                        </w:r>
                      </w:p>
                      <w:p>
                        <w:pPr>
                          <w:pStyle w:val="TableParagraph"/>
                          <w:spacing w:line="240" w:lineRule="auto" w:before="19"/>
                          <w:ind w:left="24"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择权和投资者回售选择权条款。</w:t>
                        </w:r>
                        <w:r>
                          <w:rPr>
                            <w:rFonts w:ascii="Times New Roman" w:hAnsi="Times New Roman" w:cs="Times New Roman" w:eastAsia="Times New Roman" w:hint="default"/>
                            <w:spacing w:val="-5"/>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pacing w:val="-6"/>
                            <w:sz w:val="21"/>
                            <w:szCs w:val="21"/>
                          </w:rPr>
                          <w:t>月，发行人公告将本期债券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w:t>
                        </w:r>
                      </w:p>
                      <w:p>
                        <w:pPr>
                          <w:pStyle w:val="TableParagraph"/>
                          <w:spacing w:line="256" w:lineRule="auto" w:before="21"/>
                          <w:ind w:left="24" w:right="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日的票面利率上调至</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5.00%</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101"/>
                            <w:sz w:val="21"/>
                            <w:szCs w:val="21"/>
                          </w:rPr>
                          <w:t> </w:t>
                        </w:r>
                        <w:r>
                          <w:rPr>
                            <w:rFonts w:ascii="宋体" w:hAnsi="宋体" w:cs="宋体" w:eastAsia="宋体" w:hint="default"/>
                            <w:sz w:val="21"/>
                            <w:szCs w:val="21"/>
                          </w:rPr>
                          <w:t>投资者回售债券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60,150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月，发行人对购回的回售债券进行转售，</w:t>
                        </w:r>
                        <w:r>
                          <w:rPr>
                            <w:rFonts w:ascii="宋体" w:hAnsi="宋体" w:cs="宋体" w:eastAsia="宋体" w:hint="default"/>
                            <w:w w:val="100"/>
                            <w:sz w:val="21"/>
                            <w:szCs w:val="21"/>
                          </w:rPr>
                          <w:t> </w:t>
                        </w:r>
                        <w:r>
                          <w:rPr>
                            <w:rFonts w:ascii="宋体" w:hAnsi="宋体" w:cs="宋体" w:eastAsia="宋体" w:hint="default"/>
                            <w:sz w:val="21"/>
                            <w:szCs w:val="21"/>
                          </w:rPr>
                          <w:t>转售金额合计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15,700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万。截至期末，本期债券余额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55,550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6"/>
        <w:ind w:left="0" w:right="1085"/>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24"/>
        <w:ind w:right="0"/>
        <w:jc w:val="left"/>
        <w:rPr>
          <w:b w:val="0"/>
          <w:bCs w:val="0"/>
        </w:rPr>
      </w:pPr>
      <w:r>
        <w:rPr/>
        <w:t>二、债券受托管理人和资信评级机构信息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1385"/>
        <w:gridCol w:w="2127"/>
        <w:gridCol w:w="2410"/>
        <w:gridCol w:w="1558"/>
        <w:gridCol w:w="2096"/>
      </w:tblGrid>
      <w:tr>
        <w:trPr>
          <w:trHeight w:val="401" w:hRule="exact"/>
        </w:trPr>
        <w:tc>
          <w:tcPr>
            <w:tcW w:w="95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r>
      <w:tr>
        <w:trPr>
          <w:trHeight w:val="40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3"/>
              <w:jc w:val="right"/>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8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8"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联系人电话</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453"/>
              <w:jc w:val="righ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国盛金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7"/>
              <w:jc w:val="left"/>
              <w:rPr>
                <w:rFonts w:ascii="宋体" w:hAnsi="宋体" w:cs="宋体" w:eastAsia="宋体" w:hint="default"/>
                <w:sz w:val="21"/>
                <w:szCs w:val="21"/>
              </w:rPr>
            </w:pPr>
            <w:r>
              <w:rPr>
                <w:rFonts w:ascii="宋体" w:hAnsi="宋体" w:cs="宋体" w:eastAsia="宋体" w:hint="default"/>
                <w:sz w:val="21"/>
                <w:szCs w:val="21"/>
              </w:rPr>
              <w:t>恒泰长财证券有限责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号通泰大厦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李锦芳</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010-56673708</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40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国盛</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97"/>
              <w:jc w:val="left"/>
              <w:rPr>
                <w:rFonts w:ascii="宋体" w:hAnsi="宋体" w:cs="宋体" w:eastAsia="宋体" w:hint="default"/>
                <w:sz w:val="21"/>
                <w:szCs w:val="21"/>
              </w:rPr>
            </w:pPr>
            <w:r>
              <w:rPr>
                <w:rFonts w:ascii="宋体" w:hAnsi="宋体" w:cs="宋体" w:eastAsia="宋体" w:hint="default"/>
                <w:sz w:val="21"/>
                <w:szCs w:val="21"/>
              </w:rPr>
              <w:t>光大证券股份有限公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60"/>
              <w:jc w:val="left"/>
              <w:rPr>
                <w:rFonts w:ascii="宋体" w:hAnsi="宋体" w:cs="宋体" w:eastAsia="宋体" w:hint="default"/>
                <w:sz w:val="21"/>
                <w:szCs w:val="21"/>
              </w:rPr>
            </w:pPr>
            <w:r>
              <w:rPr>
                <w:rFonts w:ascii="宋体" w:hAnsi="宋体" w:cs="宋体" w:eastAsia="宋体" w:hint="default"/>
                <w:spacing w:val="-2"/>
                <w:sz w:val="21"/>
                <w:szCs w:val="21"/>
              </w:rPr>
              <w:t>北京市西城区复兴门外大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号光大大厦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王磊</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010-58377815</w:t>
            </w:r>
          </w:p>
        </w:tc>
      </w:tr>
      <w:tr>
        <w:trPr>
          <w:trHeight w:val="401" w:hRule="exact"/>
        </w:trPr>
        <w:tc>
          <w:tcPr>
            <w:tcW w:w="95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报告期对公司债券进行跟踪评级的资信评级机构：</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3"/>
              <w:jc w:val="right"/>
              <w:rPr>
                <w:rFonts w:ascii="宋体" w:hAnsi="宋体" w:cs="宋体" w:eastAsia="宋体" w:hint="default"/>
                <w:sz w:val="21"/>
                <w:szCs w:val="21"/>
              </w:rPr>
            </w:pPr>
            <w:r>
              <w:rPr>
                <w:rFonts w:ascii="宋体" w:hAnsi="宋体" w:cs="宋体" w:eastAsia="宋体" w:hint="default"/>
                <w:sz w:val="21"/>
                <w:szCs w:val="21"/>
              </w:rPr>
              <w:t>项目</w:t>
            </w:r>
          </w:p>
        </w:tc>
        <w:tc>
          <w:tcPr>
            <w:tcW w:w="4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6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办公地址</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453"/>
              <w:jc w:val="righ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国盛金</w:t>
            </w:r>
          </w:p>
        </w:tc>
        <w:tc>
          <w:tcPr>
            <w:tcW w:w="4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c>
          <w:tcPr>
            <w:tcW w:w="36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北京市朝阳区建国门外大街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PICC</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层</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40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国盛</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4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c>
          <w:tcPr>
            <w:tcW w:w="36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北京市朝阳区建国门外大街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PICC</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层</w:t>
            </w:r>
          </w:p>
        </w:tc>
      </w:tr>
      <w:tr>
        <w:trPr>
          <w:trHeight w:val="713" w:hRule="exact"/>
        </w:trPr>
        <w:tc>
          <w:tcPr>
            <w:tcW w:w="59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3"/>
              <w:jc w:val="left"/>
              <w:rPr>
                <w:rFonts w:ascii="宋体" w:hAnsi="宋体" w:cs="宋体" w:eastAsia="宋体" w:hint="default"/>
                <w:sz w:val="21"/>
                <w:szCs w:val="21"/>
              </w:rPr>
            </w:pPr>
            <w:r>
              <w:rPr>
                <w:rFonts w:ascii="宋体" w:hAnsi="宋体" w:cs="宋体" w:eastAsia="宋体" w:hint="default"/>
                <w:spacing w:val="4"/>
                <w:sz w:val="21"/>
                <w:szCs w:val="21"/>
              </w:rPr>
              <w:t>报告期内公司聘请的债券受托管理人、资信评级机构发生变更</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的，变更的原因、履行的程序、对投资者利益的影响等</w:t>
            </w:r>
          </w:p>
        </w:tc>
        <w:tc>
          <w:tcPr>
            <w:tcW w:w="36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三、公司债券募集资金使用情况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512"/>
        <w:gridCol w:w="6056"/>
      </w:tblGrid>
      <w:tr>
        <w:trPr>
          <w:trHeight w:val="713" w:hRule="exact"/>
        </w:trPr>
        <w:tc>
          <w:tcPr>
            <w:tcW w:w="35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71" w:lineRule="auto"/>
              <w:ind w:left="24" w:right="111"/>
              <w:jc w:val="left"/>
              <w:rPr>
                <w:rFonts w:ascii="宋体" w:hAnsi="宋体" w:cs="宋体" w:eastAsia="宋体" w:hint="default"/>
                <w:sz w:val="21"/>
                <w:szCs w:val="21"/>
              </w:rPr>
            </w:pPr>
            <w:r>
              <w:rPr>
                <w:rFonts w:ascii="宋体" w:hAnsi="宋体" w:cs="宋体" w:eastAsia="宋体" w:hint="default"/>
                <w:spacing w:val="-2"/>
                <w:sz w:val="21"/>
                <w:szCs w:val="21"/>
              </w:rPr>
              <w:t>公司债券募集资金使用情况及履行的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程序</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国盛金：本次债券募集资金扣除发行费用后全部用于补充营运</w:t>
            </w:r>
            <w:r>
              <w:rPr>
                <w:rFonts w:ascii="宋体" w:hAnsi="宋体" w:cs="宋体" w:eastAsia="宋体" w:hint="default"/>
                <w:w w:val="100"/>
                <w:sz w:val="21"/>
                <w:szCs w:val="21"/>
              </w:rPr>
              <w:t> </w:t>
            </w:r>
            <w:r>
              <w:rPr>
                <w:rFonts w:ascii="宋体" w:hAnsi="宋体" w:cs="宋体" w:eastAsia="宋体" w:hint="default"/>
                <w:sz w:val="21"/>
                <w:szCs w:val="21"/>
              </w:rPr>
              <w:t>资金，在集团母公司和各控股子公司内根据资金需求统筹使用。</w:t>
            </w:r>
          </w:p>
        </w:tc>
      </w:tr>
      <w:tr>
        <w:trPr>
          <w:trHeight w:val="716" w:hRule="exact"/>
        </w:trPr>
        <w:tc>
          <w:tcPr>
            <w:tcW w:w="3512" w:type="dxa"/>
            <w:vMerge/>
            <w:tcBorders>
              <w:left w:val="single" w:sz="4" w:space="0" w:color="000000"/>
              <w:bottom w:val="single" w:sz="4" w:space="0" w:color="000000"/>
              <w:right w:val="single" w:sz="4" w:space="0" w:color="000000"/>
            </w:tcBorders>
          </w:tcPr>
          <w:p>
            <w:pP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1"/>
              <w:ind w:left="23" w:right="14"/>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国盛</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：本期债券募集资金扣除发行费用后全部用于补充国盛</w:t>
            </w:r>
            <w:r>
              <w:rPr>
                <w:rFonts w:ascii="宋体" w:hAnsi="宋体" w:cs="宋体" w:eastAsia="宋体" w:hint="default"/>
                <w:w w:val="100"/>
                <w:sz w:val="21"/>
                <w:szCs w:val="21"/>
              </w:rPr>
              <w:t> </w:t>
            </w:r>
            <w:r>
              <w:rPr>
                <w:rFonts w:ascii="宋体" w:hAnsi="宋体" w:cs="宋体" w:eastAsia="宋体" w:hint="default"/>
                <w:sz w:val="21"/>
                <w:szCs w:val="21"/>
              </w:rPr>
              <w:t>证券营运资金。</w:t>
            </w:r>
          </w:p>
        </w:tc>
      </w:tr>
    </w:tbl>
    <w:p>
      <w:pPr>
        <w:spacing w:after="0" w:line="256"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512"/>
        <w:gridCol w:w="6056"/>
      </w:tblGrid>
      <w:tr>
        <w:trPr>
          <w:trHeight w:val="40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年末余额（万元）</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募集资金专项账户运作情况</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9"/>
              <w:jc w:val="left"/>
              <w:rPr>
                <w:rFonts w:ascii="宋体" w:hAnsi="宋体" w:cs="宋体" w:eastAsia="宋体" w:hint="default"/>
                <w:sz w:val="21"/>
                <w:szCs w:val="21"/>
              </w:rPr>
            </w:pPr>
            <w:r>
              <w:rPr>
                <w:rFonts w:ascii="宋体" w:hAnsi="宋体" w:cs="宋体" w:eastAsia="宋体" w:hint="default"/>
                <w:spacing w:val="-5"/>
                <w:w w:val="100"/>
                <w:sz w:val="21"/>
                <w:szCs w:val="21"/>
              </w:rPr>
              <w:t>募集资金专项账户严格按照公司《募集资金管理制度》，债券发行</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人与受托管理人、银行签署的三方监管协议的约定运作。</w:t>
            </w:r>
          </w:p>
        </w:tc>
      </w:tr>
      <w:tr>
        <w:trPr>
          <w:trHeight w:val="71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
              <w:jc w:val="left"/>
              <w:rPr>
                <w:rFonts w:ascii="宋体" w:hAnsi="宋体" w:cs="宋体" w:eastAsia="宋体" w:hint="default"/>
                <w:sz w:val="21"/>
                <w:szCs w:val="21"/>
              </w:rPr>
            </w:pPr>
            <w:r>
              <w:rPr>
                <w:rFonts w:ascii="宋体" w:hAnsi="宋体" w:cs="宋体" w:eastAsia="宋体" w:hint="default"/>
                <w:spacing w:val="3"/>
                <w:sz w:val="21"/>
                <w:szCs w:val="21"/>
              </w:rPr>
              <w:t>募集资金使用是否与募集说明书承诺</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的用途、使用计划及其他约定一致</w:t>
            </w:r>
          </w:p>
        </w:tc>
        <w:tc>
          <w:tcPr>
            <w:tcW w:w="6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both"/>
        <w:rPr>
          <w:b w:val="0"/>
          <w:bCs w:val="0"/>
        </w:rPr>
      </w:pPr>
      <w:r>
        <w:rPr/>
        <w:t>四、公司债券最新跟踪评级及评级变化情况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61" w:lineRule="auto"/>
        <w:ind w:right="1126" w:firstLine="420"/>
        <w:jc w:val="both"/>
      </w:pPr>
      <w:r>
        <w:rPr>
          <w:rFonts w:ascii="Times New Roman" w:hAnsi="Times New Roman" w:cs="Times New Roman" w:eastAsia="Times New Roman" w:hint="default"/>
          <w:spacing w:val="-4"/>
        </w:rPr>
        <w:t>16</w:t>
      </w:r>
      <w:r>
        <w:rPr>
          <w:spacing w:val="-4"/>
        </w:rPr>
        <w:t>国盛金：</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21</w:t>
      </w:r>
      <w:r>
        <w:rPr>
          <w:spacing w:val="-4"/>
        </w:rPr>
        <w:t>日，联合信用评级有限公司出具</w:t>
      </w:r>
      <w:r>
        <w:rPr>
          <w:rFonts w:ascii="Times New Roman" w:hAnsi="Times New Roman" w:cs="Times New Roman" w:eastAsia="Times New Roman" w:hint="default"/>
          <w:spacing w:val="-4"/>
        </w:rPr>
        <w:t>2019</w:t>
      </w:r>
      <w:r>
        <w:rPr>
          <w:spacing w:val="-4"/>
        </w:rPr>
        <w:t>年跟踪评级报告，发行人主体长期信用等</w:t>
      </w:r>
      <w:r>
        <w:rPr>
          <w:w w:val="100"/>
        </w:rPr>
        <w:t> </w:t>
      </w:r>
      <w:r>
        <w:rPr>
          <w:spacing w:val="-4"/>
        </w:rPr>
        <w:t>级维持</w:t>
      </w:r>
      <w:r>
        <w:rPr>
          <w:rFonts w:ascii="Times New Roman" w:hAnsi="Times New Roman" w:cs="Times New Roman" w:eastAsia="Times New Roman" w:hint="default"/>
          <w:spacing w:val="-4"/>
        </w:rPr>
        <w:t>“AA+”</w:t>
      </w:r>
      <w:r>
        <w:rPr>
          <w:spacing w:val="-4"/>
        </w:rPr>
        <w:t>，评级展望维持</w:t>
      </w:r>
      <w:r>
        <w:rPr>
          <w:rFonts w:ascii="Times New Roman" w:hAnsi="Times New Roman" w:cs="Times New Roman" w:eastAsia="Times New Roman" w:hint="default"/>
          <w:spacing w:val="-4"/>
        </w:rPr>
        <w:t>“</w:t>
      </w:r>
      <w:r>
        <w:rPr>
          <w:spacing w:val="-4"/>
        </w:rPr>
        <w:t>稳定</w:t>
      </w:r>
      <w:r>
        <w:rPr>
          <w:rFonts w:ascii="Times New Roman" w:hAnsi="Times New Roman" w:cs="Times New Roman" w:eastAsia="Times New Roman" w:hint="default"/>
          <w:spacing w:val="-4"/>
        </w:rPr>
        <w:t>”</w:t>
      </w:r>
      <w:r>
        <w:rPr>
          <w:spacing w:val="-4"/>
        </w:rPr>
        <w:t>，发行人发行的</w:t>
      </w:r>
      <w:r>
        <w:rPr>
          <w:rFonts w:ascii="Times New Roman" w:hAnsi="Times New Roman" w:cs="Times New Roman" w:eastAsia="Times New Roman" w:hint="default"/>
          <w:spacing w:val="-4"/>
        </w:rPr>
        <w:t>“16</w:t>
      </w:r>
      <w:r>
        <w:rPr>
          <w:spacing w:val="-4"/>
        </w:rPr>
        <w:t>国盛金</w:t>
      </w:r>
      <w:r>
        <w:rPr>
          <w:rFonts w:ascii="Times New Roman" w:hAnsi="Times New Roman" w:cs="Times New Roman" w:eastAsia="Times New Roman" w:hint="default"/>
          <w:spacing w:val="-4"/>
        </w:rPr>
        <w:t>”</w:t>
      </w:r>
      <w:r>
        <w:rPr>
          <w:spacing w:val="-4"/>
        </w:rPr>
        <w:t>债项信用等级维持</w:t>
      </w:r>
      <w:r>
        <w:rPr>
          <w:rFonts w:ascii="Times New Roman" w:hAnsi="Times New Roman" w:cs="Times New Roman" w:eastAsia="Times New Roman" w:hint="default"/>
          <w:spacing w:val="-4"/>
        </w:rPr>
        <w:t>“AA+”</w:t>
      </w:r>
      <w:r>
        <w:rPr>
          <w:spacing w:val="-4"/>
        </w:rPr>
        <w:t>。该等级代表发行</w:t>
      </w:r>
      <w:r>
        <w:rPr>
          <w:spacing w:val="-47"/>
        </w:rPr>
        <w:t> </w:t>
      </w:r>
      <w:r>
        <w:rPr>
          <w:spacing w:val="-47"/>
        </w:rPr>
      </w:r>
      <w:r>
        <w:rPr>
          <w:spacing w:val="-2"/>
        </w:rPr>
        <w:t>人偿还债务的能力强，受不利经济环境的影响不大，违约风险低。本次评级结果与上一次评级结果相比无</w:t>
      </w:r>
      <w:r>
        <w:rPr>
          <w:spacing w:val="-45"/>
        </w:rPr>
        <w:t> </w:t>
      </w:r>
      <w:r>
        <w:rPr>
          <w:spacing w:val="-45"/>
        </w:rPr>
      </w:r>
      <w:r>
        <w:rPr/>
        <w:t>变化。</w:t>
      </w:r>
    </w:p>
    <w:p>
      <w:pPr>
        <w:pStyle w:val="BodyText"/>
        <w:spacing w:line="261" w:lineRule="auto" w:before="18"/>
        <w:ind w:right="1126" w:firstLine="420"/>
        <w:jc w:val="both"/>
      </w:pPr>
      <w:r>
        <w:rPr>
          <w:rFonts w:ascii="Times New Roman" w:hAnsi="Times New Roman" w:cs="Times New Roman" w:eastAsia="Times New Roman" w:hint="default"/>
          <w:spacing w:val="-4"/>
        </w:rPr>
        <w:t>16</w:t>
      </w:r>
      <w:r>
        <w:rPr>
          <w:spacing w:val="-4"/>
        </w:rPr>
        <w:t>国盛</w:t>
      </w:r>
      <w:r>
        <w:rPr>
          <w:rFonts w:ascii="Times New Roman" w:hAnsi="Times New Roman" w:cs="Times New Roman" w:eastAsia="Times New Roman" w:hint="default"/>
          <w:spacing w:val="-4"/>
        </w:rPr>
        <w:t>01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21</w:t>
      </w:r>
      <w:r>
        <w:rPr>
          <w:spacing w:val="-4"/>
        </w:rPr>
        <w:t>日，联合信用评级有限公司出具</w:t>
      </w:r>
      <w:r>
        <w:rPr>
          <w:rFonts w:ascii="Times New Roman" w:hAnsi="Times New Roman" w:cs="Times New Roman" w:eastAsia="Times New Roman" w:hint="default"/>
          <w:spacing w:val="-4"/>
        </w:rPr>
        <w:t>2019</w:t>
      </w:r>
      <w:r>
        <w:rPr>
          <w:spacing w:val="-4"/>
        </w:rPr>
        <w:t>年跟踪评级报告，发行人主体长期信用等</w:t>
      </w:r>
      <w:r>
        <w:rPr>
          <w:w w:val="100"/>
        </w:rPr>
        <w:t> </w:t>
      </w:r>
      <w:r>
        <w:rPr>
          <w:spacing w:val="-4"/>
        </w:rPr>
        <w:t>级维持</w:t>
      </w:r>
      <w:r>
        <w:rPr>
          <w:rFonts w:ascii="Times New Roman" w:hAnsi="Times New Roman" w:cs="Times New Roman" w:eastAsia="Times New Roman" w:hint="default"/>
          <w:spacing w:val="-4"/>
        </w:rPr>
        <w:t>“AA+”</w:t>
      </w:r>
      <w:r>
        <w:rPr>
          <w:spacing w:val="-4"/>
        </w:rPr>
        <w:t>，评级展望维持</w:t>
      </w:r>
      <w:r>
        <w:rPr>
          <w:rFonts w:ascii="Times New Roman" w:hAnsi="Times New Roman" w:cs="Times New Roman" w:eastAsia="Times New Roman" w:hint="default"/>
          <w:spacing w:val="-4"/>
        </w:rPr>
        <w:t>“</w:t>
      </w:r>
      <w:r>
        <w:rPr>
          <w:spacing w:val="-4"/>
        </w:rPr>
        <w:t>稳定</w:t>
      </w:r>
      <w:r>
        <w:rPr>
          <w:rFonts w:ascii="Times New Roman" w:hAnsi="Times New Roman" w:cs="Times New Roman" w:eastAsia="Times New Roman" w:hint="default"/>
          <w:spacing w:val="-4"/>
        </w:rPr>
        <w:t>”</w:t>
      </w:r>
      <w:r>
        <w:rPr>
          <w:spacing w:val="-4"/>
        </w:rPr>
        <w:t>，发行人发行的</w:t>
      </w:r>
      <w:r>
        <w:rPr>
          <w:rFonts w:ascii="Times New Roman" w:hAnsi="Times New Roman" w:cs="Times New Roman" w:eastAsia="Times New Roman" w:hint="default"/>
          <w:spacing w:val="-4"/>
        </w:rPr>
        <w:t>“16</w:t>
      </w:r>
      <w:r>
        <w:rPr>
          <w:spacing w:val="-4"/>
        </w:rPr>
        <w:t>国盛</w:t>
      </w:r>
      <w:r>
        <w:rPr>
          <w:rFonts w:ascii="Times New Roman" w:hAnsi="Times New Roman" w:cs="Times New Roman" w:eastAsia="Times New Roman" w:hint="default"/>
          <w:spacing w:val="-4"/>
        </w:rPr>
        <w:t>01”</w:t>
      </w:r>
      <w:r>
        <w:rPr>
          <w:spacing w:val="-4"/>
        </w:rPr>
        <w:t>债项信用等级维持</w:t>
      </w:r>
      <w:r>
        <w:rPr>
          <w:rFonts w:ascii="Times New Roman" w:hAnsi="Times New Roman" w:cs="Times New Roman" w:eastAsia="Times New Roman" w:hint="default"/>
          <w:spacing w:val="-4"/>
        </w:rPr>
        <w:t>“AA+”</w:t>
      </w:r>
      <w:r>
        <w:rPr>
          <w:spacing w:val="-4"/>
        </w:rPr>
        <w:t>。该等级代表发行</w:t>
      </w:r>
      <w:r>
        <w:rPr>
          <w:spacing w:val="-43"/>
        </w:rPr>
        <w:t> </w:t>
      </w:r>
      <w:r>
        <w:rPr>
          <w:spacing w:val="-43"/>
        </w:rPr>
      </w:r>
      <w:r>
        <w:rPr>
          <w:spacing w:val="-2"/>
        </w:rPr>
        <w:t>人偿还债务的能力强，受不利经济环境的影响不大，违约风险低。本次评级结果与上一次评级结果相比无</w:t>
      </w:r>
      <w:r>
        <w:rPr>
          <w:spacing w:val="-45"/>
        </w:rPr>
        <w:t> </w:t>
      </w:r>
      <w:r>
        <w:rPr>
          <w:spacing w:val="-45"/>
        </w:rPr>
      </w:r>
      <w:r>
        <w:rPr/>
        <w:t>变化。</w:t>
      </w:r>
    </w:p>
    <w:p>
      <w:pPr>
        <w:spacing w:line="240" w:lineRule="auto" w:before="7"/>
        <w:rPr>
          <w:rFonts w:ascii="宋体" w:hAnsi="宋体" w:cs="宋体" w:eastAsia="宋体" w:hint="default"/>
          <w:sz w:val="16"/>
          <w:szCs w:val="16"/>
        </w:rPr>
      </w:pPr>
    </w:p>
    <w:p>
      <w:pPr>
        <w:pStyle w:val="Heading2"/>
        <w:spacing w:line="240" w:lineRule="auto"/>
        <w:ind w:right="0"/>
        <w:jc w:val="both"/>
        <w:rPr>
          <w:b w:val="0"/>
          <w:bCs w:val="0"/>
        </w:rPr>
      </w:pPr>
      <w:r>
        <w:rPr/>
        <w:t>五、公司债券增信机制、偿债计划及其他偿债保障措施</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t>（一）增信机制：</w:t>
      </w:r>
      <w:r>
        <w:rPr>
          <w:rFonts w:ascii="Times New Roman" w:hAnsi="Times New Roman" w:cs="Times New Roman" w:eastAsia="Times New Roman" w:hint="default"/>
        </w:rPr>
        <w:t>“16</w:t>
      </w:r>
      <w:r>
        <w:rPr/>
        <w:t>国盛金</w:t>
      </w:r>
      <w:r>
        <w:rPr>
          <w:rFonts w:ascii="Times New Roman" w:hAnsi="Times New Roman" w:cs="Times New Roman" w:eastAsia="Times New Roman" w:hint="default"/>
        </w:rPr>
        <w:t>”</w:t>
      </w:r>
      <w:r>
        <w:rPr/>
        <w:t>、</w:t>
      </w:r>
      <w:r>
        <w:rPr>
          <w:rFonts w:ascii="Times New Roman" w:hAnsi="Times New Roman" w:cs="Times New Roman" w:eastAsia="Times New Roman" w:hint="default"/>
        </w:rPr>
        <w:t>“16</w:t>
      </w:r>
      <w:r>
        <w:rPr/>
        <w:t>国盛</w:t>
      </w:r>
      <w:r>
        <w:rPr>
          <w:rFonts w:ascii="Times New Roman" w:hAnsi="Times New Roman" w:cs="Times New Roman" w:eastAsia="Times New Roman" w:hint="default"/>
        </w:rPr>
        <w:t>01”</w:t>
      </w:r>
      <w:r>
        <w:rPr/>
        <w:t>均为无担保债券。</w:t>
      </w:r>
    </w:p>
    <w:p>
      <w:pPr>
        <w:pStyle w:val="BodyText"/>
        <w:spacing w:line="240" w:lineRule="auto" w:before="21"/>
        <w:ind w:left="573" w:right="0"/>
        <w:jc w:val="left"/>
      </w:pPr>
      <w:r>
        <w:rPr/>
        <w:t>（二）</w:t>
      </w:r>
      <w:r>
        <w:rPr>
          <w:rFonts w:ascii="Times New Roman" w:hAnsi="Times New Roman" w:cs="Times New Roman" w:eastAsia="Times New Roman" w:hint="default"/>
        </w:rPr>
        <w:t>“16</w:t>
      </w:r>
      <w:r>
        <w:rPr/>
        <w:t>国盛金</w:t>
      </w:r>
      <w:r>
        <w:rPr>
          <w:rFonts w:ascii="Times New Roman" w:hAnsi="Times New Roman" w:cs="Times New Roman" w:eastAsia="Times New Roman" w:hint="default"/>
        </w:rPr>
        <w:t>”</w:t>
      </w:r>
      <w:r>
        <w:rPr/>
        <w:t>偿债计划及偿债保障措施</w:t>
      </w:r>
    </w:p>
    <w:p>
      <w:pPr>
        <w:pStyle w:val="BodyText"/>
        <w:spacing w:line="240" w:lineRule="auto" w:before="62"/>
        <w:ind w:left="573" w:right="0"/>
        <w:jc w:val="left"/>
      </w:pPr>
      <w:r>
        <w:rPr>
          <w:rFonts w:ascii="Times New Roman" w:hAnsi="Times New Roman" w:cs="Times New Roman" w:eastAsia="Times New Roman" w:hint="default"/>
        </w:rPr>
        <w:t>1</w:t>
      </w:r>
      <w:r>
        <w:rPr/>
        <w:t>、偿债计划</w:t>
      </w:r>
    </w:p>
    <w:p>
      <w:pPr>
        <w:pStyle w:val="BodyText"/>
        <w:spacing w:line="290" w:lineRule="auto" w:before="59"/>
        <w:ind w:left="573" w:right="0"/>
        <w:jc w:val="left"/>
      </w:pPr>
      <w:r>
        <w:rPr/>
        <w:t>（</w:t>
      </w:r>
      <w:r>
        <w:rPr>
          <w:rFonts w:ascii="Times New Roman" w:hAnsi="Times New Roman" w:cs="Times New Roman" w:eastAsia="Times New Roman" w:hint="default"/>
        </w:rPr>
        <w:t>1</w:t>
      </w:r>
      <w:r>
        <w:rPr/>
        <w:t>）利息的支付</w:t>
      </w:r>
      <w:r>
        <w:rPr>
          <w:w w:val="100"/>
        </w:rPr>
        <w:t> </w:t>
      </w:r>
      <w:r>
        <w:rPr>
          <w:spacing w:val="-2"/>
        </w:rPr>
        <w:t>本次债券采用单利按年计息，不计复利，逾期不另计息。在存续期内每年付息一次，最后一期利息随</w:t>
      </w:r>
    </w:p>
    <w:p>
      <w:pPr>
        <w:pStyle w:val="BodyText"/>
        <w:spacing w:line="261" w:lineRule="auto"/>
        <w:ind w:right="1126"/>
        <w:jc w:val="both"/>
      </w:pPr>
      <w:r>
        <w:rPr/>
        <w:t>本金的兑付一起支付。本次债券存续期内每年的</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日为上一计息年度的付息日，如投资者行使回售选</w:t>
      </w:r>
      <w:r>
        <w:rPr>
          <w:spacing w:val="-25"/>
        </w:rPr>
        <w:t> </w:t>
      </w:r>
      <w:r>
        <w:rPr>
          <w:spacing w:val="-25"/>
        </w:rPr>
      </w:r>
      <w:r>
        <w:rPr>
          <w:spacing w:val="-4"/>
        </w:rPr>
        <w:t>择权，则其回售部分本次债券的付息日为</w:t>
      </w:r>
      <w:r>
        <w:rPr>
          <w:rFonts w:ascii="Times New Roman" w:hAnsi="Times New Roman" w:cs="Times New Roman" w:eastAsia="Times New Roman" w:hint="default"/>
          <w:spacing w:val="-4"/>
        </w:rPr>
        <w:t>2017</w:t>
      </w:r>
      <w:r>
        <w:rPr>
          <w:spacing w:val="-4"/>
        </w:rPr>
        <w:t>年至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2020</w:t>
      </w:r>
      <w:r>
        <w:rPr>
          <w:spacing w:val="-4"/>
        </w:rPr>
        <w:t>年每年的</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日（如遇法定节假日或休息</w:t>
      </w:r>
      <w:r>
        <w:rPr>
          <w:spacing w:val="-26"/>
        </w:rPr>
        <w:t> </w:t>
      </w:r>
      <w:r>
        <w:rPr>
          <w:spacing w:val="-26"/>
        </w:rPr>
      </w:r>
      <w:r>
        <w:rPr>
          <w:spacing w:val="-5"/>
        </w:rPr>
        <w:t>日，则顺延至其后的第</w:t>
      </w:r>
      <w:r>
        <w:rPr>
          <w:rFonts w:ascii="Times New Roman" w:hAnsi="Times New Roman" w:cs="Times New Roman" w:eastAsia="Times New Roman" w:hint="default"/>
          <w:spacing w:val="-5"/>
        </w:rPr>
        <w:t>1</w:t>
      </w:r>
      <w:r>
        <w:rPr>
          <w:spacing w:val="-5"/>
        </w:rPr>
        <w:t>个交易日）。本次债券利息的支付通过登记机构和有关机构办理，利息支付的具体</w:t>
      </w:r>
      <w:r>
        <w:rPr>
          <w:spacing w:val="-8"/>
        </w:rPr>
        <w:t> </w:t>
      </w:r>
      <w:r>
        <w:rPr>
          <w:spacing w:val="-8"/>
        </w:rPr>
      </w:r>
      <w:r>
        <w:rPr>
          <w:spacing w:val="-2"/>
        </w:rPr>
        <w:t>事项将按照国家有关规定，由发行人在中国证监会指定媒体上发布的付息公告中说明。投资者投资本次债</w:t>
      </w:r>
      <w:r>
        <w:rPr>
          <w:spacing w:val="-43"/>
        </w:rPr>
        <w:t> </w:t>
      </w:r>
      <w:r>
        <w:rPr>
          <w:spacing w:val="-43"/>
        </w:rPr>
      </w:r>
      <w:r>
        <w:rPr/>
        <w:t>券应缴纳的有关税费由投资者自行承担。</w:t>
      </w:r>
    </w:p>
    <w:p>
      <w:pPr>
        <w:pStyle w:val="BodyText"/>
        <w:spacing w:line="292" w:lineRule="auto" w:before="56"/>
        <w:ind w:left="573" w:right="0"/>
        <w:jc w:val="left"/>
      </w:pPr>
      <w:r>
        <w:rPr/>
        <w:t>（</w:t>
      </w:r>
      <w:r>
        <w:rPr>
          <w:rFonts w:ascii="Times New Roman" w:hAnsi="Times New Roman" w:cs="Times New Roman" w:eastAsia="Times New Roman" w:hint="default"/>
        </w:rPr>
        <w:t>2</w:t>
      </w:r>
      <w:r>
        <w:rPr/>
        <w:t>）本金的偿付</w:t>
      </w:r>
      <w:r>
        <w:rPr>
          <w:w w:val="100"/>
        </w:rPr>
        <w:t> </w:t>
      </w:r>
      <w:r>
        <w:rPr>
          <w:spacing w:val="-4"/>
        </w:rPr>
        <w:t>本次债券到期一次还本。本次债券兑付日为</w:t>
      </w:r>
      <w:r>
        <w:rPr>
          <w:rFonts w:ascii="Times New Roman" w:hAnsi="Times New Roman" w:cs="Times New Roman" w:eastAsia="Times New Roman" w:hint="default"/>
          <w:spacing w:val="-4"/>
        </w:rPr>
        <w:t>2021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日，因投资者行使回售选择权回售部分债券的</w:t>
      </w:r>
    </w:p>
    <w:p>
      <w:pPr>
        <w:pStyle w:val="BodyText"/>
        <w:spacing w:line="261" w:lineRule="exact"/>
        <w:ind w:right="0"/>
        <w:jc w:val="both"/>
      </w:pPr>
      <w:r>
        <w:rPr>
          <w:spacing w:val="-4"/>
        </w:rPr>
        <w:t>到期日为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w:t>
      </w:r>
      <w:r>
        <w:rPr>
          <w:spacing w:val="-4"/>
        </w:rPr>
        <w:t>日。如遇法定节假日或休息日，则顺延至其后的第</w:t>
      </w:r>
      <w:r>
        <w:rPr>
          <w:rFonts w:ascii="Times New Roman" w:hAnsi="Times New Roman" w:cs="Times New Roman" w:eastAsia="Times New Roman" w:hint="default"/>
          <w:spacing w:val="-4"/>
        </w:rPr>
        <w:t>1</w:t>
      </w:r>
      <w:r>
        <w:rPr>
          <w:spacing w:val="-4"/>
        </w:rPr>
        <w:t>个交易日；顺延</w:t>
      </w:r>
    </w:p>
    <w:p>
      <w:pPr>
        <w:pStyle w:val="BodyText"/>
        <w:spacing w:line="240" w:lineRule="auto" w:before="21"/>
        <w:ind w:right="0"/>
        <w:jc w:val="both"/>
      </w:pPr>
      <w:r>
        <w:rPr/>
        <w:t>期间兑付款项不另计利息。</w:t>
      </w:r>
    </w:p>
    <w:p>
      <w:pPr>
        <w:pStyle w:val="BodyText"/>
        <w:spacing w:line="290" w:lineRule="auto" w:before="78"/>
        <w:ind w:left="573" w:right="0"/>
        <w:jc w:val="left"/>
      </w:pPr>
      <w:r>
        <w:rPr>
          <w:rFonts w:ascii="Times New Roman" w:hAnsi="Times New Roman" w:cs="Times New Roman" w:eastAsia="Times New Roman" w:hint="default"/>
        </w:rPr>
        <w:t>2</w:t>
      </w:r>
      <w:r>
        <w:rPr/>
        <w:t>、偿债保障措施</w:t>
      </w:r>
      <w:r>
        <w:rPr>
          <w:w w:val="100"/>
        </w:rPr>
        <w:t> </w:t>
      </w:r>
      <w:r>
        <w:rPr>
          <w:spacing w:val="-2"/>
        </w:rPr>
        <w:t>为了充分、有效地维护</w:t>
      </w:r>
      <w:r>
        <w:rPr>
          <w:rFonts w:ascii="Times New Roman" w:hAnsi="Times New Roman" w:cs="Times New Roman" w:eastAsia="Times New Roman" w:hint="default"/>
          <w:spacing w:val="-2"/>
        </w:rPr>
        <w:t>“16</w:t>
      </w:r>
      <w:r>
        <w:rPr>
          <w:spacing w:val="-2"/>
        </w:rPr>
        <w:t>国盛金</w:t>
      </w:r>
      <w:r>
        <w:rPr>
          <w:rFonts w:ascii="Times New Roman" w:hAnsi="Times New Roman" w:cs="Times New Roman" w:eastAsia="Times New Roman" w:hint="default"/>
          <w:spacing w:val="-2"/>
        </w:rPr>
        <w:t>”</w:t>
      </w:r>
      <w:r>
        <w:rPr>
          <w:spacing w:val="-2"/>
        </w:rPr>
        <w:t>债券持有人的利益，发行人为本次债券的按时、足额偿付做出一系</w:t>
      </w:r>
    </w:p>
    <w:p>
      <w:pPr>
        <w:pStyle w:val="BodyText"/>
        <w:spacing w:line="247" w:lineRule="exact"/>
        <w:ind w:right="0"/>
        <w:jc w:val="both"/>
      </w:pPr>
      <w:r>
        <w:rPr/>
        <w:t>列安排，包括制定《债券持有人会议规则》、设立专门的偿付工作小组、制定并严格执行资金管理计划、</w:t>
      </w:r>
    </w:p>
    <w:p>
      <w:pPr>
        <w:pStyle w:val="BodyText"/>
        <w:spacing w:line="264" w:lineRule="auto" w:before="37"/>
        <w:ind w:right="1126"/>
        <w:jc w:val="both"/>
      </w:pPr>
      <w:r>
        <w:rPr>
          <w:spacing w:val="-2"/>
        </w:rPr>
        <w:t>充分发挥债券受托管理人的作用和严格履行信息披露义务等，形成一套确保债券安全付息、兑付的保障措</w:t>
      </w:r>
      <w:r>
        <w:rPr>
          <w:spacing w:val="-42"/>
        </w:rPr>
        <w:t> </w:t>
      </w:r>
      <w:r>
        <w:rPr>
          <w:spacing w:val="-42"/>
        </w:rPr>
      </w:r>
      <w:r>
        <w:rPr>
          <w:spacing w:val="-2"/>
        </w:rPr>
        <w:t>施。公司严格按照</w:t>
      </w:r>
      <w:r>
        <w:rPr>
          <w:rFonts w:ascii="Times New Roman" w:hAnsi="Times New Roman" w:cs="Times New Roman" w:eastAsia="Times New Roman" w:hint="default"/>
          <w:spacing w:val="-2"/>
        </w:rPr>
        <w:t>“16</w:t>
      </w:r>
      <w:r>
        <w:rPr>
          <w:spacing w:val="-2"/>
        </w:rPr>
        <w:t>国盛金</w:t>
      </w:r>
      <w:r>
        <w:rPr>
          <w:rFonts w:ascii="Times New Roman" w:hAnsi="Times New Roman" w:cs="Times New Roman" w:eastAsia="Times New Roman" w:hint="default"/>
          <w:spacing w:val="-2"/>
        </w:rPr>
        <w:t>”</w:t>
      </w:r>
      <w:r>
        <w:rPr>
          <w:spacing w:val="-2"/>
        </w:rPr>
        <w:t>的募集说明书相关承诺履行偿债保障措施，切实、有效的保护债券持有人的</w:t>
      </w:r>
      <w:r>
        <w:rPr>
          <w:spacing w:val="-20"/>
        </w:rPr>
        <w:t> </w:t>
      </w:r>
      <w:r>
        <w:rPr>
          <w:spacing w:val="-20"/>
        </w:rPr>
      </w:r>
      <w:r>
        <w:rPr/>
        <w:t>利益。</w:t>
      </w:r>
    </w:p>
    <w:p>
      <w:pPr>
        <w:pStyle w:val="BodyText"/>
        <w:spacing w:line="240" w:lineRule="auto" w:before="57"/>
        <w:ind w:left="573" w:right="0"/>
        <w:jc w:val="left"/>
      </w:pPr>
      <w:r>
        <w:rPr/>
        <w:t>（三）</w:t>
      </w:r>
      <w:r>
        <w:rPr>
          <w:rFonts w:ascii="Times New Roman" w:hAnsi="Times New Roman" w:cs="Times New Roman" w:eastAsia="Times New Roman" w:hint="default"/>
        </w:rPr>
        <w:t>“16</w:t>
      </w:r>
      <w:r>
        <w:rPr/>
        <w:t>国盛</w:t>
      </w:r>
      <w:r>
        <w:rPr>
          <w:rFonts w:ascii="Times New Roman" w:hAnsi="Times New Roman" w:cs="Times New Roman" w:eastAsia="Times New Roman" w:hint="default"/>
        </w:rPr>
        <w:t>01”</w:t>
      </w:r>
      <w:r>
        <w:rPr/>
        <w:t>偿债计划及偿债保障措施</w:t>
      </w:r>
    </w:p>
    <w:p>
      <w:pPr>
        <w:pStyle w:val="BodyText"/>
        <w:spacing w:line="240" w:lineRule="auto" w:before="62"/>
        <w:ind w:left="573" w:right="0"/>
        <w:jc w:val="left"/>
      </w:pPr>
      <w:r>
        <w:rPr>
          <w:rFonts w:ascii="Times New Roman" w:hAnsi="Times New Roman" w:cs="Times New Roman" w:eastAsia="Times New Roman" w:hint="default"/>
        </w:rPr>
        <w:t>1</w:t>
      </w:r>
      <w:r>
        <w:rPr/>
        <w:t>、偿债计划</w:t>
      </w:r>
    </w:p>
    <w:p>
      <w:pPr>
        <w:pStyle w:val="BodyText"/>
        <w:spacing w:line="240" w:lineRule="auto" w:before="59"/>
        <w:ind w:left="573" w:right="0"/>
        <w:jc w:val="left"/>
      </w:pPr>
      <w:r>
        <w:rPr/>
        <w:t>（</w:t>
      </w:r>
      <w:r>
        <w:rPr>
          <w:rFonts w:ascii="Times New Roman" w:hAnsi="Times New Roman" w:cs="Times New Roman" w:eastAsia="Times New Roman" w:hint="default"/>
        </w:rPr>
        <w:t>1</w:t>
      </w:r>
      <w:r>
        <w:rPr/>
        <w:t>）利息的支付</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BodyText"/>
        <w:spacing w:line="261" w:lineRule="auto" w:before="36"/>
        <w:ind w:right="1128" w:firstLine="420"/>
        <w:jc w:val="both"/>
      </w:pPr>
      <w:r>
        <w:rPr>
          <w:spacing w:val="-2"/>
        </w:rPr>
        <w:t>本期债券采用单利按年计息，不计复利，逾期不另计息。本期债券在存续期内每年付息一次，最后一</w:t>
      </w:r>
      <w:r>
        <w:rPr>
          <w:w w:val="100"/>
        </w:rPr>
        <w:t> </w:t>
      </w:r>
      <w:r>
        <w:rPr/>
        <w:t>期利息随本金的兑付一起支付。本期债券存续期内每年的</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日为上一计息年度的付息日，如投资者行</w:t>
      </w:r>
      <w:r>
        <w:rPr>
          <w:spacing w:val="-24"/>
        </w:rPr>
        <w:t> </w:t>
      </w:r>
      <w:r>
        <w:rPr>
          <w:spacing w:val="-24"/>
        </w:rPr>
      </w:r>
      <w:r>
        <w:rPr/>
        <w:t>使回售选择权，则其回售部分本期债券的付息日为</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年每年的</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日（如遇法定节假日或休</w:t>
      </w:r>
      <w:r>
        <w:rPr>
          <w:spacing w:val="-26"/>
        </w:rPr>
        <w:t> </w:t>
      </w:r>
      <w:r>
        <w:rPr>
          <w:spacing w:val="-26"/>
        </w:rPr>
      </w:r>
      <w:r>
        <w:rPr/>
        <w:t>息日，则顺延至其后的第</w:t>
      </w:r>
      <w:r>
        <w:rPr>
          <w:rFonts w:ascii="Times New Roman" w:hAnsi="Times New Roman" w:cs="Times New Roman" w:eastAsia="Times New Roman" w:hint="default"/>
        </w:rPr>
        <w:t>1</w:t>
      </w:r>
      <w:r>
        <w:rPr/>
        <w:t>个交易日）。</w:t>
      </w:r>
    </w:p>
    <w:p>
      <w:pPr>
        <w:pStyle w:val="BodyText"/>
        <w:spacing w:line="290" w:lineRule="auto" w:before="41"/>
        <w:ind w:left="573" w:right="0"/>
        <w:jc w:val="left"/>
      </w:pPr>
      <w:r>
        <w:rPr/>
        <w:t>（</w:t>
      </w:r>
      <w:r>
        <w:rPr>
          <w:rFonts w:ascii="Times New Roman" w:hAnsi="Times New Roman" w:cs="Times New Roman" w:eastAsia="Times New Roman" w:hint="default"/>
        </w:rPr>
        <w:t>2</w:t>
      </w:r>
      <w:r>
        <w:rPr/>
        <w:t>）本金的偿付</w:t>
      </w:r>
      <w:r>
        <w:rPr>
          <w:w w:val="100"/>
        </w:rPr>
        <w:t> </w:t>
      </w:r>
      <w:r>
        <w:rPr>
          <w:spacing w:val="-4"/>
        </w:rPr>
        <w:t>本期债券到期一次还本。本期债券兑付日为</w:t>
      </w:r>
      <w:r>
        <w:rPr>
          <w:rFonts w:ascii="Times New Roman" w:hAnsi="Times New Roman" w:cs="Times New Roman" w:eastAsia="Times New Roman" w:hint="default"/>
          <w:spacing w:val="-4"/>
        </w:rPr>
        <w:t>2021</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24</w:t>
      </w:r>
      <w:r>
        <w:rPr>
          <w:spacing w:val="-4"/>
        </w:rPr>
        <w:t>日，因投资者行使回售选择权回售部分债券的</w:t>
      </w:r>
    </w:p>
    <w:p>
      <w:pPr>
        <w:pStyle w:val="BodyText"/>
        <w:spacing w:line="263" w:lineRule="exact"/>
        <w:ind w:left="573" w:right="0" w:hanging="421"/>
        <w:jc w:val="left"/>
      </w:pPr>
      <w:r>
        <w:rPr/>
        <w:t>到期日为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w:t>
      </w:r>
    </w:p>
    <w:p>
      <w:pPr>
        <w:pStyle w:val="BodyText"/>
        <w:spacing w:line="290" w:lineRule="auto" w:before="62"/>
        <w:ind w:left="573" w:right="0"/>
        <w:jc w:val="left"/>
      </w:pPr>
      <w:r>
        <w:rPr>
          <w:rFonts w:ascii="Times New Roman" w:hAnsi="Times New Roman" w:cs="Times New Roman" w:eastAsia="Times New Roman" w:hint="default"/>
        </w:rPr>
        <w:t>2</w:t>
      </w:r>
      <w:r>
        <w:rPr/>
        <w:t>、偿债保障措施</w:t>
      </w:r>
      <w:r>
        <w:rPr>
          <w:w w:val="100"/>
        </w:rPr>
        <w:t> </w:t>
      </w:r>
      <w:r>
        <w:rPr/>
        <w:t>为了充分、有效地维护债券持有人的利益，国盛证券为本期债券的按时、足额偿付做出一系列安排，</w:t>
      </w:r>
    </w:p>
    <w:p>
      <w:pPr>
        <w:pStyle w:val="BodyText"/>
        <w:spacing w:line="273" w:lineRule="auto"/>
        <w:ind w:left="0" w:right="1126"/>
        <w:jc w:val="right"/>
      </w:pPr>
      <w:r>
        <w:rPr>
          <w:spacing w:val="-2"/>
        </w:rPr>
        <w:t>包括制定《债券持有人会议规则》、设立专门的偿付工作小组、制定并严格执行资金管理计划、充分发挥</w:t>
      </w:r>
      <w:r>
        <w:rPr>
          <w:spacing w:val="-65"/>
        </w:rPr>
        <w:t> </w:t>
      </w:r>
      <w:r>
        <w:rPr>
          <w:spacing w:val="-65"/>
        </w:rPr>
      </w:r>
      <w:r>
        <w:rPr>
          <w:spacing w:val="-2"/>
        </w:rPr>
        <w:t>债券受托管理人的作用和严格履行信息披露义务等，形成一套确保债券安全付息、兑付的保障措施。国盛</w:t>
      </w:r>
      <w:r>
        <w:rPr>
          <w:spacing w:val="-67"/>
        </w:rPr>
        <w:t> </w:t>
      </w:r>
      <w:r>
        <w:rPr>
          <w:spacing w:val="-67"/>
        </w:rPr>
      </w:r>
      <w:r>
        <w:rPr>
          <w:spacing w:val="-6"/>
          <w:w w:val="100"/>
        </w:rPr>
        <w:t>证券严格按照</w:t>
      </w:r>
      <w:r>
        <w:rPr>
          <w:rFonts w:ascii="Times New Roman" w:hAnsi="Times New Roman" w:cs="Times New Roman" w:eastAsia="Times New Roman" w:hint="default"/>
          <w:spacing w:val="-6"/>
          <w:w w:val="100"/>
        </w:rPr>
        <w:t>“16</w:t>
      </w:r>
      <w:r>
        <w:rPr>
          <w:spacing w:val="-6"/>
          <w:w w:val="100"/>
        </w:rPr>
        <w:t>国盛</w:t>
      </w:r>
      <w:r>
        <w:rPr>
          <w:rFonts w:ascii="Times New Roman" w:hAnsi="Times New Roman" w:cs="Times New Roman" w:eastAsia="Times New Roman" w:hint="default"/>
          <w:spacing w:val="-6"/>
          <w:w w:val="100"/>
        </w:rPr>
        <w:t>01”</w:t>
      </w:r>
      <w:r>
        <w:rPr>
          <w:spacing w:val="-6"/>
          <w:w w:val="100"/>
        </w:rPr>
        <w:t>的募集说明书相关承诺履行偿债保障措施，切实、有效的保护债券持有人的利益。</w:t>
      </w:r>
    </w:p>
    <w:p>
      <w:pPr>
        <w:spacing w:line="240" w:lineRule="auto" w:before="0"/>
        <w:rPr>
          <w:rFonts w:ascii="宋体" w:hAnsi="宋体" w:cs="宋体" w:eastAsia="宋体" w:hint="default"/>
          <w:sz w:val="29"/>
          <w:szCs w:val="29"/>
        </w:rPr>
      </w:pPr>
    </w:p>
    <w:p>
      <w:pPr>
        <w:pStyle w:val="BodyText"/>
        <w:spacing w:line="256" w:lineRule="auto"/>
        <w:ind w:right="1126" w:firstLine="420"/>
        <w:jc w:val="both"/>
      </w:pPr>
      <w:r>
        <w:rPr>
          <w:spacing w:val="-2"/>
        </w:rPr>
        <w:t>报告期</w:t>
      </w:r>
      <w:r>
        <w:rPr>
          <w:rFonts w:ascii="Times New Roman" w:hAnsi="Times New Roman" w:cs="Times New Roman" w:eastAsia="Times New Roman" w:hint="default"/>
          <w:spacing w:val="-2"/>
        </w:rPr>
        <w:t>“16</w:t>
      </w:r>
      <w:r>
        <w:rPr>
          <w:spacing w:val="-2"/>
        </w:rPr>
        <w:t>国盛金</w:t>
      </w:r>
      <w:r>
        <w:rPr>
          <w:rFonts w:ascii="Times New Roman" w:hAnsi="Times New Roman" w:cs="Times New Roman" w:eastAsia="Times New Roman" w:hint="default"/>
          <w:spacing w:val="-2"/>
        </w:rPr>
        <w:t>”</w:t>
      </w:r>
      <w:r>
        <w:rPr>
          <w:spacing w:val="-2"/>
        </w:rPr>
        <w:t>执行一次投资者回售选择权，本次债券经</w:t>
      </w:r>
      <w:r>
        <w:rPr>
          <w:rFonts w:ascii="Times New Roman" w:hAnsi="Times New Roman" w:cs="Times New Roman" w:eastAsia="Times New Roman" w:hint="default"/>
          <w:spacing w:val="-2"/>
        </w:rPr>
        <w:t>2019</w:t>
      </w:r>
      <w:r>
        <w:rPr>
          <w:spacing w:val="-2"/>
        </w:rPr>
        <w:t>年第一次债券持有人会议审议通过修</w:t>
      </w:r>
      <w:r>
        <w:rPr>
          <w:w w:val="100"/>
        </w:rPr>
        <w:t> </w:t>
      </w:r>
      <w:r>
        <w:rPr/>
        <w:t>改上调票面利率选择权及回售登记期条款，经</w:t>
      </w:r>
      <w:r>
        <w:rPr>
          <w:rFonts w:ascii="Times New Roman" w:hAnsi="Times New Roman" w:cs="Times New Roman" w:eastAsia="Times New Roman" w:hint="default"/>
        </w:rPr>
        <w:t>2019</w:t>
      </w:r>
      <w:r>
        <w:rPr/>
        <w:t>年第二次债券持有人会议审议通过增加存续期第</w:t>
      </w:r>
      <w:r>
        <w:rPr>
          <w:rFonts w:ascii="Times New Roman" w:hAnsi="Times New Roman" w:cs="Times New Roman" w:eastAsia="Times New Roman" w:hint="default"/>
        </w:rPr>
        <w:t>4</w:t>
      </w:r>
      <w:r>
        <w:rPr/>
        <w:t>年末</w:t>
      </w:r>
      <w:r>
        <w:rPr>
          <w:spacing w:val="-25"/>
        </w:rPr>
        <w:t> </w:t>
      </w:r>
      <w:r>
        <w:rPr>
          <w:spacing w:val="-2"/>
        </w:rPr>
        <w:t>上调票面利率选择权及投资者回售选择权条款；</w:t>
      </w:r>
      <w:r>
        <w:rPr>
          <w:rFonts w:ascii="Times New Roman" w:hAnsi="Times New Roman" w:cs="Times New Roman" w:eastAsia="Times New Roman" w:hint="default"/>
          <w:spacing w:val="-2"/>
        </w:rPr>
        <w:t>“16</w:t>
      </w:r>
      <w:r>
        <w:rPr>
          <w:spacing w:val="-2"/>
        </w:rPr>
        <w:t>国盛</w:t>
      </w:r>
      <w:r>
        <w:rPr>
          <w:rFonts w:ascii="Times New Roman" w:hAnsi="Times New Roman" w:cs="Times New Roman" w:eastAsia="Times New Roman" w:hint="default"/>
          <w:spacing w:val="-2"/>
        </w:rPr>
        <w:t>01”</w:t>
      </w:r>
      <w:r>
        <w:rPr>
          <w:spacing w:val="-2"/>
        </w:rPr>
        <w:t>执行投资者回售选择权并转售部分债券，其增</w:t>
      </w:r>
      <w:r>
        <w:rPr>
          <w:spacing w:val="-16"/>
        </w:rPr>
        <w:t> </w:t>
      </w:r>
      <w:r>
        <w:rPr>
          <w:spacing w:val="-16"/>
        </w:rPr>
      </w:r>
      <w:r>
        <w:rPr/>
        <w:t>信机制、偿债计划及其他偿债保障措施未发生变更。</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六、报告期内债券持有人会议的召开情况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56" w:lineRule="auto"/>
        <w:ind w:right="1126" w:firstLine="42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16</w:t>
      </w:r>
      <w:r>
        <w:rPr>
          <w:spacing w:val="-4"/>
        </w:rPr>
        <w:t>国盛金：</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18</w:t>
      </w:r>
      <w:r>
        <w:rPr>
          <w:spacing w:val="-4"/>
        </w:rPr>
        <w:t>日召开</w:t>
      </w:r>
      <w:r>
        <w:rPr>
          <w:rFonts w:ascii="Times New Roman" w:hAnsi="Times New Roman" w:cs="Times New Roman" w:eastAsia="Times New Roman" w:hint="default"/>
          <w:spacing w:val="-4"/>
        </w:rPr>
        <w:t>2019</w:t>
      </w:r>
      <w:r>
        <w:rPr>
          <w:spacing w:val="-4"/>
        </w:rPr>
        <w:t>年第一次债券持有人会议，审议通过《关于豁免本次债券持有</w:t>
      </w:r>
      <w:r>
        <w:rPr>
          <w:w w:val="100"/>
        </w:rPr>
        <w:t> </w:t>
      </w:r>
      <w:r>
        <w:rPr>
          <w:spacing w:val="-2"/>
        </w:rPr>
        <w:t>人会议通知期限的议案》《关于修改发行人上调票面利率选择权及回售登记期条款的议案》；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spacing w:val="-42"/>
        </w:rPr>
        <w:t> </w:t>
      </w:r>
      <w:r>
        <w:rPr>
          <w:rFonts w:ascii="Times New Roman" w:hAnsi="Times New Roman" w:cs="Times New Roman" w:eastAsia="Times New Roman" w:hint="default"/>
          <w:spacing w:val="-2"/>
        </w:rPr>
        <w:t>24</w:t>
      </w:r>
      <w:r>
        <w:rPr>
          <w:spacing w:val="-2"/>
        </w:rPr>
        <w:t>日召开</w:t>
      </w:r>
      <w:r>
        <w:rPr>
          <w:rFonts w:ascii="Times New Roman" w:hAnsi="Times New Roman" w:cs="Times New Roman" w:eastAsia="Times New Roman" w:hint="default"/>
          <w:spacing w:val="-2"/>
        </w:rPr>
        <w:t>2019</w:t>
      </w:r>
      <w:r>
        <w:rPr>
          <w:spacing w:val="-2"/>
        </w:rPr>
        <w:t>年第二次债券持有人会议，审议通过《关于调整</w:t>
      </w:r>
      <w:r>
        <w:rPr>
          <w:rFonts w:ascii="Times New Roman" w:hAnsi="Times New Roman" w:cs="Times New Roman" w:eastAsia="Times New Roman" w:hint="default"/>
          <w:spacing w:val="-2"/>
        </w:rPr>
        <w:t>“16</w:t>
      </w:r>
      <w:r>
        <w:rPr>
          <w:spacing w:val="-2"/>
        </w:rPr>
        <w:t>国盛金</w:t>
      </w:r>
      <w:r>
        <w:rPr>
          <w:rFonts w:ascii="Times New Roman" w:hAnsi="Times New Roman" w:cs="Times New Roman" w:eastAsia="Times New Roman" w:hint="default"/>
          <w:spacing w:val="-2"/>
        </w:rPr>
        <w:t>”</w:t>
      </w:r>
      <w:r>
        <w:rPr>
          <w:spacing w:val="-2"/>
        </w:rPr>
        <w:t>债券募集说明书有关发行人上调</w:t>
      </w:r>
      <w:r>
        <w:rPr>
          <w:spacing w:val="-13"/>
        </w:rPr>
        <w:t> </w:t>
      </w:r>
      <w:r>
        <w:rPr>
          <w:spacing w:val="-13"/>
        </w:rPr>
      </w:r>
      <w:r>
        <w:rPr/>
        <w:t>票面利率选择权和投资者回售选择权条款的议案》。</w:t>
      </w:r>
    </w:p>
    <w:p>
      <w:pPr>
        <w:pStyle w:val="BodyText"/>
        <w:spacing w:line="240" w:lineRule="auto" w:before="22"/>
        <w:ind w:left="57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16</w:t>
      </w:r>
      <w:r>
        <w:rPr/>
        <w:t>国盛</w:t>
      </w:r>
      <w:r>
        <w:rPr>
          <w:rFonts w:ascii="Times New Roman" w:hAnsi="Times New Roman" w:cs="Times New Roman" w:eastAsia="Times New Roman" w:hint="default"/>
        </w:rPr>
        <w:t>01</w:t>
      </w:r>
      <w:r>
        <w:rPr/>
        <w:t>：报告期未召开债券持有人会议。</w:t>
      </w:r>
    </w:p>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r>
        <w:rPr/>
        <w:t>七、报告期内债券受托管理人履行职责的情况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56" w:lineRule="auto"/>
        <w:ind w:right="1128" w:firstLine="42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“16</w:t>
      </w:r>
      <w:r>
        <w:rPr>
          <w:spacing w:val="-4"/>
        </w:rPr>
        <w:t>国盛金</w:t>
      </w:r>
      <w:r>
        <w:rPr>
          <w:rFonts w:ascii="Times New Roman" w:hAnsi="Times New Roman" w:cs="Times New Roman" w:eastAsia="Times New Roman" w:hint="default"/>
          <w:spacing w:val="-4"/>
        </w:rPr>
        <w:t>”</w:t>
      </w:r>
      <w:r>
        <w:rPr>
          <w:spacing w:val="-4"/>
        </w:rPr>
        <w:t>债券受托管理人勤勉尽责，切实防范可能存在的风险，切实督促发行人在深交所网站披</w:t>
      </w:r>
      <w:r>
        <w:rPr>
          <w:w w:val="100"/>
        </w:rPr>
        <w:t> </w:t>
      </w:r>
      <w:r>
        <w:rPr>
          <w:spacing w:val="-2"/>
        </w:rPr>
        <w:t>露各项定期及不定期报告。期内，债券受托管理人召集了本次债券</w:t>
      </w:r>
      <w:r>
        <w:rPr>
          <w:rFonts w:ascii="Times New Roman" w:hAnsi="Times New Roman" w:cs="Times New Roman" w:eastAsia="Times New Roman" w:hint="default"/>
          <w:spacing w:val="-2"/>
        </w:rPr>
        <w:t>2019</w:t>
      </w:r>
      <w:r>
        <w:rPr>
          <w:spacing w:val="-2"/>
        </w:rPr>
        <w:t>年第一次债券持有人会议、</w:t>
      </w:r>
      <w:r>
        <w:rPr>
          <w:rFonts w:ascii="Times New Roman" w:hAnsi="Times New Roman" w:cs="Times New Roman" w:eastAsia="Times New Roman" w:hint="default"/>
          <w:spacing w:val="-2"/>
        </w:rPr>
        <w:t>2019</w:t>
      </w:r>
      <w:r>
        <w:rPr>
          <w:spacing w:val="-2"/>
        </w:rPr>
        <w:t>年</w:t>
      </w:r>
      <w:r>
        <w:rPr>
          <w:spacing w:val="-39"/>
        </w:rPr>
        <w:t> </w:t>
      </w:r>
      <w:r>
        <w:rPr/>
        <w:t>第二次债券持有人会议，切实履行受托管理职责。</w:t>
      </w:r>
    </w:p>
    <w:p>
      <w:pPr>
        <w:pStyle w:val="BodyText"/>
        <w:spacing w:line="256" w:lineRule="auto" w:before="23"/>
        <w:ind w:right="1128" w:firstLine="420"/>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“16</w:t>
      </w:r>
      <w:r>
        <w:rPr>
          <w:spacing w:val="-4"/>
        </w:rPr>
        <w:t>国盛</w:t>
      </w:r>
      <w:r>
        <w:rPr>
          <w:rFonts w:ascii="Times New Roman" w:hAnsi="Times New Roman" w:cs="Times New Roman" w:eastAsia="Times New Roman" w:hint="default"/>
          <w:spacing w:val="-4"/>
        </w:rPr>
        <w:t>01”</w:t>
      </w:r>
      <w:r>
        <w:rPr>
          <w:spacing w:val="-4"/>
        </w:rPr>
        <w:t>债券受托管理人勤勉尽责，切实防范可能存在的风险，切实督促发行人在上交所网站披</w:t>
      </w:r>
      <w:r>
        <w:rPr>
          <w:w w:val="100"/>
        </w:rPr>
        <w:t> </w:t>
      </w:r>
      <w:r>
        <w:rPr/>
        <w:t>露各项定期及不定期报告。</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八、截至报告期末公司近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年的主要会计数据和财务指标</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0" w:right="1128"/>
        <w:jc w:val="right"/>
      </w:pPr>
      <w:r>
        <w:rPr>
          <w:spacing w:val="-1"/>
        </w:rPr>
        <w:t>单位：万元</w:t>
      </w:r>
    </w:p>
    <w:p>
      <w:pPr>
        <w:spacing w:line="240" w:lineRule="auto" w:before="10"/>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同比变动率</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100,078.05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2,411.49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1"/>
                <w:sz w:val="21"/>
              </w:rPr>
              <w:t>4050.05%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135.88%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165.43%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-29.55%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0.47%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135.86%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165.43%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-29.57%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6.85%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spacing w:val="-1"/>
                <w:sz w:val="21"/>
              </w:rPr>
              <w:t>-0.04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pacing w:val="-1"/>
                <w:sz w:val="21"/>
              </w:rPr>
              <w:t>3300.00%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14.11%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 </w:t>
            </w:r>
            <w:r>
              <w:rPr>
                <w:rFonts w:ascii="宋体" w:hAnsi="宋体" w:cs="宋体" w:eastAsia="宋体" w:hint="default"/>
                <w:sz w:val="21"/>
                <w:szCs w:val="21"/>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3350%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0.00%</w:t>
            </w:r>
          </w:p>
        </w:tc>
      </w:tr>
    </w:tbl>
    <w:p>
      <w:pPr>
        <w:pStyle w:val="BodyText"/>
        <w:tabs>
          <w:tab w:pos="8156" w:val="left" w:leader="none"/>
        </w:tabs>
        <w:spacing w:line="290" w:lineRule="auto" w:before="28"/>
        <w:ind w:left="573" w:right="1162" w:hanging="421"/>
        <w:jc w:val="left"/>
      </w:pPr>
      <w:r>
        <w:rPr/>
        <w:t>上述会计数据和财务指标同比变动超过</w:t>
      </w:r>
      <w:r>
        <w:rPr>
          <w:spacing w:val="-55"/>
        </w:rPr>
        <w:t> </w:t>
      </w:r>
      <w:r>
        <w:rPr>
          <w:rFonts w:ascii="Times New Roman" w:hAnsi="Times New Roman" w:cs="Times New Roman" w:eastAsia="Times New Roman" w:hint="default"/>
        </w:rPr>
        <w:t>30%</w:t>
      </w:r>
      <w:r>
        <w:rPr/>
        <w:t>的主要原因</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r>
        <w:rPr>
          <w:w w:val="100"/>
        </w:rPr>
        <w:t> </w:t>
      </w:r>
      <w:r>
        <w:rPr/>
        <w:t>息税折旧摊销前利润、利息保障倍数及</w:t>
      </w:r>
      <w:r>
        <w:rPr>
          <w:rFonts w:ascii="Times New Roman" w:hAnsi="Times New Roman" w:cs="Times New Roman" w:eastAsia="Times New Roman" w:hint="default"/>
        </w:rPr>
        <w:t>EBITDA</w:t>
      </w:r>
      <w:r>
        <w:rPr/>
        <w:t>利息保障倍数分别同比增长</w:t>
      </w:r>
      <w:r>
        <w:rPr>
          <w:rFonts w:ascii="Times New Roman" w:hAnsi="Times New Roman" w:cs="Times New Roman" w:eastAsia="Times New Roman" w:hint="default"/>
        </w:rPr>
        <w:t>4,050.05%</w:t>
      </w:r>
      <w:r>
        <w:rPr/>
        <w:t>、</w:t>
      </w:r>
      <w:r>
        <w:rPr>
          <w:rFonts w:ascii="Times New Roman" w:hAnsi="Times New Roman" w:cs="Times New Roman" w:eastAsia="Times New Roman" w:hint="default"/>
        </w:rPr>
        <w:t>3,300%</w:t>
      </w:r>
      <w:r>
        <w:rPr/>
        <w:t>、</w:t>
      </w:r>
    </w:p>
    <w:p>
      <w:pPr>
        <w:pStyle w:val="BodyText"/>
        <w:spacing w:line="263" w:lineRule="exact"/>
        <w:ind w:right="0"/>
        <w:jc w:val="left"/>
      </w:pPr>
      <w:r>
        <w:rPr>
          <w:rFonts w:ascii="Times New Roman" w:hAnsi="Times New Roman" w:cs="Times New Roman" w:eastAsia="Times New Roman" w:hint="default"/>
        </w:rPr>
        <w:t>3,350%</w:t>
      </w:r>
      <w:r>
        <w:rPr/>
        <w:t>，主要是上年比较基数小及本年净利润同比增长导致。</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九、报告期对其他债券和债务融资工具的付息兑付情况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56" w:lineRule="auto"/>
        <w:ind w:right="1126" w:firstLine="420"/>
        <w:jc w:val="both"/>
      </w:pPr>
      <w:r>
        <w:rPr>
          <w:spacing w:val="-2"/>
        </w:rPr>
        <w:t>报告期，母公司支付</w:t>
      </w:r>
      <w:r>
        <w:rPr>
          <w:rFonts w:ascii="Times New Roman" w:hAnsi="Times New Roman" w:cs="Times New Roman" w:eastAsia="Times New Roman" w:hint="default"/>
          <w:spacing w:val="-2"/>
        </w:rPr>
        <w:t>2016</w:t>
      </w:r>
      <w:r>
        <w:rPr>
          <w:spacing w:val="-2"/>
        </w:rPr>
        <w:t>年非公开发行公司债券利息</w:t>
      </w:r>
      <w:r>
        <w:rPr>
          <w:rFonts w:ascii="Times New Roman" w:hAnsi="Times New Roman" w:cs="Times New Roman" w:eastAsia="Times New Roman" w:hint="default"/>
          <w:spacing w:val="-2"/>
        </w:rPr>
        <w:t>10,000</w:t>
      </w:r>
      <w:r>
        <w:rPr>
          <w:spacing w:val="-2"/>
        </w:rPr>
        <w:t>万元和债券回售款</w:t>
      </w:r>
      <w:r>
        <w:rPr>
          <w:rFonts w:ascii="Times New Roman" w:hAnsi="Times New Roman" w:cs="Times New Roman" w:eastAsia="Times New Roman" w:hint="default"/>
          <w:spacing w:val="-2"/>
        </w:rPr>
        <w:t>140,000</w:t>
      </w:r>
      <w:r>
        <w:rPr>
          <w:spacing w:val="-2"/>
        </w:rPr>
        <w:t>万元、</w:t>
      </w:r>
      <w:r>
        <w:rPr>
          <w:rFonts w:ascii="Times New Roman" w:hAnsi="Times New Roman" w:cs="Times New Roman" w:eastAsia="Times New Roman" w:hint="default"/>
          <w:spacing w:val="-2"/>
        </w:rPr>
        <w:t>2017</w:t>
      </w:r>
      <w:r>
        <w:rPr>
          <w:spacing w:val="-2"/>
        </w:rPr>
        <w:t>年非</w:t>
      </w:r>
      <w:r>
        <w:rPr>
          <w:w w:val="100"/>
        </w:rPr>
        <w:t> </w:t>
      </w:r>
      <w:r>
        <w:rPr>
          <w:spacing w:val="-3"/>
        </w:rPr>
        <w:t>公开发行公司债券利息</w:t>
      </w:r>
      <w:r>
        <w:rPr>
          <w:rFonts w:ascii="Times New Roman" w:hAnsi="Times New Roman" w:cs="Times New Roman" w:eastAsia="Times New Roman" w:hint="default"/>
          <w:spacing w:val="-3"/>
        </w:rPr>
        <w:t>12,600</w:t>
      </w:r>
      <w:r>
        <w:rPr>
          <w:spacing w:val="-3"/>
        </w:rPr>
        <w:t>万元；子公司国盛证券支付转融通拆入资金利息</w:t>
      </w:r>
      <w:r>
        <w:rPr>
          <w:rFonts w:ascii="Times New Roman" w:hAnsi="Times New Roman" w:cs="Times New Roman" w:eastAsia="Times New Roman" w:hint="default"/>
          <w:spacing w:val="-3"/>
        </w:rPr>
        <w:t>8,629.83</w:t>
      </w:r>
      <w:r>
        <w:rPr>
          <w:spacing w:val="-3"/>
        </w:rPr>
        <w:t>万元，银行间拆入资</w:t>
      </w:r>
      <w:r>
        <w:rPr>
          <w:spacing w:val="-30"/>
        </w:rPr>
        <w:t> </w:t>
      </w:r>
      <w:r>
        <w:rPr>
          <w:spacing w:val="-30"/>
        </w:rPr>
      </w:r>
      <w:r>
        <w:rPr>
          <w:spacing w:val="-5"/>
        </w:rPr>
        <w:t>金利息</w:t>
      </w:r>
      <w:r>
        <w:rPr>
          <w:rFonts w:ascii="Times New Roman" w:hAnsi="Times New Roman" w:cs="Times New Roman" w:eastAsia="Times New Roman" w:hint="default"/>
          <w:spacing w:val="-5"/>
        </w:rPr>
        <w:t>828.37</w:t>
      </w:r>
      <w:r>
        <w:rPr>
          <w:spacing w:val="-5"/>
        </w:rPr>
        <w:t>万元，卖出回购证券利息</w:t>
      </w:r>
      <w:r>
        <w:rPr>
          <w:rFonts w:ascii="Times New Roman" w:hAnsi="Times New Roman" w:cs="Times New Roman" w:eastAsia="Times New Roman" w:hint="default"/>
          <w:spacing w:val="-5"/>
        </w:rPr>
        <w:t>17,840.19</w:t>
      </w:r>
      <w:r>
        <w:rPr>
          <w:spacing w:val="-5"/>
        </w:rPr>
        <w:t>万元，收益凭证利息</w:t>
      </w:r>
      <w:r>
        <w:rPr>
          <w:rFonts w:ascii="Times New Roman" w:hAnsi="Times New Roman" w:cs="Times New Roman" w:eastAsia="Times New Roman" w:hint="default"/>
          <w:spacing w:val="-5"/>
        </w:rPr>
        <w:t>5,490.93</w:t>
      </w:r>
      <w:r>
        <w:rPr>
          <w:spacing w:val="-5"/>
        </w:rPr>
        <w:t>万元，其他短期借款利息</w:t>
      </w:r>
      <w:r>
        <w:rPr>
          <w:rFonts w:ascii="Times New Roman" w:hAnsi="Times New Roman" w:cs="Times New Roman" w:eastAsia="Times New Roman" w:hint="default"/>
          <w:spacing w:val="-5"/>
        </w:rPr>
        <w:t>237.70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万元。</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十、报告期内获得的银行授信情况、使用情况以及偿还银行贷款的情况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56" w:lineRule="auto"/>
        <w:ind w:right="1126" w:firstLine="420"/>
        <w:jc w:val="both"/>
      </w:pPr>
      <w:r>
        <w:rPr>
          <w:spacing w:val="-4"/>
        </w:rPr>
        <w:t>报告期本集团获得银行授信合计</w:t>
      </w:r>
      <w:r>
        <w:rPr>
          <w:rFonts w:ascii="Times New Roman" w:hAnsi="Times New Roman" w:cs="Times New Roman" w:eastAsia="Times New Roman" w:hint="default"/>
          <w:spacing w:val="-4"/>
        </w:rPr>
        <w:t>316.7</w:t>
      </w:r>
      <w:r>
        <w:rPr>
          <w:spacing w:val="-4"/>
        </w:rPr>
        <w:t>亿元、到期授信合计</w:t>
      </w:r>
      <w:r>
        <w:rPr>
          <w:rFonts w:ascii="Times New Roman" w:hAnsi="Times New Roman" w:cs="Times New Roman" w:eastAsia="Times New Roman" w:hint="default"/>
          <w:spacing w:val="-4"/>
        </w:rPr>
        <w:t>101.9</w:t>
      </w:r>
      <w:r>
        <w:rPr>
          <w:spacing w:val="-4"/>
        </w:rPr>
        <w:t>亿元，银行授信均在额度范围内循环使</w:t>
      </w:r>
      <w:r>
        <w:rPr>
          <w:w w:val="100"/>
        </w:rPr>
        <w:t> </w:t>
      </w:r>
      <w:r>
        <w:rPr/>
        <w:t>用，截至期末使用中的授信合计为</w:t>
      </w:r>
      <w:r>
        <w:rPr>
          <w:rFonts w:ascii="Times New Roman" w:hAnsi="Times New Roman" w:cs="Times New Roman" w:eastAsia="Times New Roman" w:hint="default"/>
        </w:rPr>
        <w:t>99.9</w:t>
      </w:r>
      <w:r>
        <w:rPr/>
        <w:t>亿元，期内未出现逾期偿还银行贷款情况。</w:t>
      </w: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r>
        <w:rPr/>
        <w:t>十一、报告期内执行公司债券募集说明书相关约定或承诺的情况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t>报告期已严格执行募集说明书相关约定和承诺。</w:t>
      </w:r>
    </w:p>
    <w:p>
      <w:pPr>
        <w:spacing w:line="240" w:lineRule="auto" w:before="13"/>
        <w:rPr>
          <w:rFonts w:ascii="宋体" w:hAnsi="宋体" w:cs="宋体" w:eastAsia="宋体" w:hint="default"/>
          <w:sz w:val="17"/>
          <w:szCs w:val="17"/>
        </w:rPr>
      </w:pPr>
    </w:p>
    <w:p>
      <w:pPr>
        <w:tabs>
          <w:tab w:pos="8185" w:val="left" w:leader="none"/>
        </w:tabs>
        <w:spacing w:before="0"/>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4"/>
          <w:szCs w:val="24"/>
        </w:rPr>
        <w:t>十二、报告期发生的重大事项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tabs>
          <w:tab w:pos="8794" w:val="left" w:leader="none"/>
        </w:tabs>
        <w:spacing w:before="196"/>
        <w:ind w:left="152"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十三、公司债券是否存在保证人</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607" w:right="0"/>
        <w:jc w:val="left"/>
        <w:rPr>
          <w:b w:val="0"/>
          <w:bCs w:val="0"/>
        </w:rPr>
      </w:pPr>
      <w:bookmarkStart w:name="_TOC_250001" w:id="12"/>
      <w:r>
        <w:rPr/>
        <w:t>第十二节 </w:t>
      </w:r>
      <w:r>
        <w:rPr>
          <w:spacing w:val="6"/>
        </w:rPr>
        <w:t> </w:t>
      </w:r>
      <w:r>
        <w:rPr/>
        <w:t>财务报告</w:t>
      </w:r>
      <w:bookmarkEnd w:id="1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w:t>
      </w:r>
      <w:r>
        <w:rPr>
          <w:spacing w:val="-25"/>
        </w:rPr>
        <w:t> </w:t>
      </w:r>
      <w:r>
        <w:rPr/>
        <w:t>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大华审字</w:t>
            </w:r>
            <w:r>
              <w:rPr>
                <w:rFonts w:ascii="Times New Roman" w:hAnsi="Times New Roman" w:cs="Times New Roman" w:eastAsia="Times New Roman" w:hint="default"/>
                <w:sz w:val="21"/>
                <w:szCs w:val="21"/>
              </w:rPr>
              <w:t>[2020] 007798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朱娟、孙彤</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6"/>
          <w:szCs w:val="16"/>
        </w:rPr>
      </w:pPr>
    </w:p>
    <w:p>
      <w:pPr>
        <w:pStyle w:val="Heading2"/>
        <w:spacing w:line="367" w:lineRule="exact"/>
        <w:ind w:left="0" w:right="978"/>
        <w:jc w:val="center"/>
        <w:rPr>
          <w:b w:val="0"/>
          <w:bCs w:val="0"/>
        </w:rPr>
      </w:pPr>
      <w:r>
        <w:rPr/>
        <w:t>审计报告</w:t>
      </w:r>
      <w:r>
        <w:rPr>
          <w:b w:val="0"/>
          <w:bCs w:val="0"/>
        </w:rPr>
      </w:r>
    </w:p>
    <w:p>
      <w:pPr>
        <w:pStyle w:val="BodyText"/>
        <w:spacing w:line="240" w:lineRule="auto" w:before="15"/>
        <w:ind w:left="0" w:right="1128"/>
        <w:jc w:val="right"/>
      </w:pPr>
      <w:r>
        <w:rPr/>
        <w:t>大华审字</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rFonts w:ascii="Times New Roman" w:hAnsi="Times New Roman" w:cs="Times New Roman" w:eastAsia="Times New Roman" w:hint="default"/>
        </w:rPr>
        <w:t>007798</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4"/>
        <w:spacing w:line="335" w:lineRule="exact"/>
        <w:ind w:left="152" w:right="0"/>
        <w:jc w:val="left"/>
        <w:rPr>
          <w:b w:val="0"/>
          <w:bCs w:val="0"/>
        </w:rPr>
      </w:pPr>
      <w:r>
        <w:rPr/>
        <w:t>国盛金融控股集团股份有限公司全体股东：</w:t>
      </w:r>
      <w:r>
        <w:rPr>
          <w:b w:val="0"/>
          <w:bCs w:val="0"/>
        </w:rPr>
      </w:r>
    </w:p>
    <w:p>
      <w:pPr>
        <w:spacing w:line="240" w:lineRule="auto" w:before="17"/>
        <w:rPr>
          <w:rFonts w:ascii="Microsoft JhengHei" w:hAnsi="Microsoft JhengHei" w:cs="Microsoft JhengHei" w:eastAsia="Microsoft JhengHei" w:hint="default"/>
          <w:b/>
          <w:bCs/>
          <w:sz w:val="27"/>
          <w:szCs w:val="27"/>
        </w:rPr>
      </w:pPr>
    </w:p>
    <w:p>
      <w:pPr>
        <w:pStyle w:val="Heading4"/>
        <w:spacing w:line="240" w:lineRule="auto"/>
        <w:ind w:left="152" w:right="0"/>
        <w:jc w:val="left"/>
        <w:rPr>
          <w:b w:val="0"/>
          <w:bCs w:val="0"/>
        </w:rPr>
      </w:pPr>
      <w:r>
        <w:rPr/>
        <w:t>一、</w:t>
      </w:r>
      <w:r>
        <w:rPr>
          <w:spacing w:val="-19"/>
        </w:rPr>
        <w:t> </w:t>
      </w:r>
      <w:r>
        <w:rPr/>
        <w:t>对财务报表出具的审计报告</w:t>
      </w:r>
      <w:r>
        <w:rPr>
          <w:b w:val="0"/>
          <w:bCs w:val="0"/>
        </w:rPr>
      </w:r>
    </w:p>
    <w:p>
      <w:pPr>
        <w:spacing w:line="240" w:lineRule="auto" w:before="10"/>
        <w:rPr>
          <w:rFonts w:ascii="Microsoft JhengHei" w:hAnsi="Microsoft JhengHei" w:cs="Microsoft JhengHei" w:eastAsia="Microsoft JhengHei" w:hint="default"/>
          <w:b/>
          <w:bCs/>
          <w:sz w:val="10"/>
          <w:szCs w:val="10"/>
        </w:rPr>
      </w:pPr>
    </w:p>
    <w:p>
      <w:pPr>
        <w:pStyle w:val="Heading4"/>
        <w:spacing w:line="240" w:lineRule="auto"/>
        <w:ind w:left="364" w:right="0"/>
        <w:jc w:val="left"/>
        <w:rPr>
          <w:b w:val="0"/>
          <w:bCs w:val="0"/>
        </w:rPr>
      </w:pPr>
      <w:r>
        <w:rPr/>
        <w:t>（一）保留意见</w:t>
      </w:r>
      <w:r>
        <w:rPr>
          <w:b w:val="0"/>
          <w:bCs w:val="0"/>
        </w:rPr>
      </w:r>
    </w:p>
    <w:p>
      <w:pPr>
        <w:pStyle w:val="BodyText"/>
        <w:spacing w:line="355" w:lineRule="auto" w:before="109"/>
        <w:ind w:right="1128" w:firstLine="420"/>
        <w:jc w:val="both"/>
      </w:pPr>
      <w:r>
        <w:rPr/>
        <w:t>我们审计了国盛金融控股集团股份有限公司</w:t>
      </w:r>
      <w:r>
        <w:rPr>
          <w:rFonts w:ascii="宋体" w:hAnsi="宋体" w:cs="宋体" w:eastAsia="宋体" w:hint="default"/>
        </w:rPr>
        <w:t>(</w:t>
      </w:r>
      <w:r>
        <w:rPr/>
        <w:t>以下简称国盛金控</w:t>
      </w:r>
      <w:r>
        <w:rPr>
          <w:rFonts w:ascii="宋体" w:hAnsi="宋体" w:cs="宋体" w:eastAsia="宋体" w:hint="default"/>
        </w:rPr>
        <w:t>)</w:t>
      </w:r>
      <w:r>
        <w:rPr/>
        <w:t>财务报表，包括</w:t>
      </w:r>
      <w:r>
        <w:rPr>
          <w:spacing w:val="-40"/>
        </w:rPr>
        <w:t> </w:t>
      </w:r>
      <w:r>
        <w:rPr>
          <w:rFonts w:ascii="宋体" w:hAnsi="宋体" w:cs="宋体" w:eastAsia="宋体" w:hint="default"/>
        </w:rPr>
        <w:t>2019</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w:t>
      </w:r>
      <w:r>
        <w:rPr>
          <w:w w:val="100"/>
        </w:rPr>
        <w:t> </w:t>
      </w:r>
      <w:r>
        <w:rPr>
          <w:spacing w:val="-3"/>
        </w:rPr>
        <w:t>的合并及母公司资产负债表，</w:t>
      </w:r>
      <w:r>
        <w:rPr>
          <w:rFonts w:ascii="宋体" w:hAnsi="宋体" w:cs="宋体" w:eastAsia="宋体" w:hint="default"/>
          <w:spacing w:val="-3"/>
        </w:rPr>
        <w:t>2019 </w:t>
      </w:r>
      <w:r>
        <w:rPr>
          <w:spacing w:val="-4"/>
        </w:rPr>
        <w:t>年度的合并及母公司利润表、合并及母公司现金流量表、合并及母公司</w:t>
      </w:r>
      <w:r>
        <w:rPr>
          <w:spacing w:val="-65"/>
        </w:rPr>
        <w:t> </w:t>
      </w:r>
      <w:r>
        <w:rPr>
          <w:spacing w:val="-65"/>
        </w:rPr>
      </w:r>
      <w:r>
        <w:rPr/>
        <w:t>股东权益变动表以及相关财务报表附注。</w:t>
      </w:r>
    </w:p>
    <w:p>
      <w:pPr>
        <w:pStyle w:val="BodyText"/>
        <w:spacing w:line="355" w:lineRule="auto" w:before="75"/>
        <w:ind w:right="1126" w:firstLine="420"/>
        <w:jc w:val="both"/>
      </w:pPr>
      <w:r>
        <w:rPr>
          <w:spacing w:val="-2"/>
        </w:rPr>
        <w:t>我们认为，除“形成保留意见的基础”部分所述事项产生的影响外，后附的财务报表在所有重大方面</w:t>
      </w:r>
      <w:r>
        <w:rPr>
          <w:w w:val="100"/>
        </w:rPr>
        <w:t> </w:t>
      </w:r>
      <w:r>
        <w:rPr>
          <w:spacing w:val="-6"/>
          <w:w w:val="100"/>
        </w:rPr>
        <w:t>按照企业会计准则的规定编制，公允反映了国盛金控</w:t>
      </w:r>
      <w:r>
        <w:rPr>
          <w:spacing w:val="-63"/>
          <w:w w:val="100"/>
        </w:rPr>
        <w:t> </w:t>
      </w:r>
      <w:r>
        <w:rPr>
          <w:rFonts w:ascii="宋体" w:hAnsi="宋体" w:cs="宋体" w:eastAsia="宋体" w:hint="default"/>
          <w:w w:val="100"/>
        </w:rPr>
        <w:t>2019</w:t>
      </w:r>
      <w:r>
        <w:rPr>
          <w:rFonts w:ascii="宋体" w:hAnsi="宋体" w:cs="宋体" w:eastAsia="宋体" w:hint="default"/>
          <w:spacing w:val="-63"/>
          <w:w w:val="100"/>
        </w:rPr>
        <w:t> </w:t>
      </w:r>
      <w:r>
        <w:rPr>
          <w:w w:val="100"/>
        </w:rPr>
        <w:t>年</w:t>
      </w:r>
      <w:r>
        <w:rPr>
          <w:spacing w:val="-64"/>
          <w:w w:val="100"/>
        </w:rPr>
        <w:t> </w:t>
      </w:r>
      <w:r>
        <w:rPr>
          <w:rFonts w:ascii="宋体" w:hAnsi="宋体" w:cs="宋体" w:eastAsia="宋体" w:hint="default"/>
          <w:w w:val="100"/>
        </w:rPr>
        <w:t>12</w:t>
      </w:r>
      <w:r>
        <w:rPr>
          <w:rFonts w:ascii="宋体" w:hAnsi="宋体" w:cs="宋体" w:eastAsia="宋体" w:hint="default"/>
          <w:spacing w:val="-64"/>
          <w:w w:val="100"/>
        </w:rPr>
        <w:t> </w:t>
      </w:r>
      <w:r>
        <w:rPr>
          <w:w w:val="100"/>
        </w:rPr>
        <w:t>月</w:t>
      </w:r>
      <w:r>
        <w:rPr>
          <w:spacing w:val="-64"/>
          <w:w w:val="100"/>
        </w:rPr>
        <w:t> </w:t>
      </w:r>
      <w:r>
        <w:rPr>
          <w:rFonts w:ascii="宋体" w:hAnsi="宋体" w:cs="宋体" w:eastAsia="宋体" w:hint="default"/>
          <w:w w:val="100"/>
        </w:rPr>
        <w:t>31</w:t>
      </w:r>
      <w:r>
        <w:rPr>
          <w:rFonts w:ascii="宋体" w:hAnsi="宋体" w:cs="宋体" w:eastAsia="宋体" w:hint="default"/>
          <w:spacing w:val="-64"/>
          <w:w w:val="100"/>
        </w:rPr>
        <w:t> </w:t>
      </w:r>
      <w:r>
        <w:rPr>
          <w:spacing w:val="-2"/>
          <w:w w:val="100"/>
        </w:rPr>
        <w:t>日的合并及母公司财务状况以及</w:t>
      </w:r>
      <w:r>
        <w:rPr>
          <w:spacing w:val="-66"/>
          <w:w w:val="100"/>
        </w:rPr>
        <w:t> </w:t>
      </w:r>
      <w:r>
        <w:rPr>
          <w:rFonts w:ascii="宋体" w:hAnsi="宋体" w:cs="宋体" w:eastAsia="宋体" w:hint="default"/>
          <w:w w:val="100"/>
        </w:rPr>
        <w:t>2019 </w:t>
      </w:r>
      <w:r>
        <w:rPr/>
        <w:t>年度的合并及母公司经营成果和现金流量。</w:t>
      </w:r>
    </w:p>
    <w:p>
      <w:pPr>
        <w:pStyle w:val="Heading4"/>
        <w:spacing w:line="240" w:lineRule="auto" w:before="6"/>
        <w:ind w:left="513" w:right="0"/>
        <w:jc w:val="left"/>
        <w:rPr>
          <w:b w:val="0"/>
          <w:bCs w:val="0"/>
        </w:rPr>
      </w:pPr>
      <w:r>
        <w:rPr/>
        <w:t>（二）形成保留意见的基础</w:t>
      </w:r>
      <w:r>
        <w:rPr>
          <w:b w:val="0"/>
          <w:bCs w:val="0"/>
        </w:rPr>
      </w:r>
    </w:p>
    <w:p>
      <w:pPr>
        <w:pStyle w:val="BodyText"/>
        <w:spacing w:line="355" w:lineRule="auto" w:before="152"/>
        <w:ind w:right="1126" w:firstLine="420"/>
        <w:jc w:val="both"/>
      </w:pPr>
      <w:r>
        <w:rPr>
          <w:spacing w:val="-12"/>
          <w:w w:val="100"/>
        </w:rPr>
        <w:t>如财务报表附注十五、（七）</w:t>
      </w:r>
      <w:r>
        <w:rPr>
          <w:rFonts w:ascii="宋体" w:hAnsi="宋体" w:cs="宋体" w:eastAsia="宋体" w:hint="default"/>
          <w:spacing w:val="-12"/>
          <w:w w:val="100"/>
        </w:rPr>
        <w:t>2</w:t>
      </w:r>
      <w:r>
        <w:rPr>
          <w:rFonts w:ascii="宋体" w:hAnsi="宋体" w:cs="宋体" w:eastAsia="宋体" w:hint="default"/>
          <w:spacing w:val="-40"/>
          <w:w w:val="100"/>
        </w:rPr>
        <w:t> </w:t>
      </w:r>
      <w:r>
        <w:rPr>
          <w:spacing w:val="-3"/>
          <w:w w:val="100"/>
        </w:rPr>
        <w:t>所示，公司认为本年能够对被投资公司趣店实施重大影响，从本年开始</w:t>
      </w:r>
      <w:r>
        <w:rPr>
          <w:w w:val="100"/>
        </w:rPr>
        <w:t> </w:t>
      </w:r>
      <w:r>
        <w:rPr>
          <w:spacing w:val="-2"/>
        </w:rPr>
        <w:t>对趣店的股权投资按权益法核算。根据获取的证据，我们认为公司对趣店能实施重大影响时点的判断不恰</w:t>
      </w:r>
      <w:r>
        <w:rPr>
          <w:spacing w:val="-44"/>
        </w:rPr>
        <w:t> </w:t>
      </w:r>
      <w:r>
        <w:rPr>
          <w:spacing w:val="-44"/>
        </w:rPr>
      </w:r>
      <w:r>
        <w:rPr/>
        <w:t>当，该事项对公司财务报表构成重大影响，主要影响为本年度对趣店股权投资确认的相关损益。</w:t>
      </w:r>
    </w:p>
    <w:p>
      <w:pPr>
        <w:pStyle w:val="BodyText"/>
        <w:spacing w:line="357" w:lineRule="auto" w:before="75"/>
        <w:ind w:right="1126" w:firstLine="420"/>
        <w:jc w:val="both"/>
      </w:pPr>
      <w:r>
        <w:rPr>
          <w:spacing w:val="-2"/>
        </w:rPr>
        <w:t>我们按照中国注册会计师审计准则的规定执行了审计工作。审计报告的“注册会计师对财务报表审计</w:t>
      </w:r>
      <w:r>
        <w:rPr>
          <w:w w:val="100"/>
        </w:rPr>
        <w:t> </w:t>
      </w:r>
      <w:r>
        <w:rPr>
          <w:spacing w:val="-2"/>
        </w:rPr>
        <w:t>的责任”部分进一步阐述了我们在这些准则下的责任。按照中国注册会计师职业道德守则，我们独立于国</w:t>
      </w:r>
      <w:r>
        <w:rPr>
          <w:spacing w:val="-43"/>
        </w:rPr>
        <w:t> </w:t>
      </w:r>
      <w:r>
        <w:rPr>
          <w:spacing w:val="-43"/>
        </w:rPr>
      </w:r>
      <w:r>
        <w:rPr>
          <w:spacing w:val="-2"/>
        </w:rPr>
        <w:t>盛金控，并履行了职业道德方面的其他责任。我们相信，我们获取的审计证据是充分、适当的，为发表审</w:t>
      </w:r>
      <w:r>
        <w:rPr>
          <w:spacing w:val="-43"/>
        </w:rPr>
        <w:t> </w:t>
      </w:r>
      <w:r>
        <w:rPr>
          <w:spacing w:val="-43"/>
        </w:rPr>
      </w:r>
      <w:r>
        <w:rPr/>
        <w:t>计意见提供了基础。</w:t>
      </w:r>
    </w:p>
    <w:p>
      <w:pPr>
        <w:spacing w:after="0" w:line="357" w:lineRule="auto"/>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Heading4"/>
        <w:spacing w:line="335" w:lineRule="exact"/>
        <w:ind w:left="513" w:right="0"/>
        <w:jc w:val="left"/>
        <w:rPr>
          <w:b w:val="0"/>
          <w:bCs w:val="0"/>
        </w:rPr>
      </w:pPr>
      <w:r>
        <w:rPr/>
        <w:t>（三）关键审计事项</w:t>
      </w:r>
      <w:r>
        <w:rPr>
          <w:b w:val="0"/>
          <w:bCs w:val="0"/>
        </w:rPr>
      </w:r>
    </w:p>
    <w:p>
      <w:pPr>
        <w:pStyle w:val="BodyText"/>
        <w:spacing w:line="355" w:lineRule="auto" w:before="152"/>
        <w:ind w:right="0" w:firstLine="420"/>
        <w:jc w:val="left"/>
      </w:pPr>
      <w:r>
        <w:rPr>
          <w:spacing w:val="-2"/>
        </w:rPr>
        <w:t>关键审计事项是我们根据职业判断，认为对本期财务报表审计最为重要的事项。这些事项的应对以对</w:t>
      </w:r>
      <w:r>
        <w:rPr>
          <w:w w:val="100"/>
        </w:rPr>
        <w:t> </w:t>
      </w:r>
      <w:r>
        <w:rPr/>
        <w:t>财务报表整体进行审计并形成审计意见为背景，我们不对这些事项单独发表意见。</w:t>
      </w:r>
    </w:p>
    <w:p>
      <w:pPr>
        <w:pStyle w:val="BodyText"/>
        <w:spacing w:line="355" w:lineRule="auto" w:before="75"/>
        <w:ind w:right="1150" w:firstLine="420"/>
        <w:jc w:val="left"/>
      </w:pPr>
      <w:r>
        <w:rPr>
          <w:spacing w:val="-2"/>
        </w:rPr>
        <w:t>除“形成保留意见的基础”部分所描述的事项外，我们确定下列事项是需要在审计报告中沟通的关键</w:t>
      </w:r>
      <w:r>
        <w:rPr>
          <w:w w:val="100"/>
        </w:rPr>
        <w:t> </w:t>
      </w:r>
      <w:r>
        <w:rPr/>
        <w:t>审计事项。</w:t>
      </w:r>
    </w:p>
    <w:p>
      <w:pPr>
        <w:spacing w:line="240" w:lineRule="auto" w:before="5"/>
        <w:rPr>
          <w:rFonts w:ascii="宋体" w:hAnsi="宋体" w:cs="宋体" w:eastAsia="宋体" w:hint="default"/>
          <w:sz w:val="8"/>
          <w:szCs w:val="8"/>
        </w:rPr>
      </w:pPr>
    </w:p>
    <w:p>
      <w:pPr>
        <w:spacing w:line="540" w:lineRule="exact"/>
        <w:ind w:left="13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83.5pt;height:27pt;mso-position-horizontal-relative:char;mso-position-vertical-relative:line" coordorigin="0,0" coordsize="9670,540">
            <v:group style="position:absolute;left:14;top:14;width:4924;height:2" coordorigin="14,14" coordsize="4924,2">
              <v:shape style="position:absolute;left:14;top:14;width:4924;height:2" coordorigin="14,14" coordsize="4924,0" path="m14,14l4938,14e" filled="false" stroked="true" strokeweight="1.44pt" strokecolor="#000000">
                <v:path arrowok="t"/>
              </v:shape>
            </v:group>
            <v:group style="position:absolute;left:4938;top:14;width:29;height:2" coordorigin="4938,14" coordsize="29,2">
              <v:shape style="position:absolute;left:4938;top:14;width:29;height:2" coordorigin="4938,14" coordsize="29,0" path="m4938,14l4967,14e" filled="false" stroked="true" strokeweight="1.44pt" strokecolor="#000000">
                <v:path arrowok="t"/>
              </v:shape>
            </v:group>
            <v:group style="position:absolute;left:4967;top:14;width:4689;height:2" coordorigin="4967,14" coordsize="4689,2">
              <v:shape style="position:absolute;left:4967;top:14;width:4689;height:2" coordorigin="4967,14" coordsize="4689,0" path="m4967,14l9655,14e" filled="false" stroked="true" strokeweight="1.44pt" strokecolor="#000000">
                <v:path arrowok="t"/>
              </v:shape>
            </v:group>
            <v:group style="position:absolute;left:4943;top:29;width:2;height:502" coordorigin="4943,29" coordsize="2,502">
              <v:shape style="position:absolute;left:4943;top:29;width:2;height:502" coordorigin="4943,29" coordsize="0,502" path="m4943,29l4943,530e" filled="false" stroked="true" strokeweight=".48pt" strokecolor="#000000">
                <v:path arrowok="t"/>
                <v:stroke dashstyle="dash"/>
              </v:shape>
            </v:group>
            <v:group style="position:absolute;left:14;top:535;width:4924;height:2" coordorigin="14,535" coordsize="4924,2">
              <v:shape style="position:absolute;left:14;top:535;width:4924;height:2" coordorigin="14,535" coordsize="4924,0" path="m14,535l4938,535e" filled="false" stroked="true" strokeweight=".48pt" strokecolor="#000000">
                <v:path arrowok="t"/>
                <v:stroke dashstyle="dash"/>
              </v:shape>
            </v:group>
            <v:group style="position:absolute;left:4938;top:535;width:10;height:2" coordorigin="4938,535" coordsize="10,2">
              <v:shape style="position:absolute;left:4938;top:535;width:10;height:2" coordorigin="4938,535" coordsize="10,0" path="m4938,535l4947,535e" filled="false" stroked="true" strokeweight=".48pt" strokecolor="#000000">
                <v:path arrowok="t"/>
                <v:stroke dashstyle="dash"/>
              </v:shape>
            </v:group>
            <v:group style="position:absolute;left:4947;top:535;width:4708;height:2" coordorigin="4947,535" coordsize="4708,2">
              <v:shape style="position:absolute;left:4947;top:535;width:4708;height:2" coordorigin="4947,535" coordsize="4708,0" path="m4947,535l9655,535e" filled="false" stroked="true" strokeweight=".48pt" strokecolor="#000000">
                <v:path arrowok="t"/>
                <v:stroke dashstyle="dash"/>
              </v:shape>
              <v:shape style="position:absolute;left:1935;top:251;width:1085;height:180" type="#_x0000_t202" filled="false" stroked="false">
                <v:textbox inset="0,0,0,0">
                  <w:txbxContent>
                    <w:p>
                      <w:pPr>
                        <w:spacing w:line="180" w:lineRule="exact" w:before="0"/>
                        <w:ind w:left="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关键审计事项</w:t>
                      </w:r>
                      <w:r>
                        <w:rPr>
                          <w:rFonts w:ascii="Microsoft JhengHei" w:hAnsi="Microsoft JhengHei" w:cs="Microsoft JhengHei" w:eastAsia="Microsoft JhengHei" w:hint="default"/>
                          <w:sz w:val="18"/>
                          <w:szCs w:val="18"/>
                        </w:rPr>
                      </w:r>
                    </w:p>
                  </w:txbxContent>
                </v:textbox>
                <w10:wrap type="none"/>
              </v:shape>
              <v:shape style="position:absolute;left:6124;top:251;width:2349;height:180" type="#_x0000_t202" filled="false" stroked="false">
                <v:textbox inset="0,0,0,0">
                  <w:txbxContent>
                    <w:p>
                      <w:pPr>
                        <w:spacing w:line="180" w:lineRule="exact" w:before="0"/>
                        <w:ind w:left="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该事项在审计中是如何应对的</w:t>
                      </w:r>
                      <w:r>
                        <w:rPr>
                          <w:rFonts w:ascii="Microsoft JhengHei" w:hAnsi="Microsoft JhengHei" w:cs="Microsoft JhengHei" w:eastAsia="Microsoft JhengHei" w:hint="default"/>
                          <w:sz w:val="18"/>
                          <w:szCs w:val="18"/>
                        </w:rPr>
                      </w:r>
                    </w:p>
                  </w:txbxContent>
                </v:textbox>
                <w10:wrap type="none"/>
              </v:shape>
            </v:group>
          </v:group>
        </w:pict>
      </w:r>
      <w:r>
        <w:rPr>
          <w:rFonts w:ascii="宋体" w:hAnsi="宋体" w:cs="宋体" w:eastAsia="宋体" w:hint="default"/>
          <w:position w:val="-10"/>
          <w:sz w:val="20"/>
          <w:szCs w:val="20"/>
        </w:rPr>
      </w:r>
    </w:p>
    <w:p>
      <w:pPr>
        <w:spacing w:line="240" w:lineRule="auto" w:before="2"/>
        <w:rPr>
          <w:rFonts w:ascii="宋体" w:hAnsi="宋体" w:cs="宋体" w:eastAsia="宋体" w:hint="default"/>
          <w:sz w:val="9"/>
          <w:szCs w:val="9"/>
        </w:rPr>
      </w:pPr>
    </w:p>
    <w:p>
      <w:pPr>
        <w:spacing w:line="300" w:lineRule="exact" w:before="0"/>
        <w:ind w:left="26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（一）商誉减值评估</w:t>
      </w:r>
      <w:r>
        <w:rPr>
          <w:rFonts w:ascii="Microsoft JhengHei" w:hAnsi="Microsoft JhengHei" w:cs="Microsoft JhengHei" w:eastAsia="Microsoft JhengHei" w:hint="default"/>
          <w:sz w:val="18"/>
          <w:szCs w:val="18"/>
        </w:rPr>
      </w:r>
    </w:p>
    <w:p>
      <w:pPr>
        <w:spacing w:line="240" w:lineRule="auto" w:before="9"/>
        <w:rPr>
          <w:rFonts w:ascii="Microsoft JhengHei" w:hAnsi="Microsoft JhengHei" w:cs="Microsoft JhengHei" w:eastAsia="Microsoft JhengHei" w:hint="default"/>
          <w:b/>
          <w:bCs/>
          <w:sz w:val="4"/>
          <w:szCs w:val="4"/>
        </w:rPr>
      </w:pPr>
    </w:p>
    <w:tbl>
      <w:tblPr>
        <w:tblW w:w="0" w:type="auto"/>
        <w:jc w:val="left"/>
        <w:tblInd w:w="148" w:type="dxa"/>
        <w:tblLayout w:type="fixed"/>
        <w:tblCellMar>
          <w:top w:w="0" w:type="dxa"/>
          <w:left w:w="0" w:type="dxa"/>
          <w:bottom w:w="0" w:type="dxa"/>
          <w:right w:w="0" w:type="dxa"/>
        </w:tblCellMar>
        <w:tblLook w:val="01E0"/>
      </w:tblPr>
      <w:tblGrid>
        <w:gridCol w:w="4928"/>
        <w:gridCol w:w="4712"/>
      </w:tblGrid>
      <w:tr>
        <w:trPr>
          <w:trHeight w:val="528" w:hRule="exact"/>
        </w:trPr>
        <w:tc>
          <w:tcPr>
            <w:tcW w:w="4928" w:type="dxa"/>
            <w:tcBorders>
              <w:top w:val="dotted" w:sz="4" w:space="0" w:color="000000"/>
              <w:left w:val="nil" w:sz="6" w:space="0" w:color="auto"/>
              <w:bottom w:val="nil" w:sz="6" w:space="0" w:color="auto"/>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pacing w:val="15"/>
                <w:sz w:val="18"/>
                <w:szCs w:val="18"/>
              </w:rPr>
              <w:t>公司因收购子公司国盛证券有限责任公司产生的商誉为</w:t>
            </w:r>
            <w:r>
              <w:rPr>
                <w:rFonts w:ascii="宋体" w:hAnsi="宋体" w:cs="宋体" w:eastAsia="宋体" w:hint="default"/>
                <w:spacing w:val="-74"/>
                <w:sz w:val="18"/>
                <w:szCs w:val="18"/>
              </w:rPr>
              <w:t> </w:t>
            </w:r>
            <w:r>
              <w:rPr>
                <w:rFonts w:ascii="宋体" w:hAnsi="宋体" w:cs="宋体" w:eastAsia="宋体" w:hint="default"/>
                <w:sz w:val="18"/>
                <w:szCs w:val="18"/>
              </w:rPr>
            </w:r>
          </w:p>
        </w:tc>
        <w:tc>
          <w:tcPr>
            <w:tcW w:w="4712" w:type="dxa"/>
            <w:tcBorders>
              <w:top w:val="dotted" w:sz="4" w:space="0" w:color="000000"/>
              <w:left w:val="dotted" w:sz="4" w:space="0" w:color="000000"/>
              <w:bottom w:val="nil" w:sz="6" w:space="0" w:color="auto"/>
              <w:right w:val="nil" w:sz="6" w:space="0" w:color="auto"/>
            </w:tcBorders>
          </w:tcPr>
          <w:p>
            <w:pPr/>
          </w:p>
        </w:tc>
      </w:tr>
      <w:tr>
        <w:trPr>
          <w:trHeight w:val="425"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6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3,162,030,950.83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元，截止</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日，合并报表中</w:t>
            </w:r>
          </w:p>
        </w:tc>
        <w:tc>
          <w:tcPr>
            <w:tcW w:w="4712" w:type="dxa"/>
            <w:tcBorders>
              <w:top w:val="nil" w:sz="6" w:space="0" w:color="auto"/>
              <w:left w:val="dotted" w:sz="4" w:space="0" w:color="000000"/>
              <w:bottom w:val="nil" w:sz="6" w:space="0" w:color="auto"/>
              <w:right w:val="nil" w:sz="6" w:space="0" w:color="auto"/>
            </w:tcBorders>
          </w:tcPr>
          <w:p>
            <w:pPr/>
          </w:p>
        </w:tc>
      </w:tr>
      <w:tr>
        <w:trPr>
          <w:trHeight w:val="400"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该商誉的账面价值为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3,079,912,343.55 </w:t>
            </w:r>
            <w:r>
              <w:rPr>
                <w:rFonts w:ascii="宋体" w:hAnsi="宋体" w:cs="宋体" w:eastAsia="宋体" w:hint="default"/>
                <w:spacing w:val="-6"/>
                <w:sz w:val="18"/>
                <w:szCs w:val="18"/>
              </w:rPr>
              <w:t>元，占合并报表资产总</w:t>
            </w:r>
          </w:p>
        </w:tc>
        <w:tc>
          <w:tcPr>
            <w:tcW w:w="4712" w:type="dxa"/>
            <w:tcBorders>
              <w:top w:val="nil" w:sz="6" w:space="0" w:color="auto"/>
              <w:left w:val="dotted" w:sz="4" w:space="0" w:color="000000"/>
              <w:bottom w:val="nil" w:sz="6" w:space="0" w:color="auto"/>
              <w:right w:val="nil" w:sz="6" w:space="0" w:color="auto"/>
            </w:tcBorders>
          </w:tcPr>
          <w:p>
            <w:pPr/>
          </w:p>
        </w:tc>
      </w:tr>
      <w:tr>
        <w:trPr>
          <w:trHeight w:val="439"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9.13%</w:t>
            </w:r>
            <w:r>
              <w:rPr>
                <w:rFonts w:ascii="宋体" w:hAnsi="宋体" w:cs="宋体" w:eastAsia="宋体" w:hint="default"/>
                <w:sz w:val="18"/>
                <w:szCs w:val="18"/>
              </w:rPr>
              <w:t>。</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我们针对商誉减值准备执行的审计程序主要有：</w:t>
            </w:r>
          </w:p>
        </w:tc>
      </w:tr>
      <w:tr>
        <w:trPr>
          <w:trHeight w:val="435"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101"/>
              <w:ind w:left="107" w:right="0"/>
              <w:jc w:val="left"/>
              <w:rPr>
                <w:rFonts w:ascii="宋体" w:hAnsi="宋体" w:cs="宋体" w:eastAsia="宋体" w:hint="default"/>
                <w:sz w:val="18"/>
                <w:szCs w:val="18"/>
              </w:rPr>
            </w:pPr>
            <w:r>
              <w:rPr>
                <w:rFonts w:ascii="宋体" w:hAnsi="宋体" w:cs="宋体" w:eastAsia="宋体" w:hint="default"/>
                <w:sz w:val="18"/>
                <w:szCs w:val="18"/>
              </w:rPr>
              <w:t>公司对商誉每个资产负债表日进行减值测试执行一次，减值</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）测试管理层与商誉可回收性评估相关的关键内部控</w:t>
            </w:r>
          </w:p>
        </w:tc>
      </w:tr>
      <w:tr>
        <w:trPr>
          <w:trHeight w:val="442"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评估基于资产组的可回收金额进行测算，经商誉减值测算，</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制；</w:t>
            </w:r>
          </w:p>
        </w:tc>
      </w:tr>
      <w:tr>
        <w:trPr>
          <w:trHeight w:val="424"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z w:val="18"/>
                <w:szCs w:val="18"/>
              </w:rPr>
              <w:t>本年未发生商誉减值。管理层采用市场价值（公允价值）减</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）检查管理层对商誉可回收金额进行判断的相关文件</w:t>
            </w:r>
          </w:p>
        </w:tc>
      </w:tr>
      <w:tr>
        <w:trPr>
          <w:trHeight w:val="416"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60"/>
              <w:ind w:left="107" w:right="0"/>
              <w:jc w:val="left"/>
              <w:rPr>
                <w:rFonts w:ascii="宋体" w:hAnsi="宋体" w:cs="宋体" w:eastAsia="宋体" w:hint="default"/>
                <w:sz w:val="18"/>
                <w:szCs w:val="18"/>
              </w:rPr>
            </w:pPr>
            <w:r>
              <w:rPr>
                <w:rFonts w:ascii="宋体" w:hAnsi="宋体" w:cs="宋体" w:eastAsia="宋体" w:hint="default"/>
                <w:sz w:val="18"/>
                <w:szCs w:val="18"/>
              </w:rPr>
              <w:t>去处置费用后的净额对国盛证券有限责任公司的可回收金额</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资料及客观依据；</w:t>
            </w:r>
          </w:p>
        </w:tc>
      </w:tr>
      <w:tr>
        <w:trPr>
          <w:trHeight w:val="444"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z w:val="18"/>
                <w:szCs w:val="18"/>
              </w:rPr>
              <w:t>进行评估，采用市净率估值模型确定国盛证券资产组的市场</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）检查外部评估机构的评估报告等相关证明文件；</w:t>
            </w:r>
          </w:p>
        </w:tc>
      </w:tr>
      <w:tr>
        <w:trPr>
          <w:trHeight w:val="440"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29"/>
                <w:sz w:val="18"/>
                <w:szCs w:val="18"/>
              </w:rPr>
              <w:t>值</w:t>
            </w:r>
            <w:r>
              <w:rPr>
                <w:rFonts w:ascii="宋体" w:hAnsi="宋体" w:cs="宋体" w:eastAsia="宋体" w:hint="default"/>
                <w:sz w:val="18"/>
                <w:szCs w:val="18"/>
              </w:rPr>
              <w:t>（公允价值</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选取适当的参数进行资产组的可回收金额</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）就估值模型与评估专家进行沟通咨询，并对关键参数</w:t>
            </w:r>
          </w:p>
        </w:tc>
      </w:tr>
      <w:tr>
        <w:trPr>
          <w:trHeight w:val="413"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评估以及商誉减值准备的计提涉及管理层运用重大会计估计</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96"/>
              <w:ind w:left="103" w:right="0"/>
              <w:jc w:val="left"/>
              <w:rPr>
                <w:rFonts w:ascii="宋体" w:hAnsi="宋体" w:cs="宋体" w:eastAsia="宋体" w:hint="default"/>
                <w:sz w:val="18"/>
                <w:szCs w:val="18"/>
              </w:rPr>
            </w:pPr>
            <w:r>
              <w:rPr>
                <w:rFonts w:ascii="宋体" w:hAnsi="宋体" w:cs="宋体" w:eastAsia="宋体" w:hint="default"/>
                <w:sz w:val="18"/>
                <w:szCs w:val="18"/>
              </w:rPr>
              <w:t>设置和选取进行分析性复核。</w:t>
            </w:r>
          </w:p>
        </w:tc>
      </w:tr>
      <w:tr>
        <w:trPr>
          <w:trHeight w:val="402"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pacing w:val="-3"/>
                <w:sz w:val="18"/>
                <w:szCs w:val="18"/>
              </w:rPr>
              <w:t>和综合判断，因此我们将商誉减值准备确定为关键审计事项。</w:t>
            </w:r>
          </w:p>
        </w:tc>
        <w:tc>
          <w:tcPr>
            <w:tcW w:w="4712" w:type="dxa"/>
            <w:tcBorders>
              <w:top w:val="nil" w:sz="6" w:space="0" w:color="auto"/>
              <w:left w:val="dotted" w:sz="4" w:space="0" w:color="000000"/>
              <w:bottom w:val="nil" w:sz="6" w:space="0" w:color="auto"/>
              <w:right w:val="nil" w:sz="6" w:space="0" w:color="auto"/>
            </w:tcBorders>
          </w:tcPr>
          <w:p>
            <w:pPr/>
          </w:p>
        </w:tc>
      </w:tr>
      <w:tr>
        <w:trPr>
          <w:trHeight w:val="440" w:hRule="exact"/>
        </w:trPr>
        <w:tc>
          <w:tcPr>
            <w:tcW w:w="4928" w:type="dxa"/>
            <w:tcBorders>
              <w:top w:val="nil" w:sz="6" w:space="0" w:color="auto"/>
              <w:left w:val="nil" w:sz="6" w:space="0" w:color="auto"/>
              <w:bottom w:val="nil" w:sz="6" w:space="0" w:color="auto"/>
              <w:right w:val="dotted" w:sz="4" w:space="0" w:color="000000"/>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2"/>
                <w:sz w:val="18"/>
                <w:szCs w:val="18"/>
              </w:rPr>
              <w:t>于</w:t>
            </w:r>
            <w:r>
              <w:rPr>
                <w:rFonts w:ascii="宋体" w:hAnsi="宋体" w:cs="宋体" w:eastAsia="宋体" w:hint="default"/>
                <w:sz w:val="18"/>
                <w:szCs w:val="18"/>
              </w:rPr>
              <w:t>商</w:t>
            </w:r>
            <w:r>
              <w:rPr>
                <w:rFonts w:ascii="宋体" w:hAnsi="宋体" w:cs="宋体" w:eastAsia="宋体" w:hint="default"/>
                <w:spacing w:val="2"/>
                <w:sz w:val="18"/>
                <w:szCs w:val="18"/>
              </w:rPr>
              <w:t>誉</w:t>
            </w:r>
            <w:r>
              <w:rPr>
                <w:rFonts w:ascii="宋体" w:hAnsi="宋体" w:cs="宋体" w:eastAsia="宋体" w:hint="default"/>
                <w:sz w:val="18"/>
                <w:szCs w:val="18"/>
              </w:rPr>
              <w:t>减</w:t>
            </w:r>
            <w:r>
              <w:rPr>
                <w:rFonts w:ascii="宋体" w:hAnsi="宋体" w:cs="宋体" w:eastAsia="宋体" w:hint="default"/>
                <w:spacing w:val="2"/>
                <w:sz w:val="18"/>
                <w:szCs w:val="18"/>
              </w:rPr>
              <w:t>值</w:t>
            </w:r>
            <w:r>
              <w:rPr>
                <w:rFonts w:ascii="宋体" w:hAnsi="宋体" w:cs="宋体" w:eastAsia="宋体" w:hint="default"/>
                <w:sz w:val="18"/>
                <w:szCs w:val="18"/>
              </w:rPr>
              <w:t>准</w:t>
            </w:r>
            <w:r>
              <w:rPr>
                <w:rFonts w:ascii="宋体" w:hAnsi="宋体" w:cs="宋体" w:eastAsia="宋体" w:hint="default"/>
                <w:spacing w:val="2"/>
                <w:sz w:val="18"/>
                <w:szCs w:val="18"/>
              </w:rPr>
              <w:t>备</w:t>
            </w:r>
            <w:r>
              <w:rPr>
                <w:rFonts w:ascii="宋体" w:hAnsi="宋体" w:cs="宋体" w:eastAsia="宋体" w:hint="default"/>
                <w:sz w:val="18"/>
                <w:szCs w:val="18"/>
              </w:rPr>
              <w:t>会</w:t>
            </w:r>
            <w:r>
              <w:rPr>
                <w:rFonts w:ascii="宋体" w:hAnsi="宋体" w:cs="宋体" w:eastAsia="宋体" w:hint="default"/>
                <w:spacing w:val="2"/>
                <w:sz w:val="18"/>
                <w:szCs w:val="18"/>
              </w:rPr>
              <w:t>计</w:t>
            </w:r>
            <w:r>
              <w:rPr>
                <w:rFonts w:ascii="宋体" w:hAnsi="宋体" w:cs="宋体" w:eastAsia="宋体" w:hint="default"/>
                <w:sz w:val="18"/>
                <w:szCs w:val="18"/>
              </w:rPr>
              <w:t>政</w:t>
            </w:r>
            <w:r>
              <w:rPr>
                <w:rFonts w:ascii="宋体" w:hAnsi="宋体" w:cs="宋体" w:eastAsia="宋体" w:hint="default"/>
                <w:spacing w:val="2"/>
                <w:sz w:val="18"/>
                <w:szCs w:val="18"/>
              </w:rPr>
              <w:t>策详</w:t>
            </w:r>
            <w:r>
              <w:rPr>
                <w:rFonts w:ascii="宋体" w:hAnsi="宋体" w:cs="宋体" w:eastAsia="宋体" w:hint="default"/>
                <w:sz w:val="18"/>
                <w:szCs w:val="18"/>
              </w:rPr>
              <w:t>见</w:t>
            </w:r>
            <w:r>
              <w:rPr>
                <w:rFonts w:ascii="宋体" w:hAnsi="宋体" w:cs="宋体" w:eastAsia="宋体" w:hint="default"/>
                <w:spacing w:val="2"/>
                <w:sz w:val="18"/>
                <w:szCs w:val="18"/>
              </w:rPr>
              <w:t>附</w:t>
            </w:r>
            <w:r>
              <w:rPr>
                <w:rFonts w:ascii="宋体" w:hAnsi="宋体" w:cs="宋体" w:eastAsia="宋体" w:hint="default"/>
                <w:sz w:val="18"/>
                <w:szCs w:val="18"/>
              </w:rPr>
              <w:t>注三</w:t>
            </w:r>
            <w:r>
              <w:rPr>
                <w:rFonts w:ascii="宋体" w:hAnsi="宋体" w:cs="宋体" w:eastAsia="宋体" w:hint="default"/>
                <w:spacing w:val="-87"/>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二</w:t>
            </w:r>
            <w:r>
              <w:rPr>
                <w:rFonts w:ascii="宋体" w:hAnsi="宋体" w:cs="宋体" w:eastAsia="宋体" w:hint="default"/>
                <w:sz w:val="18"/>
                <w:szCs w:val="18"/>
              </w:rPr>
              <w:t>十</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关</w:t>
            </w:r>
            <w:r>
              <w:rPr>
                <w:rFonts w:ascii="宋体" w:hAnsi="宋体" w:cs="宋体" w:eastAsia="宋体" w:hint="default"/>
                <w:spacing w:val="2"/>
                <w:sz w:val="18"/>
                <w:szCs w:val="18"/>
              </w:rPr>
              <w:t>于</w:t>
            </w:r>
            <w:r>
              <w:rPr>
                <w:rFonts w:ascii="宋体" w:hAnsi="宋体" w:cs="宋体" w:eastAsia="宋体" w:hint="default"/>
                <w:sz w:val="18"/>
                <w:szCs w:val="18"/>
              </w:rPr>
              <w:t>商誉</w:t>
            </w:r>
          </w:p>
        </w:tc>
        <w:tc>
          <w:tcPr>
            <w:tcW w:w="4712" w:type="dxa"/>
            <w:tcBorders>
              <w:top w:val="nil" w:sz="6" w:space="0" w:color="auto"/>
              <w:left w:val="dotted" w:sz="4" w:space="0" w:color="000000"/>
              <w:bottom w:val="nil" w:sz="6" w:space="0" w:color="auto"/>
              <w:right w:val="nil" w:sz="6" w:space="0" w:color="auto"/>
            </w:tcBorders>
          </w:tcPr>
          <w:p>
            <w:pPr/>
          </w:p>
        </w:tc>
      </w:tr>
      <w:tr>
        <w:trPr>
          <w:trHeight w:val="403" w:hRule="exact"/>
        </w:trPr>
        <w:tc>
          <w:tcPr>
            <w:tcW w:w="4928" w:type="dxa"/>
            <w:tcBorders>
              <w:top w:val="nil" w:sz="6" w:space="0" w:color="auto"/>
              <w:left w:val="nil" w:sz="6" w:space="0" w:color="auto"/>
              <w:bottom w:val="dotted" w:sz="4" w:space="0" w:color="000000"/>
              <w:right w:val="dotted" w:sz="4" w:space="0" w:color="000000"/>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账面余额及减值准备详见附注五、注释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4712" w:type="dxa"/>
            <w:tcBorders>
              <w:top w:val="nil" w:sz="6" w:space="0" w:color="auto"/>
              <w:left w:val="dotted" w:sz="4" w:space="0" w:color="000000"/>
              <w:bottom w:val="dotted" w:sz="4" w:space="0" w:color="000000"/>
              <w:right w:val="nil" w:sz="6" w:space="0" w:color="auto"/>
            </w:tcBorders>
          </w:tcPr>
          <w:p>
            <w:pPr/>
          </w:p>
        </w:tc>
      </w:tr>
    </w:tbl>
    <w:p>
      <w:pPr>
        <w:spacing w:line="240" w:lineRule="auto" w:before="13"/>
        <w:rPr>
          <w:rFonts w:ascii="Microsoft JhengHei" w:hAnsi="Microsoft JhengHei" w:cs="Microsoft JhengHei" w:eastAsia="Microsoft JhengHei" w:hint="default"/>
          <w:b/>
          <w:bCs/>
          <w:sz w:val="5"/>
          <w:szCs w:val="5"/>
        </w:rPr>
      </w:pPr>
    </w:p>
    <w:p>
      <w:pPr>
        <w:spacing w:line="300" w:lineRule="exact" w:before="0"/>
        <w:ind w:left="26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（二）买入返售金融资产减值准备</w:t>
      </w:r>
      <w:r>
        <w:rPr>
          <w:rFonts w:ascii="Microsoft JhengHei" w:hAnsi="Microsoft JhengHei" w:cs="Microsoft JhengHei" w:eastAsia="Microsoft JhengHei" w:hint="default"/>
          <w:sz w:val="18"/>
          <w:szCs w:val="18"/>
        </w:rPr>
      </w:r>
    </w:p>
    <w:p>
      <w:pPr>
        <w:spacing w:line="240" w:lineRule="auto" w:before="15"/>
        <w:rPr>
          <w:rFonts w:ascii="Microsoft JhengHei" w:hAnsi="Microsoft JhengHei" w:cs="Microsoft JhengHei" w:eastAsia="Microsoft JhengHei" w:hint="default"/>
          <w:b/>
          <w:bCs/>
          <w:sz w:val="2"/>
          <w:szCs w:val="2"/>
        </w:rPr>
      </w:pPr>
    </w:p>
    <w:tbl>
      <w:tblPr>
        <w:tblW w:w="0" w:type="auto"/>
        <w:jc w:val="left"/>
        <w:tblInd w:w="123" w:type="dxa"/>
        <w:tblLayout w:type="fixed"/>
        <w:tblCellMar>
          <w:top w:w="0" w:type="dxa"/>
          <w:left w:w="0" w:type="dxa"/>
          <w:bottom w:w="0" w:type="dxa"/>
          <w:right w:w="0" w:type="dxa"/>
        </w:tblCellMar>
        <w:tblLook w:val="01E0"/>
      </w:tblPr>
      <w:tblGrid>
        <w:gridCol w:w="4943"/>
        <w:gridCol w:w="4712"/>
      </w:tblGrid>
      <w:tr>
        <w:trPr>
          <w:trHeight w:val="398" w:hRule="exact"/>
        </w:trPr>
        <w:tc>
          <w:tcPr>
            <w:tcW w:w="4943" w:type="dxa"/>
            <w:tcBorders>
              <w:top w:val="dotted" w:sz="4" w:space="0" w:color="000000"/>
              <w:left w:val="nil" w:sz="6" w:space="0" w:color="auto"/>
              <w:bottom w:val="nil" w:sz="6" w:space="0" w:color="auto"/>
              <w:right w:val="dotted" w:sz="4" w:space="0" w:color="000000"/>
            </w:tcBorders>
          </w:tcPr>
          <w:p>
            <w:pPr/>
          </w:p>
        </w:tc>
        <w:tc>
          <w:tcPr>
            <w:tcW w:w="4712" w:type="dxa"/>
            <w:tcBorders>
              <w:top w:val="dotted" w:sz="4" w:space="0" w:color="000000"/>
              <w:left w:val="dotted" w:sz="4" w:space="0" w:color="000000"/>
              <w:bottom w:val="nil" w:sz="6" w:space="0" w:color="auto"/>
              <w:right w:val="nil" w:sz="6" w:space="0" w:color="auto"/>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pacing w:val="7"/>
                <w:sz w:val="18"/>
                <w:szCs w:val="18"/>
              </w:rPr>
              <w:t>我们针对买入返售金融资产减值准备执行的审计程序主</w:t>
            </w:r>
            <w:r>
              <w:rPr>
                <w:rFonts w:ascii="宋体" w:hAnsi="宋体" w:cs="宋体" w:eastAsia="宋体" w:hint="default"/>
                <w:sz w:val="18"/>
                <w:szCs w:val="18"/>
              </w:rPr>
            </w:r>
          </w:p>
        </w:tc>
      </w:tr>
      <w:tr>
        <w:trPr>
          <w:trHeight w:val="371"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日，公司买入返售金融资产余额</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要有：</w:t>
            </w:r>
          </w:p>
        </w:tc>
      </w:tr>
      <w:tr>
        <w:trPr>
          <w:trHeight w:val="211"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5,100,905,780.04</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元，减值准备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54,476,823.64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元。买入返售金</w:t>
            </w:r>
          </w:p>
        </w:tc>
        <w:tc>
          <w:tcPr>
            <w:tcW w:w="4712" w:type="dxa"/>
            <w:tcBorders>
              <w:top w:val="nil" w:sz="6" w:space="0" w:color="auto"/>
              <w:left w:val="dotted" w:sz="4" w:space="0" w:color="000000"/>
              <w:bottom w:val="nil" w:sz="6" w:space="0" w:color="auto"/>
              <w:right w:val="nil" w:sz="6" w:space="0" w:color="auto"/>
            </w:tcBorders>
          </w:tcPr>
          <w:p>
            <w:pPr/>
          </w:p>
        </w:tc>
      </w:tr>
      <w:tr>
        <w:trPr>
          <w:trHeight w:val="368"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融资产净额占到合并资产总额的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14.96%</w:t>
            </w:r>
            <w:r>
              <w:rPr>
                <w:rFonts w:ascii="宋体" w:hAnsi="宋体" w:cs="宋体" w:eastAsia="宋体" w:hint="default"/>
                <w:sz w:val="18"/>
                <w:szCs w:val="18"/>
              </w:rPr>
              <w:t>，减值准备本期增加</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）测试管理层与买入返售金融资产日常管理及预计未</w:t>
            </w:r>
          </w:p>
        </w:tc>
      </w:tr>
      <w:tr>
        <w:trPr>
          <w:trHeight w:val="392"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减值占到信用资产减值损失的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58.55%</w:t>
            </w:r>
            <w:r>
              <w:rPr>
                <w:rFonts w:ascii="宋体" w:hAnsi="宋体" w:cs="宋体" w:eastAsia="宋体" w:hint="default"/>
                <w:sz w:val="18"/>
                <w:szCs w:val="18"/>
              </w:rPr>
              <w:t>。由于买入返售金融资</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来现金流量评估相关的关键内部控制；</w:t>
            </w:r>
          </w:p>
        </w:tc>
      </w:tr>
      <w:tr>
        <w:trPr>
          <w:trHeight w:val="363"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40" w:lineRule="auto" w:before="96"/>
              <w:ind w:left="122" w:right="0"/>
              <w:jc w:val="left"/>
              <w:rPr>
                <w:rFonts w:ascii="宋体" w:hAnsi="宋体" w:cs="宋体" w:eastAsia="宋体" w:hint="default"/>
                <w:sz w:val="18"/>
                <w:szCs w:val="18"/>
              </w:rPr>
            </w:pPr>
            <w:r>
              <w:rPr>
                <w:rFonts w:ascii="宋体" w:hAnsi="宋体" w:cs="宋体" w:eastAsia="宋体" w:hint="default"/>
                <w:sz w:val="18"/>
                <w:szCs w:val="18"/>
              </w:rPr>
              <w:t>产金额重大，其减值评估需要管理层作出重大判断，因此我</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）检查管理层对买入返售金融资产预计未来现金流量</w:t>
            </w:r>
          </w:p>
        </w:tc>
      </w:tr>
      <w:tr>
        <w:trPr>
          <w:trHeight w:val="390"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们将买入返售金融资产减值准备确定为关键审计事项。</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进行判断的相关文件资料及客观依据；</w:t>
            </w:r>
          </w:p>
        </w:tc>
      </w:tr>
      <w:tr>
        <w:trPr>
          <w:trHeight w:val="391"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关于买入返售金融资产减值准备会计政策详见附注三</w:t>
            </w:r>
            <w:r>
              <w:rPr>
                <w:rFonts w:ascii="宋体" w:hAnsi="宋体" w:cs="宋体" w:eastAsia="宋体" w:hint="default"/>
                <w:spacing w:val="-152"/>
                <w:sz w:val="18"/>
                <w:szCs w:val="18"/>
              </w:rPr>
              <w:t>、</w:t>
            </w:r>
            <w:r>
              <w:rPr>
                <w:rFonts w:ascii="宋体" w:hAnsi="宋体" w:cs="宋体" w:eastAsia="宋体" w:hint="default"/>
                <w:sz w:val="18"/>
                <w:szCs w:val="18"/>
              </w:rPr>
              <w:t>（二十</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）分析复核报告期末买入返售金融资产的组成结构和</w:t>
            </w:r>
          </w:p>
        </w:tc>
      </w:tr>
      <w:tr>
        <w:trPr>
          <w:trHeight w:val="370"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pacing w:val="4"/>
                <w:sz w:val="18"/>
                <w:szCs w:val="18"/>
              </w:rPr>
              <w:t>九</w:t>
            </w:r>
            <w:r>
              <w:rPr>
                <w:rFonts w:ascii="宋体" w:hAnsi="宋体" w:cs="宋体" w:eastAsia="宋体" w:hint="default"/>
                <w:spacing w:val="-85"/>
                <w:sz w:val="18"/>
                <w:szCs w:val="18"/>
              </w:rPr>
              <w:t>）</w:t>
            </w:r>
            <w:r>
              <w:rPr>
                <w:rFonts w:ascii="宋体" w:hAnsi="宋体" w:cs="宋体" w:eastAsia="宋体" w:hint="default"/>
                <w:spacing w:val="4"/>
                <w:sz w:val="18"/>
                <w:szCs w:val="18"/>
              </w:rPr>
              <w:t>；关于买入返售金融资产账面余额及减值准备详见附</w:t>
            </w:r>
            <w:r>
              <w:rPr>
                <w:rFonts w:ascii="宋体" w:hAnsi="宋体" w:cs="宋体" w:eastAsia="宋体" w:hint="default"/>
                <w:sz w:val="18"/>
                <w:szCs w:val="18"/>
              </w:rPr>
              <w:t>注</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内容，检查报告期买入返售金融资产的相关合同文件资</w:t>
            </w:r>
            <w:r>
              <w:rPr>
                <w:rFonts w:ascii="宋体" w:hAnsi="宋体" w:cs="宋体" w:eastAsia="宋体" w:hint="default"/>
                <w:sz w:val="18"/>
                <w:szCs w:val="18"/>
              </w:rPr>
            </w:r>
          </w:p>
        </w:tc>
      </w:tr>
      <w:tr>
        <w:trPr>
          <w:trHeight w:val="374" w:hRule="exact"/>
        </w:trPr>
        <w:tc>
          <w:tcPr>
            <w:tcW w:w="4943" w:type="dxa"/>
            <w:tcBorders>
              <w:top w:val="nil" w:sz="6" w:space="0" w:color="auto"/>
              <w:left w:val="nil" w:sz="6" w:space="0" w:color="auto"/>
              <w:bottom w:val="nil" w:sz="6" w:space="0" w:color="auto"/>
              <w:right w:val="dotted"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五、注释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4712" w:type="dxa"/>
            <w:tcBorders>
              <w:top w:val="nil" w:sz="6" w:space="0" w:color="auto"/>
              <w:left w:val="dotted" w:sz="4" w:space="0" w:color="000000"/>
              <w:bottom w:val="nil" w:sz="6" w:space="0" w:color="auto"/>
              <w:right w:val="nil" w:sz="6" w:space="0" w:color="auto"/>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料，重点关注质押期限较长资产和展期资产，检查标的资</w:t>
            </w:r>
          </w:p>
        </w:tc>
      </w:tr>
      <w:tr>
        <w:trPr>
          <w:trHeight w:val="253" w:hRule="exact"/>
        </w:trPr>
        <w:tc>
          <w:tcPr>
            <w:tcW w:w="4943" w:type="dxa"/>
            <w:tcBorders>
              <w:top w:val="nil" w:sz="6" w:space="0" w:color="auto"/>
              <w:left w:val="nil" w:sz="6" w:space="0" w:color="auto"/>
              <w:bottom w:val="single" w:sz="12" w:space="0" w:color="000000"/>
              <w:right w:val="dotted" w:sz="4" w:space="0" w:color="000000"/>
            </w:tcBorders>
          </w:tcPr>
          <w:p>
            <w:pPr/>
          </w:p>
        </w:tc>
        <w:tc>
          <w:tcPr>
            <w:tcW w:w="4712" w:type="dxa"/>
            <w:tcBorders>
              <w:top w:val="nil" w:sz="6" w:space="0" w:color="auto"/>
              <w:left w:val="dotted" w:sz="4" w:space="0" w:color="000000"/>
              <w:bottom w:val="single" w:sz="12" w:space="0" w:color="000000"/>
              <w:right w:val="nil" w:sz="6" w:space="0" w:color="auto"/>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产市值、质押率和融资人信用情况，综合评价买入返售金</w:t>
            </w:r>
          </w:p>
        </w:tc>
      </w:tr>
    </w:tbl>
    <w:p>
      <w:pPr>
        <w:spacing w:after="0" w:line="209" w:lineRule="exact"/>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4943"/>
        <w:gridCol w:w="4712"/>
      </w:tblGrid>
      <w:tr>
        <w:trPr>
          <w:trHeight w:val="521" w:hRule="exact"/>
        </w:trPr>
        <w:tc>
          <w:tcPr>
            <w:tcW w:w="49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9"/>
              <w:ind w:left="1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关键审计事项</w:t>
            </w:r>
            <w:r>
              <w:rPr>
                <w:rFonts w:ascii="Microsoft JhengHei" w:hAnsi="Microsoft JhengHei" w:cs="Microsoft JhengHei" w:eastAsia="Microsoft JhengHei" w:hint="default"/>
                <w:sz w:val="18"/>
                <w:szCs w:val="18"/>
              </w:rPr>
            </w:r>
          </w:p>
        </w:tc>
        <w:tc>
          <w:tcPr>
            <w:tcW w:w="47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9"/>
              <w:ind w:left="11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该事项在审计中是如何应对的</w:t>
            </w:r>
            <w:r>
              <w:rPr>
                <w:rFonts w:ascii="Microsoft JhengHei" w:hAnsi="Microsoft JhengHei" w:cs="Microsoft JhengHei" w:eastAsia="Microsoft JhengHei" w:hint="default"/>
                <w:sz w:val="18"/>
                <w:szCs w:val="18"/>
              </w:rPr>
            </w:r>
          </w:p>
        </w:tc>
      </w:tr>
      <w:tr>
        <w:trPr>
          <w:trHeight w:val="1231" w:hRule="exact"/>
        </w:trPr>
        <w:tc>
          <w:tcPr>
            <w:tcW w:w="4943" w:type="dxa"/>
            <w:tcBorders>
              <w:top w:val="dotted" w:sz="4" w:space="0" w:color="000000"/>
              <w:left w:val="nil" w:sz="6" w:space="0" w:color="auto"/>
              <w:bottom w:val="single" w:sz="12" w:space="0" w:color="000000"/>
              <w:right w:val="dotted" w:sz="4" w:space="0" w:color="000000"/>
            </w:tcBorders>
          </w:tcPr>
          <w:p>
            <w:pPr/>
          </w:p>
        </w:tc>
        <w:tc>
          <w:tcPr>
            <w:tcW w:w="47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融资产减值准备计提的合理性和充分性；</w:t>
            </w: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352"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）对买入返售金融资产实施函证程序，确认买入返售金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融资产内容和金额。</w:t>
            </w:r>
          </w:p>
        </w:tc>
      </w:tr>
    </w:tbl>
    <w:p>
      <w:pPr>
        <w:spacing w:line="240" w:lineRule="auto" w:before="17"/>
        <w:rPr>
          <w:rFonts w:ascii="Microsoft JhengHei" w:hAnsi="Microsoft JhengHei" w:cs="Microsoft JhengHei" w:eastAsia="Microsoft JhengHei" w:hint="default"/>
          <w:b/>
          <w:bCs/>
          <w:sz w:val="3"/>
          <w:szCs w:val="3"/>
        </w:rPr>
      </w:pPr>
    </w:p>
    <w:p>
      <w:pPr>
        <w:pStyle w:val="Heading4"/>
        <w:spacing w:line="335" w:lineRule="exact"/>
        <w:ind w:left="573" w:right="0"/>
        <w:jc w:val="left"/>
        <w:rPr>
          <w:b w:val="0"/>
          <w:bCs w:val="0"/>
        </w:rPr>
      </w:pPr>
      <w:r>
        <w:rPr/>
        <w:t>（四）其他信息</w:t>
      </w:r>
      <w:r>
        <w:rPr>
          <w:b w:val="0"/>
          <w:bCs w:val="0"/>
        </w:rPr>
      </w:r>
    </w:p>
    <w:p>
      <w:pPr>
        <w:pStyle w:val="BodyText"/>
        <w:spacing w:line="355" w:lineRule="auto" w:before="109"/>
        <w:ind w:right="1122" w:firstLine="420"/>
        <w:jc w:val="left"/>
      </w:pPr>
      <w:r>
        <w:rPr/>
        <w:t>国盛金控管理层对其他信息负责。其他信息包括国盛金控 </w:t>
      </w:r>
      <w:r>
        <w:rPr>
          <w:rFonts w:ascii="宋体" w:hAnsi="宋体" w:cs="宋体" w:eastAsia="宋体" w:hint="default"/>
        </w:rPr>
        <w:t>2019</w:t>
      </w:r>
      <w:r>
        <w:rPr>
          <w:rFonts w:ascii="宋体" w:hAnsi="宋体" w:cs="宋体" w:eastAsia="宋体" w:hint="default"/>
          <w:spacing w:val="-28"/>
        </w:rPr>
        <w:t> </w:t>
      </w:r>
      <w:r>
        <w:rPr/>
        <w:t>年年度报告中涵盖的信息，但不包括</w:t>
      </w:r>
      <w:r>
        <w:rPr>
          <w:w w:val="100"/>
        </w:rPr>
        <w:t> </w:t>
      </w:r>
      <w:r>
        <w:rPr/>
        <w:t>财务报表和我们的审计报告。</w:t>
      </w:r>
    </w:p>
    <w:p>
      <w:pPr>
        <w:pStyle w:val="BodyText"/>
        <w:spacing w:line="393" w:lineRule="auto" w:before="73"/>
        <w:ind w:left="573" w:right="0"/>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393" w:lineRule="auto"/>
        <w:ind w:left="573" w:right="0" w:hanging="421"/>
        <w:jc w:val="left"/>
      </w:pPr>
      <w:r>
        <w:rPr/>
        <w:t>表或我们在审计过程中了解的情况存在重大不一致或者似乎存在重大错报。</w:t>
      </w:r>
      <w:r>
        <w:rPr>
          <w:w w:val="100"/>
        </w:rPr>
        <w:t> </w:t>
      </w:r>
      <w:r>
        <w:rPr>
          <w:spacing w:val="-2"/>
        </w:rPr>
        <w:t>基于我们已执行的工作，如果我们确定其他信息存在重大错报，我们应当报告该事实。在这方面，我</w:t>
      </w:r>
    </w:p>
    <w:p>
      <w:pPr>
        <w:pStyle w:val="BodyText"/>
        <w:spacing w:line="271" w:lineRule="exact"/>
        <w:ind w:right="0"/>
        <w:jc w:val="left"/>
      </w:pPr>
      <w:r>
        <w:rPr/>
        <w:t>们无任何事项需要报告。</w:t>
      </w:r>
    </w:p>
    <w:p>
      <w:pPr>
        <w:spacing w:line="240" w:lineRule="auto" w:before="12"/>
        <w:rPr>
          <w:rFonts w:ascii="宋体" w:hAnsi="宋体" w:cs="宋体" w:eastAsia="宋体" w:hint="default"/>
          <w:sz w:val="15"/>
          <w:szCs w:val="15"/>
        </w:rPr>
      </w:pPr>
    </w:p>
    <w:p>
      <w:pPr>
        <w:spacing w:line="314" w:lineRule="auto" w:before="0"/>
        <w:ind w:left="573"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（五）管理层和治理层对财务报表的责任</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国盛金控管理层负责按照企业会计准则的规定编制财务报表，使其实现公允反映，并设计、执行和维</w:t>
      </w:r>
    </w:p>
    <w:p>
      <w:pPr>
        <w:pStyle w:val="BodyText"/>
        <w:spacing w:line="393" w:lineRule="auto" w:before="65"/>
        <w:ind w:left="573" w:right="0" w:hanging="421"/>
        <w:jc w:val="left"/>
      </w:pPr>
      <w:r>
        <w:rPr/>
        <w:t>护必要的内部控制，以使财务报表不存在由于舞弊或错误导致的重大错报。</w:t>
      </w:r>
      <w:r>
        <w:rPr>
          <w:w w:val="100"/>
        </w:rPr>
        <w:t> </w:t>
      </w:r>
      <w:r>
        <w:rPr>
          <w:spacing w:val="-2"/>
        </w:rPr>
        <w:t>在编制财务报表时，国盛金控管理层负责评估国盛金控的持续经营能力，披露与持续经营相关的事项</w:t>
      </w:r>
    </w:p>
    <w:p>
      <w:pPr>
        <w:pStyle w:val="BodyText"/>
        <w:spacing w:line="391" w:lineRule="auto"/>
        <w:ind w:left="573" w:right="0" w:hanging="421"/>
        <w:jc w:val="left"/>
      </w:pPr>
      <w:r>
        <w:rPr>
          <w:spacing w:val="-4"/>
          <w:w w:val="100"/>
        </w:rPr>
        <w:t>（如适用），并运用持续经营假设，除非管理层计划清算国盛金控、终止运营或别无其他现实的选择。</w:t>
      </w:r>
      <w:r>
        <w:rPr>
          <w:spacing w:val="-91"/>
          <w:w w:val="100"/>
        </w:rPr>
        <w:t> </w:t>
      </w:r>
      <w:r>
        <w:rPr>
          <w:spacing w:val="-91"/>
          <w:w w:val="100"/>
        </w:rPr>
      </w:r>
      <w:r>
        <w:rPr/>
        <w:t>治理层负责监督国盛金控的财务报告过程。</w:t>
      </w:r>
    </w:p>
    <w:p>
      <w:pPr>
        <w:spacing w:line="314" w:lineRule="auto" w:before="75"/>
        <w:ind w:left="573"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（六）注册会计师对财务报表审计的责任</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355" w:lineRule="auto" w:before="68"/>
        <w:ind w:right="112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355" w:lineRule="auto" w:before="76"/>
        <w:ind w:right="1150"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355" w:lineRule="auto" w:before="75"/>
        <w:ind w:right="1126" w:firstLine="420"/>
        <w:jc w:val="both"/>
      </w:pPr>
      <w:r>
        <w:rPr>
          <w:rFonts w:ascii="宋体" w:hAnsi="宋体" w:cs="宋体" w:eastAsia="宋体" w:hint="default"/>
          <w:spacing w:val="-5"/>
        </w:rPr>
        <w:t>1</w:t>
      </w:r>
      <w:r>
        <w:rPr>
          <w:spacing w:val="-5"/>
        </w:rPr>
        <w:t>．识别和评估由于舞弊或错误导致的财务报表重大错报风险，设计和实施审计程序以应对这些风险，</w:t>
      </w:r>
      <w:r>
        <w:rPr>
          <w:w w:val="100"/>
        </w:rPr>
        <w:t> </w:t>
      </w:r>
      <w:r>
        <w:rPr>
          <w:spacing w:val="-2"/>
        </w:rPr>
        <w:t>并获取充分、适当的审计证据，作为发表审计意见的基础。由于舞弊可能涉及串通、伪造、故意遗漏、虚</w:t>
      </w:r>
      <w:r>
        <w:rPr>
          <w:spacing w:val="-45"/>
        </w:rPr>
        <w:t> </w:t>
      </w:r>
      <w:r>
        <w:rPr>
          <w:spacing w:val="-45"/>
        </w:rPr>
      </w:r>
      <w:r>
        <w:rPr>
          <w:spacing w:val="-2"/>
        </w:rPr>
        <w:t>假陈述或凌驾于内部控制之上，未能发现由于舞弊导致的重大错报的风险高于未能发现由于错误导致的重</w:t>
      </w:r>
      <w:r>
        <w:rPr>
          <w:spacing w:val="-43"/>
        </w:rPr>
        <w:t> </w:t>
      </w:r>
      <w:r>
        <w:rPr>
          <w:spacing w:val="-43"/>
        </w:rPr>
      </w:r>
      <w:r>
        <w:rPr/>
        <w:t>大错报的风险。</w:t>
      </w:r>
    </w:p>
    <w:p>
      <w:pPr>
        <w:pStyle w:val="BodyText"/>
        <w:spacing w:line="240" w:lineRule="auto" w:before="73"/>
        <w:ind w:left="573" w:right="0"/>
        <w:jc w:val="left"/>
      </w:pPr>
      <w:r>
        <w:rPr>
          <w:rFonts w:ascii="宋体" w:hAnsi="宋体" w:cs="宋体" w:eastAsia="宋体" w:hint="default"/>
        </w:rPr>
        <w:t>2</w:t>
      </w:r>
      <w:r>
        <w:rPr/>
        <w:t>．了解与审计相关的内部控制，以设计恰当的审计程序。</w:t>
      </w:r>
    </w:p>
    <w:p>
      <w:pPr>
        <w:pStyle w:val="BodyText"/>
        <w:spacing w:line="240" w:lineRule="auto" w:before="174"/>
        <w:ind w:left="573" w:right="0"/>
        <w:jc w:val="left"/>
      </w:pPr>
      <w:r>
        <w:rPr>
          <w:rFonts w:ascii="宋体" w:hAnsi="宋体" w:cs="宋体" w:eastAsia="宋体" w:hint="default"/>
        </w:rPr>
        <w:t>3</w:t>
      </w:r>
      <w:r>
        <w:rPr/>
        <w:t>．评价管理层选用会计政策的恰当性和作出会计估计及相关披露的合理性。</w:t>
      </w:r>
    </w:p>
    <w:p>
      <w:pPr>
        <w:pStyle w:val="BodyText"/>
        <w:spacing w:line="240" w:lineRule="auto" w:before="174"/>
        <w:ind w:left="573" w:right="0"/>
        <w:jc w:val="left"/>
      </w:pPr>
      <w:r>
        <w:rPr>
          <w:rFonts w:ascii="宋体" w:hAnsi="宋体" w:cs="宋体" w:eastAsia="宋体" w:hint="default"/>
          <w:spacing w:val="-5"/>
        </w:rPr>
        <w:t>4</w:t>
      </w:r>
      <w:r>
        <w:rPr>
          <w:spacing w:val="-5"/>
        </w:rPr>
        <w:t>．对管理层使用持续经营假设的恰当性得出结论。同时，根据获取的审计证据，就可能导致对国盛金</w:t>
      </w:r>
    </w:p>
    <w:p>
      <w:pPr>
        <w:spacing w:after="0" w:line="240" w:lineRule="auto"/>
        <w:jc w:val="left"/>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1126"/>
        <w:jc w:val="both"/>
      </w:pPr>
      <w:r>
        <w:rPr>
          <w:spacing w:val="-2"/>
        </w:rPr>
        <w:t>控持续经营能力产生重大疑虑的事项或情况是否存在重大不确定性得出结论。如果我们得出结论认为存在</w:t>
      </w:r>
      <w:r>
        <w:rPr>
          <w:spacing w:val="-43"/>
        </w:rPr>
        <w:t> </w:t>
      </w:r>
      <w:r>
        <w:rPr>
          <w:spacing w:val="-43"/>
        </w:rPr>
      </w:r>
      <w:r>
        <w:rPr>
          <w:spacing w:val="-2"/>
        </w:rPr>
        <w:t>重大不确定性，审计准则要求我们在审计报告中提请报告使用者注意财务报表中的相关披露；如果披露不</w:t>
      </w:r>
      <w:r>
        <w:rPr>
          <w:spacing w:val="-43"/>
        </w:rPr>
        <w:t> </w:t>
      </w:r>
      <w:r>
        <w:rPr>
          <w:spacing w:val="-43"/>
        </w:rPr>
      </w:r>
      <w:r>
        <w:rPr>
          <w:spacing w:val="-2"/>
        </w:rPr>
        <w:t>充分，我们应当发表非无保留意见。我们的结论基于截至审计报告日可获得的信息。然而，未来的事项或</w:t>
      </w:r>
      <w:r>
        <w:rPr>
          <w:spacing w:val="-47"/>
        </w:rPr>
        <w:t> </w:t>
      </w:r>
      <w:r>
        <w:rPr>
          <w:spacing w:val="-47"/>
        </w:rPr>
      </w:r>
      <w:r>
        <w:rPr/>
        <w:t>情况可能导致国盛金控不能持续经营。</w:t>
      </w:r>
    </w:p>
    <w:p>
      <w:pPr>
        <w:pStyle w:val="BodyText"/>
        <w:spacing w:line="240" w:lineRule="auto" w:before="73"/>
        <w:ind w:left="573" w:right="0"/>
        <w:jc w:val="left"/>
      </w:pPr>
      <w:r>
        <w:rPr>
          <w:rFonts w:ascii="宋体" w:hAnsi="宋体" w:cs="宋体" w:eastAsia="宋体" w:hint="default"/>
        </w:rPr>
        <w:t>5</w:t>
      </w:r>
      <w:r>
        <w:rPr/>
        <w:t>．评价财务报表的总体列报、结构和内容，并评价财务报表是否公允反映相关交易和事项。</w:t>
      </w:r>
    </w:p>
    <w:p>
      <w:pPr>
        <w:pStyle w:val="BodyText"/>
        <w:spacing w:line="355" w:lineRule="auto" w:before="174"/>
        <w:ind w:right="1128" w:firstLine="420"/>
        <w:jc w:val="both"/>
      </w:pPr>
      <w:r>
        <w:rPr>
          <w:rFonts w:ascii="宋体" w:hAnsi="宋体" w:cs="宋体" w:eastAsia="宋体" w:hint="default"/>
          <w:spacing w:val="-5"/>
        </w:rPr>
        <w:t>6</w:t>
      </w:r>
      <w:r>
        <w:rPr>
          <w:spacing w:val="-5"/>
        </w:rPr>
        <w:t>．就国盛金控中实体或业务活动的财务信息获取充分、适当的审计证据，以对财务报表发表意见。我</w:t>
      </w:r>
      <w:r>
        <w:rPr>
          <w:w w:val="100"/>
        </w:rPr>
        <w:t> </w:t>
      </w:r>
      <w:r>
        <w:rPr/>
        <w:t>们负责指导、监督和执行集团审计。我们对审计意见承担全部责任。</w:t>
      </w:r>
    </w:p>
    <w:p>
      <w:pPr>
        <w:pStyle w:val="BodyText"/>
        <w:spacing w:line="355" w:lineRule="auto" w:before="75"/>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355" w:lineRule="auto" w:before="75"/>
        <w:ind w:right="1126" w:firstLine="420"/>
        <w:jc w:val="both"/>
      </w:pPr>
      <w:r>
        <w:rPr>
          <w:spacing w:val="-2"/>
        </w:rPr>
        <w:t>我们还就已遵守与独立性相关的职业道德要求向治理层提供声明，并与治理层沟通可能被合理认为影</w:t>
      </w:r>
      <w:r>
        <w:rPr>
          <w:w w:val="100"/>
        </w:rPr>
        <w:t> </w:t>
      </w:r>
      <w:r>
        <w:rPr>
          <w:spacing w:val="-5"/>
          <w:w w:val="100"/>
        </w:rPr>
        <w:t>响我们独立性的所有关系和其他事项，以及相关的防范措施（如适用）。</w:t>
      </w:r>
    </w:p>
    <w:p>
      <w:pPr>
        <w:pStyle w:val="BodyText"/>
        <w:spacing w:line="355" w:lineRule="auto" w:before="75"/>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tabs>
          <w:tab w:pos="4361" w:val="left" w:leader="none"/>
          <w:tab w:pos="6824" w:val="left" w:leader="none"/>
        </w:tabs>
        <w:spacing w:line="240" w:lineRule="auto"/>
        <w:ind w:left="0" w:right="1331"/>
        <w:jc w:val="center"/>
        <w:rPr>
          <w:rFonts w:ascii="Times New Roman" w:hAnsi="Times New Roman" w:cs="Times New Roman" w:eastAsia="Times New Roman" w:hint="default"/>
        </w:rPr>
      </w:pPr>
      <w:r>
        <w:rPr>
          <w:spacing w:val="-2"/>
        </w:rPr>
        <w:t>大华会计师事务所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tab/>
      </w:r>
      <w:r>
        <w:rPr>
          <w:spacing w:val="-2"/>
        </w:rPr>
        <w:t>中国注册会计师：</w:t>
      </w:r>
      <w:r>
        <w:rPr>
          <w:rFonts w:ascii="Times New Roman" w:hAnsi="Times New Roman" w:cs="Times New Roman" w:eastAsia="Times New Roman" w:hint="default"/>
          <w:spacing w:val="-2"/>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22"/>
          <w:szCs w:val="22"/>
        </w:rPr>
      </w:pPr>
    </w:p>
    <w:p>
      <w:pPr>
        <w:pStyle w:val="BodyText"/>
        <w:tabs>
          <w:tab w:pos="8077" w:val="left" w:leader="none"/>
        </w:tabs>
        <w:spacing w:line="240" w:lineRule="auto" w:before="36"/>
        <w:ind w:left="6394" w:right="0"/>
        <w:jc w:val="left"/>
      </w:pPr>
      <w:r>
        <w:rPr>
          <w:rFonts w:ascii="宋体" w:hAnsi="宋体" w:cs="宋体" w:eastAsia="宋体" w:hint="default"/>
          <w:spacing w:val="-1"/>
        </w:rPr>
        <w:t>(</w:t>
      </w:r>
      <w:r>
        <w:rPr>
          <w:spacing w:val="-1"/>
        </w:rPr>
        <w:t>项目合伙人）</w:t>
        <w:tab/>
      </w:r>
      <w:r>
        <w:rPr>
          <w:spacing w:val="-3"/>
        </w:rPr>
        <w:t>朱娟</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327" w:lineRule="exact"/>
        <w:ind w:left="2433" w:right="0"/>
        <w:jc w:val="left"/>
      </w:pPr>
      <w:r>
        <w:rPr>
          <w:w w:val="100"/>
        </w:rPr>
        <w:t>中</w:t>
      </w:r>
      <w:r>
        <w:rPr>
          <w:spacing w:val="-2"/>
          <w:w w:val="100"/>
        </w:rPr>
        <w:t>国</w:t>
      </w:r>
      <w:r>
        <w:rPr>
          <w:rFonts w:ascii="Microsoft JhengHei" w:hAnsi="Microsoft JhengHei" w:cs="Microsoft JhengHei" w:eastAsia="Microsoft JhengHei" w:hint="default"/>
          <w:b/>
          <w:bCs/>
          <w:w w:val="394"/>
        </w:rPr>
        <w:t>·</w:t>
      </w:r>
      <w:r>
        <w:rPr>
          <w:w w:val="100"/>
        </w:rPr>
        <w:t>北京</w:t>
      </w:r>
    </w:p>
    <w:p>
      <w:pPr>
        <w:pStyle w:val="BodyText"/>
        <w:tabs>
          <w:tab w:pos="8213" w:val="left" w:leader="none"/>
        </w:tabs>
        <w:spacing w:line="267" w:lineRule="exact"/>
        <w:ind w:left="5746" w:right="0"/>
        <w:jc w:val="left"/>
        <w:rPr>
          <w:rFonts w:ascii="Times New Roman" w:hAnsi="Times New Roman" w:cs="Times New Roman" w:eastAsia="Times New Roman" w:hint="default"/>
        </w:rPr>
      </w:pPr>
      <w:r>
        <w:rPr/>
        <w:t>中国注册会计师：</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22"/>
          <w:szCs w:val="22"/>
        </w:rPr>
      </w:pPr>
    </w:p>
    <w:p>
      <w:pPr>
        <w:pStyle w:val="BodyText"/>
        <w:spacing w:line="494" w:lineRule="auto" w:before="36"/>
        <w:ind w:left="5851" w:right="1150" w:firstLine="1682"/>
        <w:jc w:val="left"/>
      </w:pPr>
      <w:r>
        <w:rPr/>
        <w:t>孙彤</w:t>
      </w:r>
      <w:r>
        <w:rPr>
          <w:w w:val="100"/>
        </w:rPr>
        <w:t> </w:t>
      </w:r>
      <w:r>
        <w:rPr>
          <w:spacing w:val="-2"/>
        </w:rPr>
        <w:t>二〇二〇年四月二十九日</w:t>
      </w:r>
    </w:p>
    <w:p>
      <w:pPr>
        <w:spacing w:after="0" w:line="494"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二、财务报表</w:t>
      </w:r>
      <w:r>
        <w:rPr>
          <w:b w:val="0"/>
          <w:bCs w:val="0"/>
        </w:rPr>
      </w:r>
    </w:p>
    <w:p>
      <w:pPr>
        <w:spacing w:line="240" w:lineRule="auto" w:before="8"/>
        <w:rPr>
          <w:rFonts w:ascii="Microsoft JhengHei" w:hAnsi="Microsoft JhengHei" w:cs="Microsoft JhengHei" w:eastAsia="Microsoft JhengHei" w:hint="default"/>
          <w:b/>
          <w:bCs/>
          <w:sz w:val="13"/>
          <w:szCs w:val="13"/>
        </w:rPr>
      </w:pPr>
    </w:p>
    <w:p>
      <w:pPr>
        <w:spacing w:line="235" w:lineRule="auto" w:before="0"/>
        <w:ind w:left="4339" w:right="4679" w:hanging="6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Microsoft JhengHei" w:hAnsi="Microsoft JhengHei" w:cs="Microsoft JhengHei" w:eastAsia="Microsoft JhengHei" w:hint="default"/>
          <w:b/>
          <w:bCs/>
          <w:sz w:val="18"/>
          <w:szCs w:val="18"/>
        </w:rPr>
        <w:t>合并资产负债表</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84" w:lineRule="exact" w:before="0"/>
        <w:ind w:left="3254" w:right="0" w:firstLine="0"/>
        <w:jc w:val="left"/>
        <w:rPr>
          <w:rFonts w:ascii="Microsoft JhengHei" w:hAnsi="Microsoft JhengHei" w:cs="Microsoft JhengHei" w:eastAsia="Microsoft JhengHei" w:hint="default"/>
          <w:sz w:val="18"/>
          <w:szCs w:val="18"/>
        </w:rPr>
      </w:pPr>
      <w:r>
        <w:rPr/>
        <w:pict>
          <v:group style="position:absolute;margin-left:82.367996pt;margin-top:6.136262pt;width:25.35pt;height:.1pt;mso-position-horizontal-relative:page;mso-position-vertical-relative:paragraph;z-index:2056" coordorigin="1647,123" coordsize="507,2">
            <v:shape style="position:absolute;left:1647;top:123;width:507;height:2" coordorigin="1647,123" coordsize="507,0" path="m1647,123l2154,123e" filled="false" stroked="true" strokeweight=".48pt" strokecolor="#000000">
              <v:path arrowok="t"/>
              <v:stroke dashstyle="dash"/>
            </v:shape>
            <w10:wrap type="none"/>
          </v:group>
        </w:pict>
      </w: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3325"/>
        <w:gridCol w:w="1270"/>
        <w:gridCol w:w="2520"/>
        <w:gridCol w:w="2540"/>
      </w:tblGrid>
      <w:tr>
        <w:trPr>
          <w:trHeight w:val="576" w:hRule="exact"/>
        </w:trPr>
        <w:tc>
          <w:tcPr>
            <w:tcW w:w="33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0"/>
              <w:ind w:left="21"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2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0"/>
              <w:ind w:left="72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7,330,388,192.41</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5,280,908,482.16</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1" w:right="0"/>
              <w:jc w:val="left"/>
              <w:rPr>
                <w:rFonts w:ascii="宋体" w:hAnsi="宋体" w:cs="宋体" w:eastAsia="宋体" w:hint="default"/>
                <w:sz w:val="18"/>
                <w:szCs w:val="18"/>
              </w:rPr>
            </w:pPr>
            <w:r>
              <w:rPr>
                <w:rFonts w:ascii="宋体" w:hAnsi="宋体" w:cs="宋体" w:eastAsia="宋体" w:hint="default"/>
                <w:sz w:val="18"/>
                <w:szCs w:val="18"/>
              </w:rPr>
              <w:t>其中：客户资金存款</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6,234,037,530.05</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3,490,905,999.83</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824,458,019.67</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937,759,236.93</w:t>
            </w: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其中：客户备付金</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631,587,421.48</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535,462,303.68</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4,038,944,177.49</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1,695,292,053.33</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10,150,540,636.33</w:t>
            </w: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727"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3" w:firstLine="18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r>
              <w:rPr>
                <w:rFonts w:ascii="宋体" w:hAnsi="宋体" w:cs="宋体" w:eastAsia="宋体" w:hint="default"/>
                <w:spacing w:val="2"/>
                <w:sz w:val="18"/>
                <w:szCs w:val="18"/>
              </w:rPr>
              <w:t> </w:t>
            </w:r>
            <w:r>
              <w:rPr>
                <w:rFonts w:ascii="宋体" w:hAnsi="宋体" w:cs="宋体" w:eastAsia="宋体" w:hint="default"/>
                <w:sz w:val="18"/>
                <w:szCs w:val="18"/>
              </w:rPr>
              <w:t>的金融资产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12,208,965,458.73</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6</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1,809,616.27</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943,500.00</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7</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654,237,237.85</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165,591,959.03</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8</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205,879,718.79</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266,500,765.89</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3"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9</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40,499,725.65</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41,485,472.60</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10</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1,661,148.46</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259,384,020.61</w:t>
            </w: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11</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117,041,447.86</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75,134,201.85</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12</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5,046,428,956.40</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4,388,034,024.67</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13</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2,983,276.17</w:t>
            </w: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14</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70,135,265.10</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1,091,279,607.04</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28,485,007,418.45</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26,411,278,782.84</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15</w:t>
            </w: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16</w:t>
            </w: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nil" w:sz="6" w:space="0" w:color="auto"/>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2,377,242,866.99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325"/>
        <w:gridCol w:w="1270"/>
        <w:gridCol w:w="2520"/>
        <w:gridCol w:w="2540"/>
      </w:tblGrid>
      <w:tr>
        <w:trPr>
          <w:trHeight w:val="574" w:hRule="exact"/>
        </w:trPr>
        <w:tc>
          <w:tcPr>
            <w:tcW w:w="33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1467"/>
              <w:jc w:val="right"/>
              <w:rPr>
                <w:rFonts w:ascii="宋体" w:hAnsi="宋体" w:cs="宋体" w:eastAsia="宋体" w:hint="default"/>
                <w:sz w:val="18"/>
                <w:szCs w:val="18"/>
              </w:rPr>
            </w:pPr>
            <w:r>
              <w:rPr>
                <w:rFonts w:ascii="宋体" w:hAnsi="宋体" w:cs="宋体" w:eastAsia="宋体" w:hint="default"/>
                <w:sz w:val="18"/>
                <w:szCs w:val="18"/>
              </w:rPr>
              <w:t>资产</w:t>
            </w:r>
          </w:p>
        </w:tc>
        <w:tc>
          <w:tcPr>
            <w:tcW w:w="12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left="72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17</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360,350,271.32</w:t>
            </w: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18</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856,533,190.75</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105,958,849.94</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19</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100,000,000.00</w:t>
            </w: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1484"/>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20</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368,244,351.66</w:t>
            </w: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21</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112,967,809.22</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89,587,278.27</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
        </w:tc>
        <w:tc>
          <w:tcPr>
            <w:tcW w:w="254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22</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66,216,918.45</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46,280,363.33</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23</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9,275,558.74</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478,517.51</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24</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3,079,912,344.55</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3,079,912,344.55</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25</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66,182,198.63</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54,681,921.68</w:t>
            </w:r>
          </w:p>
        </w:tc>
      </w:tr>
      <w:tr>
        <w:trPr>
          <w:trHeight w:val="415"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26</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40,728,159.07</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128,535,491.67</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27</w:t>
            </w: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185,182,864.29</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476,525,981.26</w:t>
            </w:r>
          </w:p>
        </w:tc>
      </w:tr>
      <w:tr>
        <w:trPr>
          <w:trHeight w:val="41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270" w:type="dxa"/>
            <w:tcBorders>
              <w:top w:val="dotted" w:sz="4" w:space="0" w:color="000000"/>
              <w:left w:val="dotted" w:sz="4" w:space="0" w:color="000000"/>
              <w:bottom w:val="dotted" w:sz="4" w:space="0" w:color="000000"/>
              <w:right w:val="dotted" w:sz="4" w:space="0" w:color="000000"/>
            </w:tcBorders>
          </w:tcPr>
          <w:p>
            <w:pPr/>
          </w:p>
        </w:tc>
        <w:tc>
          <w:tcPr>
            <w:tcW w:w="2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5,245,593,666.68</w:t>
            </w:r>
          </w:p>
        </w:tc>
        <w:tc>
          <w:tcPr>
            <w:tcW w:w="25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6,359,203,615.20</w:t>
            </w:r>
          </w:p>
        </w:tc>
      </w:tr>
      <w:tr>
        <w:trPr>
          <w:trHeight w:val="427" w:hRule="exact"/>
        </w:trPr>
        <w:tc>
          <w:tcPr>
            <w:tcW w:w="33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270" w:type="dxa"/>
            <w:tcBorders>
              <w:top w:val="dotted" w:sz="4" w:space="0" w:color="000000"/>
              <w:left w:val="dotted" w:sz="4" w:space="0" w:color="000000"/>
              <w:bottom w:val="single" w:sz="12" w:space="0" w:color="000000"/>
              <w:right w:val="dotted" w:sz="4" w:space="0" w:color="000000"/>
            </w:tcBorders>
          </w:tcPr>
          <w:p>
            <w:pPr/>
          </w:p>
        </w:tc>
        <w:tc>
          <w:tcPr>
            <w:tcW w:w="25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33,730,601,085.13</w:t>
            </w:r>
          </w:p>
        </w:tc>
        <w:tc>
          <w:tcPr>
            <w:tcW w:w="25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32,770,482,398.04</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14"/>
          <w:szCs w:val="14"/>
        </w:rPr>
      </w:pPr>
    </w:p>
    <w:p>
      <w:pPr>
        <w:tabs>
          <w:tab w:pos="3393" w:val="left" w:leader="none"/>
          <w:tab w:pos="7265"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8"/>
          <w:szCs w:val="18"/>
        </w:rPr>
      </w:pPr>
    </w:p>
    <w:p>
      <w:pPr>
        <w:spacing w:line="206" w:lineRule="auto" w:before="24"/>
        <w:ind w:left="3708" w:right="468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合并资产负债表（续）</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0" w:lineRule="exact" w:before="0"/>
        <w:ind w:left="0" w:right="982" w:firstLine="0"/>
        <w:jc w:val="center"/>
        <w:rPr>
          <w:rFonts w:ascii="Microsoft JhengHei" w:hAnsi="Microsoft JhengHei" w:cs="Microsoft JhengHei" w:eastAsia="Microsoft JhengHei" w:hint="default"/>
          <w:sz w:val="18"/>
          <w:szCs w:val="18"/>
        </w:rPr>
      </w:pPr>
      <w:r>
        <w:rPr/>
        <w:pict>
          <v:group style="position:absolute;margin-left:82.199997pt;margin-top:40.921005pt;width:25.55pt;height:.1pt;mso-position-horizontal-relative:page;mso-position-vertical-relative:paragraph;z-index:-1330504" coordorigin="1644,818" coordsize="511,2">
            <v:shape style="position:absolute;left:1644;top:818;width:511;height:2" coordorigin="1644,818" coordsize="511,0" path="m1644,818l2154,818e" filled="false" stroked="true" strokeweight=".48pt" strokecolor="#000000">
              <v:path arrowok="t"/>
              <v:stroke dashstyle="dash"/>
            </v:shape>
            <w10:wrap type="none"/>
          </v:group>
        </w:pict>
      </w: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3342"/>
        <w:gridCol w:w="1234"/>
        <w:gridCol w:w="2523"/>
        <w:gridCol w:w="2557"/>
      </w:tblGrid>
      <w:tr>
        <w:trPr>
          <w:trHeight w:val="427" w:hRule="exact"/>
        </w:trPr>
        <w:tc>
          <w:tcPr>
            <w:tcW w:w="33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960" w:right="0"/>
              <w:jc w:val="left"/>
              <w:rPr>
                <w:rFonts w:ascii="宋体" w:hAnsi="宋体" w:cs="宋体" w:eastAsia="宋体" w:hint="default"/>
                <w:sz w:val="18"/>
                <w:szCs w:val="18"/>
              </w:rPr>
            </w:pPr>
            <w:r>
              <w:rPr>
                <w:rFonts w:ascii="宋体" w:hAnsi="宋体" w:cs="宋体" w:eastAsia="宋体" w:hint="default"/>
                <w:sz w:val="18"/>
                <w:szCs w:val="18"/>
              </w:rPr>
              <w:t>负债和所有者权益</w:t>
            </w:r>
          </w:p>
        </w:tc>
        <w:tc>
          <w:tcPr>
            <w:tcW w:w="12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5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73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28</w:t>
            </w: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51,387,377.95</w:t>
            </w: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29</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1,854,971,761.64</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595,861,514.00</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30</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2,767,911,874.95</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2,745,000,000.00</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31</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872,205,750.00</w:t>
            </w: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11" w:firstLine="182"/>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以公允价值计量且其变动计入当期损益</w:t>
            </w:r>
            <w:r>
              <w:rPr>
                <w:rFonts w:ascii="宋体" w:hAnsi="宋体" w:cs="宋体" w:eastAsia="宋体" w:hint="default"/>
                <w:sz w:val="18"/>
                <w:szCs w:val="18"/>
              </w:rPr>
              <w:t> 的金融负债</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5"/>
                <w:sz w:val="18"/>
                <w:szCs w:val="18"/>
              </w:rPr>
              <w:t> </w:t>
            </w:r>
            <w:r>
              <w:rPr>
                <w:rFonts w:ascii="宋体" w:hAnsi="宋体" w:cs="宋体" w:eastAsia="宋体" w:hint="default"/>
                <w:sz w:val="18"/>
                <w:szCs w:val="18"/>
              </w:rPr>
              <w:t>6</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109,252,358.02</w:t>
            </w: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32</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217,135,303.43</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299,430,708.18</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33</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7,619,588.55</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12,200,573.51</w:t>
            </w: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34</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5,358,959,138.99</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6,495,401,844.19</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35</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6,791,858,244.05</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4,573,392,603.92</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36</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197,914,581.82</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83,696,657.25</w:t>
            </w: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37</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18,744,175.68</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45,263,770.37</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61,728,299.46</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38</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486,728,922.83</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397,479,149.86</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39</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2,274,584,221.65</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599,643,592.87</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40</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6,114,083.88</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4,703,669.77</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20,964,000,005.49</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15,965,189,761.33</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41</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1,171,409,759.67</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5,395,040,945.87</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nil" w:sz="6" w:space="0" w:color="auto"/>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342"/>
        <w:gridCol w:w="1234"/>
        <w:gridCol w:w="2523"/>
        <w:gridCol w:w="2557"/>
      </w:tblGrid>
      <w:tr>
        <w:trPr>
          <w:trHeight w:val="428" w:hRule="exact"/>
        </w:trPr>
        <w:tc>
          <w:tcPr>
            <w:tcW w:w="33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6"/>
              <w:ind w:left="960" w:right="0"/>
              <w:jc w:val="left"/>
              <w:rPr>
                <w:rFonts w:ascii="宋体" w:hAnsi="宋体" w:cs="宋体" w:eastAsia="宋体" w:hint="default"/>
                <w:sz w:val="18"/>
                <w:szCs w:val="18"/>
              </w:rPr>
            </w:pPr>
            <w:r>
              <w:rPr>
                <w:rFonts w:ascii="宋体" w:hAnsi="宋体" w:cs="宋体" w:eastAsia="宋体" w:hint="default"/>
                <w:sz w:val="18"/>
                <w:szCs w:val="18"/>
              </w:rPr>
              <w:t>负债和所有者权益</w:t>
            </w:r>
          </w:p>
        </w:tc>
        <w:tc>
          <w:tcPr>
            <w:tcW w:w="12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left="4"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5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6"/>
              <w:ind w:left="73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42</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170,139.64</w:t>
            </w: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43</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13,139,306.20</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1,552,000.00</w:t>
            </w: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26</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2,773,704.78</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3,442,235.79</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1,187,492,910.29</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5,400,035,181.66</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22,151,492,915.78</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21,365,224,942.99</w:t>
            </w: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44</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1,935,084,653.00</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1,935,084,653.00</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45</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8,861,826,994.03</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8,861,090,306.42</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46</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19,923,054.68</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-38,172,787.92</w:t>
            </w: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47</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44,253,651.01</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44,253,651.01</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48</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308,695,568.82</w:t>
            </w:r>
          </w:p>
        </w:tc>
        <w:tc>
          <w:tcPr>
            <w:tcW w:w="25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49</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406,834,197.71</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600,115,330.16</w:t>
            </w:r>
          </w:p>
        </w:tc>
      </w:tr>
      <w:tr>
        <w:trPr>
          <w:trHeight w:val="730"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96" w:firstLine="182"/>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归属于母公司所有者权益（或股东权益</w:t>
            </w:r>
            <w:r>
              <w:rPr>
                <w:rFonts w:ascii="宋体" w:hAnsi="宋体" w:cs="宋体" w:eastAsia="宋体" w:hint="default"/>
                <w:sz w:val="18"/>
                <w:szCs w:val="18"/>
              </w:rPr>
              <w:t> 合计</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11,576,618,119.25</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11,402,371,152.67</w:t>
            </w:r>
          </w:p>
        </w:tc>
      </w:tr>
      <w:tr>
        <w:trPr>
          <w:trHeight w:val="415"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2,490,050.10</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2,886,302.38</w:t>
            </w:r>
          </w:p>
        </w:tc>
      </w:tr>
      <w:tr>
        <w:trPr>
          <w:trHeight w:val="418" w:hRule="exact"/>
        </w:trPr>
        <w:tc>
          <w:tcPr>
            <w:tcW w:w="33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234" w:type="dxa"/>
            <w:tcBorders>
              <w:top w:val="dotted" w:sz="4" w:space="0" w:color="000000"/>
              <w:left w:val="dotted" w:sz="4" w:space="0" w:color="000000"/>
              <w:bottom w:val="dotted" w:sz="4" w:space="0" w:color="000000"/>
              <w:right w:val="dotted" w:sz="4" w:space="0" w:color="000000"/>
            </w:tcBorders>
          </w:tcPr>
          <w:p>
            <w:pPr/>
          </w:p>
        </w:tc>
        <w:tc>
          <w:tcPr>
            <w:tcW w:w="25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11,579,108,169.35</w:t>
            </w:r>
          </w:p>
        </w:tc>
        <w:tc>
          <w:tcPr>
            <w:tcW w:w="25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11,405,257,455.05</w:t>
            </w:r>
          </w:p>
        </w:tc>
      </w:tr>
      <w:tr>
        <w:trPr>
          <w:trHeight w:val="427" w:hRule="exact"/>
        </w:trPr>
        <w:tc>
          <w:tcPr>
            <w:tcW w:w="33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1234" w:type="dxa"/>
            <w:tcBorders>
              <w:top w:val="dotted" w:sz="4" w:space="0" w:color="000000"/>
              <w:left w:val="dotted" w:sz="4" w:space="0" w:color="000000"/>
              <w:bottom w:val="single" w:sz="12" w:space="0" w:color="000000"/>
              <w:right w:val="dotted" w:sz="4" w:space="0" w:color="000000"/>
            </w:tcBorders>
          </w:tcPr>
          <w:p>
            <w:pPr/>
          </w:p>
        </w:tc>
        <w:tc>
          <w:tcPr>
            <w:tcW w:w="25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33,730,601,085.13</w:t>
            </w:r>
          </w:p>
        </w:tc>
        <w:tc>
          <w:tcPr>
            <w:tcW w:w="25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32,770,482,398.04</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
        <w:rPr>
          <w:rFonts w:ascii="宋体" w:hAnsi="宋体" w:cs="宋体" w:eastAsia="宋体" w:hint="default"/>
          <w:sz w:val="15"/>
          <w:szCs w:val="15"/>
        </w:rPr>
      </w:pPr>
    </w:p>
    <w:p>
      <w:pPr>
        <w:tabs>
          <w:tab w:pos="3393" w:val="left" w:leader="none"/>
          <w:tab w:pos="7174"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8"/>
          <w:szCs w:val="18"/>
        </w:rPr>
      </w:pPr>
    </w:p>
    <w:p>
      <w:pPr>
        <w:spacing w:line="237" w:lineRule="auto" w:before="0"/>
        <w:ind w:left="3708" w:right="468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母公司资产负债表</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84" w:lineRule="exact" w:before="0"/>
        <w:ind w:left="0" w:right="982"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3315"/>
        <w:gridCol w:w="1255"/>
        <w:gridCol w:w="2542"/>
        <w:gridCol w:w="2542"/>
      </w:tblGrid>
      <w:tr>
        <w:trPr>
          <w:trHeight w:val="427" w:hRule="exact"/>
        </w:trPr>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21"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93"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72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146,467,344.18</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218,799,836.13</w:t>
            </w: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11" w:right="8" w:firstLine="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的金融资产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84,076,671.71</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923,055.72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5,280,799.83</w:t>
            </w: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十六、注释</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1,149,919,464.33</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1,424,591,711.58</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9,063,823.90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1,084,432,700.53</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1,390,450,359.84</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2,733,105,048.07</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272,333,080.00</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十六、注释</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12,527,545,035.66</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12,509,223,356.23</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86,857,743.66</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1,086,597.62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3,187,547.16</w:t>
            </w:r>
          </w:p>
        </w:tc>
      </w:tr>
      <w:tr>
        <w:trPr>
          <w:trHeight w:val="427" w:hRule="exact"/>
        </w:trPr>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5"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315"/>
        <w:gridCol w:w="1255"/>
        <w:gridCol w:w="2542"/>
        <w:gridCol w:w="2542"/>
      </w:tblGrid>
      <w:tr>
        <w:trPr>
          <w:trHeight w:val="428" w:hRule="exact"/>
        </w:trPr>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6"/>
              <w:ind w:left="21"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left="48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6"/>
              <w:ind w:left="72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1,215,118.95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1,220,521.46</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3,962,553.95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8,599,339.31</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5,089,272.70</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12,620,667,049.84</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13,199,653,116.86</w:t>
            </w:r>
          </w:p>
        </w:tc>
      </w:tr>
      <w:tr>
        <w:trPr>
          <w:trHeight w:val="427" w:hRule="exact"/>
        </w:trPr>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14,011,117,409.68</w:t>
            </w:r>
          </w:p>
        </w:tc>
        <w:tc>
          <w:tcPr>
            <w:tcW w:w="25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15,932,758,164.93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14"/>
          <w:szCs w:val="14"/>
        </w:rPr>
      </w:pPr>
    </w:p>
    <w:p>
      <w:pPr>
        <w:tabs>
          <w:tab w:pos="3662" w:val="left" w:leader="none"/>
          <w:tab w:pos="7805"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8"/>
          <w:szCs w:val="18"/>
        </w:rPr>
      </w:pPr>
    </w:p>
    <w:p>
      <w:pPr>
        <w:spacing w:line="206" w:lineRule="auto" w:before="24"/>
        <w:ind w:left="3708" w:right="468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母公司资产负债表（续）</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0" w:lineRule="exact" w:before="0"/>
        <w:ind w:left="0" w:right="982"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3315"/>
        <w:gridCol w:w="1255"/>
        <w:gridCol w:w="2542"/>
        <w:gridCol w:w="2542"/>
      </w:tblGrid>
      <w:tr>
        <w:trPr>
          <w:trHeight w:val="427" w:hRule="exact"/>
        </w:trPr>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037"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48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72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51,387,377.95</w:t>
            </w:r>
          </w:p>
        </w:tc>
      </w:tr>
      <w:tr>
        <w:trPr>
          <w:trHeight w:val="727"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11" w:right="8" w:firstLine="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的金融负债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33,386.80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71,968.15</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188,988.08</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2,860,659.82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3,387,415.23</w:t>
            </w: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181,153.79</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149,690.37</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264,522,101.17</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21,030,027.34</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2,236,719,593.20</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952,178.82</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2,505,269,073.60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76,215,467.12</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591,797,497.82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4,899,108,543.97</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9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93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2,865,298.91</w:t>
            </w:r>
          </w:p>
        </w:tc>
      </w:tr>
      <w:tr>
        <w:trPr>
          <w:trHeight w:val="430" w:hRule="exact"/>
        </w:trPr>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55"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315"/>
        <w:gridCol w:w="1255"/>
        <w:gridCol w:w="2542"/>
        <w:gridCol w:w="2542"/>
      </w:tblGrid>
      <w:tr>
        <w:trPr>
          <w:trHeight w:val="428" w:hRule="exact"/>
        </w:trPr>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6"/>
              <w:ind w:left="1037"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left="48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6"/>
              <w:ind w:left="72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591,797,497.82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4,902,025,842.88</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3,097,066,571.42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4,978,241,310.00</w:t>
            </w: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1,935,084,653.00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1,935,084,653.00</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93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8,861,452,546.01</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8,861,452,546.01</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-5,915,190.00</w:t>
            </w: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44,253,651.01</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44,253,651.01</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73,259,988.24</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119,641,194.91</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股东权益合计</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10,914,050,838.26</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10,954,516,854.93</w:t>
            </w:r>
          </w:p>
        </w:tc>
      </w:tr>
      <w:tr>
        <w:trPr>
          <w:trHeight w:val="427" w:hRule="exact"/>
        </w:trPr>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负债和股东权益总计</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14,011,117,409.68</w:t>
            </w:r>
          </w:p>
        </w:tc>
        <w:tc>
          <w:tcPr>
            <w:tcW w:w="25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15,932,758,164.93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14"/>
          <w:szCs w:val="14"/>
        </w:rPr>
      </w:pPr>
    </w:p>
    <w:p>
      <w:pPr>
        <w:tabs>
          <w:tab w:pos="3393" w:val="left" w:leader="none"/>
          <w:tab w:pos="7174"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w:t>
      </w:r>
      <w:r>
        <w:rPr>
          <w:rFonts w:ascii="宋体" w:hAnsi="宋体" w:cs="宋体" w:eastAsia="宋体" w:hint="default"/>
          <w:spacing w:val="1"/>
          <w:sz w:val="18"/>
          <w:szCs w:val="18"/>
        </w:rPr>
        <w:t> </w:t>
      </w:r>
      <w:r>
        <w:rPr>
          <w:rFonts w:ascii="宋体" w:hAnsi="宋体" w:cs="宋体" w:eastAsia="宋体" w:hint="default"/>
          <w:sz w:val="18"/>
          <w:szCs w:val="18"/>
        </w:rPr>
        <w:t>赵岑</w:t>
        <w:tab/>
        <w:t>会计机构负责人：吴艳艳</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8"/>
          <w:szCs w:val="18"/>
        </w:rPr>
      </w:pPr>
    </w:p>
    <w:p>
      <w:pPr>
        <w:spacing w:line="314" w:lineRule="exact" w:before="3"/>
        <w:ind w:left="3708" w:right="468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合并利润表</w:t>
      </w:r>
      <w:r>
        <w:rPr>
          <w:rFonts w:ascii="Microsoft JhengHei" w:hAnsi="Microsoft JhengHei" w:cs="Microsoft JhengHei" w:eastAsia="Microsoft JhengHei" w:hint="default"/>
          <w:sz w:val="18"/>
          <w:szCs w:val="18"/>
        </w:rPr>
      </w:r>
    </w:p>
    <w:p>
      <w:pPr>
        <w:spacing w:line="276" w:lineRule="exact" w:before="0"/>
        <w:ind w:left="0" w:right="98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0" w:right="982" w:firstLine="0"/>
        <w:jc w:val="center"/>
        <w:rPr>
          <w:rFonts w:ascii="Microsoft JhengHei" w:hAnsi="Microsoft JhengHei" w:cs="Microsoft JhengHei" w:eastAsia="Microsoft JhengHei" w:hint="default"/>
          <w:sz w:val="18"/>
          <w:szCs w:val="18"/>
        </w:rPr>
      </w:pPr>
      <w:r>
        <w:rPr/>
        <w:pict>
          <v:group style="position:absolute;margin-left:88.727997pt;margin-top:39.012859pt;width:19pt;height:.1pt;mso-position-horizontal-relative:page;mso-position-vertical-relative:paragraph;z-index:-1330480" coordorigin="1775,780" coordsize="380,2">
            <v:shape style="position:absolute;left:1775;top:780;width:380;height:2" coordorigin="1775,780" coordsize="380,0" path="m1775,780l2154,780e" filled="false" stroked="true" strokeweight=".48pt" strokecolor="#000000">
              <v:path arrowok="t"/>
              <v:stroke dashstyle="dash"/>
            </v:shape>
            <w10:wrap type="none"/>
          </v:group>
        </w:pict>
      </w: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4035"/>
        <w:gridCol w:w="1464"/>
        <w:gridCol w:w="2251"/>
        <w:gridCol w:w="1904"/>
      </w:tblGrid>
      <w:tr>
        <w:trPr>
          <w:trHeight w:val="528" w:hRule="exact"/>
        </w:trPr>
        <w:tc>
          <w:tcPr>
            <w:tcW w:w="40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6"/>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2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9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left="58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1,669,714,290.97</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1,211,742,177.72</w:t>
            </w:r>
          </w:p>
        </w:tc>
      </w:tr>
      <w:tr>
        <w:trPr>
          <w:trHeight w:val="415"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50</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1,350,575.65</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1,855,201.13</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57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51</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716,099,061.09</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574,226,811.41</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57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52</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952,264,654.23</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635,660,165.18</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2,286,639,466.08</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1,687,523,306.84</w:t>
            </w:r>
          </w:p>
        </w:tc>
      </w:tr>
      <w:tr>
        <w:trPr>
          <w:trHeight w:val="415"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50</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177,922.13</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66,197.09</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75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51</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408,150,839.66</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315,254,548.82</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75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52</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158,163,973.40</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125,392,565.52</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53</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9,808,122.53</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6,778,927.86</w:t>
            </w:r>
          </w:p>
        </w:tc>
      </w:tr>
      <w:tr>
        <w:trPr>
          <w:trHeight w:val="415"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
        </w:tc>
        <w:tc>
          <w:tcPr>
            <w:tcW w:w="190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75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54</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1,440,102,274.63</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969,832,453.95</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75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55</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20,129,678.10</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3,861,610.95</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56</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250,106,655.63</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266,337,002.65</w:t>
            </w:r>
          </w:p>
        </w:tc>
      </w:tr>
      <w:tr>
        <w:trPr>
          <w:trHeight w:val="415"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264,951,992.25</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282,225,022.88</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9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15,114,196.57</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16,166,053.30</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57</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20,440,359.15</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2,789,068.06</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58</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427,104,144.01</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499,616,020.71</w:t>
            </w:r>
          </w:p>
        </w:tc>
      </w:tr>
      <w:tr>
        <w:trPr>
          <w:trHeight w:val="415"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36"/>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-5,875,736.90</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-4,051,704.33</w:t>
            </w:r>
          </w:p>
        </w:tc>
      </w:tr>
      <w:tr>
        <w:trPr>
          <w:trHeight w:val="730"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9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认收益</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
        </w:tc>
        <w:tc>
          <w:tcPr>
            <w:tcW w:w="190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754" w:right="0"/>
              <w:jc w:val="left"/>
              <w:rPr>
                <w:rFonts w:ascii="宋体" w:hAnsi="宋体" w:cs="宋体" w:eastAsia="宋体" w:hint="default"/>
                <w:sz w:val="18"/>
                <w:szCs w:val="18"/>
              </w:rPr>
            </w:pPr>
            <w:r>
              <w:rPr>
                <w:rFonts w:ascii="宋体" w:hAnsi="宋体" w:cs="宋体" w:eastAsia="宋体" w:hint="default"/>
                <w:sz w:val="18"/>
                <w:szCs w:val="18"/>
              </w:rPr>
              <w:t>汇兑损益（损失以“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317,869.61</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842,883.91</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125"/>
              <w:jc w:val="right"/>
              <w:rPr>
                <w:rFonts w:ascii="宋体" w:hAnsi="宋体" w:cs="宋体" w:eastAsia="宋体" w:hint="default"/>
                <w:sz w:val="18"/>
                <w:szCs w:val="18"/>
              </w:rPr>
            </w:pPr>
            <w:r>
              <w:rPr>
                <w:rFonts w:ascii="宋体" w:hAnsi="宋体" w:cs="宋体" w:eastAsia="宋体" w:hint="default"/>
                <w:spacing w:val="-1"/>
                <w:sz w:val="18"/>
                <w:szCs w:val="18"/>
              </w:rPr>
              <w:t>净敞口套期收益（损失以“</w:t>
            </w:r>
            <w:r>
              <w:rPr>
                <w:rFonts w:ascii="宋体" w:hAnsi="宋体" w:cs="宋体" w:eastAsia="宋体" w:hint="default"/>
                <w:spacing w:val="-1"/>
                <w:sz w:val="18"/>
                <w:szCs w:val="18"/>
              </w:rPr>
              <w:t>-</w:t>
            </w:r>
            <w:r>
              <w:rPr>
                <w:rFonts w:ascii="宋体" w:hAnsi="宋体" w:cs="宋体" w:eastAsia="宋体" w:hint="default"/>
                <w:spacing w:val="-1"/>
                <w:sz w:val="18"/>
                <w:szCs w:val="18"/>
              </w:rPr>
              <w:t>”号填列）</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
        </w:tc>
        <w:tc>
          <w:tcPr>
            <w:tcW w:w="1904"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125"/>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宋体" w:hAnsi="宋体" w:cs="宋体" w:eastAsia="宋体" w:hint="default"/>
                <w:spacing w:val="-1"/>
                <w:sz w:val="18"/>
                <w:szCs w:val="18"/>
              </w:rPr>
              <w:t>-</w:t>
            </w:r>
            <w:r>
              <w:rPr>
                <w:rFonts w:ascii="宋体" w:hAnsi="宋体" w:cs="宋体" w:eastAsia="宋体" w:hint="default"/>
                <w:spacing w:val="-1"/>
                <w:sz w:val="18"/>
                <w:szCs w:val="18"/>
              </w:rPr>
              <w:t>”号填列</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tabs>
                <w:tab w:pos="254" w:val="left" w:leader="none"/>
              </w:tabs>
              <w:spacing w:line="240" w:lineRule="auto" w:before="63"/>
              <w:ind w:left="-137" w:right="250"/>
              <w:jc w:val="right"/>
              <w:rPr>
                <w:rFonts w:ascii="宋体" w:hAnsi="宋体" w:cs="宋体" w:eastAsia="宋体" w:hint="default"/>
                <w:sz w:val="18"/>
                <w:szCs w:val="18"/>
              </w:rPr>
            </w:pPr>
            <w:r>
              <w:rPr>
                <w:rFonts w:ascii="宋体" w:hAnsi="宋体" w:cs="宋体" w:eastAsia="宋体" w:hint="default"/>
                <w:sz w:val="18"/>
                <w:szCs w:val="18"/>
              </w:rPr>
              <w:t>）</w:t>
              <w:tab/>
              <w:t>六、注释</w:t>
            </w:r>
            <w:r>
              <w:rPr>
                <w:rFonts w:ascii="宋体" w:hAnsi="宋体" w:cs="宋体" w:eastAsia="宋体" w:hint="default"/>
                <w:spacing w:val="-43"/>
                <w:sz w:val="18"/>
                <w:szCs w:val="18"/>
              </w:rPr>
              <w:t> </w:t>
            </w:r>
            <w:r>
              <w:rPr>
                <w:rFonts w:ascii="宋体" w:hAnsi="宋体" w:cs="宋体" w:eastAsia="宋体" w:hint="default"/>
                <w:sz w:val="18"/>
                <w:szCs w:val="18"/>
              </w:rPr>
              <w:t>59</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267,020,505.84</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-451,297,426.32</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75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60</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-88,590,272.60</w:t>
            </w:r>
          </w:p>
        </w:tc>
        <w:tc>
          <w:tcPr>
            <w:tcW w:w="190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75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61</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-20,300.00</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-189,989,088.08</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62</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w w:val="95"/>
                <w:sz w:val="18"/>
              </w:rPr>
              <w:t>3,152.36</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-45,902.24</w:t>
            </w:r>
          </w:p>
        </w:tc>
      </w:tr>
      <w:tr>
        <w:trPr>
          <w:trHeight w:val="415"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宋体" w:hAnsi="宋体" w:cs="宋体" w:eastAsia="宋体" w:hint="default"/>
                <w:sz w:val="18"/>
                <w:szCs w:val="18"/>
              </w:rPr>
              <w:t>-</w:t>
            </w:r>
            <w:r>
              <w:rPr>
                <w:rFonts w:ascii="宋体" w:hAnsi="宋体" w:cs="宋体" w:eastAsia="宋体" w:hint="default"/>
                <w:sz w:val="18"/>
                <w:szCs w:val="18"/>
              </w:rPr>
              <w:t>”号填列）</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9,350,283.26</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-613,865,573.08</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63</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202,561,378.95</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1,563,562.48</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250"/>
              <w:jc w:val="righ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64</w:t>
            </w: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9,513,296.65</w:t>
            </w:r>
          </w:p>
        </w:tc>
        <w:tc>
          <w:tcPr>
            <w:tcW w:w="1904" w:type="dxa"/>
            <w:tcBorders>
              <w:top w:val="dotted" w:sz="4" w:space="0" w:color="000000"/>
              <w:left w:val="dotted" w:sz="4" w:space="0" w:color="000000"/>
              <w:bottom w:val="nil" w:sz="6" w:space="0" w:color="auto"/>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6,803,483.12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3"/>
        <w:rPr>
          <w:rFonts w:ascii="Times New Roman" w:hAnsi="Times New Roman" w:cs="Times New Roman" w:eastAsia="Times New Roman" w:hint="default"/>
          <w:sz w:val="29"/>
          <w:szCs w:val="29"/>
        </w:rPr>
      </w:pPr>
      <w:r>
        <w:rPr/>
        <w:pict>
          <v:group style="position:absolute;margin-left:56.400002pt;margin-top:73.439980pt;width:482.5pt;height:687.85pt;mso-position-horizontal-relative:page;mso-position-vertical-relative:page;z-index:-1330456" coordorigin="1128,1469" coordsize="9650,13757">
            <v:group style="position:absolute;left:5149;top:1477;width:10;height:2" coordorigin="5149,1477" coordsize="10,2">
              <v:shape style="position:absolute;left:5149;top:1477;width:10;height:2" coordorigin="5149,1477" coordsize="10,0" path="m5149,1477l5159,1477e" filled="false" stroked="true" strokeweight=".84pt" strokecolor="#000000">
                <v:path arrowok="t"/>
                <v:stroke dashstyle="dash"/>
              </v:shape>
            </v:group>
            <v:group style="position:absolute;left:5154;top:1486;width:2;height:493" coordorigin="5154,1486" coordsize="2,493">
              <v:shape style="position:absolute;left:5154;top:1486;width:2;height:493" coordorigin="5154,1486" coordsize="0,493" path="m5154,1486l5154,1978e" filled="false" stroked="true" strokeweight=".48pt" strokecolor="#000000">
                <v:path arrowok="t"/>
                <v:stroke dashstyle="dash"/>
              </v:shape>
            </v:group>
            <v:group style="position:absolute;left:1133;top:1983;width:4017;height:2" coordorigin="1133,1983" coordsize="4017,2">
              <v:shape style="position:absolute;left:1133;top:1983;width:4017;height:2" coordorigin="1133,1983" coordsize="4017,0" path="m1133,1983l5149,1983e" filled="false" stroked="true" strokeweight=".48pt" strokecolor="#000000">
                <v:path arrowok="t"/>
                <v:stroke dashstyle="dash"/>
              </v:shape>
            </v:group>
            <v:group style="position:absolute;left:5154;top:1978;width:2;height:24" coordorigin="5154,1978" coordsize="2,24">
              <v:shape style="position:absolute;left:5154;top:1978;width:2;height:24" coordorigin="5154,1978" coordsize="0,24" path="m5154,1978l5154,2002e" filled="false" stroked="true" strokeweight=".48pt" strokecolor="#000000">
                <v:path arrowok="t"/>
                <v:stroke dashstyle="dash"/>
              </v:shape>
            </v:group>
            <v:group style="position:absolute;left:6613;top:1477;width:10;height:2" coordorigin="6613,1477" coordsize="10,2">
              <v:shape style="position:absolute;left:6613;top:1477;width:10;height:2" coordorigin="6613,1477" coordsize="10,0" path="m6613,1477l6623,1477e" filled="false" stroked="true" strokeweight=".84pt" strokecolor="#000000">
                <v:path arrowok="t"/>
                <v:stroke dashstyle="dash"/>
              </v:shape>
            </v:group>
            <v:group style="position:absolute;left:6618;top:1486;width:2;height:493" coordorigin="6618,1486" coordsize="2,493">
              <v:shape style="position:absolute;left:6618;top:1486;width:2;height:493" coordorigin="6618,1486" coordsize="0,493" path="m6618,1486l6618,1978e" filled="false" stroked="true" strokeweight=".48pt" strokecolor="#000000">
                <v:path arrowok="t"/>
                <v:stroke dashstyle="dash"/>
              </v:shape>
            </v:group>
            <v:group style="position:absolute;left:5159;top:1983;width:1455;height:2" coordorigin="5159,1983" coordsize="1455,2">
              <v:shape style="position:absolute;left:5159;top:1983;width:1455;height:2" coordorigin="5159,1983" coordsize="1455,0" path="m5159,1983l6613,1983e" filled="false" stroked="true" strokeweight=".48pt" strokecolor="#000000">
                <v:path arrowok="t"/>
                <v:stroke dashstyle="dash"/>
              </v:shape>
            </v:group>
            <v:group style="position:absolute;left:6618;top:1978;width:2;height:24" coordorigin="6618,1978" coordsize="2,24">
              <v:shape style="position:absolute;left:6618;top:1978;width:2;height:24" coordorigin="6618,1978" coordsize="0,24" path="m6618,1978l6618,2002e" filled="false" stroked="true" strokeweight=".48pt" strokecolor="#000000">
                <v:path arrowok="t"/>
                <v:stroke dashstyle="dash"/>
              </v:shape>
            </v:group>
            <v:group style="position:absolute;left:8865;top:1477;width:10;height:2" coordorigin="8865,1477" coordsize="10,2">
              <v:shape style="position:absolute;left:8865;top:1477;width:10;height:2" coordorigin="8865,1477" coordsize="10,0" path="m8865,1477l8874,1477e" filled="false" stroked="true" strokeweight=".84pt" strokecolor="#000000">
                <v:path arrowok="t"/>
                <v:stroke dashstyle="dash"/>
              </v:shape>
            </v:group>
            <v:group style="position:absolute;left:8869;top:1486;width:2;height:493" coordorigin="8869,1486" coordsize="2,493">
              <v:shape style="position:absolute;left:8869;top:1486;width:2;height:493" coordorigin="8869,1486" coordsize="0,493" path="m8869,1486l8869,1978e" filled="false" stroked="true" strokeweight=".48pt" strokecolor="#000000">
                <v:path arrowok="t"/>
                <v:stroke dashstyle="dash"/>
              </v:shape>
            </v:group>
            <v:group style="position:absolute;left:6623;top:1983;width:2242;height:2" coordorigin="6623,1983" coordsize="2242,2">
              <v:shape style="position:absolute;left:6623;top:1983;width:2242;height:2" coordorigin="6623,1983" coordsize="2242,0" path="m6623,1983l8865,1983e" filled="false" stroked="true" strokeweight=".48pt" strokecolor="#000000">
                <v:path arrowok="t"/>
                <v:stroke dashstyle="dash"/>
              </v:shape>
            </v:group>
            <v:group style="position:absolute;left:8869;top:1978;width:2;height:24" coordorigin="8869,1978" coordsize="2,24">
              <v:shape style="position:absolute;left:8869;top:1978;width:2;height:24" coordorigin="8869,1978" coordsize="0,24" path="m8869,1978l8869,2002e" filled="false" stroked="true" strokeweight=".48pt" strokecolor="#000000">
                <v:path arrowok="t"/>
                <v:stroke dashstyle="dash"/>
              </v:shape>
            </v:group>
            <v:group style="position:absolute;left:8875;top:1983;width:1899;height:2" coordorigin="8875,1983" coordsize="1899,2">
              <v:shape style="position:absolute;left:8875;top:1983;width:1899;height:2" coordorigin="8875,1983" coordsize="1899,0" path="m8875,1983l10773,1983e" filled="false" stroked="true" strokeweight=".48pt" strokecolor="#000000">
                <v:path arrowok="t"/>
                <v:stroke dashstyle="dash"/>
              </v:shape>
            </v:group>
            <v:group style="position:absolute;left:5154;top:2002;width:2;height:394" coordorigin="5154,2002" coordsize="2,394">
              <v:shape style="position:absolute;left:5154;top:2002;width:2;height:394" coordorigin="5154,2002" coordsize="0,394" path="m5154,2002l5154,2396e" filled="false" stroked="true" strokeweight=".48pt" strokecolor="#000000">
                <v:path arrowok="t"/>
                <v:stroke dashstyle="dash"/>
              </v:shape>
            </v:group>
            <v:group style="position:absolute;left:6618;top:2002;width:2;height:394" coordorigin="6618,2002" coordsize="2,394">
              <v:shape style="position:absolute;left:6618;top:2002;width:2;height:394" coordorigin="6618,2002" coordsize="0,394" path="m6618,2002l6618,2396e" filled="false" stroked="true" strokeweight=".48pt" strokecolor="#000000">
                <v:path arrowok="t"/>
                <v:stroke dashstyle="dash"/>
              </v:shape>
            </v:group>
            <v:group style="position:absolute;left:8869;top:2002;width:2;height:394" coordorigin="8869,2002" coordsize="2,394">
              <v:shape style="position:absolute;left:8869;top:2002;width:2;height:394" coordorigin="8869,2002" coordsize="0,394" path="m8869,2002l8869,2396e" filled="false" stroked="true" strokeweight=".48pt" strokecolor="#000000">
                <v:path arrowok="t"/>
                <v:stroke dashstyle="dash"/>
              </v:shape>
            </v:group>
            <v:group style="position:absolute;left:1133;top:2400;width:4017;height:2" coordorigin="1133,2400" coordsize="4017,2">
              <v:shape style="position:absolute;left:1133;top:2400;width:4017;height:2" coordorigin="1133,2400" coordsize="4017,0" path="m1133,2400l5149,2400e" filled="false" stroked="true" strokeweight=".48pt" strokecolor="#000000">
                <v:path arrowok="t"/>
                <v:stroke dashstyle="dash"/>
              </v:shape>
            </v:group>
            <v:group style="position:absolute;left:5154;top:2396;width:2;height:24" coordorigin="5154,2396" coordsize="2,24">
              <v:shape style="position:absolute;left:5154;top:2396;width:2;height:24" coordorigin="5154,2396" coordsize="0,24" path="m5154,2396l5154,2420e" filled="false" stroked="true" strokeweight=".48pt" strokecolor="#000000">
                <v:path arrowok="t"/>
                <v:stroke dashstyle="dash"/>
              </v:shape>
            </v:group>
            <v:group style="position:absolute;left:5159;top:2400;width:1455;height:2" coordorigin="5159,2400" coordsize="1455,2">
              <v:shape style="position:absolute;left:5159;top:2400;width:1455;height:2" coordorigin="5159,2400" coordsize="1455,0" path="m5159,2400l6613,2400e" filled="false" stroked="true" strokeweight=".48pt" strokecolor="#000000">
                <v:path arrowok="t"/>
                <v:stroke dashstyle="dash"/>
              </v:shape>
            </v:group>
            <v:group style="position:absolute;left:6618;top:2396;width:2;height:24" coordorigin="6618,2396" coordsize="2,24">
              <v:shape style="position:absolute;left:6618;top:2396;width:2;height:24" coordorigin="6618,2396" coordsize="0,24" path="m6618,2396l6618,2420e" filled="false" stroked="true" strokeweight=".48pt" strokecolor="#000000">
                <v:path arrowok="t"/>
                <v:stroke dashstyle="dash"/>
              </v:shape>
            </v:group>
            <v:group style="position:absolute;left:6623;top:2400;width:2242;height:2" coordorigin="6623,2400" coordsize="2242,2">
              <v:shape style="position:absolute;left:6623;top:2400;width:2242;height:2" coordorigin="6623,2400" coordsize="2242,0" path="m6623,2400l8865,2400e" filled="false" stroked="true" strokeweight=".48pt" strokecolor="#000000">
                <v:path arrowok="t"/>
                <v:stroke dashstyle="dash"/>
              </v:shape>
            </v:group>
            <v:group style="position:absolute;left:8869;top:2396;width:2;height:24" coordorigin="8869,2396" coordsize="2,24">
              <v:shape style="position:absolute;left:8869;top:2396;width:2;height:24" coordorigin="8869,2396" coordsize="0,24" path="m8869,2396l8869,2420e" filled="false" stroked="true" strokeweight=".48pt" strokecolor="#000000">
                <v:path arrowok="t"/>
                <v:stroke dashstyle="dash"/>
              </v:shape>
            </v:group>
            <v:group style="position:absolute;left:8875;top:2400;width:1899;height:2" coordorigin="8875,2400" coordsize="1899,2">
              <v:shape style="position:absolute;left:8875;top:2400;width:1899;height:2" coordorigin="8875,2400" coordsize="1899,0" path="m8875,2400l10773,2400e" filled="false" stroked="true" strokeweight=".48pt" strokecolor="#000000">
                <v:path arrowok="t"/>
                <v:stroke dashstyle="dash"/>
              </v:shape>
            </v:group>
            <v:group style="position:absolute;left:5154;top:2420;width:2;height:394" coordorigin="5154,2420" coordsize="2,394">
              <v:shape style="position:absolute;left:5154;top:2420;width:2;height:394" coordorigin="5154,2420" coordsize="0,394" path="m5154,2420l5154,2813e" filled="false" stroked="true" strokeweight=".48pt" strokecolor="#000000">
                <v:path arrowok="t"/>
                <v:stroke dashstyle="dash"/>
              </v:shape>
            </v:group>
            <v:group style="position:absolute;left:6618;top:2420;width:2;height:394" coordorigin="6618,2420" coordsize="2,394">
              <v:shape style="position:absolute;left:6618;top:2420;width:2;height:394" coordorigin="6618,2420" coordsize="0,394" path="m6618,2420l6618,2813e" filled="false" stroked="true" strokeweight=".48pt" strokecolor="#000000">
                <v:path arrowok="t"/>
                <v:stroke dashstyle="dash"/>
              </v:shape>
            </v:group>
            <v:group style="position:absolute;left:8869;top:2420;width:2;height:394" coordorigin="8869,2420" coordsize="2,394">
              <v:shape style="position:absolute;left:8869;top:2420;width:2;height:394" coordorigin="8869,2420" coordsize="0,394" path="m8869,2420l8869,2813e" filled="false" stroked="true" strokeweight=".48pt" strokecolor="#000000">
                <v:path arrowok="t"/>
                <v:stroke dashstyle="dash"/>
              </v:shape>
            </v:group>
            <v:group style="position:absolute;left:1133;top:2818;width:4017;height:2" coordorigin="1133,2818" coordsize="4017,2">
              <v:shape style="position:absolute;left:1133;top:2818;width:4017;height:2" coordorigin="1133,2818" coordsize="4017,0" path="m1133,2818l5149,2818e" filled="false" stroked="true" strokeweight=".48pt" strokecolor="#000000">
                <v:path arrowok="t"/>
                <v:stroke dashstyle="dash"/>
              </v:shape>
            </v:group>
            <v:group style="position:absolute;left:5154;top:2813;width:2;height:24" coordorigin="5154,2813" coordsize="2,24">
              <v:shape style="position:absolute;left:5154;top:2813;width:2;height:24" coordorigin="5154,2813" coordsize="0,24" path="m5154,2813l5154,2837e" filled="false" stroked="true" strokeweight=".48pt" strokecolor="#000000">
                <v:path arrowok="t"/>
                <v:stroke dashstyle="dash"/>
              </v:shape>
            </v:group>
            <v:group style="position:absolute;left:5159;top:2818;width:1455;height:2" coordorigin="5159,2818" coordsize="1455,2">
              <v:shape style="position:absolute;left:5159;top:2818;width:1455;height:2" coordorigin="5159,2818" coordsize="1455,0" path="m5159,2818l6613,2818e" filled="false" stroked="true" strokeweight=".48pt" strokecolor="#000000">
                <v:path arrowok="t"/>
                <v:stroke dashstyle="dash"/>
              </v:shape>
            </v:group>
            <v:group style="position:absolute;left:6618;top:2813;width:2;height:24" coordorigin="6618,2813" coordsize="2,24">
              <v:shape style="position:absolute;left:6618;top:2813;width:2;height:24" coordorigin="6618,2813" coordsize="0,24" path="m6618,2813l6618,2837e" filled="false" stroked="true" strokeweight=".48pt" strokecolor="#000000">
                <v:path arrowok="t"/>
                <v:stroke dashstyle="dash"/>
              </v:shape>
            </v:group>
            <v:group style="position:absolute;left:6623;top:2818;width:2242;height:2" coordorigin="6623,2818" coordsize="2242,2">
              <v:shape style="position:absolute;left:6623;top:2818;width:2242;height:2" coordorigin="6623,2818" coordsize="2242,0" path="m6623,2818l8865,2818e" filled="false" stroked="true" strokeweight=".48pt" strokecolor="#000000">
                <v:path arrowok="t"/>
                <v:stroke dashstyle="dash"/>
              </v:shape>
            </v:group>
            <v:group style="position:absolute;left:8869;top:2813;width:2;height:24" coordorigin="8869,2813" coordsize="2,24">
              <v:shape style="position:absolute;left:8869;top:2813;width:2;height:24" coordorigin="8869,2813" coordsize="0,24" path="m8869,2813l8869,2837e" filled="false" stroked="true" strokeweight=".48pt" strokecolor="#000000">
                <v:path arrowok="t"/>
                <v:stroke dashstyle="dash"/>
              </v:shape>
            </v:group>
            <v:group style="position:absolute;left:8875;top:2818;width:1899;height:2" coordorigin="8875,2818" coordsize="1899,2">
              <v:shape style="position:absolute;left:8875;top:2818;width:1899;height:2" coordorigin="8875,2818" coordsize="1899,0" path="m8875,2818l10773,2818e" filled="false" stroked="true" strokeweight=".48pt" strokecolor="#000000">
                <v:path arrowok="t"/>
                <v:stroke dashstyle="dash"/>
              </v:shape>
            </v:group>
            <v:group style="position:absolute;left:5154;top:2837;width:2;height:392" coordorigin="5154,2837" coordsize="2,392">
              <v:shape style="position:absolute;left:5154;top:2837;width:2;height:392" coordorigin="5154,2837" coordsize="0,392" path="m5154,2837l5154,3228e" filled="false" stroked="true" strokeweight=".48pt" strokecolor="#000000">
                <v:path arrowok="t"/>
                <v:stroke dashstyle="dash"/>
              </v:shape>
            </v:group>
            <v:group style="position:absolute;left:6618;top:2837;width:2;height:392" coordorigin="6618,2837" coordsize="2,392">
              <v:shape style="position:absolute;left:6618;top:2837;width:2;height:392" coordorigin="6618,2837" coordsize="0,392" path="m6618,2837l6618,3228e" filled="false" stroked="true" strokeweight=".48pt" strokecolor="#000000">
                <v:path arrowok="t"/>
                <v:stroke dashstyle="dash"/>
              </v:shape>
            </v:group>
            <v:group style="position:absolute;left:8869;top:2837;width:2;height:392" coordorigin="8869,2837" coordsize="2,392">
              <v:shape style="position:absolute;left:8869;top:2837;width:2;height:392" coordorigin="8869,2837" coordsize="0,392" path="m8869,2837l8869,3228e" filled="false" stroked="true" strokeweight=".48pt" strokecolor="#000000">
                <v:path arrowok="t"/>
                <v:stroke dashstyle="dash"/>
              </v:shape>
            </v:group>
            <v:group style="position:absolute;left:1133;top:3233;width:4017;height:2" coordorigin="1133,3233" coordsize="4017,2">
              <v:shape style="position:absolute;left:1133;top:3233;width:4017;height:2" coordorigin="1133,3233" coordsize="4017,0" path="m1133,3233l5149,3233e" filled="false" stroked="true" strokeweight=".48pt" strokecolor="#000000">
                <v:path arrowok="t"/>
                <v:stroke dashstyle="dash"/>
              </v:shape>
            </v:group>
            <v:group style="position:absolute;left:5154;top:3228;width:2;height:24" coordorigin="5154,3228" coordsize="2,24">
              <v:shape style="position:absolute;left:5154;top:3228;width:2;height:24" coordorigin="5154,3228" coordsize="0,24" path="m5154,3228l5154,3252e" filled="false" stroked="true" strokeweight=".48pt" strokecolor="#000000">
                <v:path arrowok="t"/>
                <v:stroke dashstyle="dash"/>
              </v:shape>
            </v:group>
            <v:group style="position:absolute;left:5159;top:3233;width:1455;height:2" coordorigin="5159,3233" coordsize="1455,2">
              <v:shape style="position:absolute;left:5159;top:3233;width:1455;height:2" coordorigin="5159,3233" coordsize="1455,0" path="m5159,3233l6613,3233e" filled="false" stroked="true" strokeweight=".48pt" strokecolor="#000000">
                <v:path arrowok="t"/>
                <v:stroke dashstyle="dash"/>
              </v:shape>
            </v:group>
            <v:group style="position:absolute;left:6618;top:3228;width:2;height:24" coordorigin="6618,3228" coordsize="2,24">
              <v:shape style="position:absolute;left:6618;top:3228;width:2;height:24" coordorigin="6618,3228" coordsize="0,24" path="m6618,3228l6618,3252e" filled="false" stroked="true" strokeweight=".48pt" strokecolor="#000000">
                <v:path arrowok="t"/>
                <v:stroke dashstyle="dash"/>
              </v:shape>
            </v:group>
            <v:group style="position:absolute;left:6623;top:3233;width:2242;height:2" coordorigin="6623,3233" coordsize="2242,2">
              <v:shape style="position:absolute;left:6623;top:3233;width:2242;height:2" coordorigin="6623,3233" coordsize="2242,0" path="m6623,3233l8865,3233e" filled="false" stroked="true" strokeweight=".48pt" strokecolor="#000000">
                <v:path arrowok="t"/>
                <v:stroke dashstyle="dash"/>
              </v:shape>
            </v:group>
            <v:group style="position:absolute;left:8869;top:3228;width:2;height:24" coordorigin="8869,3228" coordsize="2,24">
              <v:shape style="position:absolute;left:8869;top:3228;width:2;height:24" coordorigin="8869,3228" coordsize="0,24" path="m8869,3228l8869,3252e" filled="false" stroked="true" strokeweight=".48pt" strokecolor="#000000">
                <v:path arrowok="t"/>
                <v:stroke dashstyle="dash"/>
              </v:shape>
            </v:group>
            <v:group style="position:absolute;left:8875;top:3233;width:1899;height:2" coordorigin="8875,3233" coordsize="1899,2">
              <v:shape style="position:absolute;left:8875;top:3233;width:1899;height:2" coordorigin="8875,3233" coordsize="1899,0" path="m8875,3233l10773,3233e" filled="false" stroked="true" strokeweight=".48pt" strokecolor="#000000">
                <v:path arrowok="t"/>
                <v:stroke dashstyle="dash"/>
              </v:shape>
            </v:group>
            <v:group style="position:absolute;left:5154;top:3252;width:2;height:394" coordorigin="5154,3252" coordsize="2,394">
              <v:shape style="position:absolute;left:5154;top:3252;width:2;height:394" coordorigin="5154,3252" coordsize="0,394" path="m5154,3252l5154,3646e" filled="false" stroked="true" strokeweight=".48pt" strokecolor="#000000">
                <v:path arrowok="t"/>
                <v:stroke dashstyle="dash"/>
              </v:shape>
            </v:group>
            <v:group style="position:absolute;left:6618;top:3252;width:2;height:394" coordorigin="6618,3252" coordsize="2,394">
              <v:shape style="position:absolute;left:6618;top:3252;width:2;height:394" coordorigin="6618,3252" coordsize="0,394" path="m6618,3252l6618,3646e" filled="false" stroked="true" strokeweight=".48pt" strokecolor="#000000">
                <v:path arrowok="t"/>
                <v:stroke dashstyle="dash"/>
              </v:shape>
            </v:group>
            <v:group style="position:absolute;left:8869;top:3252;width:2;height:394" coordorigin="8869,3252" coordsize="2,394">
              <v:shape style="position:absolute;left:8869;top:3252;width:2;height:394" coordorigin="8869,3252" coordsize="0,394" path="m8869,3252l8869,3646e" filled="false" stroked="true" strokeweight=".48pt" strokecolor="#000000">
                <v:path arrowok="t"/>
                <v:stroke dashstyle="dash"/>
              </v:shape>
            </v:group>
            <v:group style="position:absolute;left:1133;top:3651;width:4017;height:2" coordorigin="1133,3651" coordsize="4017,2">
              <v:shape style="position:absolute;left:1133;top:3651;width:4017;height:2" coordorigin="1133,3651" coordsize="4017,0" path="m1133,3651l5149,3651e" filled="false" stroked="true" strokeweight=".48pt" strokecolor="#000000">
                <v:path arrowok="t"/>
                <v:stroke dashstyle="dash"/>
              </v:shape>
            </v:group>
            <v:group style="position:absolute;left:5154;top:3646;width:2;height:24" coordorigin="5154,3646" coordsize="2,24">
              <v:shape style="position:absolute;left:5154;top:3646;width:2;height:24" coordorigin="5154,3646" coordsize="0,24" path="m5154,3646l5154,3670e" filled="false" stroked="true" strokeweight=".48pt" strokecolor="#000000">
                <v:path arrowok="t"/>
                <v:stroke dashstyle="dash"/>
              </v:shape>
            </v:group>
            <v:group style="position:absolute;left:5159;top:3651;width:1455;height:2" coordorigin="5159,3651" coordsize="1455,2">
              <v:shape style="position:absolute;left:5159;top:3651;width:1455;height:2" coordorigin="5159,3651" coordsize="1455,0" path="m5159,3651l6613,3651e" filled="false" stroked="true" strokeweight=".48pt" strokecolor="#000000">
                <v:path arrowok="t"/>
                <v:stroke dashstyle="dash"/>
              </v:shape>
            </v:group>
            <v:group style="position:absolute;left:6618;top:3646;width:2;height:24" coordorigin="6618,3646" coordsize="2,24">
              <v:shape style="position:absolute;left:6618;top:3646;width:2;height:24" coordorigin="6618,3646" coordsize="0,24" path="m6618,3646l6618,3670e" filled="false" stroked="true" strokeweight=".48pt" strokecolor="#000000">
                <v:path arrowok="t"/>
                <v:stroke dashstyle="dash"/>
              </v:shape>
            </v:group>
            <v:group style="position:absolute;left:6623;top:3651;width:2242;height:2" coordorigin="6623,3651" coordsize="2242,2">
              <v:shape style="position:absolute;left:6623;top:3651;width:2242;height:2" coordorigin="6623,3651" coordsize="2242,0" path="m6623,3651l8865,3651e" filled="false" stroked="true" strokeweight=".48pt" strokecolor="#000000">
                <v:path arrowok="t"/>
                <v:stroke dashstyle="dash"/>
              </v:shape>
            </v:group>
            <v:group style="position:absolute;left:8869;top:3646;width:2;height:24" coordorigin="8869,3646" coordsize="2,24">
              <v:shape style="position:absolute;left:8869;top:3646;width:2;height:24" coordorigin="8869,3646" coordsize="0,24" path="m8869,3646l8869,3670e" filled="false" stroked="true" strokeweight=".48pt" strokecolor="#000000">
                <v:path arrowok="t"/>
                <v:stroke dashstyle="dash"/>
              </v:shape>
            </v:group>
            <v:group style="position:absolute;left:8875;top:3651;width:1899;height:2" coordorigin="8875,3651" coordsize="1899,2">
              <v:shape style="position:absolute;left:8875;top:3651;width:1899;height:2" coordorigin="8875,3651" coordsize="1899,0" path="m8875,3651l10773,3651e" filled="false" stroked="true" strokeweight=".48pt" strokecolor="#000000">
                <v:path arrowok="t"/>
                <v:stroke dashstyle="dash"/>
              </v:shape>
            </v:group>
            <v:group style="position:absolute;left:5154;top:3670;width:2;height:394" coordorigin="5154,3670" coordsize="2,394">
              <v:shape style="position:absolute;left:5154;top:3670;width:2;height:394" coordorigin="5154,3670" coordsize="0,394" path="m5154,3670l5154,4064e" filled="false" stroked="true" strokeweight=".48pt" strokecolor="#000000">
                <v:path arrowok="t"/>
                <v:stroke dashstyle="dash"/>
              </v:shape>
            </v:group>
            <v:group style="position:absolute;left:6618;top:3670;width:2;height:394" coordorigin="6618,3670" coordsize="2,394">
              <v:shape style="position:absolute;left:6618;top:3670;width:2;height:394" coordorigin="6618,3670" coordsize="0,394" path="m6618,3670l6618,4064e" filled="false" stroked="true" strokeweight=".48pt" strokecolor="#000000">
                <v:path arrowok="t"/>
                <v:stroke dashstyle="dash"/>
              </v:shape>
            </v:group>
            <v:group style="position:absolute;left:8869;top:3670;width:2;height:394" coordorigin="8869,3670" coordsize="2,394">
              <v:shape style="position:absolute;left:8869;top:3670;width:2;height:394" coordorigin="8869,3670" coordsize="0,394" path="m8869,3670l8869,4064e" filled="false" stroked="true" strokeweight=".48pt" strokecolor="#000000">
                <v:path arrowok="t"/>
                <v:stroke dashstyle="dash"/>
              </v:shape>
            </v:group>
            <v:group style="position:absolute;left:1133;top:4068;width:4017;height:2" coordorigin="1133,4068" coordsize="4017,2">
              <v:shape style="position:absolute;left:1133;top:4068;width:4017;height:2" coordorigin="1133,4068" coordsize="4017,0" path="m1133,4068l5149,4068e" filled="false" stroked="true" strokeweight=".48pt" strokecolor="#000000">
                <v:path arrowok="t"/>
                <v:stroke dashstyle="dash"/>
              </v:shape>
            </v:group>
            <v:group style="position:absolute;left:5154;top:4064;width:2;height:24" coordorigin="5154,4064" coordsize="2,24">
              <v:shape style="position:absolute;left:5154;top:4064;width:2;height:24" coordorigin="5154,4064" coordsize="0,24" path="m5154,4064l5154,4088e" filled="false" stroked="true" strokeweight=".48pt" strokecolor="#000000">
                <v:path arrowok="t"/>
                <v:stroke dashstyle="dash"/>
              </v:shape>
            </v:group>
            <v:group style="position:absolute;left:5159;top:4068;width:1455;height:2" coordorigin="5159,4068" coordsize="1455,2">
              <v:shape style="position:absolute;left:5159;top:4068;width:1455;height:2" coordorigin="5159,4068" coordsize="1455,0" path="m5159,4068l6613,4068e" filled="false" stroked="true" strokeweight=".48pt" strokecolor="#000000">
                <v:path arrowok="t"/>
                <v:stroke dashstyle="dash"/>
              </v:shape>
            </v:group>
            <v:group style="position:absolute;left:6618;top:4064;width:2;height:24" coordorigin="6618,4064" coordsize="2,24">
              <v:shape style="position:absolute;left:6618;top:4064;width:2;height:24" coordorigin="6618,4064" coordsize="0,24" path="m6618,4064l6618,4088e" filled="false" stroked="true" strokeweight=".48pt" strokecolor="#000000">
                <v:path arrowok="t"/>
                <v:stroke dashstyle="dash"/>
              </v:shape>
            </v:group>
            <v:group style="position:absolute;left:6623;top:4068;width:2242;height:2" coordorigin="6623,4068" coordsize="2242,2">
              <v:shape style="position:absolute;left:6623;top:4068;width:2242;height:2" coordorigin="6623,4068" coordsize="2242,0" path="m6623,4068l8865,4068e" filled="false" stroked="true" strokeweight=".48pt" strokecolor="#000000">
                <v:path arrowok="t"/>
                <v:stroke dashstyle="dash"/>
              </v:shape>
            </v:group>
            <v:group style="position:absolute;left:8869;top:4064;width:2;height:24" coordorigin="8869,4064" coordsize="2,24">
              <v:shape style="position:absolute;left:8869;top:4064;width:2;height:24" coordorigin="8869,4064" coordsize="0,24" path="m8869,4064l8869,4088e" filled="false" stroked="true" strokeweight=".48pt" strokecolor="#000000">
                <v:path arrowok="t"/>
                <v:stroke dashstyle="dash"/>
              </v:shape>
            </v:group>
            <v:group style="position:absolute;left:8875;top:4068;width:1899;height:2" coordorigin="8875,4068" coordsize="1899,2">
              <v:shape style="position:absolute;left:8875;top:4068;width:1899;height:2" coordorigin="8875,4068" coordsize="1899,0" path="m8875,4068l10773,4068e" filled="false" stroked="true" strokeweight=".48pt" strokecolor="#000000">
                <v:path arrowok="t"/>
                <v:stroke dashstyle="dash"/>
              </v:shape>
            </v:group>
            <v:group style="position:absolute;left:5154;top:4088;width:2;height:394" coordorigin="5154,4088" coordsize="2,394">
              <v:shape style="position:absolute;left:5154;top:4088;width:2;height:394" coordorigin="5154,4088" coordsize="0,394" path="m5154,4088l5154,4481e" filled="false" stroked="true" strokeweight=".48pt" strokecolor="#000000">
                <v:path arrowok="t"/>
                <v:stroke dashstyle="dash"/>
              </v:shape>
            </v:group>
            <v:group style="position:absolute;left:6618;top:4088;width:2;height:394" coordorigin="6618,4088" coordsize="2,394">
              <v:shape style="position:absolute;left:6618;top:4088;width:2;height:394" coordorigin="6618,4088" coordsize="0,394" path="m6618,4088l6618,4481e" filled="false" stroked="true" strokeweight=".48pt" strokecolor="#000000">
                <v:path arrowok="t"/>
                <v:stroke dashstyle="dash"/>
              </v:shape>
            </v:group>
            <v:group style="position:absolute;left:8869;top:4088;width:2;height:394" coordorigin="8869,4088" coordsize="2,394">
              <v:shape style="position:absolute;left:8869;top:4088;width:2;height:394" coordorigin="8869,4088" coordsize="0,394" path="m8869,4088l8869,4481e" filled="false" stroked="true" strokeweight=".48pt" strokecolor="#000000">
                <v:path arrowok="t"/>
                <v:stroke dashstyle="dash"/>
              </v:shape>
            </v:group>
            <v:group style="position:absolute;left:1133;top:4486;width:4017;height:2" coordorigin="1133,4486" coordsize="4017,2">
              <v:shape style="position:absolute;left:1133;top:4486;width:4017;height:2" coordorigin="1133,4486" coordsize="4017,0" path="m1133,4486l5149,4486e" filled="false" stroked="true" strokeweight=".48pt" strokecolor="#000000">
                <v:path arrowok="t"/>
                <v:stroke dashstyle="dash"/>
              </v:shape>
            </v:group>
            <v:group style="position:absolute;left:5154;top:4481;width:2;height:24" coordorigin="5154,4481" coordsize="2,24">
              <v:shape style="position:absolute;left:5154;top:4481;width:2;height:24" coordorigin="5154,4481" coordsize="0,24" path="m5154,4481l5154,4505e" filled="false" stroked="true" strokeweight=".48pt" strokecolor="#000000">
                <v:path arrowok="t"/>
                <v:stroke dashstyle="dash"/>
              </v:shape>
            </v:group>
            <v:group style="position:absolute;left:5159;top:4486;width:1455;height:2" coordorigin="5159,4486" coordsize="1455,2">
              <v:shape style="position:absolute;left:5159;top:4486;width:1455;height:2" coordorigin="5159,4486" coordsize="1455,0" path="m5159,4486l6613,4486e" filled="false" stroked="true" strokeweight=".48pt" strokecolor="#000000">
                <v:path arrowok="t"/>
                <v:stroke dashstyle="dash"/>
              </v:shape>
            </v:group>
            <v:group style="position:absolute;left:6618;top:4481;width:2;height:24" coordorigin="6618,4481" coordsize="2,24">
              <v:shape style="position:absolute;left:6618;top:4481;width:2;height:24" coordorigin="6618,4481" coordsize="0,24" path="m6618,4481l6618,4505e" filled="false" stroked="true" strokeweight=".48pt" strokecolor="#000000">
                <v:path arrowok="t"/>
                <v:stroke dashstyle="dash"/>
              </v:shape>
            </v:group>
            <v:group style="position:absolute;left:6623;top:4486;width:2242;height:2" coordorigin="6623,4486" coordsize="2242,2">
              <v:shape style="position:absolute;left:6623;top:4486;width:2242;height:2" coordorigin="6623,4486" coordsize="2242,0" path="m6623,4486l8865,4486e" filled="false" stroked="true" strokeweight=".48pt" strokecolor="#000000">
                <v:path arrowok="t"/>
                <v:stroke dashstyle="dash"/>
              </v:shape>
            </v:group>
            <v:group style="position:absolute;left:8869;top:4481;width:2;height:24" coordorigin="8869,4481" coordsize="2,24">
              <v:shape style="position:absolute;left:8869;top:4481;width:2;height:24" coordorigin="8869,4481" coordsize="0,24" path="m8869,4481l8869,4505e" filled="false" stroked="true" strokeweight=".48pt" strokecolor="#000000">
                <v:path arrowok="t"/>
                <v:stroke dashstyle="dash"/>
              </v:shape>
            </v:group>
            <v:group style="position:absolute;left:8875;top:4486;width:1899;height:2" coordorigin="8875,4486" coordsize="1899,2">
              <v:shape style="position:absolute;left:8875;top:4486;width:1899;height:2" coordorigin="8875,4486" coordsize="1899,0" path="m8875,4486l10773,4486e" filled="false" stroked="true" strokeweight=".48pt" strokecolor="#000000">
                <v:path arrowok="t"/>
                <v:stroke dashstyle="dash"/>
              </v:shape>
            </v:group>
            <v:group style="position:absolute;left:5154;top:4505;width:2;height:392" coordorigin="5154,4505" coordsize="2,392">
              <v:shape style="position:absolute;left:5154;top:4505;width:2;height:392" coordorigin="5154,4505" coordsize="0,392" path="m5154,4505l5154,4896e" filled="false" stroked="true" strokeweight=".48pt" strokecolor="#000000">
                <v:path arrowok="t"/>
                <v:stroke dashstyle="dash"/>
              </v:shape>
            </v:group>
            <v:group style="position:absolute;left:6618;top:4505;width:2;height:392" coordorigin="6618,4505" coordsize="2,392">
              <v:shape style="position:absolute;left:6618;top:4505;width:2;height:392" coordorigin="6618,4505" coordsize="0,392" path="m6618,4505l6618,4896e" filled="false" stroked="true" strokeweight=".48pt" strokecolor="#000000">
                <v:path arrowok="t"/>
                <v:stroke dashstyle="dash"/>
              </v:shape>
            </v:group>
            <v:group style="position:absolute;left:8869;top:4505;width:2;height:392" coordorigin="8869,4505" coordsize="2,392">
              <v:shape style="position:absolute;left:8869;top:4505;width:2;height:392" coordorigin="8869,4505" coordsize="0,392" path="m8869,4505l8869,4896e" filled="false" stroked="true" strokeweight=".48pt" strokecolor="#000000">
                <v:path arrowok="t"/>
                <v:stroke dashstyle="dash"/>
              </v:shape>
            </v:group>
            <v:group style="position:absolute;left:1133;top:4901;width:4017;height:2" coordorigin="1133,4901" coordsize="4017,2">
              <v:shape style="position:absolute;left:1133;top:4901;width:4017;height:2" coordorigin="1133,4901" coordsize="4017,0" path="m1133,4901l5149,4901e" filled="false" stroked="true" strokeweight=".48pt" strokecolor="#000000">
                <v:path arrowok="t"/>
                <v:stroke dashstyle="dash"/>
              </v:shape>
            </v:group>
            <v:group style="position:absolute;left:5154;top:4896;width:2;height:25" coordorigin="5154,4896" coordsize="2,25">
              <v:shape style="position:absolute;left:5154;top:4896;width:2;height:25" coordorigin="5154,4896" coordsize="0,25" path="m5154,4896l5154,4921e" filled="false" stroked="true" strokeweight=".48pt" strokecolor="#000000">
                <v:path arrowok="t"/>
                <v:stroke dashstyle="dash"/>
              </v:shape>
            </v:group>
            <v:group style="position:absolute;left:5159;top:4901;width:1455;height:2" coordorigin="5159,4901" coordsize="1455,2">
              <v:shape style="position:absolute;left:5159;top:4901;width:1455;height:2" coordorigin="5159,4901" coordsize="1455,0" path="m5159,4901l6613,4901e" filled="false" stroked="true" strokeweight=".48pt" strokecolor="#000000">
                <v:path arrowok="t"/>
                <v:stroke dashstyle="dash"/>
              </v:shape>
            </v:group>
            <v:group style="position:absolute;left:6618;top:4896;width:2;height:25" coordorigin="6618,4896" coordsize="2,25">
              <v:shape style="position:absolute;left:6618;top:4896;width:2;height:25" coordorigin="6618,4896" coordsize="0,25" path="m6618,4896l6618,4921e" filled="false" stroked="true" strokeweight=".48pt" strokecolor="#000000">
                <v:path arrowok="t"/>
                <v:stroke dashstyle="dash"/>
              </v:shape>
            </v:group>
            <v:group style="position:absolute;left:6623;top:4901;width:2242;height:2" coordorigin="6623,4901" coordsize="2242,2">
              <v:shape style="position:absolute;left:6623;top:4901;width:2242;height:2" coordorigin="6623,4901" coordsize="2242,0" path="m6623,4901l8865,4901e" filled="false" stroked="true" strokeweight=".48pt" strokecolor="#000000">
                <v:path arrowok="t"/>
                <v:stroke dashstyle="dash"/>
              </v:shape>
            </v:group>
            <v:group style="position:absolute;left:8869;top:4896;width:2;height:25" coordorigin="8869,4896" coordsize="2,25">
              <v:shape style="position:absolute;left:8869;top:4896;width:2;height:25" coordorigin="8869,4896" coordsize="0,25" path="m8869,4896l8869,4921e" filled="false" stroked="true" strokeweight=".48pt" strokecolor="#000000">
                <v:path arrowok="t"/>
                <v:stroke dashstyle="dash"/>
              </v:shape>
            </v:group>
            <v:group style="position:absolute;left:8875;top:4901;width:1899;height:2" coordorigin="8875,4901" coordsize="1899,2">
              <v:shape style="position:absolute;left:8875;top:4901;width:1899;height:2" coordorigin="8875,4901" coordsize="1899,0" path="m8875,4901l10773,4901e" filled="false" stroked="true" strokeweight=".48pt" strokecolor="#000000">
                <v:path arrowok="t"/>
                <v:stroke dashstyle="dash"/>
              </v:shape>
            </v:group>
            <v:group style="position:absolute;left:5154;top:4921;width:2;height:706" coordorigin="5154,4921" coordsize="2,706">
              <v:shape style="position:absolute;left:5154;top:4921;width:2;height:706" coordorigin="5154,4921" coordsize="0,706" path="m5154,4921l5154,5627e" filled="false" stroked="true" strokeweight=".48pt" strokecolor="#000000">
                <v:path arrowok="t"/>
                <v:stroke dashstyle="dash"/>
              </v:shape>
            </v:group>
            <v:group style="position:absolute;left:6618;top:4921;width:2;height:706" coordorigin="6618,4921" coordsize="2,706">
              <v:shape style="position:absolute;left:6618;top:4921;width:2;height:706" coordorigin="6618,4921" coordsize="0,706" path="m6618,4921l6618,5627e" filled="false" stroked="true" strokeweight=".48pt" strokecolor="#000000">
                <v:path arrowok="t"/>
                <v:stroke dashstyle="dash"/>
              </v:shape>
            </v:group>
            <v:group style="position:absolute;left:8869;top:4921;width:2;height:706" coordorigin="8869,4921" coordsize="2,706">
              <v:shape style="position:absolute;left:8869;top:4921;width:2;height:706" coordorigin="8869,4921" coordsize="0,706" path="m8869,4921l8869,5627e" filled="false" stroked="true" strokeweight=".48pt" strokecolor="#000000">
                <v:path arrowok="t"/>
                <v:stroke dashstyle="dash"/>
              </v:shape>
            </v:group>
            <v:group style="position:absolute;left:1133;top:5631;width:4017;height:2" coordorigin="1133,5631" coordsize="4017,2">
              <v:shape style="position:absolute;left:1133;top:5631;width:4017;height:2" coordorigin="1133,5631" coordsize="4017,0" path="m1133,5631l5149,5631e" filled="false" stroked="true" strokeweight=".48pt" strokecolor="#000000">
                <v:path arrowok="t"/>
                <v:stroke dashstyle="dash"/>
              </v:shape>
            </v:group>
            <v:group style="position:absolute;left:5154;top:5627;width:2;height:24" coordorigin="5154,5627" coordsize="2,24">
              <v:shape style="position:absolute;left:5154;top:5627;width:2;height:24" coordorigin="5154,5627" coordsize="0,24" path="m5154,5627l5154,5651e" filled="false" stroked="true" strokeweight=".48pt" strokecolor="#000000">
                <v:path arrowok="t"/>
                <v:stroke dashstyle="dash"/>
              </v:shape>
            </v:group>
            <v:group style="position:absolute;left:5159;top:5631;width:1455;height:2" coordorigin="5159,5631" coordsize="1455,2">
              <v:shape style="position:absolute;left:5159;top:5631;width:1455;height:2" coordorigin="5159,5631" coordsize="1455,0" path="m5159,5631l6613,5631e" filled="false" stroked="true" strokeweight=".48pt" strokecolor="#000000">
                <v:path arrowok="t"/>
                <v:stroke dashstyle="dash"/>
              </v:shape>
            </v:group>
            <v:group style="position:absolute;left:6618;top:5627;width:2;height:24" coordorigin="6618,5627" coordsize="2,24">
              <v:shape style="position:absolute;left:6618;top:5627;width:2;height:24" coordorigin="6618,5627" coordsize="0,24" path="m6618,5627l6618,5651e" filled="false" stroked="true" strokeweight=".48pt" strokecolor="#000000">
                <v:path arrowok="t"/>
                <v:stroke dashstyle="dash"/>
              </v:shape>
            </v:group>
            <v:group style="position:absolute;left:6623;top:5631;width:2242;height:2" coordorigin="6623,5631" coordsize="2242,2">
              <v:shape style="position:absolute;left:6623;top:5631;width:2242;height:2" coordorigin="6623,5631" coordsize="2242,0" path="m6623,5631l8865,5631e" filled="false" stroked="true" strokeweight=".48pt" strokecolor="#000000">
                <v:path arrowok="t"/>
                <v:stroke dashstyle="dash"/>
              </v:shape>
            </v:group>
            <v:group style="position:absolute;left:8869;top:5627;width:2;height:24" coordorigin="8869,5627" coordsize="2,24">
              <v:shape style="position:absolute;left:8869;top:5627;width:2;height:24" coordorigin="8869,5627" coordsize="0,24" path="m8869,5627l8869,5651e" filled="false" stroked="true" strokeweight=".48pt" strokecolor="#000000">
                <v:path arrowok="t"/>
                <v:stroke dashstyle="dash"/>
              </v:shape>
            </v:group>
            <v:group style="position:absolute;left:8875;top:5631;width:1899;height:2" coordorigin="8875,5631" coordsize="1899,2">
              <v:shape style="position:absolute;left:8875;top:5631;width:1899;height:2" coordorigin="8875,5631" coordsize="1899,0" path="m8875,5631l10773,5631e" filled="false" stroked="true" strokeweight=".48pt" strokecolor="#000000">
                <v:path arrowok="t"/>
                <v:stroke dashstyle="dash"/>
              </v:shape>
            </v:group>
            <v:group style="position:absolute;left:5154;top:5651;width:2;height:394" coordorigin="5154,5651" coordsize="2,394">
              <v:shape style="position:absolute;left:5154;top:5651;width:2;height:394" coordorigin="5154,5651" coordsize="0,394" path="m5154,5651l5154,6044e" filled="false" stroked="true" strokeweight=".48pt" strokecolor="#000000">
                <v:path arrowok="t"/>
                <v:stroke dashstyle="dash"/>
              </v:shape>
            </v:group>
            <v:group style="position:absolute;left:6618;top:5651;width:2;height:394" coordorigin="6618,5651" coordsize="2,394">
              <v:shape style="position:absolute;left:6618;top:5651;width:2;height:394" coordorigin="6618,5651" coordsize="0,394" path="m6618,5651l6618,6044e" filled="false" stroked="true" strokeweight=".48pt" strokecolor="#000000">
                <v:path arrowok="t"/>
                <v:stroke dashstyle="dash"/>
              </v:shape>
            </v:group>
            <v:group style="position:absolute;left:8869;top:5651;width:2;height:394" coordorigin="8869,5651" coordsize="2,394">
              <v:shape style="position:absolute;left:8869;top:5651;width:2;height:394" coordorigin="8869,5651" coordsize="0,394" path="m8869,5651l8869,6044e" filled="false" stroked="true" strokeweight=".48pt" strokecolor="#000000">
                <v:path arrowok="t"/>
                <v:stroke dashstyle="dash"/>
              </v:shape>
            </v:group>
            <v:group style="position:absolute;left:1133;top:6049;width:4017;height:2" coordorigin="1133,6049" coordsize="4017,2">
              <v:shape style="position:absolute;left:1133;top:6049;width:4017;height:2" coordorigin="1133,6049" coordsize="4017,0" path="m1133,6049l5149,6049e" filled="false" stroked="true" strokeweight=".48pt" strokecolor="#000000">
                <v:path arrowok="t"/>
                <v:stroke dashstyle="dash"/>
              </v:shape>
            </v:group>
            <v:group style="position:absolute;left:5154;top:6044;width:2;height:24" coordorigin="5154,6044" coordsize="2,24">
              <v:shape style="position:absolute;left:5154;top:6044;width:2;height:24" coordorigin="5154,6044" coordsize="0,24" path="m5154,6044l5154,6068e" filled="false" stroked="true" strokeweight=".48pt" strokecolor="#000000">
                <v:path arrowok="t"/>
                <v:stroke dashstyle="dash"/>
              </v:shape>
            </v:group>
            <v:group style="position:absolute;left:5159;top:6049;width:1455;height:2" coordorigin="5159,6049" coordsize="1455,2">
              <v:shape style="position:absolute;left:5159;top:6049;width:1455;height:2" coordorigin="5159,6049" coordsize="1455,0" path="m5159,6049l6613,6049e" filled="false" stroked="true" strokeweight=".48pt" strokecolor="#000000">
                <v:path arrowok="t"/>
                <v:stroke dashstyle="dash"/>
              </v:shape>
            </v:group>
            <v:group style="position:absolute;left:6618;top:6044;width:2;height:24" coordorigin="6618,6044" coordsize="2,24">
              <v:shape style="position:absolute;left:6618;top:6044;width:2;height:24" coordorigin="6618,6044" coordsize="0,24" path="m6618,6044l6618,6068e" filled="false" stroked="true" strokeweight=".48pt" strokecolor="#000000">
                <v:path arrowok="t"/>
                <v:stroke dashstyle="dash"/>
              </v:shape>
            </v:group>
            <v:group style="position:absolute;left:6623;top:6049;width:2242;height:2" coordorigin="6623,6049" coordsize="2242,2">
              <v:shape style="position:absolute;left:6623;top:6049;width:2242;height:2" coordorigin="6623,6049" coordsize="2242,0" path="m6623,6049l8865,6049e" filled="false" stroked="true" strokeweight=".48pt" strokecolor="#000000">
                <v:path arrowok="t"/>
                <v:stroke dashstyle="dash"/>
              </v:shape>
            </v:group>
            <v:group style="position:absolute;left:8869;top:6044;width:2;height:24" coordorigin="8869,6044" coordsize="2,24">
              <v:shape style="position:absolute;left:8869;top:6044;width:2;height:24" coordorigin="8869,6044" coordsize="0,24" path="m8869,6044l8869,6068e" filled="false" stroked="true" strokeweight=".48pt" strokecolor="#000000">
                <v:path arrowok="t"/>
                <v:stroke dashstyle="dash"/>
              </v:shape>
            </v:group>
            <v:group style="position:absolute;left:8875;top:6049;width:1899;height:2" coordorigin="8875,6049" coordsize="1899,2">
              <v:shape style="position:absolute;left:8875;top:6049;width:1899;height:2" coordorigin="8875,6049" coordsize="1899,0" path="m8875,6049l10773,6049e" filled="false" stroked="true" strokeweight=".48pt" strokecolor="#000000">
                <v:path arrowok="t"/>
                <v:stroke dashstyle="dash"/>
              </v:shape>
            </v:group>
            <v:group style="position:absolute;left:5154;top:6068;width:2;height:394" coordorigin="5154,6068" coordsize="2,394">
              <v:shape style="position:absolute;left:5154;top:6068;width:2;height:394" coordorigin="5154,6068" coordsize="0,394" path="m5154,6068l5154,6462e" filled="false" stroked="true" strokeweight=".48pt" strokecolor="#000000">
                <v:path arrowok="t"/>
                <v:stroke dashstyle="dash"/>
              </v:shape>
            </v:group>
            <v:group style="position:absolute;left:6618;top:6068;width:2;height:394" coordorigin="6618,6068" coordsize="2,394">
              <v:shape style="position:absolute;left:6618;top:6068;width:2;height:394" coordorigin="6618,6068" coordsize="0,394" path="m6618,6068l6618,6462e" filled="false" stroked="true" strokeweight=".48pt" strokecolor="#000000">
                <v:path arrowok="t"/>
                <v:stroke dashstyle="dash"/>
              </v:shape>
            </v:group>
            <v:group style="position:absolute;left:8869;top:6068;width:2;height:394" coordorigin="8869,6068" coordsize="2,394">
              <v:shape style="position:absolute;left:8869;top:6068;width:2;height:394" coordorigin="8869,6068" coordsize="0,394" path="m8869,6068l8869,6462e" filled="false" stroked="true" strokeweight=".48pt" strokecolor="#000000">
                <v:path arrowok="t"/>
                <v:stroke dashstyle="dash"/>
              </v:shape>
            </v:group>
            <v:group style="position:absolute;left:1133;top:6467;width:4017;height:2" coordorigin="1133,6467" coordsize="4017,2">
              <v:shape style="position:absolute;left:1133;top:6467;width:4017;height:2" coordorigin="1133,6467" coordsize="4017,0" path="m1133,6467l5149,6467e" filled="false" stroked="true" strokeweight=".48pt" strokecolor="#000000">
                <v:path arrowok="t"/>
                <v:stroke dashstyle="dash"/>
              </v:shape>
            </v:group>
            <v:group style="position:absolute;left:5154;top:6462;width:2;height:24" coordorigin="5154,6462" coordsize="2,24">
              <v:shape style="position:absolute;left:5154;top:6462;width:2;height:24" coordorigin="5154,6462" coordsize="0,24" path="m5154,6462l5154,6486e" filled="false" stroked="true" strokeweight=".48pt" strokecolor="#000000">
                <v:path arrowok="t"/>
                <v:stroke dashstyle="dash"/>
              </v:shape>
            </v:group>
            <v:group style="position:absolute;left:5159;top:6467;width:1455;height:2" coordorigin="5159,6467" coordsize="1455,2">
              <v:shape style="position:absolute;left:5159;top:6467;width:1455;height:2" coordorigin="5159,6467" coordsize="1455,0" path="m5159,6467l6613,6467e" filled="false" stroked="true" strokeweight=".48pt" strokecolor="#000000">
                <v:path arrowok="t"/>
                <v:stroke dashstyle="dash"/>
              </v:shape>
            </v:group>
            <v:group style="position:absolute;left:6618;top:6462;width:2;height:24" coordorigin="6618,6462" coordsize="2,24">
              <v:shape style="position:absolute;left:6618;top:6462;width:2;height:24" coordorigin="6618,6462" coordsize="0,24" path="m6618,6462l6618,6486e" filled="false" stroked="true" strokeweight=".48pt" strokecolor="#000000">
                <v:path arrowok="t"/>
                <v:stroke dashstyle="dash"/>
              </v:shape>
            </v:group>
            <v:group style="position:absolute;left:6623;top:6467;width:2242;height:2" coordorigin="6623,6467" coordsize="2242,2">
              <v:shape style="position:absolute;left:6623;top:6467;width:2242;height:2" coordorigin="6623,6467" coordsize="2242,0" path="m6623,6467l8865,6467e" filled="false" stroked="true" strokeweight=".48pt" strokecolor="#000000">
                <v:path arrowok="t"/>
                <v:stroke dashstyle="dash"/>
              </v:shape>
            </v:group>
            <v:group style="position:absolute;left:8869;top:6462;width:2;height:24" coordorigin="8869,6462" coordsize="2,24">
              <v:shape style="position:absolute;left:8869;top:6462;width:2;height:24" coordorigin="8869,6462" coordsize="0,24" path="m8869,6462l8869,6486e" filled="false" stroked="true" strokeweight=".48pt" strokecolor="#000000">
                <v:path arrowok="t"/>
                <v:stroke dashstyle="dash"/>
              </v:shape>
            </v:group>
            <v:group style="position:absolute;left:8875;top:6467;width:1899;height:2" coordorigin="8875,6467" coordsize="1899,2">
              <v:shape style="position:absolute;left:8875;top:6467;width:1899;height:2" coordorigin="8875,6467" coordsize="1899,0" path="m8875,6467l10773,6467e" filled="false" stroked="true" strokeweight=".48pt" strokecolor="#000000">
                <v:path arrowok="t"/>
                <v:stroke dashstyle="dash"/>
              </v:shape>
            </v:group>
            <v:group style="position:absolute;left:5154;top:6486;width:2;height:704" coordorigin="5154,6486" coordsize="2,704">
              <v:shape style="position:absolute;left:5154;top:6486;width:2;height:704" coordorigin="5154,6486" coordsize="0,704" path="m5154,6486l5154,7189e" filled="false" stroked="true" strokeweight=".48pt" strokecolor="#000000">
                <v:path arrowok="t"/>
                <v:stroke dashstyle="dash"/>
              </v:shape>
            </v:group>
            <v:group style="position:absolute;left:6618;top:6486;width:2;height:704" coordorigin="6618,6486" coordsize="2,704">
              <v:shape style="position:absolute;left:6618;top:6486;width:2;height:704" coordorigin="6618,6486" coordsize="0,704" path="m6618,6486l6618,7189e" filled="false" stroked="true" strokeweight=".48pt" strokecolor="#000000">
                <v:path arrowok="t"/>
                <v:stroke dashstyle="dash"/>
              </v:shape>
            </v:group>
            <v:group style="position:absolute;left:8869;top:6486;width:2;height:704" coordorigin="8869,6486" coordsize="2,704">
              <v:shape style="position:absolute;left:8869;top:6486;width:2;height:704" coordorigin="8869,6486" coordsize="0,704" path="m8869,6486l8869,7189e" filled="false" stroked="true" strokeweight=".48pt" strokecolor="#000000">
                <v:path arrowok="t"/>
                <v:stroke dashstyle="dash"/>
              </v:shape>
            </v:group>
            <v:group style="position:absolute;left:1133;top:7194;width:4017;height:2" coordorigin="1133,7194" coordsize="4017,2">
              <v:shape style="position:absolute;left:1133;top:7194;width:4017;height:2" coordorigin="1133,7194" coordsize="4017,0" path="m1133,7194l5149,7194e" filled="false" stroked="true" strokeweight=".48pt" strokecolor="#000000">
                <v:path arrowok="t"/>
                <v:stroke dashstyle="dash"/>
              </v:shape>
            </v:group>
            <v:group style="position:absolute;left:5154;top:7189;width:2;height:24" coordorigin="5154,7189" coordsize="2,24">
              <v:shape style="position:absolute;left:5154;top:7189;width:2;height:24" coordorigin="5154,7189" coordsize="0,24" path="m5154,7189l5154,7213e" filled="false" stroked="true" strokeweight=".48pt" strokecolor="#000000">
                <v:path arrowok="t"/>
                <v:stroke dashstyle="dash"/>
              </v:shape>
            </v:group>
            <v:group style="position:absolute;left:5159;top:7194;width:1455;height:2" coordorigin="5159,7194" coordsize="1455,2">
              <v:shape style="position:absolute;left:5159;top:7194;width:1455;height:2" coordorigin="5159,7194" coordsize="1455,0" path="m5159,7194l6613,7194e" filled="false" stroked="true" strokeweight=".48pt" strokecolor="#000000">
                <v:path arrowok="t"/>
                <v:stroke dashstyle="dash"/>
              </v:shape>
            </v:group>
            <v:group style="position:absolute;left:6618;top:7189;width:2;height:24" coordorigin="6618,7189" coordsize="2,24">
              <v:shape style="position:absolute;left:6618;top:7189;width:2;height:24" coordorigin="6618,7189" coordsize="0,24" path="m6618,7189l6618,7213e" filled="false" stroked="true" strokeweight=".48pt" strokecolor="#000000">
                <v:path arrowok="t"/>
                <v:stroke dashstyle="dash"/>
              </v:shape>
            </v:group>
            <v:group style="position:absolute;left:6623;top:7194;width:2242;height:2" coordorigin="6623,7194" coordsize="2242,2">
              <v:shape style="position:absolute;left:6623;top:7194;width:2242;height:2" coordorigin="6623,7194" coordsize="2242,0" path="m6623,7194l8865,7194e" filled="false" stroked="true" strokeweight=".48pt" strokecolor="#000000">
                <v:path arrowok="t"/>
                <v:stroke dashstyle="dash"/>
              </v:shape>
            </v:group>
            <v:group style="position:absolute;left:8869;top:7189;width:2;height:24" coordorigin="8869,7189" coordsize="2,24">
              <v:shape style="position:absolute;left:8869;top:7189;width:2;height:24" coordorigin="8869,7189" coordsize="0,24" path="m8869,7189l8869,7213e" filled="false" stroked="true" strokeweight=".48pt" strokecolor="#000000">
                <v:path arrowok="t"/>
                <v:stroke dashstyle="dash"/>
              </v:shape>
            </v:group>
            <v:group style="position:absolute;left:8875;top:7194;width:1899;height:2" coordorigin="8875,7194" coordsize="1899,2">
              <v:shape style="position:absolute;left:8875;top:7194;width:1899;height:2" coordorigin="8875,7194" coordsize="1899,0" path="m8875,7194l10773,7194e" filled="false" stroked="true" strokeweight=".48pt" strokecolor="#000000">
                <v:path arrowok="t"/>
                <v:stroke dashstyle="dash"/>
              </v:shape>
            </v:group>
            <v:group style="position:absolute;left:5154;top:7213;width:2;height:394" coordorigin="5154,7213" coordsize="2,394">
              <v:shape style="position:absolute;left:5154;top:7213;width:2;height:394" coordorigin="5154,7213" coordsize="0,394" path="m5154,7213l5154,7607e" filled="false" stroked="true" strokeweight=".48pt" strokecolor="#000000">
                <v:path arrowok="t"/>
                <v:stroke dashstyle="dash"/>
              </v:shape>
            </v:group>
            <v:group style="position:absolute;left:6618;top:7213;width:2;height:394" coordorigin="6618,7213" coordsize="2,394">
              <v:shape style="position:absolute;left:6618;top:7213;width:2;height:394" coordorigin="6618,7213" coordsize="0,394" path="m6618,7213l6618,7607e" filled="false" stroked="true" strokeweight=".48pt" strokecolor="#000000">
                <v:path arrowok="t"/>
                <v:stroke dashstyle="dash"/>
              </v:shape>
            </v:group>
            <v:group style="position:absolute;left:8869;top:7213;width:2;height:394" coordorigin="8869,7213" coordsize="2,394">
              <v:shape style="position:absolute;left:8869;top:7213;width:2;height:394" coordorigin="8869,7213" coordsize="0,394" path="m8869,7213l8869,7607e" filled="false" stroked="true" strokeweight=".48pt" strokecolor="#000000">
                <v:path arrowok="t"/>
                <v:stroke dashstyle="dash"/>
              </v:shape>
            </v:group>
            <v:group style="position:absolute;left:1133;top:7611;width:4017;height:2" coordorigin="1133,7611" coordsize="4017,2">
              <v:shape style="position:absolute;left:1133;top:7611;width:4017;height:2" coordorigin="1133,7611" coordsize="4017,0" path="m1133,7611l5149,7611e" filled="false" stroked="true" strokeweight=".48pt" strokecolor="#000000">
                <v:path arrowok="t"/>
                <v:stroke dashstyle="dash"/>
              </v:shape>
            </v:group>
            <v:group style="position:absolute;left:5154;top:7607;width:2;height:24" coordorigin="5154,7607" coordsize="2,24">
              <v:shape style="position:absolute;left:5154;top:7607;width:2;height:24" coordorigin="5154,7607" coordsize="0,24" path="m5154,7607l5154,7631e" filled="false" stroked="true" strokeweight=".48pt" strokecolor="#000000">
                <v:path arrowok="t"/>
                <v:stroke dashstyle="dash"/>
              </v:shape>
            </v:group>
            <v:group style="position:absolute;left:5159;top:7611;width:1455;height:2" coordorigin="5159,7611" coordsize="1455,2">
              <v:shape style="position:absolute;left:5159;top:7611;width:1455;height:2" coordorigin="5159,7611" coordsize="1455,0" path="m5159,7611l6613,7611e" filled="false" stroked="true" strokeweight=".48pt" strokecolor="#000000">
                <v:path arrowok="t"/>
                <v:stroke dashstyle="dash"/>
              </v:shape>
            </v:group>
            <v:group style="position:absolute;left:6618;top:7607;width:2;height:24" coordorigin="6618,7607" coordsize="2,24">
              <v:shape style="position:absolute;left:6618;top:7607;width:2;height:24" coordorigin="6618,7607" coordsize="0,24" path="m6618,7607l6618,7631e" filled="false" stroked="true" strokeweight=".48pt" strokecolor="#000000">
                <v:path arrowok="t"/>
                <v:stroke dashstyle="dash"/>
              </v:shape>
            </v:group>
            <v:group style="position:absolute;left:6623;top:7611;width:2242;height:2" coordorigin="6623,7611" coordsize="2242,2">
              <v:shape style="position:absolute;left:6623;top:7611;width:2242;height:2" coordorigin="6623,7611" coordsize="2242,0" path="m6623,7611l8865,7611e" filled="false" stroked="true" strokeweight=".48pt" strokecolor="#000000">
                <v:path arrowok="t"/>
                <v:stroke dashstyle="dash"/>
              </v:shape>
            </v:group>
            <v:group style="position:absolute;left:8869;top:7607;width:2;height:24" coordorigin="8869,7607" coordsize="2,24">
              <v:shape style="position:absolute;left:8869;top:7607;width:2;height:24" coordorigin="8869,7607" coordsize="0,24" path="m8869,7607l8869,7631e" filled="false" stroked="true" strokeweight=".48pt" strokecolor="#000000">
                <v:path arrowok="t"/>
                <v:stroke dashstyle="dash"/>
              </v:shape>
            </v:group>
            <v:group style="position:absolute;left:8875;top:7611;width:1899;height:2" coordorigin="8875,7611" coordsize="1899,2">
              <v:shape style="position:absolute;left:8875;top:7611;width:1899;height:2" coordorigin="8875,7611" coordsize="1899,0" path="m8875,7611l10773,7611e" filled="false" stroked="true" strokeweight=".48pt" strokecolor="#000000">
                <v:path arrowok="t"/>
                <v:stroke dashstyle="dash"/>
              </v:shape>
            </v:group>
            <v:group style="position:absolute;left:5154;top:7631;width:2;height:394" coordorigin="5154,7631" coordsize="2,394">
              <v:shape style="position:absolute;left:5154;top:7631;width:2;height:394" coordorigin="5154,7631" coordsize="0,394" path="m5154,7631l5154,8024e" filled="false" stroked="true" strokeweight=".48pt" strokecolor="#000000">
                <v:path arrowok="t"/>
                <v:stroke dashstyle="dash"/>
              </v:shape>
            </v:group>
            <v:group style="position:absolute;left:6618;top:7631;width:2;height:394" coordorigin="6618,7631" coordsize="2,394">
              <v:shape style="position:absolute;left:6618;top:7631;width:2;height:394" coordorigin="6618,7631" coordsize="0,394" path="m6618,7631l6618,8024e" filled="false" stroked="true" strokeweight=".48pt" strokecolor="#000000">
                <v:path arrowok="t"/>
                <v:stroke dashstyle="dash"/>
              </v:shape>
            </v:group>
            <v:group style="position:absolute;left:8869;top:7631;width:2;height:394" coordorigin="8869,7631" coordsize="2,394">
              <v:shape style="position:absolute;left:8869;top:7631;width:2;height:394" coordorigin="8869,7631" coordsize="0,394" path="m8869,7631l8869,8024e" filled="false" stroked="true" strokeweight=".48pt" strokecolor="#000000">
                <v:path arrowok="t"/>
                <v:stroke dashstyle="dash"/>
              </v:shape>
            </v:group>
            <v:group style="position:absolute;left:1133;top:8029;width:4017;height:2" coordorigin="1133,8029" coordsize="4017,2">
              <v:shape style="position:absolute;left:1133;top:8029;width:4017;height:2" coordorigin="1133,8029" coordsize="4017,0" path="m1133,8029l5149,8029e" filled="false" stroked="true" strokeweight=".48pt" strokecolor="#000000">
                <v:path arrowok="t"/>
                <v:stroke dashstyle="dash"/>
              </v:shape>
            </v:group>
            <v:group style="position:absolute;left:5154;top:8024;width:2;height:24" coordorigin="5154,8024" coordsize="2,24">
              <v:shape style="position:absolute;left:5154;top:8024;width:2;height:24" coordorigin="5154,8024" coordsize="0,24" path="m5154,8024l5154,8048e" filled="false" stroked="true" strokeweight=".48pt" strokecolor="#000000">
                <v:path arrowok="t"/>
                <v:stroke dashstyle="dash"/>
              </v:shape>
            </v:group>
            <v:group style="position:absolute;left:5159;top:8029;width:1455;height:2" coordorigin="5159,8029" coordsize="1455,2">
              <v:shape style="position:absolute;left:5159;top:8029;width:1455;height:2" coordorigin="5159,8029" coordsize="1455,0" path="m5159,8029l6613,8029e" filled="false" stroked="true" strokeweight=".48pt" strokecolor="#000000">
                <v:path arrowok="t"/>
                <v:stroke dashstyle="dash"/>
              </v:shape>
            </v:group>
            <v:group style="position:absolute;left:6618;top:8024;width:2;height:24" coordorigin="6618,8024" coordsize="2,24">
              <v:shape style="position:absolute;left:6618;top:8024;width:2;height:24" coordorigin="6618,8024" coordsize="0,24" path="m6618,8024l6618,8048e" filled="false" stroked="true" strokeweight=".48pt" strokecolor="#000000">
                <v:path arrowok="t"/>
                <v:stroke dashstyle="dash"/>
              </v:shape>
            </v:group>
            <v:group style="position:absolute;left:6623;top:8029;width:2242;height:2" coordorigin="6623,8029" coordsize="2242,2">
              <v:shape style="position:absolute;left:6623;top:8029;width:2242;height:2" coordorigin="6623,8029" coordsize="2242,0" path="m6623,8029l8865,8029e" filled="false" stroked="true" strokeweight=".48pt" strokecolor="#000000">
                <v:path arrowok="t"/>
                <v:stroke dashstyle="dash"/>
              </v:shape>
            </v:group>
            <v:group style="position:absolute;left:8869;top:8024;width:2;height:24" coordorigin="8869,8024" coordsize="2,24">
              <v:shape style="position:absolute;left:8869;top:8024;width:2;height:24" coordorigin="8869,8024" coordsize="0,24" path="m8869,8024l8869,8048e" filled="false" stroked="true" strokeweight=".48pt" strokecolor="#000000">
                <v:path arrowok="t"/>
                <v:stroke dashstyle="dash"/>
              </v:shape>
            </v:group>
            <v:group style="position:absolute;left:8875;top:8029;width:1899;height:2" coordorigin="8875,8029" coordsize="1899,2">
              <v:shape style="position:absolute;left:8875;top:8029;width:1899;height:2" coordorigin="8875,8029" coordsize="1899,0" path="m8875,8029l10773,8029e" filled="false" stroked="true" strokeweight=".48pt" strokecolor="#000000">
                <v:path arrowok="t"/>
                <v:stroke dashstyle="dash"/>
              </v:shape>
            </v:group>
            <v:group style="position:absolute;left:5154;top:8048;width:2;height:394" coordorigin="5154,8048" coordsize="2,394">
              <v:shape style="position:absolute;left:5154;top:8048;width:2;height:394" coordorigin="5154,8048" coordsize="0,394" path="m5154,8048l5154,8442e" filled="false" stroked="true" strokeweight=".48pt" strokecolor="#000000">
                <v:path arrowok="t"/>
                <v:stroke dashstyle="dash"/>
              </v:shape>
            </v:group>
            <v:group style="position:absolute;left:6618;top:8048;width:2;height:394" coordorigin="6618,8048" coordsize="2,394">
              <v:shape style="position:absolute;left:6618;top:8048;width:2;height:394" coordorigin="6618,8048" coordsize="0,394" path="m6618,8048l6618,8442e" filled="false" stroked="true" strokeweight=".48pt" strokecolor="#000000">
                <v:path arrowok="t"/>
                <v:stroke dashstyle="dash"/>
              </v:shape>
            </v:group>
            <v:group style="position:absolute;left:8869;top:8048;width:2;height:394" coordorigin="8869,8048" coordsize="2,394">
              <v:shape style="position:absolute;left:8869;top:8048;width:2;height:394" coordorigin="8869,8048" coordsize="0,394" path="m8869,8048l8869,8442e" filled="false" stroked="true" strokeweight=".48pt" strokecolor="#000000">
                <v:path arrowok="t"/>
                <v:stroke dashstyle="dash"/>
              </v:shape>
            </v:group>
            <v:group style="position:absolute;left:1133;top:8447;width:4017;height:2" coordorigin="1133,8447" coordsize="4017,2">
              <v:shape style="position:absolute;left:1133;top:8447;width:4017;height:2" coordorigin="1133,8447" coordsize="4017,0" path="m1133,8447l5149,8447e" filled="false" stroked="true" strokeweight=".48pt" strokecolor="#000000">
                <v:path arrowok="t"/>
                <v:stroke dashstyle="dash"/>
              </v:shape>
            </v:group>
            <v:group style="position:absolute;left:5154;top:8442;width:2;height:24" coordorigin="5154,8442" coordsize="2,24">
              <v:shape style="position:absolute;left:5154;top:8442;width:2;height:24" coordorigin="5154,8442" coordsize="0,24" path="m5154,8442l5154,8466e" filled="false" stroked="true" strokeweight=".48pt" strokecolor="#000000">
                <v:path arrowok="t"/>
                <v:stroke dashstyle="dash"/>
              </v:shape>
            </v:group>
            <v:group style="position:absolute;left:5159;top:8447;width:1455;height:2" coordorigin="5159,8447" coordsize="1455,2">
              <v:shape style="position:absolute;left:5159;top:8447;width:1455;height:2" coordorigin="5159,8447" coordsize="1455,0" path="m5159,8447l6613,8447e" filled="false" stroked="true" strokeweight=".48pt" strokecolor="#000000">
                <v:path arrowok="t"/>
                <v:stroke dashstyle="dash"/>
              </v:shape>
            </v:group>
            <v:group style="position:absolute;left:6618;top:8442;width:2;height:24" coordorigin="6618,8442" coordsize="2,24">
              <v:shape style="position:absolute;left:6618;top:8442;width:2;height:24" coordorigin="6618,8442" coordsize="0,24" path="m6618,8442l6618,8466e" filled="false" stroked="true" strokeweight=".48pt" strokecolor="#000000">
                <v:path arrowok="t"/>
                <v:stroke dashstyle="dash"/>
              </v:shape>
            </v:group>
            <v:group style="position:absolute;left:6623;top:8447;width:2242;height:2" coordorigin="6623,8447" coordsize="2242,2">
              <v:shape style="position:absolute;left:6623;top:8447;width:2242;height:2" coordorigin="6623,8447" coordsize="2242,0" path="m6623,8447l8865,8447e" filled="false" stroked="true" strokeweight=".48pt" strokecolor="#000000">
                <v:path arrowok="t"/>
                <v:stroke dashstyle="dash"/>
              </v:shape>
            </v:group>
            <v:group style="position:absolute;left:8869;top:8442;width:2;height:24" coordorigin="8869,8442" coordsize="2,24">
              <v:shape style="position:absolute;left:8869;top:8442;width:2;height:24" coordorigin="8869,8442" coordsize="0,24" path="m8869,8442l8869,8466e" filled="false" stroked="true" strokeweight=".48pt" strokecolor="#000000">
                <v:path arrowok="t"/>
                <v:stroke dashstyle="dash"/>
              </v:shape>
            </v:group>
            <v:group style="position:absolute;left:8875;top:8447;width:1899;height:2" coordorigin="8875,8447" coordsize="1899,2">
              <v:shape style="position:absolute;left:8875;top:8447;width:1899;height:2" coordorigin="8875,8447" coordsize="1899,0" path="m8875,8447l10773,8447e" filled="false" stroked="true" strokeweight=".48pt" strokecolor="#000000">
                <v:path arrowok="t"/>
                <v:stroke dashstyle="dash"/>
              </v:shape>
            </v:group>
            <v:group style="position:absolute;left:5154;top:8466;width:2;height:392" coordorigin="5154,8466" coordsize="2,392">
              <v:shape style="position:absolute;left:5154;top:8466;width:2;height:392" coordorigin="5154,8466" coordsize="0,392" path="m5154,8466l5154,8857e" filled="false" stroked="true" strokeweight=".48pt" strokecolor="#000000">
                <v:path arrowok="t"/>
                <v:stroke dashstyle="dash"/>
              </v:shape>
            </v:group>
            <v:group style="position:absolute;left:6618;top:8466;width:2;height:392" coordorigin="6618,8466" coordsize="2,392">
              <v:shape style="position:absolute;left:6618;top:8466;width:2;height:392" coordorigin="6618,8466" coordsize="0,392" path="m6618,8466l6618,8857e" filled="false" stroked="true" strokeweight=".48pt" strokecolor="#000000">
                <v:path arrowok="t"/>
                <v:stroke dashstyle="dash"/>
              </v:shape>
            </v:group>
            <v:group style="position:absolute;left:8869;top:8466;width:2;height:392" coordorigin="8869,8466" coordsize="2,392">
              <v:shape style="position:absolute;left:8869;top:8466;width:2;height:392" coordorigin="8869,8466" coordsize="0,392" path="m8869,8466l8869,8857e" filled="false" stroked="true" strokeweight=".48pt" strokecolor="#000000">
                <v:path arrowok="t"/>
                <v:stroke dashstyle="dash"/>
              </v:shape>
            </v:group>
            <v:group style="position:absolute;left:5154;top:8857;width:2;height:24" coordorigin="5154,8857" coordsize="2,24">
              <v:shape style="position:absolute;left:5154;top:8857;width:2;height:24" coordorigin="5154,8857" coordsize="0,24" path="m5154,8857l5154,8881e" filled="false" stroked="true" strokeweight=".48pt" strokecolor="#000000">
                <v:path arrowok="t"/>
                <v:stroke dashstyle="dash"/>
              </v:shape>
            </v:group>
            <v:group style="position:absolute;left:6618;top:8857;width:2;height:24" coordorigin="6618,8857" coordsize="2,24">
              <v:shape style="position:absolute;left:6618;top:8857;width:2;height:24" coordorigin="6618,8857" coordsize="0,24" path="m6618,8857l6618,8881e" filled="false" stroked="true" strokeweight=".48pt" strokecolor="#000000">
                <v:path arrowok="t"/>
                <v:stroke dashstyle="dash"/>
              </v:shape>
            </v:group>
            <v:group style="position:absolute;left:8869;top:8857;width:2;height:24" coordorigin="8869,8857" coordsize="2,24">
              <v:shape style="position:absolute;left:8869;top:8857;width:2;height:24" coordorigin="8869,8857" coordsize="0,24" path="m8869,8857l8869,8881e" filled="false" stroked="true" strokeweight=".48pt" strokecolor="#000000">
                <v:path arrowok="t"/>
                <v:stroke dashstyle="dash"/>
              </v:shape>
            </v:group>
            <v:group style="position:absolute;left:5154;top:8881;width:2;height:394" coordorigin="5154,8881" coordsize="2,394">
              <v:shape style="position:absolute;left:5154;top:8881;width:2;height:394" coordorigin="5154,8881" coordsize="0,394" path="m5154,8881l5154,9275e" filled="false" stroked="true" strokeweight=".48pt" strokecolor="#000000">
                <v:path arrowok="t"/>
                <v:stroke dashstyle="dash"/>
              </v:shape>
            </v:group>
            <v:group style="position:absolute;left:6618;top:8881;width:2;height:394" coordorigin="6618,8881" coordsize="2,394">
              <v:shape style="position:absolute;left:6618;top:8881;width:2;height:394" coordorigin="6618,8881" coordsize="0,394" path="m6618,8881l6618,9275e" filled="false" stroked="true" strokeweight=".48pt" strokecolor="#000000">
                <v:path arrowok="t"/>
                <v:stroke dashstyle="dash"/>
              </v:shape>
            </v:group>
            <v:group style="position:absolute;left:8869;top:8881;width:2;height:394" coordorigin="8869,8881" coordsize="2,394">
              <v:shape style="position:absolute;left:8869;top:8881;width:2;height:394" coordorigin="8869,8881" coordsize="0,394" path="m8869,8881l8869,9275e" filled="false" stroked="true" strokeweight=".48pt" strokecolor="#000000">
                <v:path arrowok="t"/>
                <v:stroke dashstyle="dash"/>
              </v:shape>
            </v:group>
            <v:group style="position:absolute;left:5154;top:9275;width:2;height:24" coordorigin="5154,9275" coordsize="2,24">
              <v:shape style="position:absolute;left:5154;top:9275;width:2;height:24" coordorigin="5154,9275" coordsize="0,24" path="m5154,9275l5154,9299e" filled="false" stroked="true" strokeweight=".48pt" strokecolor="#000000">
                <v:path arrowok="t"/>
                <v:stroke dashstyle="dash"/>
              </v:shape>
            </v:group>
            <v:group style="position:absolute;left:6618;top:9275;width:2;height:24" coordorigin="6618,9275" coordsize="2,24">
              <v:shape style="position:absolute;left:6618;top:9275;width:2;height:24" coordorigin="6618,9275" coordsize="0,24" path="m6618,9275l6618,9299e" filled="false" stroked="true" strokeweight=".48pt" strokecolor="#000000">
                <v:path arrowok="t"/>
                <v:stroke dashstyle="dash"/>
              </v:shape>
            </v:group>
            <v:group style="position:absolute;left:8869;top:9275;width:2;height:24" coordorigin="8869,9275" coordsize="2,24">
              <v:shape style="position:absolute;left:8869;top:9275;width:2;height:24" coordorigin="8869,9275" coordsize="0,24" path="m8869,9275l8869,9299e" filled="false" stroked="true" strokeweight=".48pt" strokecolor="#000000">
                <v:path arrowok="t"/>
                <v:stroke dashstyle="dash"/>
              </v:shape>
            </v:group>
            <v:group style="position:absolute;left:5154;top:9299;width:2;height:394" coordorigin="5154,9299" coordsize="2,394">
              <v:shape style="position:absolute;left:5154;top:9299;width:2;height:394" coordorigin="5154,9299" coordsize="0,394" path="m5154,9299l5154,9693e" filled="false" stroked="true" strokeweight=".48pt" strokecolor="#000000">
                <v:path arrowok="t"/>
                <v:stroke dashstyle="dash"/>
              </v:shape>
            </v:group>
            <v:group style="position:absolute;left:6618;top:9299;width:2;height:394" coordorigin="6618,9299" coordsize="2,394">
              <v:shape style="position:absolute;left:6618;top:9299;width:2;height:394" coordorigin="6618,9299" coordsize="0,394" path="m6618,9299l6618,9693e" filled="false" stroked="true" strokeweight=".48pt" strokecolor="#000000">
                <v:path arrowok="t"/>
                <v:stroke dashstyle="dash"/>
              </v:shape>
            </v:group>
            <v:group style="position:absolute;left:8869;top:9299;width:2;height:394" coordorigin="8869,9299" coordsize="2,394">
              <v:shape style="position:absolute;left:8869;top:9299;width:2;height:394" coordorigin="8869,9299" coordsize="0,394" path="m8869,9299l8869,9693e" filled="false" stroked="true" strokeweight=".48pt" strokecolor="#000000">
                <v:path arrowok="t"/>
                <v:stroke dashstyle="dash"/>
              </v:shape>
            </v:group>
            <v:group style="position:absolute;left:5154;top:9693;width:2;height:24" coordorigin="5154,9693" coordsize="2,24">
              <v:shape style="position:absolute;left:5154;top:9693;width:2;height:24" coordorigin="5154,9693" coordsize="0,24" path="m5154,9693l5154,9717e" filled="false" stroked="true" strokeweight=".48pt" strokecolor="#000000">
                <v:path arrowok="t"/>
                <v:stroke dashstyle="dash"/>
              </v:shape>
            </v:group>
            <v:group style="position:absolute;left:6618;top:9693;width:2;height:24" coordorigin="6618,9693" coordsize="2,24">
              <v:shape style="position:absolute;left:6618;top:9693;width:2;height:24" coordorigin="6618,9693" coordsize="0,24" path="m6618,9693l6618,9717e" filled="false" stroked="true" strokeweight=".48pt" strokecolor="#000000">
                <v:path arrowok="t"/>
                <v:stroke dashstyle="dash"/>
              </v:shape>
            </v:group>
            <v:group style="position:absolute;left:8869;top:9693;width:2;height:24" coordorigin="8869,9693" coordsize="2,24">
              <v:shape style="position:absolute;left:8869;top:9693;width:2;height:24" coordorigin="8869,9693" coordsize="0,24" path="m8869,9693l8869,9717e" filled="false" stroked="true" strokeweight=".48pt" strokecolor="#000000">
                <v:path arrowok="t"/>
                <v:stroke dashstyle="dash"/>
              </v:shape>
            </v:group>
            <v:group style="position:absolute;left:5154;top:9717;width:2;height:394" coordorigin="5154,9717" coordsize="2,394">
              <v:shape style="position:absolute;left:5154;top:9717;width:2;height:394" coordorigin="5154,9717" coordsize="0,394" path="m5154,9717l5154,10110e" filled="false" stroked="true" strokeweight=".48pt" strokecolor="#000000">
                <v:path arrowok="t"/>
                <v:stroke dashstyle="dash"/>
              </v:shape>
            </v:group>
            <v:group style="position:absolute;left:6618;top:9717;width:2;height:394" coordorigin="6618,9717" coordsize="2,394">
              <v:shape style="position:absolute;left:6618;top:9717;width:2;height:394" coordorigin="6618,9717" coordsize="0,394" path="m6618,9717l6618,10110e" filled="false" stroked="true" strokeweight=".48pt" strokecolor="#000000">
                <v:path arrowok="t"/>
                <v:stroke dashstyle="dash"/>
              </v:shape>
            </v:group>
            <v:group style="position:absolute;left:8869;top:9717;width:2;height:394" coordorigin="8869,9717" coordsize="2,394">
              <v:shape style="position:absolute;left:8869;top:9717;width:2;height:394" coordorigin="8869,9717" coordsize="0,394" path="m8869,9717l8869,10110e" filled="false" stroked="true" strokeweight=".48pt" strokecolor="#000000">
                <v:path arrowok="t"/>
                <v:stroke dashstyle="dash"/>
              </v:shape>
            </v:group>
            <v:group style="position:absolute;left:5154;top:10110;width:2;height:24" coordorigin="5154,10110" coordsize="2,24">
              <v:shape style="position:absolute;left:5154;top:10110;width:2;height:24" coordorigin="5154,10110" coordsize="0,24" path="m5154,10110l5154,10134e" filled="false" stroked="true" strokeweight=".48pt" strokecolor="#000000">
                <v:path arrowok="t"/>
                <v:stroke dashstyle="dash"/>
              </v:shape>
            </v:group>
            <v:group style="position:absolute;left:6618;top:10110;width:2;height:24" coordorigin="6618,10110" coordsize="2,24">
              <v:shape style="position:absolute;left:6618;top:10110;width:2;height:24" coordorigin="6618,10110" coordsize="0,24" path="m6618,10110l6618,10134e" filled="false" stroked="true" strokeweight=".48pt" strokecolor="#000000">
                <v:path arrowok="t"/>
                <v:stroke dashstyle="dash"/>
              </v:shape>
            </v:group>
            <v:group style="position:absolute;left:8869;top:10110;width:2;height:24" coordorigin="8869,10110" coordsize="2,24">
              <v:shape style="position:absolute;left:8869;top:10110;width:2;height:24" coordorigin="8869,10110" coordsize="0,24" path="m8869,10110l8869,10134e" filled="false" stroked="true" strokeweight=".48pt" strokecolor="#000000">
                <v:path arrowok="t"/>
                <v:stroke dashstyle="dash"/>
              </v:shape>
            </v:group>
            <v:group style="position:absolute;left:5154;top:10134;width:2;height:392" coordorigin="5154,10134" coordsize="2,392">
              <v:shape style="position:absolute;left:5154;top:10134;width:2;height:392" coordorigin="5154,10134" coordsize="0,392" path="m5154,10134l5154,10525e" filled="false" stroked="true" strokeweight=".48pt" strokecolor="#000000">
                <v:path arrowok="t"/>
                <v:stroke dashstyle="dash"/>
              </v:shape>
            </v:group>
            <v:group style="position:absolute;left:6618;top:10134;width:2;height:392" coordorigin="6618,10134" coordsize="2,392">
              <v:shape style="position:absolute;left:6618;top:10134;width:2;height:392" coordorigin="6618,10134" coordsize="0,392" path="m6618,10134l6618,10525e" filled="false" stroked="true" strokeweight=".48pt" strokecolor="#000000">
                <v:path arrowok="t"/>
                <v:stroke dashstyle="dash"/>
              </v:shape>
            </v:group>
            <v:group style="position:absolute;left:8869;top:10134;width:2;height:392" coordorigin="8869,10134" coordsize="2,392">
              <v:shape style="position:absolute;left:8869;top:10134;width:2;height:392" coordorigin="8869,10134" coordsize="0,392" path="m8869,10134l8869,10525e" filled="false" stroked="true" strokeweight=".48pt" strokecolor="#000000">
                <v:path arrowok="t"/>
                <v:stroke dashstyle="dash"/>
              </v:shape>
            </v:group>
            <v:group style="position:absolute;left:5154;top:10525;width:2;height:24" coordorigin="5154,10525" coordsize="2,24">
              <v:shape style="position:absolute;left:5154;top:10525;width:2;height:24" coordorigin="5154,10525" coordsize="0,24" path="m5154,10525l5154,10549e" filled="false" stroked="true" strokeweight=".48pt" strokecolor="#000000">
                <v:path arrowok="t"/>
                <v:stroke dashstyle="dash"/>
              </v:shape>
            </v:group>
            <v:group style="position:absolute;left:6618;top:10525;width:2;height:24" coordorigin="6618,10525" coordsize="2,24">
              <v:shape style="position:absolute;left:6618;top:10525;width:2;height:24" coordorigin="6618,10525" coordsize="0,24" path="m6618,10525l6618,10549e" filled="false" stroked="true" strokeweight=".48pt" strokecolor="#000000">
                <v:path arrowok="t"/>
                <v:stroke dashstyle="dash"/>
              </v:shape>
            </v:group>
            <v:group style="position:absolute;left:8869;top:10525;width:2;height:24" coordorigin="8869,10525" coordsize="2,24">
              <v:shape style="position:absolute;left:8869;top:10525;width:2;height:24" coordorigin="8869,10525" coordsize="0,24" path="m8869,10525l8869,10549e" filled="false" stroked="true" strokeweight=".48pt" strokecolor="#000000">
                <v:path arrowok="t"/>
                <v:stroke dashstyle="dash"/>
              </v:shape>
            </v:group>
            <v:group style="position:absolute;left:5154;top:10549;width:2;height:394" coordorigin="5154,10549" coordsize="2,394">
              <v:shape style="position:absolute;left:5154;top:10549;width:2;height:394" coordorigin="5154,10549" coordsize="0,394" path="m5154,10549l5154,10943e" filled="false" stroked="true" strokeweight=".48pt" strokecolor="#000000">
                <v:path arrowok="t"/>
                <v:stroke dashstyle="dash"/>
              </v:shape>
            </v:group>
            <v:group style="position:absolute;left:6618;top:10549;width:2;height:394" coordorigin="6618,10549" coordsize="2,394">
              <v:shape style="position:absolute;left:6618;top:10549;width:2;height:394" coordorigin="6618,10549" coordsize="0,394" path="m6618,10549l6618,10943e" filled="false" stroked="true" strokeweight=".48pt" strokecolor="#000000">
                <v:path arrowok="t"/>
                <v:stroke dashstyle="dash"/>
              </v:shape>
            </v:group>
            <v:group style="position:absolute;left:8869;top:10549;width:2;height:394" coordorigin="8869,10549" coordsize="2,394">
              <v:shape style="position:absolute;left:8869;top:10549;width:2;height:394" coordorigin="8869,10549" coordsize="0,394" path="m8869,10549l8869,10943e" filled="false" stroked="true" strokeweight=".48pt" strokecolor="#000000">
                <v:path arrowok="t"/>
                <v:stroke dashstyle="dash"/>
              </v:shape>
            </v:group>
            <v:group style="position:absolute;left:5154;top:10943;width:2;height:24" coordorigin="5154,10943" coordsize="2,24">
              <v:shape style="position:absolute;left:5154;top:10943;width:2;height:24" coordorigin="5154,10943" coordsize="0,24" path="m5154,10943l5154,10967e" filled="false" stroked="true" strokeweight=".48pt" strokecolor="#000000">
                <v:path arrowok="t"/>
                <v:stroke dashstyle="dash"/>
              </v:shape>
            </v:group>
            <v:group style="position:absolute;left:6618;top:10943;width:2;height:24" coordorigin="6618,10943" coordsize="2,24">
              <v:shape style="position:absolute;left:6618;top:10943;width:2;height:24" coordorigin="6618,10943" coordsize="0,24" path="m6618,10943l6618,10967e" filled="false" stroked="true" strokeweight=".48pt" strokecolor="#000000">
                <v:path arrowok="t"/>
                <v:stroke dashstyle="dash"/>
              </v:shape>
            </v:group>
            <v:group style="position:absolute;left:8869;top:10943;width:2;height:24" coordorigin="8869,10943" coordsize="2,24">
              <v:shape style="position:absolute;left:8869;top:10943;width:2;height:24" coordorigin="8869,10943" coordsize="0,24" path="m8869,10943l8869,10967e" filled="false" stroked="true" strokeweight=".48pt" strokecolor="#000000">
                <v:path arrowok="t"/>
                <v:stroke dashstyle="dash"/>
              </v:shape>
            </v:group>
            <v:group style="position:absolute;left:5154;top:10967;width:2;height:707" coordorigin="5154,10967" coordsize="2,707">
              <v:shape style="position:absolute;left:5154;top:10967;width:2;height:707" coordorigin="5154,10967" coordsize="0,707" path="m5154,10967l5154,11673e" filled="false" stroked="true" strokeweight=".48pt" strokecolor="#000000">
                <v:path arrowok="t"/>
                <v:stroke dashstyle="dash"/>
              </v:shape>
            </v:group>
            <v:group style="position:absolute;left:6618;top:10967;width:2;height:707" coordorigin="6618,10967" coordsize="2,707">
              <v:shape style="position:absolute;left:6618;top:10967;width:2;height:707" coordorigin="6618,10967" coordsize="0,707" path="m6618,10967l6618,11673e" filled="false" stroked="true" strokeweight=".48pt" strokecolor="#000000">
                <v:path arrowok="t"/>
                <v:stroke dashstyle="dash"/>
              </v:shape>
            </v:group>
            <v:group style="position:absolute;left:8869;top:10967;width:2;height:707" coordorigin="8869,10967" coordsize="2,707">
              <v:shape style="position:absolute;left:8869;top:10967;width:2;height:707" coordorigin="8869,10967" coordsize="0,707" path="m8869,10967l8869,11673e" filled="false" stroked="true" strokeweight=".48pt" strokecolor="#000000">
                <v:path arrowok="t"/>
                <v:stroke dashstyle="dash"/>
              </v:shape>
            </v:group>
            <v:group style="position:absolute;left:1133;top:11678;width:4017;height:2" coordorigin="1133,11678" coordsize="4017,2">
              <v:shape style="position:absolute;left:1133;top:11678;width:4017;height:2" coordorigin="1133,11678" coordsize="4017,0" path="m1133,11678l5149,11678e" filled="false" stroked="true" strokeweight=".48pt" strokecolor="#000000">
                <v:path arrowok="t"/>
                <v:stroke dashstyle="dash"/>
              </v:shape>
            </v:group>
            <v:group style="position:absolute;left:5154;top:11673;width:2;height:24" coordorigin="5154,11673" coordsize="2,24">
              <v:shape style="position:absolute;left:5154;top:11673;width:2;height:24" coordorigin="5154,11673" coordsize="0,24" path="m5154,11673l5154,11697e" filled="false" stroked="true" strokeweight=".48pt" strokecolor="#000000">
                <v:path arrowok="t"/>
                <v:stroke dashstyle="dash"/>
              </v:shape>
            </v:group>
            <v:group style="position:absolute;left:5159;top:11678;width:1455;height:2" coordorigin="5159,11678" coordsize="1455,2">
              <v:shape style="position:absolute;left:5159;top:11678;width:1455;height:2" coordorigin="5159,11678" coordsize="1455,0" path="m5159,11678l6613,11678e" filled="false" stroked="true" strokeweight=".48pt" strokecolor="#000000">
                <v:path arrowok="t"/>
                <v:stroke dashstyle="dash"/>
              </v:shape>
            </v:group>
            <v:group style="position:absolute;left:6618;top:11673;width:2;height:24" coordorigin="6618,11673" coordsize="2,24">
              <v:shape style="position:absolute;left:6618;top:11673;width:2;height:24" coordorigin="6618,11673" coordsize="0,24" path="m6618,11673l6618,11697e" filled="false" stroked="true" strokeweight=".48pt" strokecolor="#000000">
                <v:path arrowok="t"/>
                <v:stroke dashstyle="dash"/>
              </v:shape>
            </v:group>
            <v:group style="position:absolute;left:6623;top:11678;width:2242;height:2" coordorigin="6623,11678" coordsize="2242,2">
              <v:shape style="position:absolute;left:6623;top:11678;width:2242;height:2" coordorigin="6623,11678" coordsize="2242,0" path="m6623,11678l8865,11678e" filled="false" stroked="true" strokeweight=".48pt" strokecolor="#000000">
                <v:path arrowok="t"/>
                <v:stroke dashstyle="dash"/>
              </v:shape>
            </v:group>
            <v:group style="position:absolute;left:8869;top:11673;width:2;height:24" coordorigin="8869,11673" coordsize="2,24">
              <v:shape style="position:absolute;left:8869;top:11673;width:2;height:24" coordorigin="8869,11673" coordsize="0,24" path="m8869,11673l8869,11697e" filled="false" stroked="true" strokeweight=".48pt" strokecolor="#000000">
                <v:path arrowok="t"/>
                <v:stroke dashstyle="dash"/>
              </v:shape>
            </v:group>
            <v:group style="position:absolute;left:8875;top:11678;width:1899;height:2" coordorigin="8875,11678" coordsize="1899,2">
              <v:shape style="position:absolute;left:8875;top:11678;width:1899;height:2" coordorigin="8875,11678" coordsize="1899,0" path="m8875,11678l10773,11678e" filled="false" stroked="true" strokeweight=".48pt" strokecolor="#000000">
                <v:path arrowok="t"/>
                <v:stroke dashstyle="dash"/>
              </v:shape>
            </v:group>
            <v:group style="position:absolute;left:5154;top:11697;width:2;height:706" coordorigin="5154,11697" coordsize="2,706">
              <v:shape style="position:absolute;left:5154;top:11697;width:2;height:706" coordorigin="5154,11697" coordsize="0,706" path="m5154,11697l5154,12403e" filled="false" stroked="true" strokeweight=".48pt" strokecolor="#000000">
                <v:path arrowok="t"/>
                <v:stroke dashstyle="dash"/>
              </v:shape>
            </v:group>
            <v:group style="position:absolute;left:6618;top:11697;width:2;height:706" coordorigin="6618,11697" coordsize="2,706">
              <v:shape style="position:absolute;left:6618;top:11697;width:2;height:706" coordorigin="6618,11697" coordsize="0,706" path="m6618,11697l6618,12403e" filled="false" stroked="true" strokeweight=".48pt" strokecolor="#000000">
                <v:path arrowok="t"/>
                <v:stroke dashstyle="dash"/>
              </v:shape>
            </v:group>
            <v:group style="position:absolute;left:8869;top:11697;width:2;height:706" coordorigin="8869,11697" coordsize="2,706">
              <v:shape style="position:absolute;left:8869;top:11697;width:2;height:706" coordorigin="8869,11697" coordsize="0,706" path="m8869,11697l8869,12403e" filled="false" stroked="true" strokeweight=".48pt" strokecolor="#000000">
                <v:path arrowok="t"/>
                <v:stroke dashstyle="dash"/>
              </v:shape>
            </v:group>
            <v:group style="position:absolute;left:1133;top:12408;width:4017;height:2" coordorigin="1133,12408" coordsize="4017,2">
              <v:shape style="position:absolute;left:1133;top:12408;width:4017;height:2" coordorigin="1133,12408" coordsize="4017,0" path="m1133,12408l5149,12408e" filled="false" stroked="true" strokeweight=".48pt" strokecolor="#000000">
                <v:path arrowok="t"/>
                <v:stroke dashstyle="dash"/>
              </v:shape>
            </v:group>
            <v:group style="position:absolute;left:5154;top:12403;width:2;height:24" coordorigin="5154,12403" coordsize="2,24">
              <v:shape style="position:absolute;left:5154;top:12403;width:2;height:24" coordorigin="5154,12403" coordsize="0,24" path="m5154,12403l5154,12427e" filled="false" stroked="true" strokeweight=".48pt" strokecolor="#000000">
                <v:path arrowok="t"/>
                <v:stroke dashstyle="dash"/>
              </v:shape>
            </v:group>
            <v:group style="position:absolute;left:5159;top:12408;width:1455;height:2" coordorigin="5159,12408" coordsize="1455,2">
              <v:shape style="position:absolute;left:5159;top:12408;width:1455;height:2" coordorigin="5159,12408" coordsize="1455,0" path="m5159,12408l6613,12408e" filled="false" stroked="true" strokeweight=".48pt" strokecolor="#000000">
                <v:path arrowok="t"/>
                <v:stroke dashstyle="dash"/>
              </v:shape>
            </v:group>
            <v:group style="position:absolute;left:6618;top:12403;width:2;height:24" coordorigin="6618,12403" coordsize="2,24">
              <v:shape style="position:absolute;left:6618;top:12403;width:2;height:24" coordorigin="6618,12403" coordsize="0,24" path="m6618,12403l6618,12427e" filled="false" stroked="true" strokeweight=".48pt" strokecolor="#000000">
                <v:path arrowok="t"/>
                <v:stroke dashstyle="dash"/>
              </v:shape>
            </v:group>
            <v:group style="position:absolute;left:6623;top:12408;width:2242;height:2" coordorigin="6623,12408" coordsize="2242,2">
              <v:shape style="position:absolute;left:6623;top:12408;width:2242;height:2" coordorigin="6623,12408" coordsize="2242,0" path="m6623,12408l8865,12408e" filled="false" stroked="true" strokeweight=".48pt" strokecolor="#000000">
                <v:path arrowok="t"/>
                <v:stroke dashstyle="dash"/>
              </v:shape>
            </v:group>
            <v:group style="position:absolute;left:8869;top:12403;width:2;height:24" coordorigin="8869,12403" coordsize="2,24">
              <v:shape style="position:absolute;left:8869;top:12403;width:2;height:24" coordorigin="8869,12403" coordsize="0,24" path="m8869,12403l8869,12427e" filled="false" stroked="true" strokeweight=".48pt" strokecolor="#000000">
                <v:path arrowok="t"/>
                <v:stroke dashstyle="dash"/>
              </v:shape>
            </v:group>
            <v:group style="position:absolute;left:8875;top:12408;width:1899;height:2" coordorigin="8875,12408" coordsize="1899,2">
              <v:shape style="position:absolute;left:8875;top:12408;width:1899;height:2" coordorigin="8875,12408" coordsize="1899,0" path="m8875,12408l10773,12408e" filled="false" stroked="true" strokeweight=".48pt" strokecolor="#000000">
                <v:path arrowok="t"/>
                <v:stroke dashstyle="dash"/>
              </v:shape>
            </v:group>
            <v:group style="position:absolute;left:5154;top:12427;width:2;height:392" coordorigin="5154,12427" coordsize="2,392">
              <v:shape style="position:absolute;left:5154;top:12427;width:2;height:392" coordorigin="5154,12427" coordsize="0,392" path="m5154,12427l5154,12818e" filled="false" stroked="true" strokeweight=".48pt" strokecolor="#000000">
                <v:path arrowok="t"/>
                <v:stroke dashstyle="dash"/>
              </v:shape>
            </v:group>
            <v:group style="position:absolute;left:6618;top:12427;width:2;height:392" coordorigin="6618,12427" coordsize="2,392">
              <v:shape style="position:absolute;left:6618;top:12427;width:2;height:392" coordorigin="6618,12427" coordsize="0,392" path="m6618,12427l6618,12818e" filled="false" stroked="true" strokeweight=".48pt" strokecolor="#000000">
                <v:path arrowok="t"/>
                <v:stroke dashstyle="dash"/>
              </v:shape>
            </v:group>
            <v:group style="position:absolute;left:8869;top:12427;width:2;height:392" coordorigin="8869,12427" coordsize="2,392">
              <v:shape style="position:absolute;left:8869;top:12427;width:2;height:392" coordorigin="8869,12427" coordsize="0,392" path="m8869,12427l8869,12818e" filled="false" stroked="true" strokeweight=".48pt" strokecolor="#000000">
                <v:path arrowok="t"/>
                <v:stroke dashstyle="dash"/>
              </v:shape>
            </v:group>
            <v:group style="position:absolute;left:1133;top:12823;width:4017;height:2" coordorigin="1133,12823" coordsize="4017,2">
              <v:shape style="position:absolute;left:1133;top:12823;width:4017;height:2" coordorigin="1133,12823" coordsize="4017,0" path="m1133,12823l5149,12823e" filled="false" stroked="true" strokeweight=".48pt" strokecolor="#000000">
                <v:path arrowok="t"/>
                <v:stroke dashstyle="dash"/>
              </v:shape>
            </v:group>
            <v:group style="position:absolute;left:5154;top:12818;width:2;height:24" coordorigin="5154,12818" coordsize="2,24">
              <v:shape style="position:absolute;left:5154;top:12818;width:2;height:24" coordorigin="5154,12818" coordsize="0,24" path="m5154,12818l5154,12842e" filled="false" stroked="true" strokeweight=".48pt" strokecolor="#000000">
                <v:path arrowok="t"/>
                <v:stroke dashstyle="dash"/>
              </v:shape>
            </v:group>
            <v:group style="position:absolute;left:5159;top:12823;width:1455;height:2" coordorigin="5159,12823" coordsize="1455,2">
              <v:shape style="position:absolute;left:5159;top:12823;width:1455;height:2" coordorigin="5159,12823" coordsize="1455,0" path="m5159,12823l6613,12823e" filled="false" stroked="true" strokeweight=".48pt" strokecolor="#000000">
                <v:path arrowok="t"/>
                <v:stroke dashstyle="dash"/>
              </v:shape>
            </v:group>
            <v:group style="position:absolute;left:6618;top:12818;width:2;height:24" coordorigin="6618,12818" coordsize="2,24">
              <v:shape style="position:absolute;left:6618;top:12818;width:2;height:24" coordorigin="6618,12818" coordsize="0,24" path="m6618,12818l6618,12842e" filled="false" stroked="true" strokeweight=".48pt" strokecolor="#000000">
                <v:path arrowok="t"/>
                <v:stroke dashstyle="dash"/>
              </v:shape>
            </v:group>
            <v:group style="position:absolute;left:6623;top:12823;width:2242;height:2" coordorigin="6623,12823" coordsize="2242,2">
              <v:shape style="position:absolute;left:6623;top:12823;width:2242;height:2" coordorigin="6623,12823" coordsize="2242,0" path="m6623,12823l8865,12823e" filled="false" stroked="true" strokeweight=".48pt" strokecolor="#000000">
                <v:path arrowok="t"/>
                <v:stroke dashstyle="dash"/>
              </v:shape>
            </v:group>
            <v:group style="position:absolute;left:8869;top:12818;width:2;height:24" coordorigin="8869,12818" coordsize="2,24">
              <v:shape style="position:absolute;left:8869;top:12818;width:2;height:24" coordorigin="8869,12818" coordsize="0,24" path="m8869,12818l8869,12842e" filled="false" stroked="true" strokeweight=".48pt" strokecolor="#000000">
                <v:path arrowok="t"/>
                <v:stroke dashstyle="dash"/>
              </v:shape>
            </v:group>
            <v:group style="position:absolute;left:8875;top:12823;width:1899;height:2" coordorigin="8875,12823" coordsize="1899,2">
              <v:shape style="position:absolute;left:8875;top:12823;width:1899;height:2" coordorigin="8875,12823" coordsize="1899,0" path="m8875,12823l10773,12823e" filled="false" stroked="true" strokeweight=".48pt" strokecolor="#000000">
                <v:path arrowok="t"/>
                <v:stroke dashstyle="dash"/>
              </v:shape>
            </v:group>
            <v:group style="position:absolute;left:5154;top:12842;width:2;height:706" coordorigin="5154,12842" coordsize="2,706">
              <v:shape style="position:absolute;left:5154;top:12842;width:2;height:706" coordorigin="5154,12842" coordsize="0,706" path="m5154,12842l5154,13548e" filled="false" stroked="true" strokeweight=".48pt" strokecolor="#000000">
                <v:path arrowok="t"/>
                <v:stroke dashstyle="dash"/>
              </v:shape>
            </v:group>
            <v:group style="position:absolute;left:6618;top:12842;width:2;height:706" coordorigin="6618,12842" coordsize="2,706">
              <v:shape style="position:absolute;left:6618;top:12842;width:2;height:706" coordorigin="6618,12842" coordsize="0,706" path="m6618,12842l6618,13548e" filled="false" stroked="true" strokeweight=".48pt" strokecolor="#000000">
                <v:path arrowok="t"/>
                <v:stroke dashstyle="dash"/>
              </v:shape>
            </v:group>
            <v:group style="position:absolute;left:8869;top:12842;width:2;height:706" coordorigin="8869,12842" coordsize="2,706">
              <v:shape style="position:absolute;left:8869;top:12842;width:2;height:706" coordorigin="8869,12842" coordsize="0,706" path="m8869,12842l8869,13548e" filled="false" stroked="true" strokeweight=".48pt" strokecolor="#000000">
                <v:path arrowok="t"/>
                <v:stroke dashstyle="dash"/>
              </v:shape>
            </v:group>
            <v:group style="position:absolute;left:1133;top:13552;width:4017;height:2" coordorigin="1133,13552" coordsize="4017,2">
              <v:shape style="position:absolute;left:1133;top:13552;width:4017;height:2" coordorigin="1133,13552" coordsize="4017,0" path="m1133,13552l5149,13552e" filled="false" stroked="true" strokeweight=".48pt" strokecolor="#000000">
                <v:path arrowok="t"/>
                <v:stroke dashstyle="dash"/>
              </v:shape>
            </v:group>
            <v:group style="position:absolute;left:5154;top:13548;width:2;height:24" coordorigin="5154,13548" coordsize="2,24">
              <v:shape style="position:absolute;left:5154;top:13548;width:2;height:24" coordorigin="5154,13548" coordsize="0,24" path="m5154,13548l5154,13572e" filled="false" stroked="true" strokeweight=".48pt" strokecolor="#000000">
                <v:path arrowok="t"/>
                <v:stroke dashstyle="dash"/>
              </v:shape>
            </v:group>
            <v:group style="position:absolute;left:5159;top:13552;width:1455;height:2" coordorigin="5159,13552" coordsize="1455,2">
              <v:shape style="position:absolute;left:5159;top:13552;width:1455;height:2" coordorigin="5159,13552" coordsize="1455,0" path="m5159,13552l6613,13552e" filled="false" stroked="true" strokeweight=".48pt" strokecolor="#000000">
                <v:path arrowok="t"/>
                <v:stroke dashstyle="dash"/>
              </v:shape>
            </v:group>
            <v:group style="position:absolute;left:6618;top:13548;width:2;height:24" coordorigin="6618,13548" coordsize="2,24">
              <v:shape style="position:absolute;left:6618;top:13548;width:2;height:24" coordorigin="6618,13548" coordsize="0,24" path="m6618,13548l6618,13572e" filled="false" stroked="true" strokeweight=".48pt" strokecolor="#000000">
                <v:path arrowok="t"/>
                <v:stroke dashstyle="dash"/>
              </v:shape>
            </v:group>
            <v:group style="position:absolute;left:6623;top:13552;width:2242;height:2" coordorigin="6623,13552" coordsize="2242,2">
              <v:shape style="position:absolute;left:6623;top:13552;width:2242;height:2" coordorigin="6623,13552" coordsize="2242,0" path="m6623,13552l8865,13552e" filled="false" stroked="true" strokeweight=".48pt" strokecolor="#000000">
                <v:path arrowok="t"/>
                <v:stroke dashstyle="dash"/>
              </v:shape>
            </v:group>
            <v:group style="position:absolute;left:8869;top:13548;width:2;height:24" coordorigin="8869,13548" coordsize="2,24">
              <v:shape style="position:absolute;left:8869;top:13548;width:2;height:24" coordorigin="8869,13548" coordsize="0,24" path="m8869,13548l8869,13572e" filled="false" stroked="true" strokeweight=".48pt" strokecolor="#000000">
                <v:path arrowok="t"/>
                <v:stroke dashstyle="dash"/>
              </v:shape>
            </v:group>
            <v:group style="position:absolute;left:8875;top:13552;width:1899;height:2" coordorigin="8875,13552" coordsize="1899,2">
              <v:shape style="position:absolute;left:8875;top:13552;width:1899;height:2" coordorigin="8875,13552" coordsize="1899,0" path="m8875,13552l10773,13552e" filled="false" stroked="true" strokeweight=".48pt" strokecolor="#000000">
                <v:path arrowok="t"/>
                <v:stroke dashstyle="dash"/>
              </v:shape>
            </v:group>
            <v:group style="position:absolute;left:5154;top:13572;width:2;height:394" coordorigin="5154,13572" coordsize="2,394">
              <v:shape style="position:absolute;left:5154;top:13572;width:2;height:394" coordorigin="5154,13572" coordsize="0,394" path="m5154,13572l5154,13965e" filled="false" stroked="true" strokeweight=".48pt" strokecolor="#000000">
                <v:path arrowok="t"/>
                <v:stroke dashstyle="dash"/>
              </v:shape>
            </v:group>
            <v:group style="position:absolute;left:6618;top:13572;width:2;height:394" coordorigin="6618,13572" coordsize="2,394">
              <v:shape style="position:absolute;left:6618;top:13572;width:2;height:394" coordorigin="6618,13572" coordsize="0,394" path="m6618,13572l6618,13965e" filled="false" stroked="true" strokeweight=".48pt" strokecolor="#000000">
                <v:path arrowok="t"/>
                <v:stroke dashstyle="dash"/>
              </v:shape>
            </v:group>
            <v:group style="position:absolute;left:8869;top:13572;width:2;height:394" coordorigin="8869,13572" coordsize="2,394">
              <v:shape style="position:absolute;left:8869;top:13572;width:2;height:394" coordorigin="8869,13572" coordsize="0,394" path="m8869,13572l8869,13965e" filled="false" stroked="true" strokeweight=".48pt" strokecolor="#000000">
                <v:path arrowok="t"/>
                <v:stroke dashstyle="dash"/>
              </v:shape>
            </v:group>
            <v:group style="position:absolute;left:5154;top:13965;width:2;height:24" coordorigin="5154,13965" coordsize="2,24">
              <v:shape style="position:absolute;left:5154;top:13965;width:2;height:24" coordorigin="5154,13965" coordsize="0,24" path="m5154,13965l5154,13989e" filled="false" stroked="true" strokeweight=".48pt" strokecolor="#000000">
                <v:path arrowok="t"/>
                <v:stroke dashstyle="dash"/>
              </v:shape>
            </v:group>
            <v:group style="position:absolute;left:6618;top:13965;width:2;height:24" coordorigin="6618,13965" coordsize="2,24">
              <v:shape style="position:absolute;left:6618;top:13965;width:2;height:24" coordorigin="6618,13965" coordsize="0,24" path="m6618,13965l6618,13989e" filled="false" stroked="true" strokeweight=".48pt" strokecolor="#000000">
                <v:path arrowok="t"/>
                <v:stroke dashstyle="dash"/>
              </v:shape>
            </v:group>
            <v:group style="position:absolute;left:8869;top:13965;width:2;height:24" coordorigin="8869,13965" coordsize="2,24">
              <v:shape style="position:absolute;left:8869;top:13965;width:2;height:24" coordorigin="8869,13965" coordsize="0,24" path="m8869,13965l8869,13989e" filled="false" stroked="true" strokeweight=".48pt" strokecolor="#000000">
                <v:path arrowok="t"/>
                <v:stroke dashstyle="dash"/>
              </v:shape>
            </v:group>
            <v:group style="position:absolute;left:5154;top:13989;width:2;height:394" coordorigin="5154,13989" coordsize="2,394">
              <v:shape style="position:absolute;left:5154;top:13989;width:2;height:394" coordorigin="5154,13989" coordsize="0,394" path="m5154,13989l5154,14383e" filled="false" stroked="true" strokeweight=".48pt" strokecolor="#000000">
                <v:path arrowok="t"/>
                <v:stroke dashstyle="dash"/>
              </v:shape>
            </v:group>
            <v:group style="position:absolute;left:6618;top:13989;width:2;height:394" coordorigin="6618,13989" coordsize="2,394">
              <v:shape style="position:absolute;left:6618;top:13989;width:2;height:394" coordorigin="6618,13989" coordsize="0,394" path="m6618,13989l6618,14383e" filled="false" stroked="true" strokeweight=".48pt" strokecolor="#000000">
                <v:path arrowok="t"/>
                <v:stroke dashstyle="dash"/>
              </v:shape>
            </v:group>
            <v:group style="position:absolute;left:8869;top:13989;width:2;height:394" coordorigin="8869,13989" coordsize="2,394">
              <v:shape style="position:absolute;left:8869;top:13989;width:2;height:394" coordorigin="8869,13989" coordsize="0,394" path="m8869,13989l8869,14383e" filled="false" stroked="true" strokeweight=".48pt" strokecolor="#000000">
                <v:path arrowok="t"/>
                <v:stroke dashstyle="dash"/>
              </v:shape>
            </v:group>
            <v:group style="position:absolute;left:5154;top:14383;width:2;height:24" coordorigin="5154,14383" coordsize="2,24">
              <v:shape style="position:absolute;left:5154;top:14383;width:2;height:24" coordorigin="5154,14383" coordsize="0,24" path="m5154,14383l5154,14407e" filled="false" stroked="true" strokeweight=".48pt" strokecolor="#000000">
                <v:path arrowok="t"/>
                <v:stroke dashstyle="dash"/>
              </v:shape>
            </v:group>
            <v:group style="position:absolute;left:6618;top:14383;width:2;height:24" coordorigin="6618,14383" coordsize="2,24">
              <v:shape style="position:absolute;left:6618;top:14383;width:2;height:24" coordorigin="6618,14383" coordsize="0,24" path="m6618,14383l6618,14407e" filled="false" stroked="true" strokeweight=".48pt" strokecolor="#000000">
                <v:path arrowok="t"/>
                <v:stroke dashstyle="dash"/>
              </v:shape>
            </v:group>
            <v:group style="position:absolute;left:8869;top:14383;width:2;height:24" coordorigin="8869,14383" coordsize="2,24">
              <v:shape style="position:absolute;left:8869;top:14383;width:2;height:24" coordorigin="8869,14383" coordsize="0,24" path="m8869,14383l8869,14407e" filled="false" stroked="true" strokeweight=".48pt" strokecolor="#000000">
                <v:path arrowok="t"/>
                <v:stroke dashstyle="dash"/>
              </v:shape>
            </v:group>
            <v:group style="position:absolute;left:5154;top:14407;width:2;height:392" coordorigin="5154,14407" coordsize="2,392">
              <v:shape style="position:absolute;left:5154;top:14407;width:2;height:392" coordorigin="5154,14407" coordsize="0,392" path="m5154,14407l5154,14798e" filled="false" stroked="true" strokeweight=".48pt" strokecolor="#000000">
                <v:path arrowok="t"/>
                <v:stroke dashstyle="dash"/>
              </v:shape>
            </v:group>
            <v:group style="position:absolute;left:6618;top:14407;width:2;height:392" coordorigin="6618,14407" coordsize="2,392">
              <v:shape style="position:absolute;left:6618;top:14407;width:2;height:392" coordorigin="6618,14407" coordsize="0,392" path="m6618,14407l6618,14798e" filled="false" stroked="true" strokeweight=".48pt" strokecolor="#000000">
                <v:path arrowok="t"/>
                <v:stroke dashstyle="dash"/>
              </v:shape>
            </v:group>
            <v:group style="position:absolute;left:8869;top:14407;width:2;height:392" coordorigin="8869,14407" coordsize="2,392">
              <v:shape style="position:absolute;left:8869;top:14407;width:2;height:392" coordorigin="8869,14407" coordsize="0,392" path="m8869,14407l8869,14798e" filled="false" stroked="true" strokeweight=".48pt" strokecolor="#000000">
                <v:path arrowok="t"/>
                <v:stroke dashstyle="dash"/>
              </v:shape>
            </v:group>
            <v:group style="position:absolute;left:5154;top:14798;width:2;height:24" coordorigin="5154,14798" coordsize="2,24">
              <v:shape style="position:absolute;left:5154;top:14798;width:2;height:24" coordorigin="5154,14798" coordsize="0,24" path="m5154,14798l5154,14822e" filled="false" stroked="true" strokeweight=".48pt" strokecolor="#000000">
                <v:path arrowok="t"/>
                <v:stroke dashstyle="dash"/>
              </v:shape>
            </v:group>
            <v:group style="position:absolute;left:6618;top:14798;width:2;height:24" coordorigin="6618,14798" coordsize="2,24">
              <v:shape style="position:absolute;left:6618;top:14798;width:2;height:24" coordorigin="6618,14798" coordsize="0,24" path="m6618,14798l6618,14822e" filled="false" stroked="true" strokeweight=".48pt" strokecolor="#000000">
                <v:path arrowok="t"/>
                <v:stroke dashstyle="dash"/>
              </v:shape>
            </v:group>
            <v:group style="position:absolute;left:8869;top:14798;width:2;height:24" coordorigin="8869,14798" coordsize="2,24">
              <v:shape style="position:absolute;left:8869;top:14798;width:2;height:24" coordorigin="8869,14798" coordsize="0,24" path="m8869,14798l8869,14822e" filled="false" stroked="true" strokeweight=".48pt" strokecolor="#000000">
                <v:path arrowok="t"/>
                <v:stroke dashstyle="dash"/>
              </v:shape>
            </v:group>
            <v:group style="position:absolute;left:5154;top:14822;width:2;height:394" coordorigin="5154,14822" coordsize="2,394">
              <v:shape style="position:absolute;left:5154;top:14822;width:2;height:394" coordorigin="5154,14822" coordsize="0,394" path="m5154,14822l5154,15216e" filled="false" stroked="true" strokeweight=".48pt" strokecolor="#000000">
                <v:path arrowok="t"/>
                <v:stroke dashstyle="dash"/>
              </v:shape>
            </v:group>
            <v:group style="position:absolute;left:6618;top:14822;width:2;height:394" coordorigin="6618,14822" coordsize="2,394">
              <v:shape style="position:absolute;left:6618;top:14822;width:2;height:394" coordorigin="6618,14822" coordsize="0,394" path="m6618,14822l6618,15216e" filled="false" stroked="true" strokeweight=".48pt" strokecolor="#000000">
                <v:path arrowok="t"/>
                <v:stroke dashstyle="dash"/>
              </v:shape>
            </v:group>
            <v:group style="position:absolute;left:6613;top:15221;width:10;height:2" coordorigin="6613,15221" coordsize="10,2">
              <v:shape style="position:absolute;left:6613;top:15221;width:10;height:2" coordorigin="6613,15221" coordsize="10,0" path="m6613,15221l6623,15221e" filled="false" stroked="true" strokeweight=".48pt" strokecolor="#000000">
                <v:path arrowok="t"/>
                <v:stroke dashstyle="dash"/>
              </v:shape>
            </v:group>
            <v:group style="position:absolute;left:8869;top:14822;width:2;height:394" coordorigin="8869,14822" coordsize="2,394">
              <v:shape style="position:absolute;left:8869;top:14822;width:2;height:394" coordorigin="8869,14822" coordsize="0,394" path="m8869,14822l8869,15216e" filled="false" stroked="true" strokeweight=".48pt" strokecolor="#000000">
                <v:path arrowok="t"/>
                <v:stroke dashstyle="dash"/>
              </v:shape>
            </v:group>
            <w10:wrap type="none"/>
          </v:group>
        </w:pict>
      </w:r>
    </w:p>
    <w:tbl>
      <w:tblPr>
        <w:tblW w:w="0" w:type="auto"/>
        <w:jc w:val="left"/>
        <w:tblInd w:w="138" w:type="dxa"/>
        <w:tblLayout w:type="fixed"/>
        <w:tblCellMar>
          <w:top w:w="0" w:type="dxa"/>
          <w:left w:w="0" w:type="dxa"/>
          <w:bottom w:w="0" w:type="dxa"/>
          <w:right w:w="0" w:type="dxa"/>
        </w:tblCellMar>
        <w:tblLook w:val="01E0"/>
      </w:tblPr>
      <w:tblGrid>
        <w:gridCol w:w="4035"/>
        <w:gridCol w:w="1464"/>
        <w:gridCol w:w="2251"/>
        <w:gridCol w:w="1904"/>
      </w:tblGrid>
      <w:tr>
        <w:trPr>
          <w:trHeight w:val="7408" w:hRule="exact"/>
        </w:trPr>
        <w:tc>
          <w:tcPr>
            <w:tcW w:w="5500" w:type="dxa"/>
            <w:gridSpan w:val="2"/>
            <w:tcBorders>
              <w:top w:val="single" w:sz="12" w:space="0" w:color="000000"/>
              <w:left w:val="nil" w:sz="6" w:space="0" w:color="auto"/>
              <w:bottom w:val="dotted" w:sz="4" w:space="0" w:color="000000"/>
              <w:right w:val="nil" w:sz="6" w:space="0" w:color="auto"/>
            </w:tcBorders>
          </w:tcPr>
          <w:p>
            <w:pPr>
              <w:pStyle w:val="TableParagraph"/>
              <w:tabs>
                <w:tab w:pos="4587" w:val="left" w:leader="none"/>
              </w:tabs>
              <w:spacing w:line="240" w:lineRule="auto" w:before="116"/>
              <w:ind w:left="1846" w:right="0"/>
              <w:jc w:val="left"/>
              <w:rPr>
                <w:rFonts w:ascii="宋体" w:hAnsi="宋体" w:cs="宋体" w:eastAsia="宋体" w:hint="default"/>
                <w:sz w:val="18"/>
                <w:szCs w:val="18"/>
              </w:rPr>
            </w:pPr>
            <w:r>
              <w:rPr>
                <w:rFonts w:ascii="宋体" w:hAnsi="宋体" w:cs="宋体" w:eastAsia="宋体" w:hint="default"/>
                <w:sz w:val="18"/>
                <w:szCs w:val="18"/>
              </w:rPr>
              <w:t>项目</w:t>
              <w:tab/>
              <w:t>附注</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宋体" w:hAnsi="宋体" w:cs="宋体" w:eastAsia="宋体" w:hint="default"/>
                <w:sz w:val="18"/>
                <w:szCs w:val="18"/>
              </w:rPr>
              <w:t>-</w:t>
            </w:r>
            <w:r>
              <w:rPr>
                <w:rFonts w:ascii="宋体" w:hAnsi="宋体" w:cs="宋体" w:eastAsia="宋体" w:hint="default"/>
                <w:sz w:val="18"/>
                <w:szCs w:val="18"/>
              </w:rPr>
              <w:t>”号填列）</w:t>
            </w: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tabs>
                <w:tab w:pos="4294" w:val="left" w:leader="none"/>
              </w:tabs>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减：所得税费用</w:t>
              <w:tab/>
              <w:t>六、注释</w:t>
            </w:r>
            <w:r>
              <w:rPr>
                <w:rFonts w:ascii="宋体" w:hAnsi="宋体" w:cs="宋体" w:eastAsia="宋体" w:hint="default"/>
                <w:spacing w:val="-43"/>
                <w:sz w:val="18"/>
                <w:szCs w:val="18"/>
              </w:rPr>
              <w:t> </w:t>
            </w:r>
            <w:r>
              <w:rPr>
                <w:rFonts w:ascii="宋体" w:hAnsi="宋体" w:cs="宋体" w:eastAsia="宋体" w:hint="default"/>
                <w:sz w:val="18"/>
                <w:szCs w:val="18"/>
              </w:rPr>
              <w:t>65</w:t>
            </w: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五、净利</w:t>
            </w:r>
            <w:r>
              <w:rPr>
                <w:rFonts w:ascii="宋体" w:hAnsi="宋体" w:cs="宋体" w:eastAsia="宋体" w:hint="default"/>
                <w:sz w:val="18"/>
                <w:szCs w:val="18"/>
                <w:u w:val="dotted" w:color="000000"/>
              </w:rPr>
              <w:t>润（</w:t>
            </w:r>
            <w:r>
              <w:rPr>
                <w:rFonts w:ascii="宋体" w:hAnsi="宋体" w:cs="宋体" w:eastAsia="宋体" w:hint="default"/>
                <w:sz w:val="18"/>
                <w:szCs w:val="18"/>
              </w:rPr>
              <w:t>净亏损以“</w:t>
            </w:r>
            <w:r>
              <w:rPr>
                <w:rFonts w:ascii="宋体" w:hAnsi="宋体" w:cs="宋体" w:eastAsia="宋体" w:hint="default"/>
                <w:sz w:val="18"/>
                <w:szCs w:val="18"/>
              </w:rPr>
              <w:t>-</w:t>
            </w:r>
            <w:r>
              <w:rPr>
                <w:rFonts w:ascii="宋体" w:hAnsi="宋体" w:cs="宋体" w:eastAsia="宋体" w:hint="default"/>
                <w:sz w:val="18"/>
                <w:szCs w:val="18"/>
              </w:rPr>
              <w:t>”号填列）</w:t>
            </w: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424" w:lineRule="auto"/>
              <w:ind w:left="662" w:right="1385" w:hanging="269"/>
              <w:jc w:val="left"/>
              <w:rPr>
                <w:rFonts w:ascii="宋体" w:hAnsi="宋体" w:cs="宋体" w:eastAsia="宋体" w:hint="default"/>
                <w:sz w:val="18"/>
                <w:szCs w:val="18"/>
              </w:rPr>
            </w:pPr>
            <w:r>
              <w:rPr>
                <w:rFonts w:ascii="宋体" w:hAnsi="宋体" w:cs="宋体" w:eastAsia="宋体" w:hint="default"/>
                <w:sz w:val="18"/>
                <w:szCs w:val="18"/>
              </w:rPr>
              <w:t>（一）按经营持续性分类 </w:t>
            </w:r>
            <w:r>
              <w:rPr>
                <w:rFonts w:ascii="宋体" w:hAnsi="宋体" w:cs="宋体" w:eastAsia="宋体" w:hint="default"/>
                <w:spacing w:val="-8"/>
                <w:sz w:val="18"/>
                <w:szCs w:val="18"/>
              </w:rPr>
              <w:t>1</w:t>
            </w:r>
            <w:r>
              <w:rPr>
                <w:rFonts w:ascii="宋体" w:hAnsi="宋体" w:cs="宋体" w:eastAsia="宋体" w:hint="default"/>
                <w:spacing w:val="-8"/>
                <w:sz w:val="18"/>
                <w:szCs w:val="18"/>
              </w:rPr>
              <w:t>．持续经营净利润（净亏损以“</w:t>
            </w:r>
            <w:r>
              <w:rPr>
                <w:rFonts w:ascii="宋体" w:hAnsi="宋体" w:cs="宋体" w:eastAsia="宋体" w:hint="default"/>
                <w:spacing w:val="-8"/>
                <w:sz w:val="18"/>
                <w:szCs w:val="18"/>
              </w:rPr>
              <w:t>-</w:t>
            </w:r>
            <w:r>
              <w:rPr>
                <w:rFonts w:ascii="宋体" w:hAnsi="宋体" w:cs="宋体" w:eastAsia="宋体" w:hint="default"/>
                <w:spacing w:val="-8"/>
                <w:sz w:val="18"/>
                <w:szCs w:val="18"/>
              </w:rPr>
              <w:t>”号填列）</w:t>
            </w:r>
          </w:p>
          <w:p>
            <w:pPr>
              <w:pStyle w:val="TableParagraph"/>
              <w:spacing w:line="240" w:lineRule="auto" w:before="41"/>
              <w:ind w:left="662" w:right="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．终止经营净利润（净亏损以“</w:t>
            </w:r>
            <w:r>
              <w:rPr>
                <w:rFonts w:ascii="宋体" w:hAnsi="宋体" w:cs="宋体" w:eastAsia="宋体" w:hint="default"/>
                <w:spacing w:val="-8"/>
                <w:sz w:val="18"/>
                <w:szCs w:val="18"/>
              </w:rPr>
              <w:t>-</w:t>
            </w:r>
            <w:r>
              <w:rPr>
                <w:rFonts w:ascii="宋体" w:hAnsi="宋体" w:cs="宋体" w:eastAsia="宋体" w:hint="default"/>
                <w:spacing w:val="-8"/>
                <w:sz w:val="18"/>
                <w:szCs w:val="18"/>
              </w:rPr>
              <w:t>”号填列）</w:t>
            </w:r>
          </w:p>
          <w:p>
            <w:pPr>
              <w:pStyle w:val="TableParagraph"/>
              <w:spacing w:line="418" w:lineRule="exact" w:before="58"/>
              <w:ind w:left="662" w:right="1477" w:hanging="269"/>
              <w:jc w:val="left"/>
              <w:rPr>
                <w:rFonts w:ascii="宋体" w:hAnsi="宋体" w:cs="宋体" w:eastAsia="宋体" w:hint="default"/>
                <w:sz w:val="18"/>
                <w:szCs w:val="18"/>
              </w:rPr>
            </w:pPr>
            <w:r>
              <w:rPr>
                <w:rFonts w:ascii="宋体" w:hAnsi="宋体" w:cs="宋体" w:eastAsia="宋体" w:hint="default"/>
                <w:sz w:val="18"/>
                <w:szCs w:val="18"/>
              </w:rPr>
              <w:t>（二）按所有权归属分类 </w:t>
            </w:r>
            <w:r>
              <w:rPr>
                <w:rFonts w:ascii="宋体" w:hAnsi="宋体" w:cs="宋体" w:eastAsia="宋体" w:hint="default"/>
                <w:sz w:val="18"/>
                <w:szCs w:val="18"/>
              </w:rPr>
              <w:t>1</w:t>
            </w:r>
            <w:r>
              <w:rPr>
                <w:rFonts w:ascii="宋体" w:hAnsi="宋体" w:cs="宋体" w:eastAsia="宋体" w:hint="default"/>
                <w:sz w:val="18"/>
                <w:szCs w:val="18"/>
              </w:rPr>
              <w:t>．归属于母公司股东的净利润（净亏损以</w:t>
            </w:r>
          </w:p>
          <w:p>
            <w:pPr>
              <w:pStyle w:val="TableParagraph"/>
              <w:spacing w:line="240" w:lineRule="auto" w:before="15"/>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”号填列）</w:t>
            </w: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422" w:lineRule="auto"/>
              <w:ind w:left="31" w:right="1414" w:firstLine="6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．少数股东损益（净亏损以“</w:t>
            </w:r>
            <w:r>
              <w:rPr>
                <w:rFonts w:ascii="宋体" w:hAnsi="宋体" w:cs="宋体" w:eastAsia="宋体" w:hint="default"/>
                <w:sz w:val="18"/>
                <w:szCs w:val="18"/>
              </w:rPr>
              <w:t>-</w:t>
            </w:r>
            <w:r>
              <w:rPr>
                <w:rFonts w:ascii="宋体" w:hAnsi="宋体" w:cs="宋体" w:eastAsia="宋体" w:hint="default"/>
                <w:sz w:val="18"/>
                <w:szCs w:val="18"/>
              </w:rPr>
              <w:t>”号填列） 六、其他综合收益的税后净额</w:t>
            </w:r>
          </w:p>
          <w:p>
            <w:pPr>
              <w:pStyle w:val="TableParagraph"/>
              <w:spacing w:line="240" w:lineRule="auto" w:before="45"/>
              <w:ind w:left="394"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归属于母公司所有者的其他综合收益的税后净</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额</w:t>
            </w: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424" w:lineRule="auto"/>
              <w:ind w:left="662" w:right="1866" w:hanging="269"/>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（一）不能重分类进损益的其他综合收益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p>
            <w:pPr>
              <w:pStyle w:val="TableParagraph"/>
              <w:spacing w:line="240" w:lineRule="auto" w:before="41"/>
              <w:ind w:left="66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．其他权益工具投资公允价值变动</w:t>
            </w:r>
          </w:p>
        </w:tc>
        <w:tc>
          <w:tcPr>
            <w:tcW w:w="2251" w:type="dxa"/>
            <w:tcBorders>
              <w:top w:val="single" w:sz="12" w:space="0" w:color="000000"/>
              <w:left w:val="nil" w:sz="6" w:space="0" w:color="auto"/>
              <w:bottom w:val="dotted" w:sz="4"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11" w:right="0"/>
              <w:jc w:val="left"/>
              <w:rPr>
                <w:rFonts w:ascii="Times New Roman" w:hAnsi="Times New Roman" w:cs="Times New Roman" w:eastAsia="Times New Roman" w:hint="default"/>
                <w:sz w:val="18"/>
                <w:szCs w:val="18"/>
              </w:rPr>
            </w:pPr>
            <w:r>
              <w:rPr>
                <w:rFonts w:ascii="Times New Roman"/>
                <w:sz w:val="18"/>
              </w:rPr>
              <w:t>202,398,365.56</w:t>
            </w: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11" w:right="0"/>
              <w:jc w:val="left"/>
              <w:rPr>
                <w:rFonts w:ascii="Times New Roman" w:hAnsi="Times New Roman" w:cs="Times New Roman" w:eastAsia="Times New Roman" w:hint="default"/>
                <w:sz w:val="18"/>
                <w:szCs w:val="18"/>
              </w:rPr>
            </w:pPr>
            <w:r>
              <w:rPr>
                <w:rFonts w:ascii="Times New Roman"/>
                <w:sz w:val="18"/>
              </w:rPr>
              <w:t>107,588,522.60</w:t>
            </w: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187" w:right="0"/>
              <w:jc w:val="center"/>
              <w:rPr>
                <w:rFonts w:ascii="Times New Roman" w:hAnsi="Times New Roman" w:cs="Times New Roman" w:eastAsia="Times New Roman" w:hint="default"/>
                <w:sz w:val="18"/>
                <w:szCs w:val="18"/>
              </w:rPr>
            </w:pPr>
            <w:r>
              <w:rPr>
                <w:rFonts w:ascii="Times New Roman"/>
                <w:sz w:val="18"/>
              </w:rPr>
              <w:t>94,809,842.96</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187" w:right="0"/>
              <w:jc w:val="center"/>
              <w:rPr>
                <w:rFonts w:ascii="Times New Roman" w:hAnsi="Times New Roman" w:cs="Times New Roman" w:eastAsia="Times New Roman" w:hint="default"/>
                <w:sz w:val="18"/>
                <w:szCs w:val="18"/>
              </w:rPr>
            </w:pPr>
            <w:r>
              <w:rPr>
                <w:rFonts w:ascii="Times New Roman"/>
                <w:sz w:val="18"/>
              </w:rPr>
              <w:t>94,809,842.96</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187" w:right="0"/>
              <w:jc w:val="center"/>
              <w:rPr>
                <w:rFonts w:ascii="Times New Roman" w:hAnsi="Times New Roman" w:cs="Times New Roman" w:eastAsia="Times New Roman" w:hint="default"/>
                <w:sz w:val="18"/>
                <w:szCs w:val="18"/>
              </w:rPr>
            </w:pPr>
            <w:r>
              <w:rPr>
                <w:rFonts w:ascii="Times New Roman"/>
                <w:sz w:val="18"/>
              </w:rPr>
              <w:t>95,206,095.24</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351" w:right="0"/>
              <w:jc w:val="center"/>
              <w:rPr>
                <w:rFonts w:ascii="Times New Roman" w:hAnsi="Times New Roman" w:cs="Times New Roman" w:eastAsia="Times New Roman" w:hint="default"/>
                <w:sz w:val="18"/>
                <w:szCs w:val="18"/>
              </w:rPr>
            </w:pPr>
            <w:r>
              <w:rPr>
                <w:rFonts w:ascii="Times New Roman"/>
                <w:sz w:val="18"/>
              </w:rPr>
              <w:t>-396,252.28</w:t>
            </w: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87" w:right="0"/>
              <w:jc w:val="center"/>
              <w:rPr>
                <w:rFonts w:ascii="Times New Roman" w:hAnsi="Times New Roman" w:cs="Times New Roman" w:eastAsia="Times New Roman" w:hint="default"/>
                <w:sz w:val="18"/>
                <w:szCs w:val="18"/>
              </w:rPr>
            </w:pPr>
            <w:r>
              <w:rPr>
                <w:rFonts w:ascii="Times New Roman"/>
                <w:sz w:val="18"/>
              </w:rPr>
              <w:t>30,624,101.40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187" w:right="0"/>
              <w:jc w:val="center"/>
              <w:rPr>
                <w:rFonts w:ascii="Times New Roman" w:hAnsi="Times New Roman" w:cs="Times New Roman" w:eastAsia="Times New Roman" w:hint="default"/>
                <w:sz w:val="18"/>
                <w:szCs w:val="18"/>
              </w:rPr>
            </w:pPr>
            <w:r>
              <w:rPr>
                <w:rFonts w:ascii="Times New Roman"/>
                <w:sz w:val="18"/>
              </w:rPr>
              <w:t>30,624,101.40</w:t>
            </w:r>
          </w:p>
        </w:tc>
        <w:tc>
          <w:tcPr>
            <w:tcW w:w="1904" w:type="dxa"/>
            <w:tcBorders>
              <w:top w:val="single" w:sz="12" w:space="0" w:color="000000"/>
              <w:left w:val="nil" w:sz="6" w:space="0" w:color="auto"/>
              <w:bottom w:val="dotted" w:sz="4" w:space="0" w:color="000000"/>
              <w:right w:val="nil" w:sz="6" w:space="0" w:color="auto"/>
            </w:tcBorders>
          </w:tcPr>
          <w:p>
            <w:pPr>
              <w:pStyle w:val="TableParagraph"/>
              <w:spacing w:line="240" w:lineRule="auto" w:before="116"/>
              <w:ind w:left="593" w:right="0"/>
              <w:jc w:val="left"/>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-619,105,493.72</w:t>
            </w: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95" w:right="0"/>
              <w:jc w:val="left"/>
              <w:rPr>
                <w:rFonts w:ascii="Times New Roman" w:hAnsi="Times New Roman" w:cs="Times New Roman" w:eastAsia="Times New Roman" w:hint="default"/>
                <w:sz w:val="18"/>
                <w:szCs w:val="18"/>
              </w:rPr>
            </w:pPr>
            <w:r>
              <w:rPr>
                <w:rFonts w:ascii="Times New Roman"/>
                <w:sz w:val="18"/>
              </w:rPr>
              <w:t>-74,837,333.29</w:t>
            </w: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-544,268,160.43</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-544,268,160.43</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-544,272,818.63</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258" w:right="0"/>
              <w:jc w:val="left"/>
              <w:rPr>
                <w:rFonts w:ascii="Times New Roman" w:hAnsi="Times New Roman" w:cs="Times New Roman" w:eastAsia="Times New Roman" w:hint="default"/>
                <w:sz w:val="18"/>
                <w:szCs w:val="18"/>
              </w:rPr>
            </w:pPr>
            <w:r>
              <w:rPr>
                <w:rFonts w:ascii="Times New Roman"/>
                <w:sz w:val="18"/>
              </w:rPr>
              <w:t>4,658.20</w:t>
            </w: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-751,177,663.80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703" w:right="0"/>
              <w:jc w:val="left"/>
              <w:rPr>
                <w:rFonts w:ascii="Times New Roman" w:hAnsi="Times New Roman" w:cs="Times New Roman" w:eastAsia="Times New Roman" w:hint="default"/>
                <w:sz w:val="18"/>
                <w:szCs w:val="18"/>
              </w:rPr>
            </w:pPr>
            <w:r>
              <w:rPr>
                <w:rFonts w:ascii="Times New Roman"/>
                <w:sz w:val="18"/>
              </w:rPr>
              <w:t>-751,226,008.42</w:t>
            </w:r>
          </w:p>
        </w:tc>
      </w:tr>
      <w:tr>
        <w:trPr>
          <w:trHeight w:val="418" w:hRule="exact"/>
        </w:trPr>
        <w:tc>
          <w:tcPr>
            <w:tcW w:w="4035" w:type="dxa"/>
            <w:tcBorders>
              <w:top w:val="dotted" w:sz="4" w:space="0" w:color="000000"/>
              <w:left w:val="nil" w:sz="6" w:space="0" w:color="auto"/>
              <w:bottom w:val="dotted" w:sz="4" w:space="0" w:color="000000"/>
              <w:right w:val="nil" w:sz="6" w:space="0" w:color="auto"/>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．企业自身信用风险公允价值变动</w:t>
            </w:r>
          </w:p>
        </w:tc>
        <w:tc>
          <w:tcPr>
            <w:tcW w:w="1464" w:type="dxa"/>
            <w:tcBorders>
              <w:top w:val="dotted" w:sz="4" w:space="0" w:color="000000"/>
              <w:left w:val="nil" w:sz="6" w:space="0" w:color="auto"/>
              <w:bottom w:val="dotted" w:sz="4" w:space="0" w:color="000000"/>
              <w:right w:val="nil" w:sz="6" w:space="0" w:color="auto"/>
            </w:tcBorders>
          </w:tcPr>
          <w:p>
            <w:pPr/>
          </w:p>
        </w:tc>
        <w:tc>
          <w:tcPr>
            <w:tcW w:w="2251" w:type="dxa"/>
            <w:tcBorders>
              <w:top w:val="dotted" w:sz="4" w:space="0" w:color="000000"/>
              <w:left w:val="nil" w:sz="6" w:space="0" w:color="auto"/>
              <w:bottom w:val="dotted" w:sz="4" w:space="0" w:color="000000"/>
              <w:right w:val="nil" w:sz="6" w:space="0" w:color="auto"/>
            </w:tcBorders>
          </w:tcPr>
          <w:p>
            <w:pPr/>
          </w:p>
        </w:tc>
        <w:tc>
          <w:tcPr>
            <w:tcW w:w="1904" w:type="dxa"/>
            <w:tcBorders>
              <w:top w:val="dotted" w:sz="4" w:space="0" w:color="000000"/>
              <w:left w:val="nil" w:sz="6" w:space="0" w:color="auto"/>
              <w:bottom w:val="dotted" w:sz="4" w:space="0" w:color="000000"/>
              <w:right w:val="nil" w:sz="6" w:space="0" w:color="auto"/>
            </w:tcBorders>
          </w:tcPr>
          <w:p>
            <w:pPr/>
          </w:p>
        </w:tc>
      </w:tr>
      <w:tr>
        <w:trPr>
          <w:trHeight w:val="418" w:hRule="exact"/>
        </w:trPr>
        <w:tc>
          <w:tcPr>
            <w:tcW w:w="4035" w:type="dxa"/>
            <w:tcBorders>
              <w:top w:val="dotted" w:sz="4" w:space="0" w:color="000000"/>
              <w:left w:val="nil" w:sz="6" w:space="0" w:color="auto"/>
              <w:bottom w:val="dotted" w:sz="4" w:space="0" w:color="000000"/>
              <w:right w:val="nil" w:sz="6" w:space="0" w:color="auto"/>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464" w:type="dxa"/>
            <w:tcBorders>
              <w:top w:val="dotted" w:sz="4" w:space="0" w:color="000000"/>
              <w:left w:val="nil" w:sz="6" w:space="0" w:color="auto"/>
              <w:bottom w:val="dotted" w:sz="4" w:space="0" w:color="000000"/>
              <w:right w:val="nil" w:sz="6" w:space="0" w:color="auto"/>
            </w:tcBorders>
          </w:tcPr>
          <w:p>
            <w:pPr/>
          </w:p>
        </w:tc>
        <w:tc>
          <w:tcPr>
            <w:tcW w:w="2251" w:type="dxa"/>
            <w:tcBorders>
              <w:top w:val="dotted" w:sz="4" w:space="0" w:color="000000"/>
              <w:left w:val="nil" w:sz="6" w:space="0" w:color="auto"/>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30,624,101.40</w:t>
            </w:r>
          </w:p>
        </w:tc>
        <w:tc>
          <w:tcPr>
            <w:tcW w:w="1904" w:type="dxa"/>
            <w:tcBorders>
              <w:top w:val="dotted" w:sz="4" w:space="0" w:color="000000"/>
              <w:left w:val="nil" w:sz="6" w:space="0" w:color="auto"/>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-751,226,008.42</w:t>
            </w:r>
          </w:p>
        </w:tc>
      </w:tr>
      <w:tr>
        <w:trPr>
          <w:trHeight w:val="418" w:hRule="exact"/>
        </w:trPr>
        <w:tc>
          <w:tcPr>
            <w:tcW w:w="4035" w:type="dxa"/>
            <w:tcBorders>
              <w:top w:val="dotted" w:sz="4" w:space="0" w:color="000000"/>
              <w:left w:val="nil" w:sz="6" w:space="0" w:color="auto"/>
              <w:bottom w:val="dotted" w:sz="4" w:space="0" w:color="000000"/>
              <w:right w:val="nil" w:sz="6" w:space="0" w:color="auto"/>
            </w:tcBorders>
          </w:tcPr>
          <w:p>
            <w:pPr>
              <w:pStyle w:val="TableParagraph"/>
              <w:spacing w:line="240" w:lineRule="auto" w:before="63"/>
              <w:ind w:left="66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1464" w:type="dxa"/>
            <w:tcBorders>
              <w:top w:val="dotted" w:sz="4" w:space="0" w:color="000000"/>
              <w:left w:val="nil" w:sz="6" w:space="0" w:color="auto"/>
              <w:bottom w:val="dotted" w:sz="4" w:space="0" w:color="000000"/>
              <w:right w:val="nil" w:sz="6" w:space="0" w:color="auto"/>
            </w:tcBorders>
          </w:tcPr>
          <w:p>
            <w:pPr/>
          </w:p>
        </w:tc>
        <w:tc>
          <w:tcPr>
            <w:tcW w:w="2251" w:type="dxa"/>
            <w:tcBorders>
              <w:top w:val="dotted" w:sz="4" w:space="0" w:color="000000"/>
              <w:left w:val="nil" w:sz="6" w:space="0" w:color="auto"/>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5,567,256.92</w:t>
            </w:r>
          </w:p>
        </w:tc>
        <w:tc>
          <w:tcPr>
            <w:tcW w:w="1904" w:type="dxa"/>
            <w:tcBorders>
              <w:top w:val="dotted" w:sz="4" w:space="0" w:color="000000"/>
              <w:left w:val="nil" w:sz="6" w:space="0" w:color="auto"/>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-2,657,075.49</w:t>
            </w:r>
          </w:p>
        </w:tc>
      </w:tr>
      <w:tr>
        <w:trPr>
          <w:trHeight w:val="415" w:hRule="exact"/>
        </w:trPr>
        <w:tc>
          <w:tcPr>
            <w:tcW w:w="4035" w:type="dxa"/>
            <w:tcBorders>
              <w:top w:val="dotted" w:sz="4" w:space="0" w:color="000000"/>
              <w:left w:val="nil" w:sz="6" w:space="0" w:color="auto"/>
              <w:bottom w:val="dotted" w:sz="4" w:space="0" w:color="000000"/>
              <w:right w:val="nil" w:sz="6" w:space="0" w:color="auto"/>
            </w:tcBorders>
          </w:tcPr>
          <w:p>
            <w:pPr>
              <w:pStyle w:val="TableParagraph"/>
              <w:spacing w:line="240" w:lineRule="auto" w:before="63"/>
              <w:ind w:left="66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．其他债权投资公允价值变动</w:t>
            </w:r>
          </w:p>
        </w:tc>
        <w:tc>
          <w:tcPr>
            <w:tcW w:w="1464" w:type="dxa"/>
            <w:tcBorders>
              <w:top w:val="dotted" w:sz="4" w:space="0" w:color="000000"/>
              <w:left w:val="nil" w:sz="6" w:space="0" w:color="auto"/>
              <w:bottom w:val="dotted" w:sz="4" w:space="0" w:color="000000"/>
              <w:right w:val="nil" w:sz="6" w:space="0" w:color="auto"/>
            </w:tcBorders>
          </w:tcPr>
          <w:p>
            <w:pPr/>
          </w:p>
        </w:tc>
        <w:tc>
          <w:tcPr>
            <w:tcW w:w="2251" w:type="dxa"/>
            <w:tcBorders>
              <w:top w:val="dotted" w:sz="4" w:space="0" w:color="000000"/>
              <w:left w:val="nil" w:sz="6" w:space="0" w:color="auto"/>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7,248,788.22</w:t>
            </w:r>
          </w:p>
        </w:tc>
        <w:tc>
          <w:tcPr>
            <w:tcW w:w="1904" w:type="dxa"/>
            <w:tcBorders>
              <w:top w:val="dotted" w:sz="4" w:space="0" w:color="000000"/>
              <w:left w:val="nil" w:sz="6" w:space="0" w:color="auto"/>
              <w:bottom w:val="dotted" w:sz="4" w:space="0" w:color="000000"/>
              <w:right w:val="nil" w:sz="6" w:space="0" w:color="auto"/>
            </w:tcBorders>
          </w:tcPr>
          <w:p>
            <w:pPr/>
          </w:p>
        </w:tc>
      </w:tr>
      <w:tr>
        <w:trPr>
          <w:trHeight w:val="418" w:hRule="exact"/>
        </w:trPr>
        <w:tc>
          <w:tcPr>
            <w:tcW w:w="4035" w:type="dxa"/>
            <w:tcBorders>
              <w:top w:val="dotted" w:sz="4" w:space="0" w:color="000000"/>
              <w:left w:val="nil" w:sz="6" w:space="0" w:color="auto"/>
              <w:bottom w:val="dotted" w:sz="4" w:space="0" w:color="000000"/>
              <w:right w:val="nil" w:sz="6" w:space="0" w:color="auto"/>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．可供出售金融资产公允价值变动损益</w:t>
            </w:r>
          </w:p>
        </w:tc>
        <w:tc>
          <w:tcPr>
            <w:tcW w:w="1464" w:type="dxa"/>
            <w:tcBorders>
              <w:top w:val="dotted" w:sz="4" w:space="0" w:color="000000"/>
              <w:left w:val="nil" w:sz="6" w:space="0" w:color="auto"/>
              <w:bottom w:val="dotted" w:sz="4" w:space="0" w:color="000000"/>
              <w:right w:val="nil" w:sz="6" w:space="0" w:color="auto"/>
            </w:tcBorders>
          </w:tcPr>
          <w:p>
            <w:pPr/>
          </w:p>
        </w:tc>
        <w:tc>
          <w:tcPr>
            <w:tcW w:w="2251" w:type="dxa"/>
            <w:tcBorders>
              <w:top w:val="dotted" w:sz="4" w:space="0" w:color="000000"/>
              <w:left w:val="nil" w:sz="6" w:space="0" w:color="auto"/>
              <w:bottom w:val="dotted" w:sz="4" w:space="0" w:color="000000"/>
              <w:right w:val="nil" w:sz="6" w:space="0" w:color="auto"/>
            </w:tcBorders>
          </w:tcPr>
          <w:p>
            <w:pPr/>
          </w:p>
        </w:tc>
        <w:tc>
          <w:tcPr>
            <w:tcW w:w="1904" w:type="dxa"/>
            <w:tcBorders>
              <w:top w:val="dotted" w:sz="4" w:space="0" w:color="000000"/>
              <w:left w:val="nil" w:sz="6" w:space="0" w:color="auto"/>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-756,759,395.55</w:t>
            </w:r>
          </w:p>
        </w:tc>
      </w:tr>
      <w:tr>
        <w:trPr>
          <w:trHeight w:val="306" w:hRule="exact"/>
        </w:trPr>
        <w:tc>
          <w:tcPr>
            <w:tcW w:w="4035" w:type="dxa"/>
            <w:tcBorders>
              <w:top w:val="dotted" w:sz="4" w:space="0" w:color="000000"/>
              <w:left w:val="nil" w:sz="6" w:space="0" w:color="auto"/>
              <w:bottom w:val="nil" w:sz="6" w:space="0" w:color="auto"/>
              <w:right w:val="nil" w:sz="6" w:space="0" w:color="auto"/>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．金融资产重分类计入其他综合收益的金</w:t>
            </w:r>
          </w:p>
        </w:tc>
        <w:tc>
          <w:tcPr>
            <w:tcW w:w="1464" w:type="dxa"/>
            <w:tcBorders>
              <w:top w:val="dotted" w:sz="4" w:space="0" w:color="000000"/>
              <w:left w:val="nil" w:sz="6" w:space="0" w:color="auto"/>
              <w:bottom w:val="nil" w:sz="6" w:space="0" w:color="auto"/>
              <w:right w:val="nil" w:sz="6" w:space="0" w:color="auto"/>
            </w:tcBorders>
          </w:tcPr>
          <w:p>
            <w:pPr/>
          </w:p>
        </w:tc>
        <w:tc>
          <w:tcPr>
            <w:tcW w:w="2251" w:type="dxa"/>
            <w:tcBorders>
              <w:top w:val="dotted" w:sz="4" w:space="0" w:color="000000"/>
              <w:left w:val="nil" w:sz="6" w:space="0" w:color="auto"/>
              <w:bottom w:val="nil" w:sz="6" w:space="0" w:color="auto"/>
              <w:right w:val="nil" w:sz="6" w:space="0" w:color="auto"/>
            </w:tcBorders>
          </w:tcPr>
          <w:p>
            <w:pPr/>
          </w:p>
        </w:tc>
        <w:tc>
          <w:tcPr>
            <w:tcW w:w="1904" w:type="dxa"/>
            <w:tcBorders>
              <w:top w:val="dotted" w:sz="4" w:space="0" w:color="000000"/>
              <w:left w:val="nil" w:sz="6" w:space="0" w:color="auto"/>
              <w:bottom w:val="nil" w:sz="6" w:space="0" w:color="auto"/>
              <w:right w:val="nil" w:sz="6" w:space="0" w:color="auto"/>
            </w:tcBorders>
          </w:tcPr>
          <w:p>
            <w:pPr/>
          </w:p>
        </w:tc>
      </w:tr>
      <w:tr>
        <w:trPr>
          <w:trHeight w:val="2425" w:hRule="exact"/>
        </w:trPr>
        <w:tc>
          <w:tcPr>
            <w:tcW w:w="403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额</w:t>
            </w: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31" w:right="13" w:firstLine="631"/>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．持有至到期投资重分类为可供出售金融 资产损益</w:t>
            </w:r>
          </w:p>
          <w:p>
            <w:pPr>
              <w:pStyle w:val="TableParagraph"/>
              <w:spacing w:line="240" w:lineRule="auto" w:before="124"/>
              <w:ind w:left="66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．其他债权投资信用损失准备</w:t>
            </w: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4" w:lineRule="auto"/>
              <w:ind w:left="31" w:right="13" w:firstLine="631"/>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．现金流量套期储备（现金流量套期损益 的有效部分）</w:t>
            </w:r>
          </w:p>
        </w:tc>
        <w:tc>
          <w:tcPr>
            <w:tcW w:w="1464" w:type="dxa"/>
            <w:tcBorders>
              <w:top w:val="nil" w:sz="6" w:space="0" w:color="auto"/>
              <w:left w:val="nil" w:sz="6" w:space="0" w:color="auto"/>
              <w:bottom w:val="nil" w:sz="6" w:space="0" w:color="auto"/>
              <w:right w:val="nil" w:sz="6" w:space="0" w:color="auto"/>
            </w:tcBorders>
          </w:tcPr>
          <w:p>
            <w:pP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-296,891.38</w:t>
            </w:r>
          </w:p>
        </w:tc>
        <w:tc>
          <w:tcPr>
            <w:tcW w:w="1904" w:type="dxa"/>
            <w:tcBorders>
              <w:top w:val="nil" w:sz="6" w:space="0" w:color="auto"/>
              <w:left w:val="nil" w:sz="6" w:space="0" w:color="auto"/>
              <w:bottom w:val="nil" w:sz="6" w:space="0" w:color="auto"/>
              <w:right w:val="nil" w:sz="6" w:space="0" w:color="auto"/>
            </w:tcBorders>
          </w:tcPr>
          <w:p>
            <w:pPr/>
          </w:p>
        </w:tc>
      </w:tr>
      <w:tr>
        <w:trPr>
          <w:trHeight w:val="291" w:hRule="exact"/>
        </w:trPr>
        <w:tc>
          <w:tcPr>
            <w:tcW w:w="4035" w:type="dxa"/>
            <w:tcBorders>
              <w:top w:val="nil" w:sz="6" w:space="0" w:color="auto"/>
              <w:left w:val="nil" w:sz="6" w:space="0" w:color="auto"/>
              <w:bottom w:val="dotted" w:sz="4" w:space="0" w:color="000000"/>
              <w:right w:val="nil" w:sz="6" w:space="0" w:color="auto"/>
            </w:tcBorders>
          </w:tcPr>
          <w:p>
            <w:pPr>
              <w:pStyle w:val="TableParagraph"/>
              <w:spacing w:line="180" w:lineRule="exact"/>
              <w:ind w:left="66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3716" w:type="dxa"/>
            <w:gridSpan w:val="2"/>
            <w:tcBorders>
              <w:top w:val="nil" w:sz="6" w:space="0" w:color="auto"/>
              <w:left w:val="nil" w:sz="6" w:space="0" w:color="auto"/>
              <w:bottom w:val="dotted" w:sz="4" w:space="0" w:color="000000"/>
              <w:right w:val="nil" w:sz="6" w:space="0" w:color="auto"/>
            </w:tcBorders>
          </w:tcPr>
          <w:p>
            <w:pPr>
              <w:pStyle w:val="TableParagraph"/>
              <w:spacing w:line="194" w:lineRule="exact"/>
              <w:ind w:right="12"/>
              <w:jc w:val="right"/>
              <w:rPr>
                <w:rFonts w:ascii="Times New Roman" w:hAnsi="Times New Roman" w:cs="Times New Roman" w:eastAsia="Times New Roman" w:hint="default"/>
                <w:sz w:val="18"/>
                <w:szCs w:val="18"/>
              </w:rPr>
            </w:pPr>
            <w:r>
              <w:rPr>
                <w:rFonts w:ascii="Times New Roman"/>
                <w:spacing w:val="-1"/>
                <w:sz w:val="18"/>
              </w:rPr>
              <w:t>18,104,947.64</w:t>
            </w:r>
          </w:p>
        </w:tc>
        <w:tc>
          <w:tcPr>
            <w:tcW w:w="1904" w:type="dxa"/>
            <w:tcBorders>
              <w:top w:val="nil" w:sz="6" w:space="0" w:color="auto"/>
              <w:left w:val="nil" w:sz="6" w:space="0" w:color="auto"/>
              <w:bottom w:val="dotted" w:sz="4" w:space="0" w:color="000000"/>
              <w:right w:val="nil" w:sz="6" w:space="0" w:color="auto"/>
            </w:tcBorders>
          </w:tcPr>
          <w:p>
            <w:pPr>
              <w:pStyle w:val="TableParagraph"/>
              <w:spacing w:line="194" w:lineRule="exact"/>
              <w:ind w:right="12"/>
              <w:jc w:val="right"/>
              <w:rPr>
                <w:rFonts w:ascii="Times New Roman" w:hAnsi="Times New Roman" w:cs="Times New Roman" w:eastAsia="Times New Roman" w:hint="default"/>
                <w:sz w:val="18"/>
                <w:szCs w:val="18"/>
              </w:rPr>
            </w:pPr>
            <w:r>
              <w:rPr>
                <w:rFonts w:ascii="Times New Roman"/>
                <w:spacing w:val="-1"/>
                <w:sz w:val="18"/>
              </w:rPr>
              <w:t>8,190,462.62</w:t>
            </w:r>
          </w:p>
        </w:tc>
      </w:tr>
      <w:tr>
        <w:trPr>
          <w:trHeight w:val="418" w:hRule="exact"/>
        </w:trPr>
        <w:tc>
          <w:tcPr>
            <w:tcW w:w="4035" w:type="dxa"/>
            <w:tcBorders>
              <w:top w:val="dotted" w:sz="4" w:space="0" w:color="000000"/>
              <w:left w:val="nil" w:sz="6" w:space="0" w:color="auto"/>
              <w:bottom w:val="dotted" w:sz="4" w:space="0" w:color="000000"/>
              <w:right w:val="nil" w:sz="6" w:space="0" w:color="auto"/>
            </w:tcBorders>
          </w:tcPr>
          <w:p>
            <w:pPr>
              <w:pStyle w:val="TableParagraph"/>
              <w:spacing w:line="240" w:lineRule="auto" w:before="63"/>
              <w:ind w:left="66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3716" w:type="dxa"/>
            <w:gridSpan w:val="2"/>
            <w:tcBorders>
              <w:top w:val="dotted" w:sz="4" w:space="0" w:color="000000"/>
              <w:left w:val="nil" w:sz="6" w:space="0" w:color="auto"/>
              <w:bottom w:val="dotted" w:sz="4" w:space="0" w:color="000000"/>
              <w:right w:val="nil" w:sz="6" w:space="0" w:color="auto"/>
            </w:tcBorders>
          </w:tcPr>
          <w:p>
            <w:pPr/>
          </w:p>
        </w:tc>
        <w:tc>
          <w:tcPr>
            <w:tcW w:w="1904" w:type="dxa"/>
            <w:tcBorders>
              <w:top w:val="dotted" w:sz="4" w:space="0" w:color="000000"/>
              <w:left w:val="nil" w:sz="6" w:space="0" w:color="auto"/>
              <w:bottom w:val="dotted" w:sz="4" w:space="0" w:color="000000"/>
              <w:right w:val="nil" w:sz="6" w:space="0" w:color="auto"/>
            </w:tcBorders>
          </w:tcPr>
          <w:p>
            <w:pPr/>
          </w:p>
        </w:tc>
      </w:tr>
      <w:tr>
        <w:trPr>
          <w:trHeight w:val="416" w:hRule="exact"/>
        </w:trPr>
        <w:tc>
          <w:tcPr>
            <w:tcW w:w="4035" w:type="dxa"/>
            <w:tcBorders>
              <w:top w:val="dotted" w:sz="4" w:space="0" w:color="000000"/>
              <w:left w:val="nil" w:sz="6" w:space="0" w:color="auto"/>
              <w:bottom w:val="dotted" w:sz="4" w:space="0" w:color="000000"/>
              <w:right w:val="nil" w:sz="6" w:space="0" w:color="auto"/>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3716" w:type="dxa"/>
            <w:gridSpan w:val="2"/>
            <w:tcBorders>
              <w:top w:val="dotted" w:sz="4" w:space="0" w:color="000000"/>
              <w:left w:val="nil" w:sz="6" w:space="0" w:color="auto"/>
              <w:bottom w:val="dotted" w:sz="4" w:space="0" w:color="000000"/>
              <w:right w:val="nil" w:sz="6" w:space="0" w:color="auto"/>
            </w:tcBorders>
          </w:tcPr>
          <w:p>
            <w:pPr/>
          </w:p>
        </w:tc>
        <w:tc>
          <w:tcPr>
            <w:tcW w:w="1904" w:type="dxa"/>
            <w:tcBorders>
              <w:top w:val="dotted" w:sz="4" w:space="0" w:color="000000"/>
              <w:left w:val="nil" w:sz="6" w:space="0" w:color="auto"/>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48,344.62</w:t>
            </w:r>
          </w:p>
        </w:tc>
      </w:tr>
      <w:tr>
        <w:trPr>
          <w:trHeight w:val="418" w:hRule="exact"/>
        </w:trPr>
        <w:tc>
          <w:tcPr>
            <w:tcW w:w="4035" w:type="dxa"/>
            <w:tcBorders>
              <w:top w:val="dotted" w:sz="4" w:space="0" w:color="000000"/>
              <w:left w:val="nil" w:sz="6" w:space="0" w:color="auto"/>
              <w:bottom w:val="dotted" w:sz="4" w:space="0" w:color="000000"/>
              <w:right w:val="nil" w:sz="6" w:space="0" w:color="auto"/>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716" w:type="dxa"/>
            <w:gridSpan w:val="2"/>
            <w:tcBorders>
              <w:top w:val="dotted" w:sz="4" w:space="0" w:color="000000"/>
              <w:left w:val="nil" w:sz="6" w:space="0" w:color="auto"/>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125,433,944.36</w:t>
            </w:r>
          </w:p>
        </w:tc>
        <w:tc>
          <w:tcPr>
            <w:tcW w:w="1904" w:type="dxa"/>
            <w:tcBorders>
              <w:top w:val="dotted" w:sz="4" w:space="0" w:color="000000"/>
              <w:left w:val="nil" w:sz="6" w:space="0" w:color="auto"/>
              <w:bottom w:val="nil" w:sz="6" w:space="0" w:color="auto"/>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-1,295,445,824.23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4035"/>
        <w:gridCol w:w="1464"/>
        <w:gridCol w:w="2251"/>
        <w:gridCol w:w="1904"/>
      </w:tblGrid>
      <w:tr>
        <w:trPr>
          <w:trHeight w:val="528" w:hRule="exact"/>
        </w:trPr>
        <w:tc>
          <w:tcPr>
            <w:tcW w:w="40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6"/>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2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9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left="58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125,830,196.64</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-1,295,498,827.05</w:t>
            </w: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-396,252.28</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53,002.82</w:t>
            </w:r>
          </w:p>
        </w:tc>
      </w:tr>
      <w:tr>
        <w:trPr>
          <w:trHeight w:val="415"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
        </w:tc>
        <w:tc>
          <w:tcPr>
            <w:tcW w:w="190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40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（一）基本每股收益（元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464" w:type="dxa"/>
            <w:tcBorders>
              <w:top w:val="dotted" w:sz="4" w:space="0" w:color="000000"/>
              <w:left w:val="dotted" w:sz="4" w:space="0" w:color="000000"/>
              <w:bottom w:val="dotted" w:sz="4" w:space="0" w:color="000000"/>
              <w:right w:val="dotted" w:sz="4" w:space="0" w:color="000000"/>
            </w:tcBorders>
          </w:tcPr>
          <w:p>
            <w:pPr/>
          </w:p>
        </w:tc>
        <w:tc>
          <w:tcPr>
            <w:tcW w:w="2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6"/>
              <w:jc w:val="right"/>
              <w:rPr>
                <w:rFonts w:ascii="Times New Roman" w:hAnsi="Times New Roman" w:cs="Times New Roman" w:eastAsia="Times New Roman" w:hint="default"/>
                <w:sz w:val="18"/>
                <w:szCs w:val="18"/>
              </w:rPr>
            </w:pPr>
            <w:r>
              <w:rPr>
                <w:rFonts w:ascii="Times New Roman"/>
                <w:spacing w:val="-1"/>
                <w:sz w:val="18"/>
              </w:rPr>
              <w:t>0.0492</w:t>
            </w:r>
          </w:p>
        </w:tc>
        <w:tc>
          <w:tcPr>
            <w:tcW w:w="19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1"/>
              <w:jc w:val="right"/>
              <w:rPr>
                <w:rFonts w:ascii="Times New Roman" w:hAnsi="Times New Roman" w:cs="Times New Roman" w:eastAsia="Times New Roman" w:hint="default"/>
                <w:sz w:val="18"/>
                <w:szCs w:val="18"/>
              </w:rPr>
            </w:pPr>
            <w:r>
              <w:rPr>
                <w:rFonts w:ascii="Times New Roman"/>
                <w:spacing w:val="-1"/>
                <w:sz w:val="18"/>
              </w:rPr>
              <w:t>-0.2807</w:t>
            </w:r>
          </w:p>
        </w:tc>
      </w:tr>
      <w:tr>
        <w:trPr>
          <w:trHeight w:val="427" w:hRule="exact"/>
        </w:trPr>
        <w:tc>
          <w:tcPr>
            <w:tcW w:w="40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（二）稀释每股收益（元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464" w:type="dxa"/>
            <w:tcBorders>
              <w:top w:val="dotted" w:sz="4" w:space="0" w:color="000000"/>
              <w:left w:val="dotted" w:sz="4" w:space="0" w:color="000000"/>
              <w:bottom w:val="single" w:sz="12" w:space="0" w:color="000000"/>
              <w:right w:val="dotted" w:sz="4" w:space="0" w:color="000000"/>
            </w:tcBorders>
          </w:tcPr>
          <w:p>
            <w:pPr/>
          </w:p>
        </w:tc>
        <w:tc>
          <w:tcPr>
            <w:tcW w:w="22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6"/>
              <w:jc w:val="right"/>
              <w:rPr>
                <w:rFonts w:ascii="Times New Roman" w:hAnsi="Times New Roman" w:cs="Times New Roman" w:eastAsia="Times New Roman" w:hint="default"/>
                <w:sz w:val="18"/>
                <w:szCs w:val="18"/>
              </w:rPr>
            </w:pPr>
            <w:r>
              <w:rPr>
                <w:rFonts w:ascii="Times New Roman"/>
                <w:spacing w:val="-1"/>
                <w:sz w:val="18"/>
              </w:rPr>
              <w:t>0.0492</w:t>
            </w:r>
          </w:p>
        </w:tc>
        <w:tc>
          <w:tcPr>
            <w:tcW w:w="19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1"/>
              <w:jc w:val="right"/>
              <w:rPr>
                <w:rFonts w:ascii="Times New Roman" w:hAnsi="Times New Roman" w:cs="Times New Roman" w:eastAsia="Times New Roman" w:hint="default"/>
                <w:sz w:val="18"/>
                <w:szCs w:val="18"/>
              </w:rPr>
            </w:pPr>
            <w:r>
              <w:rPr>
                <w:rFonts w:ascii="Times New Roman"/>
                <w:spacing w:val="-1"/>
                <w:sz w:val="18"/>
              </w:rPr>
              <w:t>-0.2807</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5"/>
          <w:szCs w:val="15"/>
        </w:rPr>
      </w:pPr>
    </w:p>
    <w:p>
      <w:pPr>
        <w:tabs>
          <w:tab w:pos="3393" w:val="left" w:leader="none"/>
          <w:tab w:pos="7174"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8"/>
          <w:szCs w:val="18"/>
        </w:rPr>
      </w:pPr>
    </w:p>
    <w:p>
      <w:pPr>
        <w:spacing w:line="314" w:lineRule="exact" w:before="3"/>
        <w:ind w:left="3708" w:right="468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母公司利润表</w:t>
      </w:r>
      <w:r>
        <w:rPr>
          <w:rFonts w:ascii="Microsoft JhengHei" w:hAnsi="Microsoft JhengHei" w:cs="Microsoft JhengHei" w:eastAsia="Microsoft JhengHei" w:hint="default"/>
          <w:sz w:val="18"/>
          <w:szCs w:val="18"/>
        </w:rPr>
      </w:r>
    </w:p>
    <w:p>
      <w:pPr>
        <w:spacing w:line="276" w:lineRule="exact" w:before="0"/>
        <w:ind w:left="0" w:right="98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0" w:right="982"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3315"/>
        <w:gridCol w:w="1255"/>
        <w:gridCol w:w="2542"/>
        <w:gridCol w:w="2542"/>
      </w:tblGrid>
      <w:tr>
        <w:trPr>
          <w:trHeight w:val="427" w:hRule="exact"/>
        </w:trPr>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48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一、营业收入</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hAnsi="宋体" w:cs="宋体" w:eastAsia="宋体" w:hint="default"/>
                <w:sz w:val="18"/>
                <w:szCs w:val="18"/>
              </w:rPr>
              <w:t>十六、注释</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65,863,102.35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58,732,900.41</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hAnsi="宋体" w:cs="宋体" w:eastAsia="宋体" w:hint="default"/>
                <w:sz w:val="18"/>
                <w:szCs w:val="18"/>
              </w:rPr>
              <w:t>十六、注释</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9,782,003.22</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-9,633.95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30,159.47</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right="178"/>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17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54,061,724.29</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56,185,899.80</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178"/>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178"/>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303,180,841.97</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293,037,935.07</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025"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318,025,379.35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308,210,483.04</w:t>
            </w: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56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14,969,436.21</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15,260,981.06</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1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108,514.35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42,312.53</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178"/>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hAnsi="宋体" w:cs="宋体" w:eastAsia="宋体" w:hint="default"/>
                <w:sz w:val="18"/>
                <w:szCs w:val="18"/>
              </w:rPr>
              <w:t>十六、注释</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382,884,830.08</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313,704,967.54</w:t>
            </w: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93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321,679.43</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192,588.10</w:t>
            </w:r>
          </w:p>
        </w:tc>
      </w:tr>
      <w:tr>
        <w:trPr>
          <w:trHeight w:val="727"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114" w:right="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以摊余成本计量的金融资产</w:t>
            </w:r>
            <w:r>
              <w:rPr>
                <w:rFonts w:ascii="宋体" w:hAnsi="宋体" w:cs="宋体" w:eastAsia="宋体" w:hint="default"/>
                <w:sz w:val="18"/>
                <w:szCs w:val="18"/>
              </w:rPr>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终止确认收益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5" w:right="0"/>
              <w:jc w:val="left"/>
              <w:rPr>
                <w:rFonts w:ascii="宋体" w:hAnsi="宋体" w:cs="宋体" w:eastAsia="宋体" w:hint="default"/>
                <w:sz w:val="18"/>
                <w:szCs w:val="18"/>
              </w:rPr>
            </w:pPr>
            <w:r>
              <w:rPr>
                <w:rFonts w:ascii="宋体" w:hAnsi="宋体" w:cs="宋体" w:eastAsia="宋体" w:hint="default"/>
                <w:sz w:val="18"/>
                <w:szCs w:val="18"/>
              </w:rPr>
              <w:t>净敞口套期收益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5"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-118,308,664.63</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4,332,879.27</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-858,686.98</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05"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37,443.54</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二、营业利润（亏损以“</w:t>
            </w:r>
            <w:r>
              <w:rPr>
                <w:rFonts w:ascii="Trebuchet MS" w:hAnsi="Trebuchet MS" w:cs="Trebuchet MS" w:eastAsia="Trebuchet MS"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-32,096,830.57</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22,367,499.16</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241,227.14</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1,240,000.06</w:t>
            </w: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2,763,930.00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1,880,000.00</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三、利润总额（亏损以“</w:t>
            </w:r>
            <w:r>
              <w:rPr>
                <w:rFonts w:ascii="Trebuchet MS" w:hAnsi="Trebuchet MS" w:cs="Trebuchet MS" w:eastAsia="Trebuchet MS"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-34,619,533.43</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21,727,499.22</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2,223,973.79</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616,890.76</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四、净利润（净亏以“</w:t>
            </w:r>
            <w:r>
              <w:rPr>
                <w:rFonts w:ascii="Trebuchet MS" w:hAnsi="Trebuchet MS" w:cs="Trebuchet MS" w:eastAsia="Trebuchet MS"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-36,843,507.22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21,110,608.46</w:t>
            </w: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hAnsi="宋体" w:cs="宋体" w:eastAsia="宋体" w:hint="default"/>
                <w:spacing w:val="-10"/>
                <w:sz w:val="18"/>
                <w:szCs w:val="18"/>
              </w:rPr>
              <w:t>持续经营净利润（净亏以“</w:t>
            </w:r>
            <w:r>
              <w:rPr>
                <w:rFonts w:ascii="宋体" w:hAnsi="宋体" w:cs="宋体" w:eastAsia="宋体" w:hint="default"/>
                <w:spacing w:val="-10"/>
                <w:sz w:val="18"/>
                <w:szCs w:val="18"/>
              </w:rPr>
              <w:t>-</w:t>
            </w:r>
            <w:r>
              <w:rPr>
                <w:rFonts w:ascii="宋体" w:hAnsi="宋体" w:cs="宋体" w:eastAsia="宋体" w:hint="default"/>
                <w:spacing w:val="-10"/>
                <w:sz w:val="18"/>
                <w:szCs w:val="18"/>
              </w:rPr>
              <w:t>”号填列</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-36,843,507.22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21,110,608.46</w:t>
            </w:r>
          </w:p>
        </w:tc>
      </w:tr>
      <w:tr>
        <w:trPr>
          <w:trHeight w:val="430" w:hRule="exact"/>
        </w:trPr>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6"/>
              <w:ind w:right="98"/>
              <w:jc w:val="right"/>
              <w:rPr>
                <w:rFonts w:ascii="宋体" w:hAnsi="宋体" w:cs="宋体" w:eastAsia="宋体" w:hint="default"/>
                <w:sz w:val="18"/>
                <w:szCs w:val="18"/>
              </w:rPr>
            </w:pPr>
            <w:r>
              <w:rPr>
                <w:rFonts w:ascii="宋体" w:hAnsi="宋体" w:cs="宋体" w:eastAsia="宋体" w:hint="default"/>
                <w:spacing w:val="-10"/>
                <w:sz w:val="18"/>
                <w:szCs w:val="18"/>
              </w:rPr>
              <w:t>终止经营净利润（净亏以“</w:t>
            </w:r>
            <w:r>
              <w:rPr>
                <w:rFonts w:ascii="宋体" w:hAnsi="宋体" w:cs="宋体" w:eastAsia="宋体" w:hint="default"/>
                <w:spacing w:val="-10"/>
                <w:sz w:val="18"/>
                <w:szCs w:val="18"/>
              </w:rPr>
              <w:t>-</w:t>
            </w:r>
            <w:r>
              <w:rPr>
                <w:rFonts w:ascii="宋体" w:hAnsi="宋体" w:cs="宋体" w:eastAsia="宋体" w:hint="default"/>
                <w:spacing w:val="-10"/>
                <w:sz w:val="18"/>
                <w:szCs w:val="18"/>
              </w:rPr>
              <w:t>”号填列</w:t>
            </w:r>
          </w:p>
        </w:tc>
        <w:tc>
          <w:tcPr>
            <w:tcW w:w="12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6"/>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2542"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32"/>
          <w:pgSz w:w="11910" w:h="16840"/>
          <w:pgMar w:footer="979" w:header="877"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315"/>
        <w:gridCol w:w="1255"/>
        <w:gridCol w:w="2542"/>
        <w:gridCol w:w="2542"/>
      </w:tblGrid>
      <w:tr>
        <w:trPr>
          <w:trHeight w:val="428" w:hRule="exact"/>
        </w:trPr>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6"/>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left="48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6"/>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五、其他综合收益的税后净额</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-8,172,328.40</w:t>
            </w: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w:t>
            </w:r>
          </w:p>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其他权益工具投资公允价值变动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企业自身信用风险公允价值变动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w:t>
            </w:r>
          </w:p>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-8,172,328.40</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-8,172,328.40</w:t>
            </w:r>
          </w:p>
        </w:tc>
      </w:tr>
      <w:tr>
        <w:trPr>
          <w:trHeight w:val="727"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8" w:firstLine="36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 金融资产损益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其他债权投资公允价值变动</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8" w:firstLine="362"/>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金融资产重分类计入其他综合收益 的金额</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其他债权投资信用减值准备</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现金流量套期准备</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8" w:firstLine="362"/>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一揽子处置子公司在丧失控制权之 前产生的处置收益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319" w:lineRule="auto" w:before="63"/>
              <w:ind w:left="31" w:right="8" w:firstLine="362"/>
              <w:jc w:val="left"/>
              <w:rPr>
                <w:rFonts w:ascii="宋体" w:hAnsi="宋体" w:cs="宋体" w:eastAsia="宋体" w:hint="default"/>
                <w:sz w:val="18"/>
                <w:szCs w:val="18"/>
              </w:rPr>
            </w:pPr>
            <w:r>
              <w:rPr>
                <w:rFonts w:ascii="宋体" w:hAnsi="宋体" w:cs="宋体" w:eastAsia="宋体" w:hint="default"/>
                <w:spacing w:val="6"/>
                <w:sz w:val="18"/>
                <w:szCs w:val="18"/>
              </w:rPr>
              <w:t>10.</w:t>
            </w:r>
            <w:r>
              <w:rPr>
                <w:rFonts w:ascii="宋体" w:hAnsi="宋体" w:cs="宋体" w:eastAsia="宋体" w:hint="default"/>
                <w:spacing w:val="6"/>
                <w:sz w:val="18"/>
                <w:szCs w:val="18"/>
              </w:rPr>
              <w:t>其他资产转换为公允价值模式计</w:t>
            </w:r>
            <w:r>
              <w:rPr>
                <w:rFonts w:ascii="宋体" w:hAnsi="宋体" w:cs="宋体" w:eastAsia="宋体" w:hint="default"/>
                <w:sz w:val="18"/>
                <w:szCs w:val="18"/>
              </w:rPr>
              <w:t> 量的投资性房地产</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其他</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六、综合收益总额</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1426" w:right="0"/>
              <w:jc w:val="left"/>
              <w:rPr>
                <w:rFonts w:ascii="Times New Roman" w:hAnsi="Times New Roman" w:cs="Times New Roman" w:eastAsia="Times New Roman" w:hint="default"/>
                <w:sz w:val="18"/>
                <w:szCs w:val="18"/>
              </w:rPr>
            </w:pPr>
            <w:r>
              <w:rPr>
                <w:rFonts w:ascii="Times New Roman"/>
                <w:sz w:val="18"/>
              </w:rPr>
              <w:t>-36,843,507.22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12,938,280.06</w:t>
            </w: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七、每股收益：</w:t>
            </w:r>
            <w:r>
              <w:rPr>
                <w:rFonts w:ascii="Microsoft JhengHei" w:hAnsi="Microsoft JhengHei" w:cs="Microsoft JhengHei" w:eastAsia="Microsoft JhengHei" w:hint="default"/>
                <w:sz w:val="18"/>
                <w:szCs w:val="18"/>
              </w:rPr>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0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55"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30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55"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nil" w:sz="6" w:space="0" w:color="auto"/>
            </w:tcBorders>
          </w:tcPr>
          <w:p>
            <w:pP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14"/>
          <w:szCs w:val="14"/>
        </w:rPr>
      </w:pPr>
    </w:p>
    <w:p>
      <w:pPr>
        <w:tabs>
          <w:tab w:pos="3393" w:val="left" w:leader="none"/>
          <w:tab w:pos="7265"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footerReference w:type="default" r:id="rId33"/>
          <w:pgSz w:w="11910" w:h="16840"/>
          <w:pgMar w:footer="979" w:header="877" w:top="1100" w:bottom="1160" w:left="980" w:right="0"/>
          <w:pgNumType w:start="101"/>
        </w:sectPr>
      </w:pPr>
    </w:p>
    <w:p>
      <w:pPr>
        <w:spacing w:line="240" w:lineRule="auto" w:before="9"/>
        <w:rPr>
          <w:rFonts w:ascii="宋体" w:hAnsi="宋体" w:cs="宋体" w:eastAsia="宋体" w:hint="default"/>
          <w:sz w:val="18"/>
          <w:szCs w:val="18"/>
        </w:rPr>
      </w:pPr>
    </w:p>
    <w:p>
      <w:pPr>
        <w:spacing w:line="314" w:lineRule="exact" w:before="3"/>
        <w:ind w:left="3708" w:right="468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合并现金流量表</w:t>
      </w:r>
      <w:r>
        <w:rPr>
          <w:rFonts w:ascii="Microsoft JhengHei" w:hAnsi="Microsoft JhengHei" w:cs="Microsoft JhengHei" w:eastAsia="Microsoft JhengHei" w:hint="default"/>
          <w:sz w:val="18"/>
          <w:szCs w:val="18"/>
        </w:rPr>
      </w:r>
    </w:p>
    <w:p>
      <w:pPr>
        <w:spacing w:line="276" w:lineRule="exact" w:before="0"/>
        <w:ind w:left="0" w:right="98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0" w:right="982"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3843"/>
        <w:gridCol w:w="1135"/>
        <w:gridCol w:w="2146"/>
        <w:gridCol w:w="2530"/>
      </w:tblGrid>
      <w:tr>
        <w:trPr>
          <w:trHeight w:val="473"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tabs>
                <w:tab w:pos="1075" w:val="left" w:leader="none"/>
                <w:tab w:pos="1749" w:val="left" w:leader="none"/>
              </w:tabs>
              <w:spacing w:line="240" w:lineRule="auto" w:before="87"/>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dotted"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t>项目</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7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5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204"/>
              <w:jc w:val="right"/>
              <w:rPr>
                <w:rFonts w:ascii="宋体" w:hAnsi="宋体" w:cs="宋体" w:eastAsia="宋体" w:hint="default"/>
                <w:sz w:val="18"/>
                <w:szCs w:val="18"/>
              </w:rPr>
            </w:pPr>
            <w:r>
              <w:rPr>
                <w:rFonts w:ascii="宋体" w:hAnsi="宋体" w:cs="宋体" w:eastAsia="宋体" w:hint="default"/>
                <w:spacing w:val="-1"/>
                <w:sz w:val="18"/>
                <w:szCs w:val="18"/>
              </w:rPr>
              <w:t>处置交易目的而持有的金融资产净增加额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4,539,827,122.39</w:t>
            </w: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2,257,562,525.03</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1,463,767,410.96</w:t>
            </w:r>
          </w:p>
        </w:tc>
      </w:tr>
      <w:tr>
        <w:trPr>
          <w:trHeight w:val="416"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39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5,000,000.00</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895,000,000.00</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6,614,281,762.46</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返售业务资金净减少额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融出资金净减少额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491,648,845.18</w:t>
            </w: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2,260,472,275.87</w:t>
            </w: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461,475.66</w:t>
            </w: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66</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376,529,884.19</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645,530,931.67</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9,439,853,283.14</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10,110,228,950.27</w:t>
            </w: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3,763,958.20</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11,166,177.17</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204"/>
              <w:jc w:val="right"/>
              <w:rPr>
                <w:rFonts w:ascii="宋体" w:hAnsi="宋体" w:cs="宋体" w:eastAsia="宋体" w:hint="default"/>
                <w:sz w:val="18"/>
                <w:szCs w:val="18"/>
              </w:rPr>
            </w:pPr>
            <w:r>
              <w:rPr>
                <w:rFonts w:ascii="宋体" w:hAnsi="宋体" w:cs="宋体" w:eastAsia="宋体" w:hint="default"/>
                <w:spacing w:val="-1"/>
                <w:sz w:val="18"/>
                <w:szCs w:val="18"/>
              </w:rPr>
              <w:t>取得交易目的而持有的金融资产净增加额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31" w:right="9" w:firstLine="36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 的金融资产的净减少额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6,226,697,699.51</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拆入资金净减少额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回购业务资金净减少额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1,137,653,202.11</w:t>
            </w: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返售业务资金净增加额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682,865,897.05</w:t>
            </w: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融出资金净增加额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2,294,313,549.66</w:t>
            </w: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代理买卖证券支付的现金净额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732,019,222.73</w:t>
            </w: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462,026,803.69</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372,048,985.36</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897,983,312.71</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574,382,869.04</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220,790,776.06</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209,268,257.80</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66</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1,318,657,286.29</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313,192,758.41</w:t>
            </w: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7,018,054,785.77</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8,438,775,970.02</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2,421,798,497.37</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1,671,452,980.25</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2,108,109,296.83</w:t>
            </w:r>
          </w:p>
        </w:tc>
        <w:tc>
          <w:tcPr>
            <w:tcW w:w="2530" w:type="dxa"/>
            <w:tcBorders>
              <w:top w:val="dotted" w:sz="4" w:space="0" w:color="000000"/>
              <w:left w:val="dotted" w:sz="4" w:space="0" w:color="000000"/>
              <w:bottom w:val="nil" w:sz="6" w:space="0" w:color="auto"/>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76,051,178.88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843"/>
        <w:gridCol w:w="1135"/>
        <w:gridCol w:w="2146"/>
        <w:gridCol w:w="2530"/>
      </w:tblGrid>
      <w:tr>
        <w:trPr>
          <w:trHeight w:val="473" w:hRule="exact"/>
        </w:trPr>
        <w:tc>
          <w:tcPr>
            <w:tcW w:w="38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7"/>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7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5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130,586,350.68</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158,834,122.90</w:t>
            </w:r>
          </w:p>
        </w:tc>
      </w:tr>
      <w:tr>
        <w:trPr>
          <w:trHeight w:val="727"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9" w:firstLine="36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 回的现金净额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173,338.72</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69,259.20</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24"/>
              <w:jc w:val="right"/>
              <w:rPr>
                <w:rFonts w:ascii="宋体" w:hAnsi="宋体" w:cs="宋体" w:eastAsia="宋体" w:hint="default"/>
                <w:sz w:val="18"/>
                <w:szCs w:val="18"/>
              </w:rPr>
            </w:pPr>
            <w:r>
              <w:rPr>
                <w:rFonts w:ascii="宋体" w:hAnsi="宋体" w:cs="宋体" w:eastAsia="宋体" w:hint="default"/>
                <w:spacing w:val="-1"/>
                <w:sz w:val="18"/>
                <w:szCs w:val="18"/>
              </w:rPr>
              <w:t>处置子公司及其他营业单位收到的现金净额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2,238,868,986.23</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234,954,560.98</w:t>
            </w:r>
          </w:p>
        </w:tc>
      </w:tr>
      <w:tr>
        <w:trPr>
          <w:trHeight w:val="72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319" w:lineRule="auto" w:before="63"/>
              <w:ind w:left="31" w:right="9" w:firstLine="362"/>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 付的现金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224,222,621.92</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201,354,017.18</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795,776,631.39</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723,849,604.88</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24"/>
              <w:jc w:val="right"/>
              <w:rPr>
                <w:rFonts w:ascii="宋体" w:hAnsi="宋体" w:cs="宋体" w:eastAsia="宋体" w:hint="default"/>
                <w:sz w:val="18"/>
                <w:szCs w:val="18"/>
              </w:rPr>
            </w:pPr>
            <w:r>
              <w:rPr>
                <w:rFonts w:ascii="宋体" w:hAnsi="宋体" w:cs="宋体" w:eastAsia="宋体" w:hint="default"/>
                <w:spacing w:val="-1"/>
                <w:sz w:val="18"/>
                <w:szCs w:val="18"/>
              </w:rPr>
              <w:t>取得子公司及其他营业单位支付的现金净额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20,000.00</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503,956.15</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1,020,019,253.31</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925,707,578.21</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投资活动产生的现金流量净额</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1,218,849,732.92</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-690,753,017.23</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101,387,377.95</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发行债券收到的现金</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5,307,724,596.00</w:t>
            </w: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66</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60,000,000.00</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21,888,300.25</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5,367,724,596.00</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123,275,678.20</w:t>
            </w: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6,706,668,419.80</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113,326,056.50</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9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366,376,941.42</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372,857,103.02</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24"/>
              <w:jc w:val="right"/>
              <w:rPr>
                <w:rFonts w:ascii="宋体" w:hAnsi="宋体" w:cs="宋体" w:eastAsia="宋体" w:hint="default"/>
                <w:sz w:val="18"/>
                <w:szCs w:val="18"/>
              </w:rPr>
            </w:pPr>
            <w:r>
              <w:rPr>
                <w:rFonts w:ascii="宋体" w:hAnsi="宋体" w:cs="宋体" w:eastAsia="宋体" w:hint="default"/>
                <w:spacing w:val="-1"/>
                <w:sz w:val="18"/>
                <w:szCs w:val="18"/>
              </w:rPr>
              <w:t>其中：子公司支付给少数股东的股利、利润</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3"/>
                <w:sz w:val="18"/>
                <w:szCs w:val="18"/>
              </w:rPr>
              <w:t> </w:t>
            </w:r>
            <w:r>
              <w:rPr>
                <w:rFonts w:ascii="宋体" w:hAnsi="宋体" w:cs="宋体" w:eastAsia="宋体" w:hint="default"/>
                <w:sz w:val="18"/>
                <w:szCs w:val="18"/>
              </w:rPr>
              <w:t>66</w:t>
            </w:r>
          </w:p>
        </w:tc>
        <w:tc>
          <w:tcPr>
            <w:tcW w:w="2146" w:type="dxa"/>
            <w:tcBorders>
              <w:top w:val="dotted" w:sz="4" w:space="0" w:color="000000"/>
              <w:left w:val="dotted" w:sz="4" w:space="0" w:color="000000"/>
              <w:bottom w:val="dotted" w:sz="4" w:space="0" w:color="000000"/>
              <w:right w:val="dotted" w:sz="4" w:space="0" w:color="000000"/>
            </w:tcBorders>
          </w:tcPr>
          <w:p>
            <w:pP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661,277,853.83</w:t>
            </w:r>
          </w:p>
        </w:tc>
      </w:tr>
      <w:tr>
        <w:trPr>
          <w:trHeight w:val="416"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7,073,045,361.22</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1,147,461,013.35</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筹资活动产生的现金流量净额</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-1,705,320,765.22</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-1,024,185,335.15</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四、汇率变动对现金及现金等价物的影响</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352,836.26</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2,261,437.21</w:t>
            </w:r>
          </w:p>
        </w:tc>
      </w:tr>
      <w:tr>
        <w:trPr>
          <w:trHeight w:val="418"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1,935,680,301.33</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-41,223,934.92</w:t>
            </w:r>
          </w:p>
        </w:tc>
      </w:tr>
      <w:tr>
        <w:trPr>
          <w:trHeight w:val="415" w:hRule="exact"/>
        </w:trPr>
        <w:tc>
          <w:tcPr>
            <w:tcW w:w="38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35" w:type="dxa"/>
            <w:tcBorders>
              <w:top w:val="dotted" w:sz="4" w:space="0" w:color="000000"/>
              <w:left w:val="dotted" w:sz="4" w:space="0" w:color="000000"/>
              <w:bottom w:val="dotted" w:sz="4" w:space="0" w:color="000000"/>
              <w:right w:val="dotted" w:sz="4" w:space="0" w:color="000000"/>
            </w:tcBorders>
          </w:tcPr>
          <w:p>
            <w:pP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6,218,667,719.09</w:t>
            </w:r>
          </w:p>
        </w:tc>
        <w:tc>
          <w:tcPr>
            <w:tcW w:w="2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6,259,891,654.01</w:t>
            </w:r>
          </w:p>
        </w:tc>
      </w:tr>
      <w:tr>
        <w:trPr>
          <w:trHeight w:val="430" w:hRule="exact"/>
        </w:trPr>
        <w:tc>
          <w:tcPr>
            <w:tcW w:w="38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六、期末现金及现金等价物余额</w:t>
            </w:r>
            <w:r>
              <w:rPr>
                <w:rFonts w:ascii="Microsoft JhengHei" w:hAnsi="Microsoft JhengHei" w:cs="Microsoft JhengHei" w:eastAsia="Microsoft JhengHei" w:hint="default"/>
                <w:sz w:val="18"/>
                <w:szCs w:val="18"/>
              </w:rPr>
            </w:r>
          </w:p>
        </w:tc>
        <w:tc>
          <w:tcPr>
            <w:tcW w:w="1135" w:type="dxa"/>
            <w:tcBorders>
              <w:top w:val="dotted" w:sz="4" w:space="0" w:color="000000"/>
              <w:left w:val="dotted" w:sz="4" w:space="0" w:color="000000"/>
              <w:bottom w:val="single" w:sz="12" w:space="0" w:color="000000"/>
              <w:right w:val="dotted" w:sz="4" w:space="0" w:color="000000"/>
            </w:tcBorders>
          </w:tcPr>
          <w:p>
            <w:pPr/>
          </w:p>
        </w:tc>
        <w:tc>
          <w:tcPr>
            <w:tcW w:w="21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8,154,348,020.42</w:t>
            </w:r>
          </w:p>
        </w:tc>
        <w:tc>
          <w:tcPr>
            <w:tcW w:w="25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6,218,667,719.09</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393" w:val="left" w:leader="none"/>
          <w:tab w:pos="7174" w:val="left" w:leader="none"/>
        </w:tabs>
        <w:spacing w:before="153"/>
        <w:ind w:left="152"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8"/>
          <w:szCs w:val="18"/>
        </w:rPr>
      </w:pPr>
    </w:p>
    <w:p>
      <w:pPr>
        <w:spacing w:line="314" w:lineRule="exact" w:before="3"/>
        <w:ind w:left="3708" w:right="468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母公司现金流量表</w:t>
      </w:r>
      <w:r>
        <w:rPr>
          <w:rFonts w:ascii="Microsoft JhengHei" w:hAnsi="Microsoft JhengHei" w:cs="Microsoft JhengHei" w:eastAsia="Microsoft JhengHei" w:hint="default"/>
          <w:sz w:val="18"/>
          <w:szCs w:val="18"/>
        </w:rPr>
      </w:r>
    </w:p>
    <w:p>
      <w:pPr>
        <w:spacing w:line="276" w:lineRule="exact" w:before="0"/>
        <w:ind w:left="0" w:right="98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0" w:right="982"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23" w:type="dxa"/>
        <w:tblLayout w:type="fixed"/>
        <w:tblCellMar>
          <w:top w:w="0" w:type="dxa"/>
          <w:left w:w="0" w:type="dxa"/>
          <w:bottom w:w="0" w:type="dxa"/>
          <w:right w:w="0" w:type="dxa"/>
        </w:tblCellMar>
        <w:tblLook w:val="01E0"/>
      </w:tblPr>
      <w:tblGrid>
        <w:gridCol w:w="3829"/>
        <w:gridCol w:w="991"/>
        <w:gridCol w:w="2292"/>
        <w:gridCol w:w="2542"/>
      </w:tblGrid>
      <w:tr>
        <w:trPr>
          <w:trHeight w:val="427" w:hRule="exact"/>
        </w:trPr>
        <w:tc>
          <w:tcPr>
            <w:tcW w:w="38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2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5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461,475.66</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23,470,981.26</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15,303,293.65</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48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23,932,456.92</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pacing w:val="-1"/>
                <w:sz w:val="18"/>
              </w:rPr>
              <w:t>15,303,293.65</w:t>
            </w: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13,682,980.74</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13,648,263.83</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w w:val="95"/>
                <w:sz w:val="18"/>
              </w:rPr>
              <w:t>7,362.68</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49,057.62</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47,384,947.17</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49,305,096.95</w:t>
            </w: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61,075,290.59</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63,002,418.40</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4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-37,142,833.67</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-47,699,124.75</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2,075,000,000.00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510,586,350.68</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156,778,252.93</w:t>
            </w:r>
          </w:p>
        </w:tc>
      </w:tr>
      <w:tr>
        <w:trPr>
          <w:trHeight w:val="730"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31" w:right="5" w:firstLine="451"/>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w:t>
            </w:r>
            <w:r>
              <w:rPr>
                <w:rFonts w:ascii="宋体" w:hAnsi="宋体" w:cs="宋体" w:eastAsia="宋体" w:hint="default"/>
                <w:sz w:val="18"/>
                <w:szCs w:val="18"/>
              </w:rPr>
              <w:t> 回的现金净额</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2,012,528.42</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pacing w:val="4"/>
                <w:sz w:val="18"/>
                <w:szCs w:val="18"/>
              </w:rPr>
              <w:t>处置子公司及其他营业单位收到的现金净</w:t>
            </w:r>
          </w:p>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434,732,753.38</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1,330,967,479.05</w:t>
            </w: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3,022,331,632.48</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1,493,745,731.98</w:t>
            </w:r>
          </w:p>
        </w:tc>
      </w:tr>
      <w:tr>
        <w:trPr>
          <w:trHeight w:val="730"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6"/>
              <w:ind w:left="31" w:right="5" w:firstLine="451"/>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w:t>
            </w:r>
            <w:r>
              <w:rPr>
                <w:rFonts w:ascii="宋体" w:hAnsi="宋体" w:cs="宋体" w:eastAsia="宋体" w:hint="default"/>
                <w:sz w:val="18"/>
                <w:szCs w:val="18"/>
              </w:rPr>
              <w:t> 付的现金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41,722.00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3,608,726.54</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634,910,000.00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489,340,000.00</w:t>
            </w:r>
          </w:p>
        </w:tc>
      </w:tr>
      <w:tr>
        <w:trPr>
          <w:trHeight w:val="730"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pacing w:val="4"/>
                <w:sz w:val="18"/>
                <w:szCs w:val="18"/>
              </w:rPr>
              <w:t>取得子公司及其他营业单位支付的现金净</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199,004,132.00</w:t>
            </w: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228,947,585.67</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863,899,307.67</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691,952,858.54</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4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投资活动产生的现金流量净额</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2,158,432,324.81</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801,792,873.44</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38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1" w:type="dxa"/>
            <w:tcBorders>
              <w:top w:val="dotted" w:sz="4" w:space="0" w:color="000000"/>
              <w:left w:val="dotted" w:sz="4" w:space="0" w:color="000000"/>
              <w:bottom w:val="single" w:sz="12" w:space="0" w:color="000000"/>
              <w:right w:val="dotted" w:sz="4" w:space="0" w:color="000000"/>
            </w:tcBorders>
          </w:tcPr>
          <w:p>
            <w:pPr/>
          </w:p>
        </w:tc>
        <w:tc>
          <w:tcPr>
            <w:tcW w:w="2292" w:type="dxa"/>
            <w:tcBorders>
              <w:top w:val="dotted" w:sz="4" w:space="0" w:color="000000"/>
              <w:left w:val="dotted" w:sz="4" w:space="0" w:color="000000"/>
              <w:bottom w:val="single" w:sz="12" w:space="0" w:color="000000"/>
              <w:right w:val="dotted" w:sz="4" w:space="0" w:color="000000"/>
            </w:tcBorders>
          </w:tcPr>
          <w:p>
            <w:pPr/>
          </w:p>
        </w:tc>
        <w:tc>
          <w:tcPr>
            <w:tcW w:w="254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829"/>
        <w:gridCol w:w="991"/>
        <w:gridCol w:w="2292"/>
        <w:gridCol w:w="2542"/>
      </w:tblGrid>
      <w:tr>
        <w:trPr>
          <w:trHeight w:val="428" w:hRule="exact"/>
        </w:trPr>
        <w:tc>
          <w:tcPr>
            <w:tcW w:w="38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6"/>
              <w:ind w:left="2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left="35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6"/>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101,387,377.95</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258,807,400.00</w:t>
            </w:r>
          </w:p>
        </w:tc>
        <w:tc>
          <w:tcPr>
            <w:tcW w:w="25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258,807,400.00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101,387,377.95</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2,183,482,309.80</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113,326,056.50</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268,947,073.74</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301,412,056.39</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661,277,853.83</w:t>
            </w: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2,452,429,383.54</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1,076,015,966.72</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left="4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筹资活动产生的现金流量净额</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-2,193,621,983.54</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-974,628,588.77</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四、汇率变动对现金及现金等价物的影响</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0.45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-66,242.36</w:t>
            </w:r>
          </w:p>
        </w:tc>
      </w:tr>
      <w:tr>
        <w:trPr>
          <w:trHeight w:val="418"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-72,332,491.95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-220,601,082.44</w:t>
            </w:r>
          </w:p>
        </w:tc>
      </w:tr>
      <w:tr>
        <w:trPr>
          <w:trHeight w:val="415" w:hRule="exact"/>
        </w:trPr>
        <w:tc>
          <w:tcPr>
            <w:tcW w:w="3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加：期初现金及现金等价物余额</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218,799,836.13</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439,400,918.57</w:t>
            </w:r>
          </w:p>
        </w:tc>
      </w:tr>
      <w:tr>
        <w:trPr>
          <w:trHeight w:val="430" w:hRule="exact"/>
        </w:trPr>
        <w:tc>
          <w:tcPr>
            <w:tcW w:w="38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六、期末现金及现金等价物余额</w:t>
            </w:r>
            <w:r>
              <w:rPr>
                <w:rFonts w:ascii="Microsoft JhengHei" w:hAnsi="Microsoft JhengHei" w:cs="Microsoft JhengHei" w:eastAsia="Microsoft JhengHei" w:hint="default"/>
                <w:sz w:val="18"/>
                <w:szCs w:val="18"/>
              </w:rPr>
            </w:r>
          </w:p>
        </w:tc>
        <w:tc>
          <w:tcPr>
            <w:tcW w:w="991" w:type="dxa"/>
            <w:tcBorders>
              <w:top w:val="dotted" w:sz="4" w:space="0" w:color="000000"/>
              <w:left w:val="dotted" w:sz="4" w:space="0" w:color="000000"/>
              <w:bottom w:val="single" w:sz="12" w:space="0" w:color="000000"/>
              <w:right w:val="dotted" w:sz="4" w:space="0" w:color="000000"/>
            </w:tcBorders>
          </w:tcPr>
          <w:p>
            <w:pPr/>
          </w:p>
        </w:tc>
        <w:tc>
          <w:tcPr>
            <w:tcW w:w="22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146,467,344.18</w:t>
            </w:r>
          </w:p>
        </w:tc>
        <w:tc>
          <w:tcPr>
            <w:tcW w:w="25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218,799,836.13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1"/>
        <w:rPr>
          <w:rFonts w:ascii="宋体" w:hAnsi="宋体" w:cs="宋体" w:eastAsia="宋体" w:hint="default"/>
          <w:sz w:val="14"/>
          <w:szCs w:val="14"/>
        </w:rPr>
      </w:pPr>
    </w:p>
    <w:p>
      <w:pPr>
        <w:tabs>
          <w:tab w:pos="3393" w:val="left" w:leader="none"/>
          <w:tab w:pos="7174"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before="17"/>
        <w:ind w:left="5388" w:right="5385" w:firstLine="0"/>
        <w:jc w:val="center"/>
        <w:rPr>
          <w:rFonts w:ascii="Microsoft JhengHei" w:hAnsi="Microsoft JhengHei" w:cs="Microsoft JhengHei" w:eastAsia="Microsoft JhengHei" w:hint="default"/>
          <w:sz w:val="18"/>
          <w:szCs w:val="18"/>
        </w:rPr>
      </w:pPr>
      <w:r>
        <w:rPr/>
        <w:pict>
          <v:group style="position:absolute;margin-left:70.559998pt;margin-top:2.205227pt;width:700.95pt;height:.1pt;mso-position-horizontal-relative:page;mso-position-vertical-relative:paragraph;z-index:-1330432"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合并所有者权益变动表</w:t>
      </w:r>
      <w:r>
        <w:rPr>
          <w:rFonts w:ascii="Microsoft JhengHei" w:hAnsi="Microsoft JhengHei" w:cs="Microsoft JhengHei" w:eastAsia="Microsoft JhengHei" w:hint="default"/>
          <w:sz w:val="18"/>
          <w:szCs w:val="18"/>
        </w:rPr>
      </w:r>
    </w:p>
    <w:p>
      <w:pPr>
        <w:spacing w:line="293" w:lineRule="exact" w:before="0"/>
        <w:ind w:left="5388" w:right="5388"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5388" w:right="5389" w:firstLine="0"/>
        <w:jc w:val="center"/>
        <w:rPr>
          <w:rFonts w:ascii="Microsoft JhengHei" w:hAnsi="Microsoft JhengHei" w:cs="Microsoft JhengHei" w:eastAsia="Microsoft JhengHei" w:hint="default"/>
          <w:sz w:val="18"/>
          <w:szCs w:val="18"/>
        </w:rPr>
      </w:pPr>
      <w:r>
        <w:rPr/>
        <w:pict>
          <v:group style="position:absolute;margin-left:142.660004pt;margin-top:3.202847pt;width:11.35pt;height:.1pt;mso-position-horizontal-relative:page;mso-position-vertical-relative:paragraph;z-index:2176" coordorigin="2853,64" coordsize="227,2">
            <v:shape style="position:absolute;left:2853;top:64;width:227;height:2" coordorigin="2853,64" coordsize="227,0" path="m2853,64l3080,64e" filled="false" stroked="true" strokeweight=".48pt" strokecolor="#000000">
              <v:path arrowok="t"/>
              <v:stroke dashstyle="dash"/>
            </v:shape>
            <w10:wrap type="none"/>
          </v:group>
        </w:pict>
      </w: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2184"/>
        <w:gridCol w:w="1044"/>
        <w:gridCol w:w="555"/>
        <w:gridCol w:w="578"/>
        <w:gridCol w:w="569"/>
        <w:gridCol w:w="1159"/>
        <w:gridCol w:w="578"/>
        <w:gridCol w:w="1085"/>
        <w:gridCol w:w="542"/>
        <w:gridCol w:w="953"/>
        <w:gridCol w:w="1479"/>
        <w:gridCol w:w="1313"/>
        <w:gridCol w:w="797"/>
        <w:gridCol w:w="1138"/>
      </w:tblGrid>
      <w:tr>
        <w:trPr>
          <w:trHeight w:val="427" w:hRule="exact"/>
        </w:trPr>
        <w:tc>
          <w:tcPr>
            <w:tcW w:w="218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spacing w:val="1"/>
                <w:sz w:val="13"/>
                <w:szCs w:val="13"/>
              </w:rPr>
              <w:t> </w:t>
            </w:r>
            <w:r>
              <w:rPr>
                <w:rFonts w:ascii="宋体" w:hAnsi="宋体" w:cs="宋体" w:eastAsia="宋体" w:hint="default"/>
                <w:sz w:val="13"/>
                <w:szCs w:val="13"/>
              </w:rPr>
              <w:t>目</w:t>
            </w:r>
          </w:p>
        </w:tc>
        <w:tc>
          <w:tcPr>
            <w:tcW w:w="11791" w:type="dxa"/>
            <w:gridSpan w:val="13"/>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right="7"/>
              <w:jc w:val="center"/>
              <w:rPr>
                <w:rFonts w:ascii="宋体" w:hAnsi="宋体" w:cs="宋体" w:eastAsia="宋体" w:hint="default"/>
                <w:sz w:val="13"/>
                <w:szCs w:val="13"/>
              </w:rPr>
            </w:pPr>
            <w:r>
              <w:rPr>
                <w:rFonts w:ascii="宋体" w:hAnsi="宋体" w:cs="宋体" w:eastAsia="宋体" w:hint="default"/>
                <w:sz w:val="13"/>
                <w:szCs w:val="13"/>
              </w:rPr>
              <w:t>本期金额</w:t>
            </w:r>
          </w:p>
        </w:tc>
      </w:tr>
      <w:tr>
        <w:trPr>
          <w:trHeight w:val="437" w:hRule="exact"/>
        </w:trPr>
        <w:tc>
          <w:tcPr>
            <w:tcW w:w="2184" w:type="dxa"/>
            <w:vMerge/>
            <w:tcBorders>
              <w:left w:val="nil" w:sz="6" w:space="0" w:color="auto"/>
              <w:right w:val="dotted" w:sz="4" w:space="0" w:color="000000"/>
            </w:tcBorders>
          </w:tcPr>
          <w:p>
            <w:pPr/>
          </w:p>
        </w:tc>
        <w:tc>
          <w:tcPr>
            <w:tcW w:w="9856" w:type="dxa"/>
            <w:gridSpan w:val="11"/>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797"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436" w:lineRule="auto"/>
              <w:ind w:left="328" w:right="71" w:hanging="262"/>
              <w:jc w:val="left"/>
              <w:rPr>
                <w:rFonts w:ascii="宋体" w:hAnsi="宋体" w:cs="宋体" w:eastAsia="宋体" w:hint="default"/>
                <w:sz w:val="13"/>
                <w:szCs w:val="13"/>
              </w:rPr>
            </w:pPr>
            <w:r>
              <w:rPr>
                <w:rFonts w:ascii="宋体" w:hAnsi="宋体" w:cs="宋体" w:eastAsia="宋体" w:hint="default"/>
                <w:sz w:val="13"/>
                <w:szCs w:val="13"/>
              </w:rPr>
              <w:t>少数股东权</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1138"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346" w:hRule="exact"/>
        </w:trPr>
        <w:tc>
          <w:tcPr>
            <w:tcW w:w="2184" w:type="dxa"/>
            <w:vMerge/>
            <w:tcBorders>
              <w:left w:val="nil" w:sz="6" w:space="0" w:color="auto"/>
              <w:right w:val="dotted" w:sz="4" w:space="0" w:color="000000"/>
            </w:tcBorders>
          </w:tcPr>
          <w:p>
            <w:pPr/>
          </w:p>
        </w:tc>
        <w:tc>
          <w:tcPr>
            <w:tcW w:w="1044" w:type="dxa"/>
            <w:vMerge w:val="restart"/>
            <w:tcBorders>
              <w:top w:val="dotted" w:sz="4" w:space="0" w:color="000000"/>
              <w:left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702"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left="454"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59" w:type="dxa"/>
            <w:vMerge w:val="restart"/>
            <w:tcBorders>
              <w:top w:val="dotted" w:sz="4" w:space="0" w:color="000000"/>
              <w:left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31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78" w:type="dxa"/>
            <w:vMerge w:val="restart"/>
            <w:tcBorders>
              <w:top w:val="dotted" w:sz="4" w:space="0" w:color="000000"/>
              <w:left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441" w:lineRule="auto"/>
              <w:ind w:left="218" w:right="24" w:hanging="195"/>
              <w:jc w:val="left"/>
              <w:rPr>
                <w:rFonts w:ascii="宋体" w:hAnsi="宋体" w:cs="宋体" w:eastAsia="宋体" w:hint="default"/>
                <w:sz w:val="13"/>
                <w:szCs w:val="13"/>
              </w:rPr>
            </w:pPr>
            <w:r>
              <w:rPr>
                <w:rFonts w:ascii="宋体" w:hAnsi="宋体" w:cs="宋体" w:eastAsia="宋体" w:hint="default"/>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085" w:type="dxa"/>
            <w:vMerge w:val="restart"/>
            <w:tcBorders>
              <w:top w:val="dotted" w:sz="4" w:space="0" w:color="000000"/>
              <w:left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146"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42" w:type="dxa"/>
            <w:vMerge w:val="restart"/>
            <w:tcBorders>
              <w:top w:val="dotted" w:sz="4" w:space="0" w:color="000000"/>
              <w:left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441" w:lineRule="auto"/>
              <w:ind w:left="201" w:right="72" w:hanging="132"/>
              <w:jc w:val="left"/>
              <w:rPr>
                <w:rFonts w:ascii="宋体" w:hAnsi="宋体" w:cs="宋体" w:eastAsia="宋体" w:hint="default"/>
                <w:sz w:val="13"/>
                <w:szCs w:val="13"/>
              </w:rPr>
            </w:pPr>
            <w:r>
              <w:rPr>
                <w:rFonts w:ascii="宋体" w:hAnsi="宋体" w:cs="宋体" w:eastAsia="宋体" w:hint="default"/>
                <w:sz w:val="13"/>
                <w:szCs w:val="13"/>
              </w:rPr>
              <w:t>专项储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953" w:type="dxa"/>
            <w:vMerge w:val="restart"/>
            <w:tcBorders>
              <w:top w:val="dotted" w:sz="4" w:space="0" w:color="000000"/>
              <w:left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21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479" w:type="dxa"/>
            <w:vMerge w:val="restart"/>
            <w:tcBorders>
              <w:top w:val="dotted" w:sz="4" w:space="0" w:color="000000"/>
              <w:left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343"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313" w:type="dxa"/>
            <w:vMerge w:val="restart"/>
            <w:tcBorders>
              <w:top w:val="dotted" w:sz="4" w:space="0" w:color="000000"/>
              <w:left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32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797" w:type="dxa"/>
            <w:vMerge/>
            <w:tcBorders>
              <w:left w:val="dotted" w:sz="4" w:space="0" w:color="000000"/>
              <w:right w:val="dotted" w:sz="4" w:space="0" w:color="000000"/>
            </w:tcBorders>
          </w:tcPr>
          <w:p>
            <w:pPr/>
          </w:p>
        </w:tc>
        <w:tc>
          <w:tcPr>
            <w:tcW w:w="1138" w:type="dxa"/>
            <w:vMerge/>
            <w:tcBorders>
              <w:left w:val="dotted" w:sz="4" w:space="0" w:color="000000"/>
              <w:right w:val="nil" w:sz="6" w:space="0" w:color="auto"/>
            </w:tcBorders>
          </w:tcPr>
          <w:p>
            <w:pPr/>
          </w:p>
        </w:tc>
      </w:tr>
      <w:tr>
        <w:trPr>
          <w:trHeight w:val="404" w:hRule="exact"/>
        </w:trPr>
        <w:tc>
          <w:tcPr>
            <w:tcW w:w="2184" w:type="dxa"/>
            <w:vMerge/>
            <w:tcBorders>
              <w:left w:val="nil" w:sz="6" w:space="0" w:color="auto"/>
              <w:bottom w:val="dotted" w:sz="4" w:space="0" w:color="000000"/>
              <w:right w:val="dotted" w:sz="4" w:space="0" w:color="000000"/>
            </w:tcBorders>
          </w:tcPr>
          <w:p>
            <w:pPr/>
          </w:p>
        </w:tc>
        <w:tc>
          <w:tcPr>
            <w:tcW w:w="1044" w:type="dxa"/>
            <w:vMerge/>
            <w:tcBorders>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7"/>
                <w:szCs w:val="7"/>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5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7"/>
                <w:szCs w:val="7"/>
              </w:rPr>
            </w:pPr>
          </w:p>
          <w:p>
            <w:pPr>
              <w:pStyle w:val="TableParagraph"/>
              <w:spacing w:line="240" w:lineRule="auto"/>
              <w:ind w:left="88"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7"/>
                <w:szCs w:val="7"/>
              </w:rPr>
            </w:pPr>
          </w:p>
          <w:p>
            <w:pPr>
              <w:pStyle w:val="TableParagraph"/>
              <w:spacing w:line="240" w:lineRule="auto"/>
              <w:ind w:left="14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59" w:type="dxa"/>
            <w:vMerge/>
            <w:tcBorders>
              <w:left w:val="dotted" w:sz="4" w:space="0" w:color="000000"/>
              <w:bottom w:val="dotted" w:sz="4" w:space="0" w:color="000000"/>
              <w:right w:val="dotted" w:sz="4" w:space="0" w:color="000000"/>
            </w:tcBorders>
          </w:tcPr>
          <w:p>
            <w:pPr/>
          </w:p>
        </w:tc>
        <w:tc>
          <w:tcPr>
            <w:tcW w:w="578" w:type="dxa"/>
            <w:vMerge/>
            <w:tcBorders>
              <w:left w:val="dotted" w:sz="4" w:space="0" w:color="000000"/>
              <w:bottom w:val="dotted" w:sz="4" w:space="0" w:color="000000"/>
              <w:right w:val="dotted" w:sz="4" w:space="0" w:color="000000"/>
            </w:tcBorders>
          </w:tcPr>
          <w:p>
            <w:pPr/>
          </w:p>
        </w:tc>
        <w:tc>
          <w:tcPr>
            <w:tcW w:w="1085" w:type="dxa"/>
            <w:vMerge/>
            <w:tcBorders>
              <w:left w:val="dotted" w:sz="4" w:space="0" w:color="000000"/>
              <w:bottom w:val="dotted" w:sz="4" w:space="0" w:color="000000"/>
              <w:right w:val="dotted" w:sz="4" w:space="0" w:color="000000"/>
            </w:tcBorders>
          </w:tcPr>
          <w:p>
            <w:pPr/>
          </w:p>
        </w:tc>
        <w:tc>
          <w:tcPr>
            <w:tcW w:w="542" w:type="dxa"/>
            <w:vMerge/>
            <w:tcBorders>
              <w:left w:val="dotted" w:sz="4" w:space="0" w:color="000000"/>
              <w:bottom w:val="dotted" w:sz="4" w:space="0" w:color="000000"/>
              <w:right w:val="dotted" w:sz="4" w:space="0" w:color="000000"/>
            </w:tcBorders>
          </w:tcPr>
          <w:p>
            <w:pPr/>
          </w:p>
        </w:tc>
        <w:tc>
          <w:tcPr>
            <w:tcW w:w="953" w:type="dxa"/>
            <w:vMerge/>
            <w:tcBorders>
              <w:left w:val="dotted" w:sz="4" w:space="0" w:color="000000"/>
              <w:bottom w:val="dotted" w:sz="4" w:space="0" w:color="000000"/>
              <w:right w:val="dotted" w:sz="4" w:space="0" w:color="000000"/>
            </w:tcBorders>
          </w:tcPr>
          <w:p>
            <w:pPr/>
          </w:p>
        </w:tc>
        <w:tc>
          <w:tcPr>
            <w:tcW w:w="1479" w:type="dxa"/>
            <w:vMerge/>
            <w:tcBorders>
              <w:left w:val="dotted" w:sz="4" w:space="0" w:color="000000"/>
              <w:bottom w:val="dotted" w:sz="4" w:space="0" w:color="000000"/>
              <w:right w:val="dotted" w:sz="4" w:space="0" w:color="000000"/>
            </w:tcBorders>
          </w:tcPr>
          <w:p>
            <w:pPr/>
          </w:p>
        </w:tc>
        <w:tc>
          <w:tcPr>
            <w:tcW w:w="1313" w:type="dxa"/>
            <w:vMerge/>
            <w:tcBorders>
              <w:left w:val="dotted" w:sz="4" w:space="0" w:color="000000"/>
              <w:bottom w:val="dotted" w:sz="4" w:space="0" w:color="000000"/>
              <w:right w:val="dotted" w:sz="4" w:space="0" w:color="000000"/>
            </w:tcBorders>
          </w:tcPr>
          <w:p>
            <w:pPr/>
          </w:p>
        </w:tc>
        <w:tc>
          <w:tcPr>
            <w:tcW w:w="797" w:type="dxa"/>
            <w:vMerge/>
            <w:tcBorders>
              <w:left w:val="dotted" w:sz="4" w:space="0" w:color="000000"/>
              <w:bottom w:val="dotted" w:sz="4" w:space="0" w:color="000000"/>
              <w:right w:val="dotted" w:sz="4" w:space="0" w:color="000000"/>
            </w:tcBorders>
          </w:tcPr>
          <w:p>
            <w:pPr/>
          </w:p>
        </w:tc>
        <w:tc>
          <w:tcPr>
            <w:tcW w:w="1138" w:type="dxa"/>
            <w:vMerge/>
            <w:tcBorders>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8"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1,935,084,653.00</w:t>
            </w: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8,861,090,306.42</w:t>
            </w: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-38,172,787.92</w:t>
            </w: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44,253,651.01</w:t>
            </w: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600,115,330.16</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2,886,302.38</w:t>
            </w: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3"/>
              <w:jc w:val="right"/>
              <w:rPr>
                <w:rFonts w:ascii="Times New Roman" w:hAnsi="Times New Roman" w:cs="Times New Roman" w:eastAsia="Times New Roman" w:hint="default"/>
                <w:sz w:val="13"/>
                <w:szCs w:val="13"/>
              </w:rPr>
            </w:pPr>
            <w:r>
              <w:rPr>
                <w:rFonts w:ascii="Times New Roman"/>
                <w:sz w:val="13"/>
              </w:rPr>
              <w:t>11,405,257,455.05</w:t>
            </w: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8"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宋体" w:hAnsi="宋体" w:cs="宋体" w:eastAsia="宋体" w:hint="default"/>
                <w:sz w:val="13"/>
                <w:szCs w:val="13"/>
              </w:rPr>
            </w:pPr>
            <w:r>
              <w:rPr>
                <w:rFonts w:ascii="宋体"/>
                <w:w w:val="95"/>
                <w:sz w:val="13"/>
              </w:rPr>
              <w:t>27,471,741.20</w:t>
            </w:r>
            <w:r>
              <w:rPr>
                <w:rFonts w:ascii="宋体"/>
                <w:sz w:val="13"/>
              </w:rPr>
            </w: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宋体" w:hAnsi="宋体" w:cs="宋体" w:eastAsia="宋体" w:hint="default"/>
                <w:sz w:val="13"/>
                <w:szCs w:val="13"/>
              </w:rPr>
            </w:pPr>
            <w:r>
              <w:rPr>
                <w:rFonts w:ascii="宋体"/>
                <w:w w:val="95"/>
                <w:sz w:val="13"/>
              </w:rPr>
              <w:t>20,208,341.13</w:t>
            </w:r>
            <w:r>
              <w:rPr>
                <w:rFonts w:ascii="宋体"/>
                <w:sz w:val="13"/>
              </w:rPr>
            </w: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7"/>
              <w:jc w:val="right"/>
              <w:rPr>
                <w:rFonts w:ascii="宋体" w:hAnsi="宋体" w:cs="宋体" w:eastAsia="宋体" w:hint="default"/>
                <w:sz w:val="13"/>
                <w:szCs w:val="13"/>
              </w:rPr>
            </w:pPr>
            <w:r>
              <w:rPr>
                <w:rFonts w:ascii="宋体"/>
                <w:w w:val="95"/>
                <w:sz w:val="13"/>
              </w:rPr>
              <w:t>47,680,082.33</w:t>
            </w:r>
            <w:r>
              <w:rPr>
                <w:rFonts w:ascii="宋体"/>
                <w:sz w:val="13"/>
              </w:rPr>
            </w:r>
          </w:p>
        </w:tc>
      </w:tr>
      <w:tr>
        <w:trPr>
          <w:trHeight w:val="415"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617"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617"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61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8"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0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1,935,084,653.00</w:t>
            </w: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8,861,090,306.42</w:t>
            </w: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宋体" w:hAnsi="宋体" w:cs="宋体" w:eastAsia="宋体" w:hint="default"/>
                <w:sz w:val="13"/>
                <w:szCs w:val="13"/>
              </w:rPr>
            </w:pPr>
            <w:r>
              <w:rPr>
                <w:rFonts w:ascii="宋体"/>
                <w:w w:val="95"/>
                <w:sz w:val="13"/>
              </w:rPr>
              <w:t>-10,701,046.72</w:t>
            </w:r>
            <w:r>
              <w:rPr>
                <w:rFonts w:ascii="宋体"/>
                <w:sz w:val="13"/>
              </w:rPr>
            </w: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44,253,651.01</w:t>
            </w: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宋体" w:hAnsi="宋体" w:cs="宋体" w:eastAsia="宋体" w:hint="default"/>
                <w:sz w:val="13"/>
                <w:szCs w:val="13"/>
              </w:rPr>
            </w:pPr>
            <w:r>
              <w:rPr>
                <w:rFonts w:ascii="宋体"/>
                <w:w w:val="95"/>
                <w:sz w:val="13"/>
              </w:rPr>
              <w:t>620,323,671.29</w:t>
            </w:r>
            <w:r>
              <w:rPr>
                <w:rFonts w:ascii="宋体"/>
                <w:sz w:val="13"/>
              </w:rPr>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2,886,302.38</w:t>
            </w: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7"/>
              <w:jc w:val="right"/>
              <w:rPr>
                <w:rFonts w:ascii="宋体" w:hAnsi="宋体" w:cs="宋体" w:eastAsia="宋体" w:hint="default"/>
                <w:sz w:val="13"/>
                <w:szCs w:val="13"/>
              </w:rPr>
            </w:pPr>
            <w:r>
              <w:rPr>
                <w:rFonts w:ascii="宋体"/>
                <w:w w:val="95"/>
                <w:sz w:val="13"/>
              </w:rPr>
              <w:t>11,452,937,537.38</w:t>
            </w:r>
            <w:r>
              <w:rPr>
                <w:rFonts w:ascii="宋体"/>
                <w:sz w:val="13"/>
              </w:rPr>
            </w:r>
          </w:p>
        </w:tc>
      </w:tr>
      <w:tr>
        <w:trPr>
          <w:trHeight w:val="415"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8" w:right="0"/>
              <w:jc w:val="left"/>
              <w:rPr>
                <w:rFonts w:ascii="宋体" w:hAnsi="宋体" w:cs="宋体" w:eastAsia="宋体" w:hint="default"/>
                <w:sz w:val="13"/>
                <w:szCs w:val="13"/>
              </w:rPr>
            </w:pPr>
            <w:r>
              <w:rPr>
                <w:rFonts w:ascii="宋体" w:hAnsi="宋体" w:cs="宋体" w:eastAsia="宋体" w:hint="default"/>
                <w:sz w:val="13"/>
                <w:szCs w:val="13"/>
              </w:rPr>
              <w:t>三、本年增减变动金额</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736,687.61</w:t>
            </w: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宋体" w:hAnsi="宋体" w:cs="宋体" w:eastAsia="宋体" w:hint="default"/>
                <w:sz w:val="13"/>
                <w:szCs w:val="13"/>
              </w:rPr>
            </w:pPr>
            <w:r>
              <w:rPr>
                <w:rFonts w:ascii="宋体"/>
                <w:w w:val="95"/>
                <w:sz w:val="13"/>
              </w:rPr>
              <w:t>30,624,101.40</w:t>
            </w:r>
            <w:r>
              <w:rPr>
                <w:rFonts w:ascii="宋体"/>
                <w:sz w:val="13"/>
              </w:rPr>
            </w: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11"/>
              <w:jc w:val="right"/>
              <w:rPr>
                <w:rFonts w:ascii="Times New Roman" w:hAnsi="Times New Roman" w:cs="Times New Roman" w:eastAsia="Times New Roman" w:hint="default"/>
                <w:sz w:val="13"/>
                <w:szCs w:val="13"/>
              </w:rPr>
            </w:pPr>
            <w:r>
              <w:rPr>
                <w:rFonts w:ascii="Times New Roman"/>
                <w:sz w:val="13"/>
              </w:rPr>
              <w:t>308,695,568.82</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宋体" w:hAnsi="宋体" w:cs="宋体" w:eastAsia="宋体" w:hint="default"/>
                <w:sz w:val="13"/>
                <w:szCs w:val="13"/>
              </w:rPr>
            </w:pPr>
            <w:r>
              <w:rPr>
                <w:rFonts w:ascii="宋体"/>
                <w:w w:val="95"/>
                <w:sz w:val="13"/>
              </w:rPr>
              <w:t>-213,489,473.58</w:t>
            </w:r>
            <w:r>
              <w:rPr>
                <w:rFonts w:ascii="宋体"/>
                <w:sz w:val="13"/>
              </w:rPr>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-396,252.28</w:t>
            </w: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宋体" w:hAnsi="宋体" w:cs="宋体" w:eastAsia="宋体" w:hint="default"/>
                <w:sz w:val="13"/>
                <w:szCs w:val="13"/>
              </w:rPr>
            </w:pPr>
            <w:r>
              <w:rPr>
                <w:rFonts w:ascii="宋体"/>
                <w:w w:val="95"/>
                <w:sz w:val="13"/>
              </w:rPr>
              <w:t>126,170,631.97</w:t>
            </w:r>
            <w:r>
              <w:rPr>
                <w:rFonts w:ascii="宋体"/>
                <w:sz w:val="13"/>
              </w:rPr>
            </w: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8"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7"/>
              <w:ind w:right="10"/>
              <w:jc w:val="right"/>
              <w:rPr>
                <w:rFonts w:ascii="宋体" w:hAnsi="宋体" w:cs="宋体" w:eastAsia="宋体" w:hint="default"/>
                <w:sz w:val="13"/>
                <w:szCs w:val="13"/>
              </w:rPr>
            </w:pPr>
            <w:r>
              <w:rPr>
                <w:rFonts w:ascii="宋体"/>
                <w:w w:val="95"/>
                <w:sz w:val="13"/>
              </w:rPr>
              <w:t>30,624,101.40</w:t>
            </w:r>
            <w:r>
              <w:rPr>
                <w:rFonts w:ascii="宋体"/>
                <w:sz w:val="13"/>
              </w:rPr>
            </w: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7"/>
              <w:ind w:right="10"/>
              <w:jc w:val="right"/>
              <w:rPr>
                <w:rFonts w:ascii="宋体" w:hAnsi="宋体" w:cs="宋体" w:eastAsia="宋体" w:hint="default"/>
                <w:sz w:val="13"/>
                <w:szCs w:val="13"/>
              </w:rPr>
            </w:pPr>
            <w:r>
              <w:rPr>
                <w:rFonts w:ascii="宋体"/>
                <w:w w:val="95"/>
                <w:sz w:val="13"/>
              </w:rPr>
              <w:t>95,206,095.24</w:t>
            </w:r>
            <w:r>
              <w:rPr>
                <w:rFonts w:ascii="宋体"/>
                <w:sz w:val="13"/>
              </w:rPr>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-396,252.28</w:t>
            </w: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7"/>
              <w:ind w:right="15"/>
              <w:jc w:val="right"/>
              <w:rPr>
                <w:rFonts w:ascii="宋体" w:hAnsi="宋体" w:cs="宋体" w:eastAsia="宋体" w:hint="default"/>
                <w:sz w:val="13"/>
                <w:szCs w:val="13"/>
              </w:rPr>
            </w:pPr>
            <w:r>
              <w:rPr>
                <w:rFonts w:ascii="宋体"/>
                <w:w w:val="95"/>
                <w:sz w:val="13"/>
              </w:rPr>
              <w:t>125,433,944.36</w:t>
            </w:r>
            <w:r>
              <w:rPr>
                <w:rFonts w:ascii="宋体"/>
                <w:sz w:val="13"/>
              </w:rPr>
            </w: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8" w:right="0"/>
              <w:jc w:val="left"/>
              <w:rPr>
                <w:rFonts w:ascii="宋体" w:hAnsi="宋体" w:cs="宋体" w:eastAsia="宋体" w:hint="default"/>
                <w:sz w:val="13"/>
                <w:szCs w:val="13"/>
              </w:rPr>
            </w:pPr>
            <w:r>
              <w:rPr>
                <w:rFonts w:ascii="宋体" w:hAnsi="宋体" w:cs="宋体" w:eastAsia="宋体" w:hint="default"/>
                <w:sz w:val="13"/>
                <w:szCs w:val="13"/>
              </w:rPr>
              <w:t>（二）股东投入和减少资本</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．股东投入的普通股</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right="12"/>
              <w:jc w:val="right"/>
              <w:rPr>
                <w:rFonts w:ascii="宋体" w:hAnsi="宋体" w:cs="宋体" w:eastAsia="宋体" w:hint="default"/>
                <w:sz w:val="13"/>
                <w:szCs w:val="13"/>
              </w:rPr>
            </w:pPr>
            <w:r>
              <w:rPr>
                <w:rFonts w:ascii="Times New Roman" w:hAnsi="Times New Roman" w:cs="Times New Roman" w:eastAsia="Times New Roman" w:hint="default"/>
                <w:spacing w:val="-1"/>
                <w:sz w:val="13"/>
                <w:szCs w:val="13"/>
              </w:rPr>
              <w:t>2</w:t>
            </w:r>
            <w:r>
              <w:rPr>
                <w:rFonts w:ascii="宋体" w:hAnsi="宋体" w:cs="宋体" w:eastAsia="宋体" w:hint="default"/>
                <w:spacing w:val="-1"/>
                <w:sz w:val="13"/>
                <w:szCs w:val="13"/>
              </w:rPr>
              <w:t>．其他权益工具持有者投入资本</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8"/>
              <w:ind w:right="12"/>
              <w:jc w:val="right"/>
              <w:rPr>
                <w:rFonts w:ascii="宋体" w:hAnsi="宋体" w:cs="宋体" w:eastAsia="宋体" w:hint="default"/>
                <w:sz w:val="13"/>
                <w:szCs w:val="13"/>
              </w:rPr>
            </w:pPr>
            <w:r>
              <w:rPr>
                <w:rFonts w:ascii="Times New Roman" w:hAnsi="Times New Roman" w:cs="Times New Roman" w:eastAsia="Times New Roman" w:hint="default"/>
                <w:spacing w:val="-1"/>
                <w:sz w:val="13"/>
                <w:szCs w:val="13"/>
              </w:rPr>
              <w:t>3</w:t>
            </w:r>
            <w:r>
              <w:rPr>
                <w:rFonts w:ascii="宋体" w:hAnsi="宋体" w:cs="宋体" w:eastAsia="宋体" w:hint="default"/>
                <w:spacing w:val="-1"/>
                <w:sz w:val="13"/>
                <w:szCs w:val="13"/>
              </w:rPr>
              <w:t>．股份支付计入股东权益的金额</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8"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11"/>
              <w:jc w:val="right"/>
              <w:rPr>
                <w:rFonts w:ascii="Times New Roman" w:hAnsi="Times New Roman" w:cs="Times New Roman" w:eastAsia="Times New Roman" w:hint="default"/>
                <w:sz w:val="13"/>
                <w:szCs w:val="13"/>
              </w:rPr>
            </w:pPr>
            <w:r>
              <w:rPr>
                <w:rFonts w:ascii="Times New Roman"/>
                <w:sz w:val="13"/>
              </w:rPr>
              <w:t>308,695,568.82</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-308,695,568.82</w:t>
            </w: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nil" w:sz="6" w:space="0" w:color="auto"/>
              <w:right w:val="nil" w:sz="6" w:space="0" w:color="auto"/>
            </w:tcBorders>
          </w:tcPr>
          <w:p>
            <w:pPr/>
          </w:p>
        </w:tc>
      </w:tr>
    </w:tbl>
    <w:p>
      <w:pPr>
        <w:spacing w:after="0"/>
        <w:sectPr>
          <w:headerReference w:type="default" r:id="rId34"/>
          <w:footerReference w:type="default" r:id="rId35"/>
          <w:pgSz w:w="16840" w:h="11910" w:orient="landscape"/>
          <w:pgMar w:header="867" w:footer="980" w:top="1060" w:bottom="1160" w:left="1300" w:right="1300"/>
          <w:pgNumType w:start="106"/>
        </w:sectPr>
      </w:pPr>
    </w:p>
    <w:p>
      <w:pPr>
        <w:spacing w:line="240" w:lineRule="auto" w:before="7"/>
        <w:rPr>
          <w:rFonts w:ascii="Microsoft JhengHei" w:hAnsi="Microsoft JhengHei" w:cs="Microsoft JhengHei" w:eastAsia="Microsoft JhengHei" w:hint="default"/>
          <w:b/>
          <w:bCs/>
          <w:sz w:val="6"/>
          <w:szCs w:val="6"/>
        </w:rPr>
      </w:pPr>
      <w:r>
        <w:rPr/>
        <w:pict>
          <v:group style="position:absolute;margin-left:70.199997pt;margin-top:55.200008pt;width:701.65pt;height:3.75pt;mso-position-horizontal-relative:page;mso-position-vertical-relative:page;z-index:-1330384" coordorigin="1404,1104" coordsize="14033,75">
            <v:group style="position:absolute;left:1411;top:1111;width:14019;height:2" coordorigin="1411,1111" coordsize="14019,2">
              <v:shape style="position:absolute;left:1411;top:1111;width:14019;height:2" coordorigin="1411,1111" coordsize="14019,0" path="m1411,1111l15430,1111e" filled="false" stroked="true" strokeweight=".72pt" strokecolor="#000000">
                <v:path arrowok="t"/>
              </v:shape>
            </v:group>
            <v:group style="position:absolute;left:1440;top:1147;width:2166;height:2" coordorigin="1440,1147" coordsize="2166,2">
              <v:shape style="position:absolute;left:1440;top:1147;width:2166;height:2" coordorigin="1440,1147" coordsize="2166,0" path="m1440,1147l3605,1147e" filled="false" stroked="true" strokeweight="1.44pt" strokecolor="#000000">
                <v:path arrowok="t"/>
              </v:shape>
            </v:group>
            <v:group style="position:absolute;left:3605;top:1170;width:10;height:2" coordorigin="3605,1170" coordsize="10,2">
              <v:shape style="position:absolute;left:3605;top:1170;width:10;height:2" coordorigin="3605,1170" coordsize="10,0" path="m3605,1170l3615,1170e" filled="false" stroked="true" strokeweight=".84pt" strokecolor="#000000">
                <v:path arrowok="t"/>
                <v:stroke dashstyle="dash"/>
              </v:shape>
            </v:group>
            <v:group style="position:absolute;left:3605;top:1147;width:29;height:2" coordorigin="3605,1147" coordsize="29,2">
              <v:shape style="position:absolute;left:3605;top:1147;width:29;height:2" coordorigin="3605,1147" coordsize="29,0" path="m3605,1147l3634,1147e" filled="false" stroked="true" strokeweight="1.44pt" strokecolor="#000000">
                <v:path arrowok="t"/>
              </v:shape>
            </v:group>
            <v:group style="position:absolute;left:3634;top:1147;width:11767;height:2" coordorigin="3634,1147" coordsize="11767,2">
              <v:shape style="position:absolute;left:3634;top:1147;width:11767;height:2" coordorigin="3634,1147" coordsize="11767,0" path="m3634,1147l15401,1147e" filled="false" stroked="true" strokeweight="1.44pt" strokecolor="#000000">
                <v:path arrowok="t"/>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2184"/>
        <w:gridCol w:w="1044"/>
        <w:gridCol w:w="555"/>
        <w:gridCol w:w="578"/>
        <w:gridCol w:w="569"/>
        <w:gridCol w:w="1159"/>
        <w:gridCol w:w="578"/>
        <w:gridCol w:w="1085"/>
        <w:gridCol w:w="542"/>
        <w:gridCol w:w="953"/>
        <w:gridCol w:w="1479"/>
        <w:gridCol w:w="1313"/>
        <w:gridCol w:w="797"/>
        <w:gridCol w:w="1138"/>
      </w:tblGrid>
      <w:tr>
        <w:trPr>
          <w:trHeight w:val="399" w:hRule="exact"/>
        </w:trPr>
        <w:tc>
          <w:tcPr>
            <w:tcW w:w="2184" w:type="dxa"/>
            <w:vMerge w:val="restart"/>
            <w:tcBorders>
              <w:top w:val="nil" w:sz="6" w:space="0" w:color="auto"/>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w:t>
            </w:r>
            <w:r>
              <w:rPr>
                <w:rFonts w:ascii="宋体" w:hAnsi="宋体" w:cs="宋体" w:eastAsia="宋体" w:hint="default"/>
                <w:spacing w:val="1"/>
                <w:sz w:val="13"/>
                <w:szCs w:val="13"/>
              </w:rPr>
              <w:t> </w:t>
            </w:r>
            <w:r>
              <w:rPr>
                <w:rFonts w:ascii="宋体" w:hAnsi="宋体" w:cs="宋体" w:eastAsia="宋体" w:hint="default"/>
                <w:sz w:val="13"/>
                <w:szCs w:val="13"/>
              </w:rPr>
              <w:t>目</w:t>
            </w:r>
          </w:p>
        </w:tc>
        <w:tc>
          <w:tcPr>
            <w:tcW w:w="11791" w:type="dxa"/>
            <w:gridSpan w:val="13"/>
            <w:tcBorders>
              <w:top w:val="nil" w:sz="6" w:space="0" w:color="auto"/>
              <w:left w:val="dotted" w:sz="4" w:space="0" w:color="000000"/>
              <w:bottom w:val="dotted" w:sz="4" w:space="0" w:color="000000"/>
              <w:right w:val="nil" w:sz="6" w:space="0" w:color="auto"/>
            </w:tcBorders>
          </w:tcPr>
          <w:p>
            <w:pPr>
              <w:pStyle w:val="TableParagraph"/>
              <w:spacing w:line="240" w:lineRule="auto" w:before="91"/>
              <w:ind w:right="7"/>
              <w:jc w:val="center"/>
              <w:rPr>
                <w:rFonts w:ascii="宋体" w:hAnsi="宋体" w:cs="宋体" w:eastAsia="宋体" w:hint="default"/>
                <w:sz w:val="13"/>
                <w:szCs w:val="13"/>
              </w:rPr>
            </w:pPr>
            <w:r>
              <w:rPr>
                <w:rFonts w:ascii="宋体" w:hAnsi="宋体" w:cs="宋体" w:eastAsia="宋体" w:hint="default"/>
                <w:sz w:val="13"/>
                <w:szCs w:val="13"/>
              </w:rPr>
              <w:t>本期金额</w:t>
            </w:r>
          </w:p>
        </w:tc>
      </w:tr>
      <w:tr>
        <w:trPr>
          <w:trHeight w:val="437" w:hRule="exact"/>
        </w:trPr>
        <w:tc>
          <w:tcPr>
            <w:tcW w:w="2184" w:type="dxa"/>
            <w:vMerge/>
            <w:tcBorders>
              <w:left w:val="nil" w:sz="6" w:space="0" w:color="auto"/>
              <w:right w:val="dotted" w:sz="4" w:space="0" w:color="000000"/>
            </w:tcBorders>
          </w:tcPr>
          <w:p>
            <w:pPr/>
          </w:p>
        </w:tc>
        <w:tc>
          <w:tcPr>
            <w:tcW w:w="9856" w:type="dxa"/>
            <w:gridSpan w:val="11"/>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center"/>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797"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439" w:lineRule="auto"/>
              <w:ind w:left="328" w:right="71" w:hanging="262"/>
              <w:jc w:val="left"/>
              <w:rPr>
                <w:rFonts w:ascii="宋体" w:hAnsi="宋体" w:cs="宋体" w:eastAsia="宋体" w:hint="default"/>
                <w:sz w:val="13"/>
                <w:szCs w:val="13"/>
              </w:rPr>
            </w:pPr>
            <w:r>
              <w:rPr>
                <w:rFonts w:ascii="宋体" w:hAnsi="宋体" w:cs="宋体" w:eastAsia="宋体" w:hint="default"/>
                <w:sz w:val="13"/>
                <w:szCs w:val="13"/>
              </w:rPr>
              <w:t>少数股东权</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1138"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1"/>
              <w:ind w:right="0"/>
              <w:jc w:val="left"/>
              <w:rPr>
                <w:rFonts w:ascii="Microsoft JhengHei" w:hAnsi="Microsoft JhengHei" w:cs="Microsoft JhengHei" w:eastAsia="Microsoft JhengHei" w:hint="default"/>
                <w:b/>
                <w:bCs/>
                <w:sz w:val="16"/>
                <w:szCs w:val="16"/>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343" w:hRule="exact"/>
        </w:trPr>
        <w:tc>
          <w:tcPr>
            <w:tcW w:w="2184" w:type="dxa"/>
            <w:vMerge/>
            <w:tcBorders>
              <w:left w:val="nil" w:sz="6" w:space="0" w:color="auto"/>
              <w:right w:val="dotted" w:sz="4" w:space="0" w:color="000000"/>
            </w:tcBorders>
          </w:tcPr>
          <w:p>
            <w:pPr/>
          </w:p>
        </w:tc>
        <w:tc>
          <w:tcPr>
            <w:tcW w:w="1044"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702"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454"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59"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1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78"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439" w:lineRule="auto"/>
              <w:ind w:left="218" w:right="24" w:hanging="195"/>
              <w:jc w:val="left"/>
              <w:rPr>
                <w:rFonts w:ascii="宋体" w:hAnsi="宋体" w:cs="宋体" w:eastAsia="宋体" w:hint="default"/>
                <w:sz w:val="13"/>
                <w:szCs w:val="13"/>
              </w:rPr>
            </w:pPr>
            <w:r>
              <w:rPr>
                <w:rFonts w:ascii="宋体" w:hAnsi="宋体" w:cs="宋体" w:eastAsia="宋体" w:hint="default"/>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085"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146"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42"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439" w:lineRule="auto"/>
              <w:ind w:left="201" w:right="72" w:hanging="132"/>
              <w:jc w:val="left"/>
              <w:rPr>
                <w:rFonts w:ascii="宋体" w:hAnsi="宋体" w:cs="宋体" w:eastAsia="宋体" w:hint="default"/>
                <w:sz w:val="13"/>
                <w:szCs w:val="13"/>
              </w:rPr>
            </w:pPr>
            <w:r>
              <w:rPr>
                <w:rFonts w:ascii="宋体" w:hAnsi="宋体" w:cs="宋体" w:eastAsia="宋体" w:hint="default"/>
                <w:sz w:val="13"/>
                <w:szCs w:val="13"/>
              </w:rPr>
              <w:t>专项储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953"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21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479"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43"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313" w:type="dxa"/>
            <w:vMerge w:val="restart"/>
            <w:tcBorders>
              <w:top w:val="dotted" w:sz="4" w:space="0" w:color="000000"/>
              <w:left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32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797" w:type="dxa"/>
            <w:vMerge/>
            <w:tcBorders>
              <w:left w:val="dotted" w:sz="4" w:space="0" w:color="000000"/>
              <w:right w:val="dotted" w:sz="4" w:space="0" w:color="000000"/>
            </w:tcBorders>
          </w:tcPr>
          <w:p>
            <w:pPr/>
          </w:p>
        </w:tc>
        <w:tc>
          <w:tcPr>
            <w:tcW w:w="1138" w:type="dxa"/>
            <w:vMerge/>
            <w:tcBorders>
              <w:left w:val="dotted" w:sz="4" w:space="0" w:color="000000"/>
              <w:right w:val="nil" w:sz="6" w:space="0" w:color="auto"/>
            </w:tcBorders>
          </w:tcPr>
          <w:p>
            <w:pPr/>
          </w:p>
        </w:tc>
      </w:tr>
      <w:tr>
        <w:trPr>
          <w:trHeight w:val="406" w:hRule="exact"/>
        </w:trPr>
        <w:tc>
          <w:tcPr>
            <w:tcW w:w="2184" w:type="dxa"/>
            <w:vMerge/>
            <w:tcBorders>
              <w:left w:val="nil" w:sz="6" w:space="0" w:color="auto"/>
              <w:bottom w:val="dotted" w:sz="4" w:space="0" w:color="000000"/>
              <w:right w:val="dotted" w:sz="4" w:space="0" w:color="000000"/>
            </w:tcBorders>
          </w:tcPr>
          <w:p>
            <w:pPr/>
          </w:p>
        </w:tc>
        <w:tc>
          <w:tcPr>
            <w:tcW w:w="1044" w:type="dxa"/>
            <w:vMerge/>
            <w:tcBorders>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6"/>
                <w:szCs w:val="6"/>
              </w:rPr>
            </w:pPr>
          </w:p>
          <w:p>
            <w:pPr>
              <w:pStyle w:val="TableParagraph"/>
              <w:spacing w:line="240" w:lineRule="auto"/>
              <w:ind w:left="7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5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6"/>
                <w:szCs w:val="6"/>
              </w:rPr>
            </w:pPr>
          </w:p>
          <w:p>
            <w:pPr>
              <w:pStyle w:val="TableParagraph"/>
              <w:spacing w:line="240" w:lineRule="auto"/>
              <w:ind w:left="88"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6"/>
                <w:szCs w:val="6"/>
              </w:rPr>
            </w:pPr>
          </w:p>
          <w:p>
            <w:pPr>
              <w:pStyle w:val="TableParagraph"/>
              <w:spacing w:line="240" w:lineRule="auto"/>
              <w:ind w:left="14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59" w:type="dxa"/>
            <w:vMerge/>
            <w:tcBorders>
              <w:left w:val="dotted" w:sz="4" w:space="0" w:color="000000"/>
              <w:bottom w:val="dotted" w:sz="4" w:space="0" w:color="000000"/>
              <w:right w:val="dotted" w:sz="4" w:space="0" w:color="000000"/>
            </w:tcBorders>
          </w:tcPr>
          <w:p>
            <w:pPr/>
          </w:p>
        </w:tc>
        <w:tc>
          <w:tcPr>
            <w:tcW w:w="578" w:type="dxa"/>
            <w:vMerge/>
            <w:tcBorders>
              <w:left w:val="dotted" w:sz="4" w:space="0" w:color="000000"/>
              <w:bottom w:val="dotted" w:sz="4" w:space="0" w:color="000000"/>
              <w:right w:val="dotted" w:sz="4" w:space="0" w:color="000000"/>
            </w:tcBorders>
          </w:tcPr>
          <w:p>
            <w:pPr/>
          </w:p>
        </w:tc>
        <w:tc>
          <w:tcPr>
            <w:tcW w:w="1085" w:type="dxa"/>
            <w:vMerge/>
            <w:tcBorders>
              <w:left w:val="dotted" w:sz="4" w:space="0" w:color="000000"/>
              <w:bottom w:val="dotted" w:sz="4" w:space="0" w:color="000000"/>
              <w:right w:val="dotted" w:sz="4" w:space="0" w:color="000000"/>
            </w:tcBorders>
          </w:tcPr>
          <w:p>
            <w:pPr/>
          </w:p>
        </w:tc>
        <w:tc>
          <w:tcPr>
            <w:tcW w:w="542" w:type="dxa"/>
            <w:vMerge/>
            <w:tcBorders>
              <w:left w:val="dotted" w:sz="4" w:space="0" w:color="000000"/>
              <w:bottom w:val="dotted" w:sz="4" w:space="0" w:color="000000"/>
              <w:right w:val="dotted" w:sz="4" w:space="0" w:color="000000"/>
            </w:tcBorders>
          </w:tcPr>
          <w:p>
            <w:pPr/>
          </w:p>
        </w:tc>
        <w:tc>
          <w:tcPr>
            <w:tcW w:w="953" w:type="dxa"/>
            <w:vMerge/>
            <w:tcBorders>
              <w:left w:val="dotted" w:sz="4" w:space="0" w:color="000000"/>
              <w:bottom w:val="dotted" w:sz="4" w:space="0" w:color="000000"/>
              <w:right w:val="dotted" w:sz="4" w:space="0" w:color="000000"/>
            </w:tcBorders>
          </w:tcPr>
          <w:p>
            <w:pPr/>
          </w:p>
        </w:tc>
        <w:tc>
          <w:tcPr>
            <w:tcW w:w="1479" w:type="dxa"/>
            <w:vMerge/>
            <w:tcBorders>
              <w:left w:val="dotted" w:sz="4" w:space="0" w:color="000000"/>
              <w:bottom w:val="dotted" w:sz="4" w:space="0" w:color="000000"/>
              <w:right w:val="dotted" w:sz="4" w:space="0" w:color="000000"/>
            </w:tcBorders>
          </w:tcPr>
          <w:p>
            <w:pPr/>
          </w:p>
        </w:tc>
        <w:tc>
          <w:tcPr>
            <w:tcW w:w="1313" w:type="dxa"/>
            <w:vMerge/>
            <w:tcBorders>
              <w:left w:val="dotted" w:sz="4" w:space="0" w:color="000000"/>
              <w:bottom w:val="dotted" w:sz="4" w:space="0" w:color="000000"/>
              <w:right w:val="dotted" w:sz="4" w:space="0" w:color="000000"/>
            </w:tcBorders>
          </w:tcPr>
          <w:p>
            <w:pPr/>
          </w:p>
        </w:tc>
        <w:tc>
          <w:tcPr>
            <w:tcW w:w="797" w:type="dxa"/>
            <w:vMerge/>
            <w:tcBorders>
              <w:left w:val="dotted" w:sz="4" w:space="0" w:color="000000"/>
              <w:bottom w:val="dotted" w:sz="4" w:space="0" w:color="000000"/>
              <w:right w:val="dotted" w:sz="4" w:space="0" w:color="000000"/>
            </w:tcBorders>
          </w:tcPr>
          <w:p>
            <w:pPr/>
          </w:p>
        </w:tc>
        <w:tc>
          <w:tcPr>
            <w:tcW w:w="1138" w:type="dxa"/>
            <w:vMerge/>
            <w:tcBorders>
              <w:left w:val="dotted" w:sz="4" w:space="0" w:color="000000"/>
              <w:bottom w:val="dotted" w:sz="4" w:space="0" w:color="000000"/>
              <w:right w:val="nil" w:sz="6" w:space="0" w:color="auto"/>
            </w:tcBorders>
          </w:tcPr>
          <w:p>
            <w:pPr/>
          </w:p>
        </w:tc>
      </w:tr>
      <w:tr>
        <w:trPr>
          <w:trHeight w:val="415"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．对股东的分配</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．提取一般风险准备</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1"/>
              <w:jc w:val="right"/>
              <w:rPr>
                <w:rFonts w:ascii="Times New Roman" w:hAnsi="Times New Roman" w:cs="Times New Roman" w:eastAsia="Times New Roman" w:hint="default"/>
                <w:sz w:val="13"/>
                <w:szCs w:val="13"/>
              </w:rPr>
            </w:pPr>
            <w:r>
              <w:rPr>
                <w:rFonts w:ascii="Times New Roman"/>
                <w:sz w:val="13"/>
              </w:rPr>
              <w:t>308,695,568.82</w:t>
            </w:r>
          </w:p>
        </w:tc>
        <w:tc>
          <w:tcPr>
            <w:tcW w:w="13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-308,695,568.82</w:t>
            </w: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8"/>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8" w:right="0"/>
              <w:jc w:val="left"/>
              <w:rPr>
                <w:rFonts w:ascii="宋体" w:hAnsi="宋体" w:cs="宋体" w:eastAsia="宋体" w:hint="default"/>
                <w:sz w:val="13"/>
                <w:szCs w:val="13"/>
              </w:rPr>
            </w:pPr>
            <w:r>
              <w:rPr>
                <w:rFonts w:ascii="宋体" w:hAnsi="宋体" w:cs="宋体" w:eastAsia="宋体" w:hint="default"/>
                <w:sz w:val="13"/>
                <w:szCs w:val="13"/>
              </w:rPr>
              <w:t>（四）股东权益内部结转</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w:t>
            </w:r>
          </w:p>
          <w:p>
            <w:pPr>
              <w:pStyle w:val="TableParagraph"/>
              <w:spacing w:line="240" w:lineRule="auto" w:before="10"/>
              <w:ind w:right="0"/>
              <w:jc w:val="left"/>
              <w:rPr>
                <w:rFonts w:ascii="Microsoft JhengHei" w:hAnsi="Microsoft JhengHei" w:cs="Microsoft JhengHei" w:eastAsia="Microsoft JhengHei" w:hint="default"/>
                <w:b/>
                <w:bCs/>
                <w:sz w:val="7"/>
                <w:szCs w:val="7"/>
              </w:rPr>
            </w:pPr>
          </w:p>
          <w:p>
            <w:pPr>
              <w:pStyle w:val="TableParagraph"/>
              <w:spacing w:line="240" w:lineRule="auto"/>
              <w:ind w:left="28" w:right="0"/>
              <w:jc w:val="left"/>
              <w:rPr>
                <w:rFonts w:ascii="宋体" w:hAnsi="宋体" w:cs="宋体" w:eastAsia="宋体" w:hint="default"/>
                <w:sz w:val="13"/>
                <w:szCs w:val="13"/>
              </w:rPr>
            </w:pPr>
            <w:r>
              <w:rPr>
                <w:rFonts w:ascii="宋体" w:hAnsi="宋体" w:cs="宋体" w:eastAsia="宋体" w:hint="default"/>
                <w:sz w:val="13"/>
                <w:szCs w:val="13"/>
              </w:rPr>
              <w:t>收益</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624"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．其他综合收益结转留存收益</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8"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29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8"/>
              <w:ind w:left="28"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044" w:type="dxa"/>
            <w:tcBorders>
              <w:top w:val="dotted" w:sz="4" w:space="0" w:color="000000"/>
              <w:left w:val="dotted" w:sz="4" w:space="0" w:color="000000"/>
              <w:bottom w:val="dotted" w:sz="4" w:space="0" w:color="000000"/>
              <w:right w:val="dotted" w:sz="4" w:space="0" w:color="000000"/>
            </w:tcBorders>
          </w:tcPr>
          <w:p>
            <w:pPr/>
          </w:p>
        </w:tc>
        <w:tc>
          <w:tcPr>
            <w:tcW w:w="555" w:type="dxa"/>
            <w:tcBorders>
              <w:top w:val="dotted" w:sz="4" w:space="0" w:color="000000"/>
              <w:left w:val="dotted" w:sz="4" w:space="0" w:color="000000"/>
              <w:bottom w:val="dotted" w:sz="4" w:space="0" w:color="000000"/>
              <w:right w:val="dotted" w:sz="4" w:space="0" w:color="000000"/>
            </w:tcBorders>
          </w:tcPr>
          <w:p>
            <w:pPr/>
          </w:p>
        </w:tc>
        <w:tc>
          <w:tcPr>
            <w:tcW w:w="578" w:type="dxa"/>
            <w:tcBorders>
              <w:top w:val="dotted" w:sz="4" w:space="0" w:color="000000"/>
              <w:left w:val="dotted" w:sz="4" w:space="0" w:color="000000"/>
              <w:bottom w:val="dotted" w:sz="4" w:space="0" w:color="000000"/>
              <w:right w:val="dotted" w:sz="4" w:space="0" w:color="000000"/>
            </w:tcBorders>
          </w:tcPr>
          <w:p>
            <w:pPr/>
          </w:p>
        </w:tc>
        <w:tc>
          <w:tcPr>
            <w:tcW w:w="569"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736,687.61</w:t>
            </w:r>
          </w:p>
        </w:tc>
        <w:tc>
          <w:tcPr>
            <w:tcW w:w="578"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542"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479" w:type="dxa"/>
            <w:tcBorders>
              <w:top w:val="dotted" w:sz="4" w:space="0" w:color="000000"/>
              <w:left w:val="dotted" w:sz="4" w:space="0" w:color="000000"/>
              <w:bottom w:val="dotted" w:sz="4" w:space="0" w:color="000000"/>
              <w:right w:val="dotted" w:sz="4" w:space="0" w:color="000000"/>
            </w:tcBorders>
          </w:tcPr>
          <w:p>
            <w:pPr/>
          </w:p>
        </w:tc>
        <w:tc>
          <w:tcPr>
            <w:tcW w:w="1313" w:type="dxa"/>
            <w:tcBorders>
              <w:top w:val="dotted" w:sz="4" w:space="0" w:color="000000"/>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
        </w:tc>
        <w:tc>
          <w:tcPr>
            <w:tcW w:w="11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5"/>
              <w:jc w:val="right"/>
              <w:rPr>
                <w:rFonts w:ascii="Times New Roman" w:hAnsi="Times New Roman" w:cs="Times New Roman" w:eastAsia="Times New Roman" w:hint="default"/>
                <w:sz w:val="13"/>
                <w:szCs w:val="13"/>
              </w:rPr>
            </w:pPr>
            <w:r>
              <w:rPr>
                <w:rFonts w:ascii="Times New Roman"/>
                <w:sz w:val="13"/>
              </w:rPr>
              <w:t>736,687.61</w:t>
            </w:r>
          </w:p>
        </w:tc>
      </w:tr>
      <w:tr>
        <w:trPr>
          <w:trHeight w:val="427" w:hRule="exact"/>
        </w:trPr>
        <w:tc>
          <w:tcPr>
            <w:tcW w:w="21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5"/>
              <w:ind w:left="28" w:right="0"/>
              <w:jc w:val="left"/>
              <w:rPr>
                <w:rFonts w:ascii="宋体" w:hAnsi="宋体" w:cs="宋体" w:eastAsia="宋体" w:hint="default"/>
                <w:sz w:val="13"/>
                <w:szCs w:val="13"/>
              </w:rPr>
            </w:pPr>
            <w:r>
              <w:rPr>
                <w:rFonts w:ascii="宋体" w:hAnsi="宋体" w:cs="宋体" w:eastAsia="宋体" w:hint="default"/>
                <w:sz w:val="13"/>
                <w:szCs w:val="13"/>
              </w:rPr>
              <w:t>四、本年期末余额</w:t>
            </w:r>
          </w:p>
        </w:tc>
        <w:tc>
          <w:tcPr>
            <w:tcW w:w="10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left="115" w:right="0"/>
              <w:jc w:val="left"/>
              <w:rPr>
                <w:rFonts w:ascii="Times New Roman" w:hAnsi="Times New Roman" w:cs="Times New Roman" w:eastAsia="Times New Roman" w:hint="default"/>
                <w:sz w:val="13"/>
                <w:szCs w:val="13"/>
              </w:rPr>
            </w:pPr>
            <w:r>
              <w:rPr>
                <w:rFonts w:ascii="Times New Roman"/>
                <w:sz w:val="13"/>
              </w:rPr>
              <w:t>1,935,084,653.00</w:t>
            </w:r>
          </w:p>
        </w:tc>
        <w:tc>
          <w:tcPr>
            <w:tcW w:w="555" w:type="dxa"/>
            <w:tcBorders>
              <w:top w:val="dotted" w:sz="4" w:space="0" w:color="000000"/>
              <w:left w:val="dotted" w:sz="4" w:space="0" w:color="000000"/>
              <w:bottom w:val="single" w:sz="12" w:space="0" w:color="000000"/>
              <w:right w:val="dotted" w:sz="4" w:space="0" w:color="000000"/>
            </w:tcBorders>
          </w:tcPr>
          <w:p>
            <w:pPr/>
          </w:p>
        </w:tc>
        <w:tc>
          <w:tcPr>
            <w:tcW w:w="578" w:type="dxa"/>
            <w:tcBorders>
              <w:top w:val="dotted" w:sz="4" w:space="0" w:color="000000"/>
              <w:left w:val="dotted" w:sz="4" w:space="0" w:color="000000"/>
              <w:bottom w:val="single" w:sz="12" w:space="0" w:color="000000"/>
              <w:right w:val="dotted" w:sz="4" w:space="0" w:color="000000"/>
            </w:tcBorders>
          </w:tcPr>
          <w:p>
            <w:pPr/>
          </w:p>
        </w:tc>
        <w:tc>
          <w:tcPr>
            <w:tcW w:w="569" w:type="dxa"/>
            <w:tcBorders>
              <w:top w:val="dotted" w:sz="4" w:space="0" w:color="000000"/>
              <w:left w:val="dotted" w:sz="4" w:space="0" w:color="000000"/>
              <w:bottom w:val="single" w:sz="12" w:space="0" w:color="000000"/>
              <w:right w:val="dotted" w:sz="4" w:space="0" w:color="000000"/>
            </w:tcBorders>
          </w:tcPr>
          <w:p>
            <w:pPr/>
          </w:p>
        </w:tc>
        <w:tc>
          <w:tcPr>
            <w:tcW w:w="11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8,861,826,994.03</w:t>
            </w:r>
          </w:p>
        </w:tc>
        <w:tc>
          <w:tcPr>
            <w:tcW w:w="578" w:type="dxa"/>
            <w:tcBorders>
              <w:top w:val="dotted" w:sz="4" w:space="0" w:color="000000"/>
              <w:left w:val="dotted" w:sz="4" w:space="0" w:color="000000"/>
              <w:bottom w:val="single" w:sz="12" w:space="0" w:color="000000"/>
              <w:right w:val="dotted" w:sz="4" w:space="0" w:color="000000"/>
            </w:tcBorders>
          </w:tcPr>
          <w:p>
            <w:pPr/>
          </w:p>
        </w:tc>
        <w:tc>
          <w:tcPr>
            <w:tcW w:w="10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221" w:right="0"/>
              <w:jc w:val="left"/>
              <w:rPr>
                <w:rFonts w:ascii="宋体" w:hAnsi="宋体" w:cs="宋体" w:eastAsia="宋体" w:hint="default"/>
                <w:sz w:val="13"/>
                <w:szCs w:val="13"/>
              </w:rPr>
            </w:pPr>
            <w:r>
              <w:rPr>
                <w:rFonts w:ascii="宋体"/>
                <w:sz w:val="13"/>
              </w:rPr>
              <w:t>19,923,054.68</w:t>
            </w:r>
          </w:p>
        </w:tc>
        <w:tc>
          <w:tcPr>
            <w:tcW w:w="542" w:type="dxa"/>
            <w:tcBorders>
              <w:top w:val="dotted" w:sz="4" w:space="0" w:color="000000"/>
              <w:left w:val="dotted" w:sz="4" w:space="0" w:color="000000"/>
              <w:bottom w:val="single" w:sz="12" w:space="0" w:color="000000"/>
              <w:right w:val="dotted" w:sz="4" w:space="0" w:color="000000"/>
            </w:tcBorders>
          </w:tcPr>
          <w:p>
            <w:pPr/>
          </w:p>
        </w:tc>
        <w:tc>
          <w:tcPr>
            <w:tcW w:w="9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left="187" w:right="0"/>
              <w:jc w:val="left"/>
              <w:rPr>
                <w:rFonts w:ascii="Times New Roman" w:hAnsi="Times New Roman" w:cs="Times New Roman" w:eastAsia="Times New Roman" w:hint="default"/>
                <w:sz w:val="13"/>
                <w:szCs w:val="13"/>
              </w:rPr>
            </w:pPr>
            <w:r>
              <w:rPr>
                <w:rFonts w:ascii="Times New Roman"/>
                <w:sz w:val="13"/>
              </w:rPr>
              <w:t>44,253,651.01</w:t>
            </w:r>
          </w:p>
        </w:tc>
        <w:tc>
          <w:tcPr>
            <w:tcW w:w="14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11"/>
              <w:jc w:val="right"/>
              <w:rPr>
                <w:rFonts w:ascii="Times New Roman" w:hAnsi="Times New Roman" w:cs="Times New Roman" w:eastAsia="Times New Roman" w:hint="default"/>
                <w:sz w:val="13"/>
                <w:szCs w:val="13"/>
              </w:rPr>
            </w:pPr>
            <w:r>
              <w:rPr>
                <w:rFonts w:ascii="Times New Roman"/>
                <w:sz w:val="13"/>
              </w:rPr>
              <w:t>308,695,568.82</w:t>
            </w:r>
          </w:p>
        </w:tc>
        <w:tc>
          <w:tcPr>
            <w:tcW w:w="13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0"/>
              <w:jc w:val="right"/>
              <w:rPr>
                <w:rFonts w:ascii="宋体" w:hAnsi="宋体" w:cs="宋体" w:eastAsia="宋体" w:hint="default"/>
                <w:sz w:val="13"/>
                <w:szCs w:val="13"/>
              </w:rPr>
            </w:pPr>
            <w:r>
              <w:rPr>
                <w:rFonts w:ascii="宋体"/>
                <w:w w:val="95"/>
                <w:sz w:val="13"/>
              </w:rPr>
              <w:t>406,834,197.71</w:t>
            </w:r>
            <w:r>
              <w:rPr>
                <w:rFonts w:ascii="宋体"/>
                <w:sz w:val="13"/>
              </w:rPr>
            </w:r>
          </w:p>
        </w:tc>
        <w:tc>
          <w:tcPr>
            <w:tcW w:w="7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left="96" w:right="0"/>
              <w:jc w:val="left"/>
              <w:rPr>
                <w:rFonts w:ascii="Times New Roman" w:hAnsi="Times New Roman" w:cs="Times New Roman" w:eastAsia="Times New Roman" w:hint="default"/>
                <w:sz w:val="13"/>
                <w:szCs w:val="13"/>
              </w:rPr>
            </w:pPr>
            <w:r>
              <w:rPr>
                <w:rFonts w:ascii="Times New Roman"/>
                <w:sz w:val="13"/>
              </w:rPr>
              <w:t>2,490,050.10</w:t>
            </w:r>
          </w:p>
        </w:tc>
        <w:tc>
          <w:tcPr>
            <w:tcW w:w="11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7"/>
              <w:jc w:val="right"/>
              <w:rPr>
                <w:rFonts w:ascii="宋体" w:hAnsi="宋体" w:cs="宋体" w:eastAsia="宋体" w:hint="default"/>
                <w:sz w:val="13"/>
                <w:szCs w:val="13"/>
              </w:rPr>
            </w:pPr>
            <w:r>
              <w:rPr>
                <w:rFonts w:ascii="宋体"/>
                <w:w w:val="95"/>
                <w:sz w:val="13"/>
              </w:rPr>
              <w:t>11,579,108,169.35</w:t>
            </w:r>
            <w:r>
              <w:rPr>
                <w:rFonts w:ascii="宋体"/>
                <w:sz w:val="13"/>
              </w:rPr>
            </w:r>
          </w:p>
        </w:tc>
      </w:tr>
    </w:tbl>
    <w:p>
      <w:pPr>
        <w:spacing w:before="8"/>
        <w:ind w:left="14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452" w:val="left" w:leader="none"/>
          <w:tab w:pos="10855" w:val="left" w:leader="none"/>
        </w:tabs>
        <w:spacing w:before="153"/>
        <w:ind w:left="14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6840" w:h="11910" w:orient="landscape"/>
          <w:pgMar w:header="867" w:footer="980" w:top="1060" w:bottom="1160" w:left="1300" w:right="1300"/>
        </w:sectPr>
      </w:pPr>
    </w:p>
    <w:p>
      <w:pPr>
        <w:spacing w:line="208" w:lineRule="auto" w:before="13"/>
        <w:ind w:left="5855" w:right="5852" w:firstLine="0"/>
        <w:jc w:val="center"/>
        <w:rPr>
          <w:rFonts w:ascii="Microsoft JhengHei" w:hAnsi="Microsoft JhengHei" w:cs="Microsoft JhengHei" w:eastAsia="Microsoft JhengHei" w:hint="default"/>
          <w:sz w:val="18"/>
          <w:szCs w:val="18"/>
        </w:rPr>
      </w:pPr>
      <w:r>
        <w:rPr/>
        <w:pict>
          <v:group style="position:absolute;margin-left:70.559998pt;margin-top:2.186429pt;width:700.95pt;height:.1pt;mso-position-horizontal-relative:page;mso-position-vertical-relative:paragraph;z-index:-1330360"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合并所有者权益变动表（续）</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82" w:lineRule="exact" w:before="0"/>
        <w:ind w:left="5388" w:right="538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108" w:type="dxa"/>
        <w:tblLayout w:type="fixed"/>
        <w:tblCellMar>
          <w:top w:w="0" w:type="dxa"/>
          <w:left w:w="0" w:type="dxa"/>
          <w:bottom w:w="0" w:type="dxa"/>
          <w:right w:w="0" w:type="dxa"/>
        </w:tblCellMar>
        <w:tblLook w:val="01E0"/>
      </w:tblPr>
      <w:tblGrid>
        <w:gridCol w:w="2415"/>
        <w:gridCol w:w="1129"/>
        <w:gridCol w:w="590"/>
        <w:gridCol w:w="593"/>
        <w:gridCol w:w="485"/>
        <w:gridCol w:w="1166"/>
        <w:gridCol w:w="572"/>
        <w:gridCol w:w="1070"/>
        <w:gridCol w:w="526"/>
        <w:gridCol w:w="991"/>
        <w:gridCol w:w="677"/>
        <w:gridCol w:w="1126"/>
        <w:gridCol w:w="1099"/>
        <w:gridCol w:w="1539"/>
      </w:tblGrid>
      <w:tr>
        <w:trPr>
          <w:trHeight w:val="319" w:hRule="exact"/>
        </w:trPr>
        <w:tc>
          <w:tcPr>
            <w:tcW w:w="24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563" w:type="dxa"/>
            <w:gridSpan w:val="13"/>
            <w:tcBorders>
              <w:top w:val="single" w:sz="12" w:space="0" w:color="000000"/>
              <w:left w:val="dotted" w:sz="4" w:space="0" w:color="000000"/>
              <w:bottom w:val="dotted" w:sz="4" w:space="0" w:color="000000"/>
              <w:right w:val="nil" w:sz="6" w:space="0" w:color="auto"/>
            </w:tcBorders>
          </w:tcPr>
          <w:p>
            <w:pPr>
              <w:pStyle w:val="TableParagraph"/>
              <w:spacing w:line="240" w:lineRule="auto" w:before="66"/>
              <w:ind w:left="-1" w:right="0"/>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310" w:hRule="exact"/>
        </w:trPr>
        <w:tc>
          <w:tcPr>
            <w:tcW w:w="2415" w:type="dxa"/>
            <w:vMerge/>
            <w:tcBorders>
              <w:left w:val="nil" w:sz="6" w:space="0" w:color="auto"/>
              <w:right w:val="dotted" w:sz="4" w:space="0" w:color="000000"/>
            </w:tcBorders>
          </w:tcPr>
          <w:p>
            <w:pPr/>
          </w:p>
        </w:tc>
        <w:tc>
          <w:tcPr>
            <w:tcW w:w="8925" w:type="dxa"/>
            <w:gridSpan w:val="11"/>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9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55"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539"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30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0" w:hRule="exact"/>
        </w:trPr>
        <w:tc>
          <w:tcPr>
            <w:tcW w:w="2415" w:type="dxa"/>
            <w:vMerge/>
            <w:tcBorders>
              <w:left w:val="nil" w:sz="6" w:space="0" w:color="auto"/>
              <w:right w:val="dotted" w:sz="4" w:space="0" w:color="000000"/>
            </w:tcBorders>
          </w:tcPr>
          <w:p>
            <w:pPr/>
          </w:p>
        </w:tc>
        <w:tc>
          <w:tcPr>
            <w:tcW w:w="112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668"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439"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6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left="31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72"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309" w:lineRule="auto"/>
              <w:ind w:left="151" w:right="149"/>
              <w:jc w:val="both"/>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07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26"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307" w:lineRule="auto"/>
              <w:ind w:left="127" w:right="127"/>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99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677"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307" w:lineRule="auto"/>
              <w:ind w:left="139" w:right="137"/>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2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99" w:type="dxa"/>
            <w:vMerge/>
            <w:tcBorders>
              <w:left w:val="dotted" w:sz="4" w:space="0" w:color="000000"/>
              <w:right w:val="dotted" w:sz="4" w:space="0" w:color="000000"/>
            </w:tcBorders>
          </w:tcPr>
          <w:p>
            <w:pPr/>
          </w:p>
        </w:tc>
        <w:tc>
          <w:tcPr>
            <w:tcW w:w="1539" w:type="dxa"/>
            <w:vMerge/>
            <w:tcBorders>
              <w:left w:val="dotted" w:sz="4" w:space="0" w:color="000000"/>
              <w:right w:val="nil" w:sz="6" w:space="0" w:color="auto"/>
            </w:tcBorders>
          </w:tcPr>
          <w:p>
            <w:pPr/>
          </w:p>
        </w:tc>
      </w:tr>
      <w:tr>
        <w:trPr>
          <w:trHeight w:val="531" w:hRule="exact"/>
        </w:trPr>
        <w:tc>
          <w:tcPr>
            <w:tcW w:w="2415" w:type="dxa"/>
            <w:vMerge/>
            <w:tcBorders>
              <w:left w:val="nil" w:sz="6" w:space="0" w:color="auto"/>
              <w:bottom w:val="dotted" w:sz="4" w:space="0" w:color="000000"/>
              <w:right w:val="dotted" w:sz="4" w:space="0" w:color="000000"/>
            </w:tcBorders>
          </w:tcPr>
          <w:p>
            <w:pPr/>
          </w:p>
        </w:tc>
        <w:tc>
          <w:tcPr>
            <w:tcW w:w="1129" w:type="dxa"/>
            <w:vMerge/>
            <w:tcBorders>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Style w:val="TableParagraph"/>
              <w:spacing w:line="307" w:lineRule="auto" w:before="69"/>
              <w:ind w:left="225" w:right="158" w:hanging="65"/>
              <w:jc w:val="left"/>
              <w:rPr>
                <w:rFonts w:ascii="宋体" w:hAnsi="宋体" w:cs="宋体" w:eastAsia="宋体" w:hint="default"/>
                <w:sz w:val="13"/>
                <w:szCs w:val="13"/>
              </w:rPr>
            </w:pPr>
            <w:r>
              <w:rPr>
                <w:rFonts w:ascii="宋体" w:hAnsi="宋体" w:cs="宋体" w:eastAsia="宋体" w:hint="default"/>
                <w:sz w:val="13"/>
                <w:szCs w:val="13"/>
              </w:rPr>
              <w:t>优先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593" w:type="dxa"/>
            <w:tcBorders>
              <w:top w:val="dotted" w:sz="4" w:space="0" w:color="000000"/>
              <w:left w:val="dotted" w:sz="4" w:space="0" w:color="000000"/>
              <w:bottom w:val="dotted" w:sz="4" w:space="0" w:color="000000"/>
              <w:right w:val="dotted" w:sz="4" w:space="0" w:color="000000"/>
            </w:tcBorders>
          </w:tcPr>
          <w:p>
            <w:pPr>
              <w:pStyle w:val="TableParagraph"/>
              <w:spacing w:line="307" w:lineRule="auto" w:before="69"/>
              <w:ind w:left="225" w:right="161" w:hanging="65"/>
              <w:jc w:val="left"/>
              <w:rPr>
                <w:rFonts w:ascii="宋体" w:hAnsi="宋体" w:cs="宋体" w:eastAsia="宋体" w:hint="default"/>
                <w:sz w:val="13"/>
                <w:szCs w:val="13"/>
              </w:rPr>
            </w:pPr>
            <w:r>
              <w:rPr>
                <w:rFonts w:ascii="宋体" w:hAnsi="宋体" w:cs="宋体" w:eastAsia="宋体" w:hint="default"/>
                <w:sz w:val="13"/>
                <w:szCs w:val="13"/>
              </w:rPr>
              <w:t>永续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4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66" w:type="dxa"/>
            <w:vMerge/>
            <w:tcBorders>
              <w:left w:val="dotted" w:sz="4" w:space="0" w:color="000000"/>
              <w:bottom w:val="dotted" w:sz="4" w:space="0" w:color="000000"/>
              <w:right w:val="dotted" w:sz="4" w:space="0" w:color="000000"/>
            </w:tcBorders>
          </w:tcPr>
          <w:p>
            <w:pPr/>
          </w:p>
        </w:tc>
        <w:tc>
          <w:tcPr>
            <w:tcW w:w="572" w:type="dxa"/>
            <w:vMerge/>
            <w:tcBorders>
              <w:left w:val="dotted" w:sz="4" w:space="0" w:color="000000"/>
              <w:bottom w:val="dotted" w:sz="4" w:space="0" w:color="000000"/>
              <w:right w:val="dotted" w:sz="4" w:space="0" w:color="000000"/>
            </w:tcBorders>
          </w:tcPr>
          <w:p>
            <w:pPr/>
          </w:p>
        </w:tc>
        <w:tc>
          <w:tcPr>
            <w:tcW w:w="1070" w:type="dxa"/>
            <w:vMerge/>
            <w:tcBorders>
              <w:left w:val="dotted" w:sz="4" w:space="0" w:color="000000"/>
              <w:bottom w:val="dotted" w:sz="4" w:space="0" w:color="000000"/>
              <w:right w:val="dotted" w:sz="4" w:space="0" w:color="000000"/>
            </w:tcBorders>
          </w:tcPr>
          <w:p>
            <w:pPr/>
          </w:p>
        </w:tc>
        <w:tc>
          <w:tcPr>
            <w:tcW w:w="526" w:type="dxa"/>
            <w:vMerge/>
            <w:tcBorders>
              <w:left w:val="dotted" w:sz="4" w:space="0" w:color="000000"/>
              <w:bottom w:val="dotted" w:sz="4" w:space="0" w:color="000000"/>
              <w:right w:val="dotted" w:sz="4" w:space="0" w:color="000000"/>
            </w:tcBorders>
          </w:tcPr>
          <w:p>
            <w:pPr/>
          </w:p>
        </w:tc>
        <w:tc>
          <w:tcPr>
            <w:tcW w:w="991" w:type="dxa"/>
            <w:vMerge/>
            <w:tcBorders>
              <w:left w:val="dotted" w:sz="4" w:space="0" w:color="000000"/>
              <w:bottom w:val="dotted" w:sz="4" w:space="0" w:color="000000"/>
              <w:right w:val="dotted" w:sz="4" w:space="0" w:color="000000"/>
            </w:tcBorders>
          </w:tcPr>
          <w:p>
            <w:pPr/>
          </w:p>
        </w:tc>
        <w:tc>
          <w:tcPr>
            <w:tcW w:w="677" w:type="dxa"/>
            <w:vMerge/>
            <w:tcBorders>
              <w:left w:val="dotted" w:sz="4" w:space="0" w:color="000000"/>
              <w:bottom w:val="dotted" w:sz="4" w:space="0" w:color="000000"/>
              <w:right w:val="dotted" w:sz="4" w:space="0" w:color="000000"/>
            </w:tcBorders>
          </w:tcPr>
          <w:p>
            <w:pPr/>
          </w:p>
        </w:tc>
        <w:tc>
          <w:tcPr>
            <w:tcW w:w="1126" w:type="dxa"/>
            <w:vMerge/>
            <w:tcBorders>
              <w:left w:val="dotted" w:sz="4" w:space="0" w:color="000000"/>
              <w:bottom w:val="dotted" w:sz="4" w:space="0" w:color="000000"/>
              <w:right w:val="dotted" w:sz="4" w:space="0" w:color="000000"/>
            </w:tcBorders>
          </w:tcPr>
          <w:p>
            <w:pPr/>
          </w:p>
        </w:tc>
        <w:tc>
          <w:tcPr>
            <w:tcW w:w="1099" w:type="dxa"/>
            <w:vMerge/>
            <w:tcBorders>
              <w:left w:val="dotted" w:sz="4" w:space="0" w:color="000000"/>
              <w:bottom w:val="dotted" w:sz="4" w:space="0" w:color="000000"/>
              <w:right w:val="dotted" w:sz="4" w:space="0" w:color="000000"/>
            </w:tcBorders>
          </w:tcPr>
          <w:p>
            <w:pPr/>
          </w:p>
        </w:tc>
        <w:tc>
          <w:tcPr>
            <w:tcW w:w="1539" w:type="dxa"/>
            <w:vMerge/>
            <w:tcBorders>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一、期初余额</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3" w:right="0"/>
              <w:jc w:val="center"/>
              <w:rPr>
                <w:rFonts w:ascii="Times New Roman" w:hAnsi="Times New Roman" w:cs="Times New Roman" w:eastAsia="Times New Roman" w:hint="default"/>
                <w:sz w:val="13"/>
                <w:szCs w:val="13"/>
              </w:rPr>
            </w:pPr>
            <w:r>
              <w:rPr>
                <w:rFonts w:ascii="Times New Roman"/>
                <w:sz w:val="13"/>
              </w:rPr>
              <w:t>1,497,804,400.00</w:t>
            </w: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42" w:right="0"/>
              <w:jc w:val="center"/>
              <w:rPr>
                <w:rFonts w:ascii="Times New Roman" w:hAnsi="Times New Roman" w:cs="Times New Roman" w:eastAsia="Times New Roman" w:hint="default"/>
                <w:sz w:val="13"/>
                <w:szCs w:val="13"/>
              </w:rPr>
            </w:pPr>
            <w:r>
              <w:rPr>
                <w:rFonts w:ascii="Times New Roman"/>
                <w:sz w:val="13"/>
              </w:rPr>
              <w:t>9,459,648,413.25</w:t>
            </w: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713,053,220.50</w:t>
            </w: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42,142,887.16</w:t>
            </w: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7"/>
              <w:jc w:val="right"/>
              <w:rPr>
                <w:rFonts w:ascii="Times New Roman" w:hAnsi="Times New Roman" w:cs="Times New Roman" w:eastAsia="Times New Roman" w:hint="default"/>
                <w:sz w:val="13"/>
                <w:szCs w:val="13"/>
              </w:rPr>
            </w:pPr>
            <w:r>
              <w:rPr>
                <w:rFonts w:ascii="Times New Roman"/>
                <w:sz w:val="13"/>
              </w:rPr>
              <w:t>1,161,420,991.71</w:t>
            </w: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6"/>
              <w:jc w:val="right"/>
              <w:rPr>
                <w:rFonts w:ascii="Times New Roman" w:hAnsi="Times New Roman" w:cs="Times New Roman" w:eastAsia="Times New Roman" w:hint="default"/>
                <w:sz w:val="13"/>
                <w:szCs w:val="13"/>
              </w:rPr>
            </w:pPr>
            <w:r>
              <w:rPr>
                <w:rFonts w:ascii="Times New Roman"/>
                <w:sz w:val="13"/>
              </w:rPr>
              <w:t>2,833,299.56</w:t>
            </w: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13"/>
                <w:szCs w:val="13"/>
              </w:rPr>
            </w:pPr>
            <w:r>
              <w:rPr>
                <w:rFonts w:ascii="Times New Roman"/>
                <w:sz w:val="13"/>
              </w:rPr>
              <w:t>12,876,903,212.18</w:t>
            </w:r>
          </w:p>
        </w:tc>
      </w:tr>
      <w:tr>
        <w:trPr>
          <w:trHeight w:val="312"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38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64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646"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64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3" w:right="0"/>
              <w:jc w:val="center"/>
              <w:rPr>
                <w:rFonts w:ascii="Times New Roman" w:hAnsi="Times New Roman" w:cs="Times New Roman" w:eastAsia="Times New Roman" w:hint="default"/>
                <w:sz w:val="13"/>
                <w:szCs w:val="13"/>
              </w:rPr>
            </w:pPr>
            <w:r>
              <w:rPr>
                <w:rFonts w:ascii="Times New Roman"/>
                <w:sz w:val="13"/>
              </w:rPr>
              <w:t>1,497,804,400.00</w:t>
            </w: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42" w:right="0"/>
              <w:jc w:val="center"/>
              <w:rPr>
                <w:rFonts w:ascii="Times New Roman" w:hAnsi="Times New Roman" w:cs="Times New Roman" w:eastAsia="Times New Roman" w:hint="default"/>
                <w:sz w:val="13"/>
                <w:szCs w:val="13"/>
              </w:rPr>
            </w:pPr>
            <w:r>
              <w:rPr>
                <w:rFonts w:ascii="Times New Roman"/>
                <w:sz w:val="13"/>
              </w:rPr>
              <w:t>9,459,648,413.25</w:t>
            </w: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713,053,220.50</w:t>
            </w: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42,142,887.16</w:t>
            </w: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7"/>
              <w:jc w:val="right"/>
              <w:rPr>
                <w:rFonts w:ascii="Times New Roman" w:hAnsi="Times New Roman" w:cs="Times New Roman" w:eastAsia="Times New Roman" w:hint="default"/>
                <w:sz w:val="13"/>
                <w:szCs w:val="13"/>
              </w:rPr>
            </w:pPr>
            <w:r>
              <w:rPr>
                <w:rFonts w:ascii="Times New Roman"/>
                <w:sz w:val="13"/>
              </w:rPr>
              <w:t>1,161,420,991.71</w:t>
            </w: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6"/>
              <w:jc w:val="right"/>
              <w:rPr>
                <w:rFonts w:ascii="Times New Roman" w:hAnsi="Times New Roman" w:cs="Times New Roman" w:eastAsia="Times New Roman" w:hint="default"/>
                <w:sz w:val="13"/>
                <w:szCs w:val="13"/>
              </w:rPr>
            </w:pPr>
            <w:r>
              <w:rPr>
                <w:rFonts w:ascii="Times New Roman"/>
                <w:sz w:val="13"/>
              </w:rPr>
              <w:t>2,833,299.56</w:t>
            </w: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13"/>
                <w:szCs w:val="13"/>
              </w:rPr>
            </w:pPr>
            <w:r>
              <w:rPr>
                <w:rFonts w:ascii="Times New Roman"/>
                <w:sz w:val="13"/>
              </w:rPr>
              <w:t>12,876,903,212.18</w:t>
            </w:r>
          </w:p>
        </w:tc>
      </w:tr>
      <w:tr>
        <w:trPr>
          <w:trHeight w:val="53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95" w:lineRule="auto" w:before="66"/>
              <w:ind w:left="122" w:right="103"/>
              <w:jc w:val="left"/>
              <w:rPr>
                <w:rFonts w:ascii="宋体" w:hAnsi="宋体" w:cs="宋体" w:eastAsia="宋体" w:hint="default"/>
                <w:sz w:val="13"/>
                <w:szCs w:val="13"/>
              </w:rPr>
            </w:pPr>
            <w:r>
              <w:rPr>
                <w:rFonts w:ascii="宋体" w:hAnsi="宋体" w:cs="宋体" w:eastAsia="宋体" w:hint="default"/>
                <w:spacing w:val="-3"/>
                <w:sz w:val="13"/>
                <w:szCs w:val="13"/>
              </w:rPr>
              <w:t>三、本期增减变动金额（减少以</w:t>
            </w:r>
            <w:r>
              <w:rPr>
                <w:rFonts w:ascii="Times New Roman" w:hAnsi="Times New Roman" w:cs="Times New Roman" w:eastAsia="Times New Roman" w:hint="default"/>
                <w:spacing w:val="-3"/>
                <w:sz w:val="13"/>
                <w:szCs w:val="13"/>
              </w:rPr>
              <w:t>“</w:t>
            </w:r>
            <w:r>
              <w:rPr>
                <w:rFonts w:ascii="Times New Roman" w:hAnsi="Times New Roman" w:cs="Times New Roman" w:eastAsia="Times New Roman" w:hint="default"/>
                <w:spacing w:val="-3"/>
                <w:sz w:val="13"/>
                <w:szCs w:val="13"/>
              </w:rPr>
              <w:t>-</w:t>
            </w:r>
            <w:r>
              <w:rPr>
                <w:rFonts w:ascii="Times New Roman" w:hAnsi="Times New Roman" w:cs="Times New Roman" w:eastAsia="Times New Roman" w:hint="default"/>
                <w:spacing w:val="-3"/>
                <w:sz w:val="13"/>
                <w:szCs w:val="13"/>
              </w:rPr>
              <w:t>”</w:t>
            </w:r>
            <w:r>
              <w:rPr>
                <w:rFonts w:ascii="宋体" w:hAnsi="宋体" w:cs="宋体" w:eastAsia="宋体" w:hint="default"/>
                <w:spacing w:val="-3"/>
                <w:sz w:val="13"/>
                <w:szCs w:val="13"/>
              </w:rPr>
              <w:t>号填</w:t>
            </w:r>
            <w:r>
              <w:rPr>
                <w:rFonts w:ascii="宋体" w:hAnsi="宋体" w:cs="宋体" w:eastAsia="宋体" w:hint="default"/>
                <w:w w:val="99"/>
                <w:sz w:val="13"/>
                <w:szCs w:val="13"/>
              </w:rPr>
              <w:t> </w:t>
            </w:r>
            <w:r>
              <w:rPr>
                <w:rFonts w:ascii="宋体" w:hAnsi="宋体" w:cs="宋体" w:eastAsia="宋体" w:hint="default"/>
                <w:sz w:val="13"/>
                <w:szCs w:val="13"/>
              </w:rPr>
              <w:t>列）</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97" w:right="0"/>
              <w:jc w:val="center"/>
              <w:rPr>
                <w:rFonts w:ascii="Times New Roman" w:hAnsi="Times New Roman" w:cs="Times New Roman" w:eastAsia="Times New Roman" w:hint="default"/>
                <w:sz w:val="13"/>
                <w:szCs w:val="13"/>
              </w:rPr>
            </w:pPr>
            <w:r>
              <w:rPr>
                <w:rFonts w:ascii="Times New Roman"/>
                <w:sz w:val="13"/>
              </w:rPr>
              <w:t>437,280,253.00</w:t>
            </w: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93" w:right="0"/>
              <w:jc w:val="center"/>
              <w:rPr>
                <w:rFonts w:ascii="Times New Roman" w:hAnsi="Times New Roman" w:cs="Times New Roman" w:eastAsia="Times New Roman" w:hint="default"/>
                <w:sz w:val="13"/>
                <w:szCs w:val="13"/>
              </w:rPr>
            </w:pPr>
            <w:r>
              <w:rPr>
                <w:rFonts w:ascii="Times New Roman"/>
                <w:sz w:val="13"/>
              </w:rPr>
              <w:t>-598,558,106.83</w:t>
            </w: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355" w:lineRule="auto" w:before="106"/>
              <w:ind w:left="146" w:right="98" w:firstLine="770"/>
              <w:jc w:val="left"/>
              <w:rPr>
                <w:rFonts w:ascii="Times New Roman" w:hAnsi="Times New Roman" w:cs="Times New Roman" w:eastAsia="Times New Roman" w:hint="default"/>
                <w:sz w:val="13"/>
                <w:szCs w:val="13"/>
              </w:rPr>
            </w:pPr>
            <w:r>
              <w:rPr>
                <w:rFonts w:ascii="Times New Roman"/>
                <w:sz w:val="13"/>
              </w:rPr>
              <w:t>-</w:t>
            </w:r>
            <w:r>
              <w:rPr>
                <w:rFonts w:ascii="Times New Roman"/>
                <w:w w:val="99"/>
                <w:sz w:val="13"/>
              </w:rPr>
              <w:t> </w:t>
            </w:r>
            <w:r>
              <w:rPr>
                <w:rFonts w:ascii="Times New Roman"/>
                <w:sz w:val="13"/>
              </w:rPr>
              <w:t>751,226,008.42</w:t>
            </w: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2,110,763.85</w:t>
            </w: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-561,305,661.55</w:t>
            </w: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53,002.82</w:t>
            </w: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-1,471,645,757.13</w:t>
            </w:r>
          </w:p>
        </w:tc>
      </w:tr>
      <w:tr>
        <w:trPr>
          <w:trHeight w:val="531"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355" w:lineRule="auto" w:before="107"/>
              <w:ind w:left="146" w:right="98" w:firstLine="770"/>
              <w:jc w:val="left"/>
              <w:rPr>
                <w:rFonts w:ascii="Times New Roman" w:hAnsi="Times New Roman" w:cs="Times New Roman" w:eastAsia="Times New Roman" w:hint="default"/>
                <w:sz w:val="13"/>
                <w:szCs w:val="13"/>
              </w:rPr>
            </w:pPr>
            <w:r>
              <w:rPr>
                <w:rFonts w:ascii="Times New Roman"/>
                <w:sz w:val="13"/>
              </w:rPr>
              <w:t>-</w:t>
            </w:r>
            <w:r>
              <w:rPr>
                <w:rFonts w:ascii="Times New Roman"/>
                <w:w w:val="99"/>
                <w:sz w:val="13"/>
              </w:rPr>
              <w:t> </w:t>
            </w:r>
            <w:r>
              <w:rPr>
                <w:rFonts w:ascii="Times New Roman"/>
                <w:sz w:val="13"/>
              </w:rPr>
              <w:t>751,226,008.42</w:t>
            </w: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-544,272,818.63</w:t>
            </w:r>
          </w:p>
        </w:tc>
        <w:tc>
          <w:tcPr>
            <w:tcW w:w="10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53,002.82</w:t>
            </w: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-1,295,445,824.23</w:t>
            </w: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18" w:right="0"/>
              <w:jc w:val="center"/>
              <w:rPr>
                <w:rFonts w:ascii="Times New Roman" w:hAnsi="Times New Roman" w:cs="Times New Roman" w:eastAsia="Times New Roman" w:hint="default"/>
                <w:sz w:val="13"/>
                <w:szCs w:val="13"/>
              </w:rPr>
            </w:pPr>
            <w:r>
              <w:rPr>
                <w:rFonts w:ascii="Times New Roman"/>
                <w:sz w:val="13"/>
              </w:rPr>
              <w:t>-10,299,888.00</w:t>
            </w: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93" w:right="0"/>
              <w:jc w:val="center"/>
              <w:rPr>
                <w:rFonts w:ascii="Times New Roman" w:hAnsi="Times New Roman" w:cs="Times New Roman" w:eastAsia="Times New Roman" w:hint="default"/>
                <w:sz w:val="13"/>
                <w:szCs w:val="13"/>
              </w:rPr>
            </w:pPr>
            <w:r>
              <w:rPr>
                <w:rFonts w:ascii="Times New Roman"/>
                <w:sz w:val="13"/>
              </w:rPr>
              <w:t>-150,977,965.83</w:t>
            </w: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3"/>
                <w:szCs w:val="13"/>
              </w:rPr>
            </w:pPr>
            <w:r>
              <w:rPr>
                <w:rFonts w:ascii="Times New Roman"/>
                <w:sz w:val="13"/>
              </w:rPr>
              <w:t>-161,277,853.83</w:t>
            </w: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．股东投入的普通股</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2"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18" w:right="0"/>
              <w:jc w:val="center"/>
              <w:rPr>
                <w:rFonts w:ascii="Times New Roman" w:hAnsi="Times New Roman" w:cs="Times New Roman" w:eastAsia="Times New Roman" w:hint="default"/>
                <w:sz w:val="13"/>
                <w:szCs w:val="13"/>
              </w:rPr>
            </w:pPr>
            <w:r>
              <w:rPr>
                <w:rFonts w:ascii="Times New Roman"/>
                <w:sz w:val="13"/>
              </w:rPr>
              <w:t>-10,299,888.00</w:t>
            </w: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93" w:right="0"/>
              <w:jc w:val="center"/>
              <w:rPr>
                <w:rFonts w:ascii="Times New Roman" w:hAnsi="Times New Roman" w:cs="Times New Roman" w:eastAsia="Times New Roman" w:hint="default"/>
                <w:sz w:val="13"/>
                <w:szCs w:val="13"/>
              </w:rPr>
            </w:pPr>
            <w:r>
              <w:rPr>
                <w:rFonts w:ascii="Times New Roman"/>
                <w:sz w:val="13"/>
              </w:rPr>
              <w:t>-150,977,965.83</w:t>
            </w: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3"/>
                <w:szCs w:val="13"/>
              </w:rPr>
            </w:pPr>
            <w:r>
              <w:rPr>
                <w:rFonts w:ascii="Times New Roman"/>
                <w:sz w:val="13"/>
              </w:rPr>
              <w:t>-161,277,853.83</w:t>
            </w: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pacing w:val="-1"/>
                <w:sz w:val="13"/>
              </w:rPr>
              <w:t>2,110,763.85</w:t>
            </w: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-17,032,842.92</w:t>
            </w: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3"/>
                <w:szCs w:val="13"/>
              </w:rPr>
            </w:pPr>
            <w:r>
              <w:rPr>
                <w:rFonts w:ascii="Times New Roman"/>
                <w:sz w:val="13"/>
              </w:rPr>
              <w:t>-14,922,079.07</w:t>
            </w: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pacing w:val="-1"/>
                <w:sz w:val="13"/>
              </w:rPr>
              <w:t>2,111,060.85</w:t>
            </w: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6"/>
              <w:jc w:val="right"/>
              <w:rPr>
                <w:rFonts w:ascii="Times New Roman" w:hAnsi="Times New Roman" w:cs="Times New Roman" w:eastAsia="Times New Roman" w:hint="default"/>
                <w:sz w:val="13"/>
                <w:szCs w:val="13"/>
              </w:rPr>
            </w:pPr>
            <w:r>
              <w:rPr>
                <w:rFonts w:ascii="Times New Roman"/>
                <w:spacing w:val="-1"/>
                <w:sz w:val="13"/>
              </w:rPr>
              <w:t>-2,111,060.85</w:t>
            </w: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-14,919,109.10</w:t>
            </w: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3"/>
                <w:szCs w:val="13"/>
              </w:rPr>
            </w:pPr>
            <w:r>
              <w:rPr>
                <w:rFonts w:ascii="Times New Roman"/>
                <w:sz w:val="13"/>
              </w:rPr>
              <w:t>-14,919,109.10</w:t>
            </w:r>
          </w:p>
        </w:tc>
      </w:tr>
      <w:tr>
        <w:trPr>
          <w:trHeight w:val="312"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6"/>
                <w:szCs w:val="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-297.00</w:t>
            </w:r>
            <w:r>
              <w:rPr>
                <w:rFonts w:ascii="Times New Roman"/>
                <w:sz w:val="13"/>
              </w:rPr>
            </w: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6"/>
                <w:szCs w:val="6"/>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-2,672.97</w:t>
            </w: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6"/>
                <w:szCs w:val="6"/>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-2,969.97</w:t>
            </w: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97" w:right="0"/>
              <w:jc w:val="center"/>
              <w:rPr>
                <w:rFonts w:ascii="Times New Roman" w:hAnsi="Times New Roman" w:cs="Times New Roman" w:eastAsia="Times New Roman" w:hint="default"/>
                <w:sz w:val="13"/>
                <w:szCs w:val="13"/>
              </w:rPr>
            </w:pPr>
            <w:r>
              <w:rPr>
                <w:rFonts w:ascii="Times New Roman"/>
                <w:sz w:val="13"/>
              </w:rPr>
              <w:t>447,580,141.00</w:t>
            </w: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93" w:right="0"/>
              <w:jc w:val="center"/>
              <w:rPr>
                <w:rFonts w:ascii="Times New Roman" w:hAnsi="Times New Roman" w:cs="Times New Roman" w:eastAsia="Times New Roman" w:hint="default"/>
                <w:sz w:val="13"/>
                <w:szCs w:val="13"/>
              </w:rPr>
            </w:pPr>
            <w:r>
              <w:rPr>
                <w:rFonts w:ascii="Times New Roman"/>
                <w:sz w:val="13"/>
              </w:rPr>
              <w:t>-447,580,141.00</w:t>
            </w: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24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97" w:right="0"/>
              <w:jc w:val="center"/>
              <w:rPr>
                <w:rFonts w:ascii="Times New Roman" w:hAnsi="Times New Roman" w:cs="Times New Roman" w:eastAsia="Times New Roman" w:hint="default"/>
                <w:sz w:val="13"/>
                <w:szCs w:val="13"/>
              </w:rPr>
            </w:pPr>
            <w:r>
              <w:rPr>
                <w:rFonts w:ascii="Times New Roman"/>
                <w:sz w:val="13"/>
              </w:rPr>
              <w:t>447,580,141.00</w:t>
            </w:r>
          </w:p>
        </w:tc>
        <w:tc>
          <w:tcPr>
            <w:tcW w:w="590" w:type="dxa"/>
            <w:tcBorders>
              <w:top w:val="dotted" w:sz="4" w:space="0" w:color="000000"/>
              <w:left w:val="dotted" w:sz="4" w:space="0" w:color="000000"/>
              <w:bottom w:val="single" w:sz="12" w:space="0" w:color="000000"/>
              <w:right w:val="dotted" w:sz="4" w:space="0" w:color="000000"/>
            </w:tcBorders>
          </w:tcPr>
          <w:p>
            <w:pPr/>
          </w:p>
        </w:tc>
        <w:tc>
          <w:tcPr>
            <w:tcW w:w="593" w:type="dxa"/>
            <w:tcBorders>
              <w:top w:val="dotted" w:sz="4" w:space="0" w:color="000000"/>
              <w:left w:val="dotted" w:sz="4" w:space="0" w:color="000000"/>
              <w:bottom w:val="single" w:sz="12" w:space="0" w:color="000000"/>
              <w:right w:val="dotted" w:sz="4" w:space="0" w:color="000000"/>
            </w:tcBorders>
          </w:tcPr>
          <w:p>
            <w:pPr/>
          </w:p>
        </w:tc>
        <w:tc>
          <w:tcPr>
            <w:tcW w:w="485" w:type="dxa"/>
            <w:tcBorders>
              <w:top w:val="dotted" w:sz="4" w:space="0" w:color="000000"/>
              <w:left w:val="dotted" w:sz="4" w:space="0" w:color="000000"/>
              <w:bottom w:val="single" w:sz="12" w:space="0" w:color="000000"/>
              <w:right w:val="dotted" w:sz="4" w:space="0" w:color="000000"/>
            </w:tcBorders>
          </w:tcPr>
          <w:p>
            <w:pPr/>
          </w:p>
        </w:tc>
        <w:tc>
          <w:tcPr>
            <w:tcW w:w="11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93" w:right="0"/>
              <w:jc w:val="center"/>
              <w:rPr>
                <w:rFonts w:ascii="Times New Roman" w:hAnsi="Times New Roman" w:cs="Times New Roman" w:eastAsia="Times New Roman" w:hint="default"/>
                <w:sz w:val="13"/>
                <w:szCs w:val="13"/>
              </w:rPr>
            </w:pPr>
            <w:r>
              <w:rPr>
                <w:rFonts w:ascii="Times New Roman"/>
                <w:sz w:val="13"/>
              </w:rPr>
              <w:t>-447,580,141.00</w:t>
            </w:r>
          </w:p>
        </w:tc>
        <w:tc>
          <w:tcPr>
            <w:tcW w:w="572" w:type="dxa"/>
            <w:tcBorders>
              <w:top w:val="dotted" w:sz="4" w:space="0" w:color="000000"/>
              <w:left w:val="dotted" w:sz="4" w:space="0" w:color="000000"/>
              <w:bottom w:val="single" w:sz="12" w:space="0" w:color="000000"/>
              <w:right w:val="dotted" w:sz="4" w:space="0" w:color="000000"/>
            </w:tcBorders>
          </w:tcPr>
          <w:p>
            <w:pPr/>
          </w:p>
        </w:tc>
        <w:tc>
          <w:tcPr>
            <w:tcW w:w="1070" w:type="dxa"/>
            <w:tcBorders>
              <w:top w:val="dotted" w:sz="4" w:space="0" w:color="000000"/>
              <w:left w:val="dotted" w:sz="4" w:space="0" w:color="000000"/>
              <w:bottom w:val="single" w:sz="12" w:space="0" w:color="000000"/>
              <w:right w:val="dotted" w:sz="4" w:space="0" w:color="000000"/>
            </w:tcBorders>
          </w:tcPr>
          <w:p>
            <w:pPr/>
          </w:p>
        </w:tc>
        <w:tc>
          <w:tcPr>
            <w:tcW w:w="526" w:type="dxa"/>
            <w:tcBorders>
              <w:top w:val="dotted" w:sz="4" w:space="0" w:color="000000"/>
              <w:left w:val="dotted" w:sz="4" w:space="0" w:color="000000"/>
              <w:bottom w:val="single" w:sz="12" w:space="0" w:color="000000"/>
              <w:right w:val="dotted" w:sz="4" w:space="0" w:color="000000"/>
            </w:tcBorders>
          </w:tcPr>
          <w:p>
            <w:pPr/>
          </w:p>
        </w:tc>
        <w:tc>
          <w:tcPr>
            <w:tcW w:w="991" w:type="dxa"/>
            <w:tcBorders>
              <w:top w:val="dotted" w:sz="4" w:space="0" w:color="000000"/>
              <w:left w:val="dotted" w:sz="4" w:space="0" w:color="000000"/>
              <w:bottom w:val="single" w:sz="12" w:space="0" w:color="000000"/>
              <w:right w:val="dotted" w:sz="4" w:space="0" w:color="000000"/>
            </w:tcBorders>
          </w:tcPr>
          <w:p>
            <w:pPr/>
          </w:p>
        </w:tc>
        <w:tc>
          <w:tcPr>
            <w:tcW w:w="677" w:type="dxa"/>
            <w:tcBorders>
              <w:top w:val="dotted" w:sz="4" w:space="0" w:color="000000"/>
              <w:left w:val="dotted" w:sz="4" w:space="0" w:color="000000"/>
              <w:bottom w:val="single" w:sz="12" w:space="0" w:color="000000"/>
              <w:right w:val="dotted" w:sz="4" w:space="0" w:color="000000"/>
            </w:tcBorders>
          </w:tcPr>
          <w:p>
            <w:pPr/>
          </w:p>
        </w:tc>
        <w:tc>
          <w:tcPr>
            <w:tcW w:w="1126" w:type="dxa"/>
            <w:tcBorders>
              <w:top w:val="dotted" w:sz="4" w:space="0" w:color="000000"/>
              <w:left w:val="dotted" w:sz="4" w:space="0" w:color="000000"/>
              <w:bottom w:val="single" w:sz="12" w:space="0" w:color="000000"/>
              <w:right w:val="dotted" w:sz="4" w:space="0" w:color="000000"/>
            </w:tcBorders>
          </w:tcPr>
          <w:p>
            <w:pPr/>
          </w:p>
        </w:tc>
        <w:tc>
          <w:tcPr>
            <w:tcW w:w="1099" w:type="dxa"/>
            <w:tcBorders>
              <w:top w:val="dotted" w:sz="4" w:space="0" w:color="000000"/>
              <w:left w:val="dotted" w:sz="4" w:space="0" w:color="000000"/>
              <w:bottom w:val="single" w:sz="12" w:space="0" w:color="000000"/>
              <w:right w:val="dotted" w:sz="4" w:space="0" w:color="000000"/>
            </w:tcBorders>
          </w:tcPr>
          <w:p>
            <w:pPr/>
          </w:p>
        </w:tc>
        <w:tc>
          <w:tcPr>
            <w:tcW w:w="1539"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67" w:footer="980" w:top="1060" w:bottom="1160" w:left="1300" w:right="130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Microsoft JhengHei" w:hAnsi="Microsoft JhengHei" w:cs="Microsoft JhengHei" w:eastAsia="Microsoft JhengHei" w:hint="default"/>
          <w:sz w:val="2"/>
          <w:szCs w:val="2"/>
        </w:rPr>
      </w:r>
    </w:p>
    <w:tbl>
      <w:tblPr>
        <w:tblW w:w="0" w:type="auto"/>
        <w:jc w:val="left"/>
        <w:tblInd w:w="108" w:type="dxa"/>
        <w:tblLayout w:type="fixed"/>
        <w:tblCellMar>
          <w:top w:w="0" w:type="dxa"/>
          <w:left w:w="0" w:type="dxa"/>
          <w:bottom w:w="0" w:type="dxa"/>
          <w:right w:w="0" w:type="dxa"/>
        </w:tblCellMar>
        <w:tblLook w:val="01E0"/>
      </w:tblPr>
      <w:tblGrid>
        <w:gridCol w:w="2415"/>
        <w:gridCol w:w="1129"/>
        <w:gridCol w:w="590"/>
        <w:gridCol w:w="593"/>
        <w:gridCol w:w="485"/>
        <w:gridCol w:w="1166"/>
        <w:gridCol w:w="572"/>
        <w:gridCol w:w="1070"/>
        <w:gridCol w:w="526"/>
        <w:gridCol w:w="991"/>
        <w:gridCol w:w="677"/>
        <w:gridCol w:w="1126"/>
        <w:gridCol w:w="1099"/>
        <w:gridCol w:w="1539"/>
      </w:tblGrid>
      <w:tr>
        <w:trPr>
          <w:trHeight w:val="322" w:hRule="exact"/>
        </w:trPr>
        <w:tc>
          <w:tcPr>
            <w:tcW w:w="24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563" w:type="dxa"/>
            <w:gridSpan w:val="13"/>
            <w:tcBorders>
              <w:top w:val="single" w:sz="12" w:space="0" w:color="000000"/>
              <w:left w:val="dotted" w:sz="4" w:space="0" w:color="000000"/>
              <w:bottom w:val="dotted" w:sz="4" w:space="0" w:color="000000"/>
              <w:right w:val="nil" w:sz="6" w:space="0" w:color="auto"/>
            </w:tcBorders>
          </w:tcPr>
          <w:p>
            <w:pPr>
              <w:pStyle w:val="TableParagraph"/>
              <w:spacing w:line="240" w:lineRule="auto" w:before="69"/>
              <w:ind w:left="-1" w:right="0"/>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310" w:hRule="exact"/>
        </w:trPr>
        <w:tc>
          <w:tcPr>
            <w:tcW w:w="2415" w:type="dxa"/>
            <w:vMerge/>
            <w:tcBorders>
              <w:left w:val="nil" w:sz="6" w:space="0" w:color="auto"/>
              <w:right w:val="dotted" w:sz="4" w:space="0" w:color="000000"/>
            </w:tcBorders>
          </w:tcPr>
          <w:p>
            <w:pPr/>
          </w:p>
        </w:tc>
        <w:tc>
          <w:tcPr>
            <w:tcW w:w="8925" w:type="dxa"/>
            <w:gridSpan w:val="11"/>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9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155"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539"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left="30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0" w:hRule="exact"/>
        </w:trPr>
        <w:tc>
          <w:tcPr>
            <w:tcW w:w="2415" w:type="dxa"/>
            <w:vMerge/>
            <w:tcBorders>
              <w:left w:val="nil" w:sz="6" w:space="0" w:color="auto"/>
              <w:right w:val="dotted" w:sz="4" w:space="0" w:color="000000"/>
            </w:tcBorders>
          </w:tcPr>
          <w:p>
            <w:pPr/>
          </w:p>
        </w:tc>
        <w:tc>
          <w:tcPr>
            <w:tcW w:w="112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668"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439"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6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left="31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72"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309" w:lineRule="auto"/>
              <w:ind w:left="151" w:right="149"/>
              <w:jc w:val="both"/>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07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26"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307" w:lineRule="auto"/>
              <w:ind w:left="127" w:right="127"/>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991"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677"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307" w:lineRule="auto"/>
              <w:ind w:left="139" w:right="137"/>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26"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2"/>
              <w:ind w:right="0"/>
              <w:jc w:val="left"/>
              <w:rPr>
                <w:rFonts w:ascii="Microsoft JhengHei" w:hAnsi="Microsoft JhengHei" w:cs="Microsoft JhengHei" w:eastAsia="Microsoft JhengHei" w:hint="default"/>
                <w:b/>
                <w:bCs/>
                <w:sz w:val="7"/>
                <w:szCs w:val="7"/>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99" w:type="dxa"/>
            <w:vMerge/>
            <w:tcBorders>
              <w:left w:val="dotted" w:sz="4" w:space="0" w:color="000000"/>
              <w:right w:val="dotted" w:sz="4" w:space="0" w:color="000000"/>
            </w:tcBorders>
          </w:tcPr>
          <w:p>
            <w:pPr/>
          </w:p>
        </w:tc>
        <w:tc>
          <w:tcPr>
            <w:tcW w:w="1539" w:type="dxa"/>
            <w:vMerge/>
            <w:tcBorders>
              <w:left w:val="dotted" w:sz="4" w:space="0" w:color="000000"/>
              <w:right w:val="nil" w:sz="6" w:space="0" w:color="auto"/>
            </w:tcBorders>
          </w:tcPr>
          <w:p>
            <w:pPr/>
          </w:p>
        </w:tc>
      </w:tr>
      <w:tr>
        <w:trPr>
          <w:trHeight w:val="530" w:hRule="exact"/>
        </w:trPr>
        <w:tc>
          <w:tcPr>
            <w:tcW w:w="2415" w:type="dxa"/>
            <w:vMerge/>
            <w:tcBorders>
              <w:left w:val="nil" w:sz="6" w:space="0" w:color="auto"/>
              <w:bottom w:val="dotted" w:sz="4" w:space="0" w:color="000000"/>
              <w:right w:val="dotted" w:sz="4" w:space="0" w:color="000000"/>
            </w:tcBorders>
          </w:tcPr>
          <w:p>
            <w:pPr/>
          </w:p>
        </w:tc>
        <w:tc>
          <w:tcPr>
            <w:tcW w:w="1129" w:type="dxa"/>
            <w:vMerge/>
            <w:tcBorders>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Style w:val="TableParagraph"/>
              <w:spacing w:line="312" w:lineRule="auto" w:before="66"/>
              <w:ind w:left="225" w:right="158" w:hanging="65"/>
              <w:jc w:val="left"/>
              <w:rPr>
                <w:rFonts w:ascii="宋体" w:hAnsi="宋体" w:cs="宋体" w:eastAsia="宋体" w:hint="default"/>
                <w:sz w:val="13"/>
                <w:szCs w:val="13"/>
              </w:rPr>
            </w:pPr>
            <w:r>
              <w:rPr>
                <w:rFonts w:ascii="宋体" w:hAnsi="宋体" w:cs="宋体" w:eastAsia="宋体" w:hint="default"/>
                <w:sz w:val="13"/>
                <w:szCs w:val="13"/>
              </w:rPr>
              <w:t>优先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593" w:type="dxa"/>
            <w:tcBorders>
              <w:top w:val="dotted" w:sz="4" w:space="0" w:color="000000"/>
              <w:left w:val="dotted" w:sz="4" w:space="0" w:color="000000"/>
              <w:bottom w:val="dotted" w:sz="4" w:space="0" w:color="000000"/>
              <w:right w:val="dotted" w:sz="4" w:space="0" w:color="000000"/>
            </w:tcBorders>
          </w:tcPr>
          <w:p>
            <w:pPr>
              <w:pStyle w:val="TableParagraph"/>
              <w:spacing w:line="312" w:lineRule="auto" w:before="66"/>
              <w:ind w:left="225" w:right="161" w:hanging="65"/>
              <w:jc w:val="left"/>
              <w:rPr>
                <w:rFonts w:ascii="宋体" w:hAnsi="宋体" w:cs="宋体" w:eastAsia="宋体" w:hint="default"/>
                <w:sz w:val="13"/>
                <w:szCs w:val="13"/>
              </w:rPr>
            </w:pPr>
            <w:r>
              <w:rPr>
                <w:rFonts w:ascii="宋体" w:hAnsi="宋体" w:cs="宋体" w:eastAsia="宋体" w:hint="default"/>
                <w:sz w:val="13"/>
                <w:szCs w:val="13"/>
              </w:rPr>
              <w:t>永续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4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07"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66" w:type="dxa"/>
            <w:vMerge/>
            <w:tcBorders>
              <w:left w:val="dotted" w:sz="4" w:space="0" w:color="000000"/>
              <w:bottom w:val="dotted" w:sz="4" w:space="0" w:color="000000"/>
              <w:right w:val="dotted" w:sz="4" w:space="0" w:color="000000"/>
            </w:tcBorders>
          </w:tcPr>
          <w:p>
            <w:pPr/>
          </w:p>
        </w:tc>
        <w:tc>
          <w:tcPr>
            <w:tcW w:w="572" w:type="dxa"/>
            <w:vMerge/>
            <w:tcBorders>
              <w:left w:val="dotted" w:sz="4" w:space="0" w:color="000000"/>
              <w:bottom w:val="dotted" w:sz="4" w:space="0" w:color="000000"/>
              <w:right w:val="dotted" w:sz="4" w:space="0" w:color="000000"/>
            </w:tcBorders>
          </w:tcPr>
          <w:p>
            <w:pPr/>
          </w:p>
        </w:tc>
        <w:tc>
          <w:tcPr>
            <w:tcW w:w="1070" w:type="dxa"/>
            <w:vMerge/>
            <w:tcBorders>
              <w:left w:val="dotted" w:sz="4" w:space="0" w:color="000000"/>
              <w:bottom w:val="dotted" w:sz="4" w:space="0" w:color="000000"/>
              <w:right w:val="dotted" w:sz="4" w:space="0" w:color="000000"/>
            </w:tcBorders>
          </w:tcPr>
          <w:p>
            <w:pPr/>
          </w:p>
        </w:tc>
        <w:tc>
          <w:tcPr>
            <w:tcW w:w="526" w:type="dxa"/>
            <w:vMerge/>
            <w:tcBorders>
              <w:left w:val="dotted" w:sz="4" w:space="0" w:color="000000"/>
              <w:bottom w:val="dotted" w:sz="4" w:space="0" w:color="000000"/>
              <w:right w:val="dotted" w:sz="4" w:space="0" w:color="000000"/>
            </w:tcBorders>
          </w:tcPr>
          <w:p>
            <w:pPr/>
          </w:p>
        </w:tc>
        <w:tc>
          <w:tcPr>
            <w:tcW w:w="991" w:type="dxa"/>
            <w:vMerge/>
            <w:tcBorders>
              <w:left w:val="dotted" w:sz="4" w:space="0" w:color="000000"/>
              <w:bottom w:val="dotted" w:sz="4" w:space="0" w:color="000000"/>
              <w:right w:val="dotted" w:sz="4" w:space="0" w:color="000000"/>
            </w:tcBorders>
          </w:tcPr>
          <w:p>
            <w:pPr/>
          </w:p>
        </w:tc>
        <w:tc>
          <w:tcPr>
            <w:tcW w:w="677" w:type="dxa"/>
            <w:vMerge/>
            <w:tcBorders>
              <w:left w:val="dotted" w:sz="4" w:space="0" w:color="000000"/>
              <w:bottom w:val="dotted" w:sz="4" w:space="0" w:color="000000"/>
              <w:right w:val="dotted" w:sz="4" w:space="0" w:color="000000"/>
            </w:tcBorders>
          </w:tcPr>
          <w:p>
            <w:pPr/>
          </w:p>
        </w:tc>
        <w:tc>
          <w:tcPr>
            <w:tcW w:w="1126" w:type="dxa"/>
            <w:vMerge/>
            <w:tcBorders>
              <w:left w:val="dotted" w:sz="4" w:space="0" w:color="000000"/>
              <w:bottom w:val="dotted" w:sz="4" w:space="0" w:color="000000"/>
              <w:right w:val="dotted" w:sz="4" w:space="0" w:color="000000"/>
            </w:tcBorders>
          </w:tcPr>
          <w:p>
            <w:pPr/>
          </w:p>
        </w:tc>
        <w:tc>
          <w:tcPr>
            <w:tcW w:w="1099" w:type="dxa"/>
            <w:vMerge/>
            <w:tcBorders>
              <w:left w:val="dotted" w:sz="4" w:space="0" w:color="000000"/>
              <w:bottom w:val="dotted" w:sz="4" w:space="0" w:color="000000"/>
              <w:right w:val="dotted" w:sz="4" w:space="0" w:color="000000"/>
            </w:tcBorders>
          </w:tcPr>
          <w:p>
            <w:pPr/>
          </w:p>
        </w:tc>
        <w:tc>
          <w:tcPr>
            <w:tcW w:w="1539" w:type="dxa"/>
            <w:vMerge/>
            <w:tcBorders>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53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w:t>
            </w:r>
          </w:p>
          <w:p>
            <w:pPr>
              <w:pStyle w:val="TableParagraph"/>
              <w:spacing w:line="240" w:lineRule="auto" w:before="38"/>
              <w:ind w:left="122" w:right="0"/>
              <w:jc w:val="left"/>
              <w:rPr>
                <w:rFonts w:ascii="宋体" w:hAnsi="宋体" w:cs="宋体" w:eastAsia="宋体" w:hint="default"/>
                <w:sz w:val="13"/>
                <w:szCs w:val="13"/>
              </w:rPr>
            </w:pPr>
            <w:r>
              <w:rPr>
                <w:rFonts w:ascii="宋体" w:hAnsi="宋体" w:cs="宋体" w:eastAsia="宋体" w:hint="default"/>
                <w:w w:val="99"/>
                <w:sz w:val="13"/>
                <w:szCs w:val="13"/>
              </w:rPr>
              <w:t>益</w:t>
            </w:r>
            <w:r>
              <w:rPr>
                <w:rFonts w:ascii="宋体" w:hAnsi="宋体" w:cs="宋体" w:eastAsia="宋体" w:hint="default"/>
                <w:sz w:val="13"/>
                <w:szCs w:val="13"/>
              </w:rPr>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7"/>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2"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122"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24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29" w:type="dxa"/>
            <w:tcBorders>
              <w:top w:val="dotted" w:sz="4" w:space="0" w:color="000000"/>
              <w:left w:val="dotted" w:sz="4" w:space="0" w:color="000000"/>
              <w:bottom w:val="dotted" w:sz="4" w:space="0" w:color="000000"/>
              <w:right w:val="dotted" w:sz="4" w:space="0" w:color="000000"/>
            </w:tcBorders>
          </w:tcPr>
          <w:p>
            <w:pPr/>
          </w:p>
        </w:tc>
        <w:tc>
          <w:tcPr>
            <w:tcW w:w="590" w:type="dxa"/>
            <w:tcBorders>
              <w:top w:val="dotted" w:sz="4" w:space="0" w:color="000000"/>
              <w:left w:val="dotted" w:sz="4" w:space="0" w:color="000000"/>
              <w:bottom w:val="dotted" w:sz="4" w:space="0" w:color="000000"/>
              <w:right w:val="dotted" w:sz="4" w:space="0" w:color="000000"/>
            </w:tcBorders>
          </w:tcPr>
          <w:p>
            <w:pPr/>
          </w:p>
        </w:tc>
        <w:tc>
          <w:tcPr>
            <w:tcW w:w="593" w:type="dxa"/>
            <w:tcBorders>
              <w:top w:val="dotted" w:sz="4" w:space="0" w:color="000000"/>
              <w:left w:val="dotted" w:sz="4" w:space="0" w:color="000000"/>
              <w:bottom w:val="dotted" w:sz="4" w:space="0" w:color="000000"/>
              <w:right w:val="dotted" w:sz="4" w:space="0" w:color="000000"/>
            </w:tcBorders>
          </w:tcPr>
          <w:p>
            <w:pPr/>
          </w:p>
        </w:tc>
        <w:tc>
          <w:tcPr>
            <w:tcW w:w="485"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572"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52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099" w:type="dxa"/>
            <w:tcBorders>
              <w:top w:val="dotted" w:sz="4" w:space="0" w:color="000000"/>
              <w:left w:val="dotted" w:sz="4" w:space="0" w:color="000000"/>
              <w:bottom w:val="dotted" w:sz="4" w:space="0" w:color="000000"/>
              <w:right w:val="dotted" w:sz="4" w:space="0" w:color="000000"/>
            </w:tcBorders>
          </w:tcPr>
          <w:p>
            <w:pPr/>
          </w:p>
        </w:tc>
        <w:tc>
          <w:tcPr>
            <w:tcW w:w="1539"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4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105" w:right="0"/>
              <w:jc w:val="left"/>
              <w:rPr>
                <w:rFonts w:ascii="Times New Roman" w:hAnsi="Times New Roman" w:cs="Times New Roman" w:eastAsia="Times New Roman" w:hint="default"/>
                <w:sz w:val="13"/>
                <w:szCs w:val="13"/>
              </w:rPr>
            </w:pPr>
            <w:r>
              <w:rPr>
                <w:rFonts w:ascii="Times New Roman"/>
                <w:sz w:val="13"/>
              </w:rPr>
              <w:t>1,935,084,653.00</w:t>
            </w:r>
          </w:p>
        </w:tc>
        <w:tc>
          <w:tcPr>
            <w:tcW w:w="590" w:type="dxa"/>
            <w:tcBorders>
              <w:top w:val="dotted" w:sz="4" w:space="0" w:color="000000"/>
              <w:left w:val="dotted" w:sz="4" w:space="0" w:color="000000"/>
              <w:bottom w:val="single" w:sz="12" w:space="0" w:color="000000"/>
              <w:right w:val="dotted" w:sz="4" w:space="0" w:color="000000"/>
            </w:tcBorders>
          </w:tcPr>
          <w:p>
            <w:pPr/>
          </w:p>
        </w:tc>
        <w:tc>
          <w:tcPr>
            <w:tcW w:w="593" w:type="dxa"/>
            <w:tcBorders>
              <w:top w:val="dotted" w:sz="4" w:space="0" w:color="000000"/>
              <w:left w:val="dotted" w:sz="4" w:space="0" w:color="000000"/>
              <w:bottom w:val="single" w:sz="12" w:space="0" w:color="000000"/>
              <w:right w:val="dotted" w:sz="4" w:space="0" w:color="000000"/>
            </w:tcBorders>
          </w:tcPr>
          <w:p>
            <w:pPr/>
          </w:p>
        </w:tc>
        <w:tc>
          <w:tcPr>
            <w:tcW w:w="485" w:type="dxa"/>
            <w:tcBorders>
              <w:top w:val="dotted" w:sz="4" w:space="0" w:color="000000"/>
              <w:left w:val="dotted" w:sz="4" w:space="0" w:color="000000"/>
              <w:bottom w:val="single" w:sz="12" w:space="0" w:color="000000"/>
              <w:right w:val="dotted" w:sz="4" w:space="0" w:color="000000"/>
            </w:tcBorders>
          </w:tcPr>
          <w:p>
            <w:pPr/>
          </w:p>
        </w:tc>
        <w:tc>
          <w:tcPr>
            <w:tcW w:w="11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143" w:right="0"/>
              <w:jc w:val="left"/>
              <w:rPr>
                <w:rFonts w:ascii="Times New Roman" w:hAnsi="Times New Roman" w:cs="Times New Roman" w:eastAsia="Times New Roman" w:hint="default"/>
                <w:sz w:val="13"/>
                <w:szCs w:val="13"/>
              </w:rPr>
            </w:pPr>
            <w:r>
              <w:rPr>
                <w:rFonts w:ascii="Times New Roman"/>
                <w:sz w:val="13"/>
              </w:rPr>
              <w:t>8,861,090,306.42</w:t>
            </w:r>
          </w:p>
        </w:tc>
        <w:tc>
          <w:tcPr>
            <w:tcW w:w="572" w:type="dxa"/>
            <w:tcBorders>
              <w:top w:val="dotted" w:sz="4" w:space="0" w:color="000000"/>
              <w:left w:val="dotted" w:sz="4" w:space="0" w:color="000000"/>
              <w:bottom w:val="single" w:sz="12" w:space="0" w:color="000000"/>
              <w:right w:val="dotted" w:sz="4" w:space="0" w:color="000000"/>
            </w:tcBorders>
          </w:tcPr>
          <w:p>
            <w:pPr/>
          </w:p>
        </w:tc>
        <w:tc>
          <w:tcPr>
            <w:tcW w:w="10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167" w:right="0"/>
              <w:jc w:val="left"/>
              <w:rPr>
                <w:rFonts w:ascii="Times New Roman" w:hAnsi="Times New Roman" w:cs="Times New Roman" w:eastAsia="Times New Roman" w:hint="default"/>
                <w:sz w:val="13"/>
                <w:szCs w:val="13"/>
              </w:rPr>
            </w:pPr>
            <w:r>
              <w:rPr>
                <w:rFonts w:ascii="Times New Roman"/>
                <w:sz w:val="13"/>
              </w:rPr>
              <w:t>-38,172,787.92</w:t>
            </w:r>
          </w:p>
        </w:tc>
        <w:tc>
          <w:tcPr>
            <w:tcW w:w="526" w:type="dxa"/>
            <w:tcBorders>
              <w:top w:val="dotted" w:sz="4" w:space="0" w:color="000000"/>
              <w:left w:val="dotted" w:sz="4" w:space="0" w:color="000000"/>
              <w:bottom w:val="single" w:sz="12" w:space="0" w:color="000000"/>
              <w:right w:val="dotted" w:sz="4" w:space="0" w:color="000000"/>
            </w:tcBorders>
          </w:tcPr>
          <w:p>
            <w:pP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131" w:right="0"/>
              <w:jc w:val="left"/>
              <w:rPr>
                <w:rFonts w:ascii="Times New Roman" w:hAnsi="Times New Roman" w:cs="Times New Roman" w:eastAsia="Times New Roman" w:hint="default"/>
                <w:sz w:val="13"/>
                <w:szCs w:val="13"/>
              </w:rPr>
            </w:pPr>
            <w:r>
              <w:rPr>
                <w:rFonts w:ascii="Times New Roman"/>
                <w:sz w:val="13"/>
              </w:rPr>
              <w:t>44,253,651.01</w:t>
            </w:r>
          </w:p>
        </w:tc>
        <w:tc>
          <w:tcPr>
            <w:tcW w:w="677" w:type="dxa"/>
            <w:tcBorders>
              <w:top w:val="dotted" w:sz="4" w:space="0" w:color="000000"/>
              <w:left w:val="dotted" w:sz="4" w:space="0" w:color="000000"/>
              <w:bottom w:val="single" w:sz="12" w:space="0" w:color="000000"/>
              <w:right w:val="dotted" w:sz="4" w:space="0" w:color="000000"/>
            </w:tcBorders>
          </w:tcPr>
          <w:p>
            <w:pPr/>
          </w:p>
        </w:tc>
        <w:tc>
          <w:tcPr>
            <w:tcW w:w="1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206" w:right="0"/>
              <w:jc w:val="left"/>
              <w:rPr>
                <w:rFonts w:ascii="Times New Roman" w:hAnsi="Times New Roman" w:cs="Times New Roman" w:eastAsia="Times New Roman" w:hint="default"/>
                <w:sz w:val="13"/>
                <w:szCs w:val="13"/>
              </w:rPr>
            </w:pPr>
            <w:r>
              <w:rPr>
                <w:rFonts w:ascii="Times New Roman"/>
                <w:sz w:val="13"/>
              </w:rPr>
              <w:t>600,115,330.16</w:t>
            </w:r>
          </w:p>
        </w:tc>
        <w:tc>
          <w:tcPr>
            <w:tcW w:w="10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307" w:right="0"/>
              <w:jc w:val="left"/>
              <w:rPr>
                <w:rFonts w:ascii="Times New Roman" w:hAnsi="Times New Roman" w:cs="Times New Roman" w:eastAsia="Times New Roman" w:hint="default"/>
                <w:sz w:val="13"/>
                <w:szCs w:val="13"/>
              </w:rPr>
            </w:pPr>
            <w:r>
              <w:rPr>
                <w:rFonts w:ascii="Times New Roman"/>
                <w:sz w:val="13"/>
              </w:rPr>
              <w:t>2,886,302.38</w:t>
            </w:r>
          </w:p>
        </w:tc>
        <w:tc>
          <w:tcPr>
            <w:tcW w:w="15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6"/>
              <w:ind w:left="455" w:right="0"/>
              <w:jc w:val="left"/>
              <w:rPr>
                <w:rFonts w:ascii="Times New Roman" w:hAnsi="Times New Roman" w:cs="Times New Roman" w:eastAsia="Times New Roman" w:hint="default"/>
                <w:sz w:val="13"/>
                <w:szCs w:val="13"/>
              </w:rPr>
            </w:pPr>
            <w:r>
              <w:rPr>
                <w:rFonts w:ascii="Times New Roman"/>
                <w:sz w:val="13"/>
              </w:rPr>
              <w:t>11,405,257,455.05</w:t>
            </w:r>
          </w:p>
        </w:tc>
      </w:tr>
    </w:tbl>
    <w:p>
      <w:pPr>
        <w:spacing w:before="17"/>
        <w:ind w:left="14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452" w:val="left" w:leader="none"/>
          <w:tab w:pos="10855" w:val="left" w:leader="none"/>
        </w:tabs>
        <w:spacing w:before="153"/>
        <w:ind w:left="14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6840" w:h="11910" w:orient="landscape"/>
          <w:pgMar w:header="867" w:footer="980" w:top="1060" w:bottom="1160" w:left="1300" w:right="1300"/>
        </w:sectPr>
      </w:pPr>
    </w:p>
    <w:p>
      <w:pPr>
        <w:spacing w:line="291" w:lineRule="exact" w:before="0"/>
        <w:ind w:left="5388" w:right="5387" w:firstLine="0"/>
        <w:jc w:val="center"/>
        <w:rPr>
          <w:rFonts w:ascii="Microsoft JhengHei" w:hAnsi="Microsoft JhengHei" w:cs="Microsoft JhengHei" w:eastAsia="Microsoft JhengHei" w:hint="default"/>
          <w:sz w:val="18"/>
          <w:szCs w:val="18"/>
        </w:rPr>
      </w:pPr>
      <w:r>
        <w:rPr/>
        <w:pict>
          <v:group style="position:absolute;margin-left:70.559998pt;margin-top:2.202064pt;width:700.95pt;height:.1pt;mso-position-horizontal-relative:page;mso-position-vertical-relative:paragraph;z-index:-1330312"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sz w:val="18"/>
          <w:szCs w:val="18"/>
        </w:rPr>
      </w:r>
    </w:p>
    <w:p>
      <w:pPr>
        <w:spacing w:line="312" w:lineRule="exact" w:before="0"/>
        <w:ind w:left="5388" w:right="5386"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母公司所有者权益变动表</w:t>
      </w:r>
      <w:r>
        <w:rPr>
          <w:rFonts w:ascii="Microsoft JhengHei" w:hAnsi="Microsoft JhengHei" w:cs="Microsoft JhengHei" w:eastAsia="Microsoft JhengHei" w:hint="default"/>
          <w:sz w:val="18"/>
          <w:szCs w:val="18"/>
        </w:rPr>
      </w:r>
    </w:p>
    <w:p>
      <w:pPr>
        <w:spacing w:line="294" w:lineRule="exact" w:before="0"/>
        <w:ind w:left="5388" w:right="5388"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5388" w:right="538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1988"/>
        <w:gridCol w:w="1488"/>
        <w:gridCol w:w="670"/>
        <w:gridCol w:w="718"/>
        <w:gridCol w:w="614"/>
        <w:gridCol w:w="1178"/>
        <w:gridCol w:w="716"/>
        <w:gridCol w:w="1210"/>
        <w:gridCol w:w="1212"/>
        <w:gridCol w:w="1037"/>
        <w:gridCol w:w="1082"/>
        <w:gridCol w:w="2062"/>
      </w:tblGrid>
      <w:tr>
        <w:trPr>
          <w:trHeight w:val="322" w:hRule="exact"/>
        </w:trPr>
        <w:tc>
          <w:tcPr>
            <w:tcW w:w="19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988" w:type="dxa"/>
            <w:gridSpan w:val="11"/>
            <w:tcBorders>
              <w:top w:val="single" w:sz="12" w:space="0" w:color="000000"/>
              <w:left w:val="dotted" w:sz="4" w:space="0" w:color="000000"/>
              <w:bottom w:val="dotted" w:sz="4" w:space="0" w:color="000000"/>
              <w:right w:val="nil" w:sz="6" w:space="0" w:color="auto"/>
            </w:tcBorders>
          </w:tcPr>
          <w:p>
            <w:pPr>
              <w:pStyle w:val="TableParagraph"/>
              <w:spacing w:line="240" w:lineRule="auto" w:before="69"/>
              <w:ind w:left="-1" w:right="7"/>
              <w:jc w:val="center"/>
              <w:rPr>
                <w:rFonts w:ascii="宋体" w:hAnsi="宋体" w:cs="宋体" w:eastAsia="宋体" w:hint="default"/>
                <w:sz w:val="13"/>
                <w:szCs w:val="13"/>
              </w:rPr>
            </w:pPr>
            <w:r>
              <w:rPr>
                <w:rFonts w:ascii="宋体" w:hAnsi="宋体" w:cs="宋体" w:eastAsia="宋体" w:hint="default"/>
                <w:sz w:val="13"/>
                <w:szCs w:val="13"/>
              </w:rPr>
              <w:t>本期金额</w:t>
            </w:r>
          </w:p>
        </w:tc>
      </w:tr>
      <w:tr>
        <w:trPr>
          <w:trHeight w:val="310" w:hRule="exact"/>
        </w:trPr>
        <w:tc>
          <w:tcPr>
            <w:tcW w:w="1988" w:type="dxa"/>
            <w:vMerge/>
            <w:tcBorders>
              <w:left w:val="nil" w:sz="6" w:space="0" w:color="auto"/>
              <w:right w:val="dotted" w:sz="4" w:space="0" w:color="000000"/>
            </w:tcBorders>
          </w:tcPr>
          <w:p>
            <w:pPr/>
          </w:p>
        </w:tc>
        <w:tc>
          <w:tcPr>
            <w:tcW w:w="1488"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53" w:right="0"/>
              <w:jc w:val="left"/>
              <w:rPr>
                <w:rFonts w:ascii="宋体" w:hAnsi="宋体" w:cs="宋体" w:eastAsia="宋体" w:hint="default"/>
                <w:sz w:val="13"/>
                <w:szCs w:val="13"/>
              </w:rPr>
            </w:pPr>
            <w:r>
              <w:rPr>
                <w:rFonts w:ascii="宋体" w:hAnsi="宋体" w:cs="宋体" w:eastAsia="宋体" w:hint="default"/>
                <w:sz w:val="13"/>
                <w:szCs w:val="13"/>
              </w:rPr>
              <w:t>实收资本（或股本）</w:t>
            </w:r>
          </w:p>
        </w:tc>
        <w:tc>
          <w:tcPr>
            <w:tcW w:w="2002"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60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78"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32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16"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307" w:lineRule="auto"/>
              <w:ind w:left="223" w:right="158" w:hanging="68"/>
              <w:jc w:val="left"/>
              <w:rPr>
                <w:rFonts w:ascii="宋体" w:hAnsi="宋体" w:cs="宋体" w:eastAsia="宋体" w:hint="default"/>
                <w:sz w:val="13"/>
                <w:szCs w:val="13"/>
              </w:rPr>
            </w:pPr>
            <w:r>
              <w:rPr>
                <w:rFonts w:ascii="宋体" w:hAnsi="宋体" w:cs="宋体" w:eastAsia="宋体" w:hint="default"/>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1210"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212"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34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037"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082"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20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2062" w:type="dxa"/>
            <w:vMerge w:val="restart"/>
            <w:tcBorders>
              <w:top w:val="dotted" w:sz="4" w:space="0" w:color="000000"/>
              <w:left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所有者权益（或股东权益）合计</w:t>
            </w:r>
          </w:p>
        </w:tc>
      </w:tr>
      <w:tr>
        <w:trPr>
          <w:trHeight w:val="310" w:hRule="exact"/>
        </w:trPr>
        <w:tc>
          <w:tcPr>
            <w:tcW w:w="1988" w:type="dxa"/>
            <w:vMerge/>
            <w:tcBorders>
              <w:left w:val="nil" w:sz="6" w:space="0" w:color="auto"/>
              <w:bottom w:val="dotted" w:sz="4" w:space="0" w:color="000000"/>
              <w:right w:val="dotted" w:sz="4" w:space="0" w:color="000000"/>
            </w:tcBorders>
          </w:tcPr>
          <w:p>
            <w:pPr/>
          </w:p>
        </w:tc>
        <w:tc>
          <w:tcPr>
            <w:tcW w:w="1488" w:type="dxa"/>
            <w:vMerge/>
            <w:tcBorders>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10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10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6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10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78" w:type="dxa"/>
            <w:vMerge/>
            <w:tcBorders>
              <w:left w:val="dotted" w:sz="4" w:space="0" w:color="000000"/>
              <w:bottom w:val="dotted" w:sz="4" w:space="0" w:color="000000"/>
              <w:right w:val="dotted" w:sz="4" w:space="0" w:color="000000"/>
            </w:tcBorders>
          </w:tcPr>
          <w:p>
            <w:pPr/>
          </w:p>
        </w:tc>
        <w:tc>
          <w:tcPr>
            <w:tcW w:w="716" w:type="dxa"/>
            <w:vMerge/>
            <w:tcBorders>
              <w:left w:val="dotted" w:sz="4" w:space="0" w:color="000000"/>
              <w:bottom w:val="dotted" w:sz="4" w:space="0" w:color="000000"/>
              <w:right w:val="dotted" w:sz="4" w:space="0" w:color="000000"/>
            </w:tcBorders>
          </w:tcPr>
          <w:p>
            <w:pPr/>
          </w:p>
        </w:tc>
        <w:tc>
          <w:tcPr>
            <w:tcW w:w="1210" w:type="dxa"/>
            <w:vMerge/>
            <w:tcBorders>
              <w:left w:val="dotted" w:sz="4" w:space="0" w:color="000000"/>
              <w:bottom w:val="dotted" w:sz="4" w:space="0" w:color="000000"/>
              <w:right w:val="dotted" w:sz="4" w:space="0" w:color="000000"/>
            </w:tcBorders>
          </w:tcPr>
          <w:p>
            <w:pPr/>
          </w:p>
        </w:tc>
        <w:tc>
          <w:tcPr>
            <w:tcW w:w="1212" w:type="dxa"/>
            <w:vMerge/>
            <w:tcBorders>
              <w:left w:val="dotted" w:sz="4" w:space="0" w:color="000000"/>
              <w:bottom w:val="dotted" w:sz="4" w:space="0" w:color="000000"/>
              <w:right w:val="dotted" w:sz="4" w:space="0" w:color="000000"/>
            </w:tcBorders>
          </w:tcPr>
          <w:p>
            <w:pPr/>
          </w:p>
        </w:tc>
        <w:tc>
          <w:tcPr>
            <w:tcW w:w="1037" w:type="dxa"/>
            <w:vMerge/>
            <w:tcBorders>
              <w:left w:val="dotted" w:sz="4" w:space="0" w:color="000000"/>
              <w:bottom w:val="dotted" w:sz="4" w:space="0" w:color="000000"/>
              <w:right w:val="dotted" w:sz="4" w:space="0" w:color="000000"/>
            </w:tcBorders>
          </w:tcPr>
          <w:p>
            <w:pPr/>
          </w:p>
        </w:tc>
        <w:tc>
          <w:tcPr>
            <w:tcW w:w="1082" w:type="dxa"/>
            <w:vMerge/>
            <w:tcBorders>
              <w:left w:val="dotted" w:sz="4" w:space="0" w:color="000000"/>
              <w:bottom w:val="dotted" w:sz="4" w:space="0" w:color="000000"/>
              <w:right w:val="dotted" w:sz="4" w:space="0" w:color="000000"/>
            </w:tcBorders>
          </w:tcPr>
          <w:p>
            <w:pPr/>
          </w:p>
        </w:tc>
        <w:tc>
          <w:tcPr>
            <w:tcW w:w="2062" w:type="dxa"/>
            <w:vMerge/>
            <w:tcBorders>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一、期初余额</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1,935,084,653.00</w:t>
            </w: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1"/>
              <w:jc w:val="right"/>
              <w:rPr>
                <w:rFonts w:ascii="Times New Roman" w:hAnsi="Times New Roman" w:cs="Times New Roman" w:eastAsia="Times New Roman" w:hint="default"/>
                <w:sz w:val="13"/>
                <w:szCs w:val="13"/>
              </w:rPr>
            </w:pPr>
            <w:r>
              <w:rPr>
                <w:rFonts w:ascii="Times New Roman"/>
                <w:sz w:val="13"/>
              </w:rPr>
              <w:t>8,861,452,546.01</w:t>
            </w: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6"/>
              <w:jc w:val="right"/>
              <w:rPr>
                <w:rFonts w:ascii="Times New Roman" w:hAnsi="Times New Roman" w:cs="Times New Roman" w:eastAsia="Times New Roman" w:hint="default"/>
                <w:sz w:val="13"/>
                <w:szCs w:val="13"/>
              </w:rPr>
            </w:pPr>
            <w:r>
              <w:rPr>
                <w:rFonts w:ascii="Times New Roman"/>
                <w:sz w:val="13"/>
              </w:rPr>
              <w:t>-5,915,190.00</w:t>
            </w: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44,253,651.01</w:t>
            </w: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52" w:right="0"/>
              <w:jc w:val="center"/>
              <w:rPr>
                <w:rFonts w:ascii="Times New Roman" w:hAnsi="Times New Roman" w:cs="Times New Roman" w:eastAsia="Times New Roman" w:hint="default"/>
                <w:sz w:val="13"/>
                <w:szCs w:val="13"/>
              </w:rPr>
            </w:pPr>
            <w:r>
              <w:rPr>
                <w:rFonts w:ascii="Times New Roman"/>
                <w:sz w:val="13"/>
              </w:rPr>
              <w:t>119,641,194.91</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13"/>
                <w:szCs w:val="13"/>
              </w:rPr>
            </w:pPr>
            <w:r>
              <w:rPr>
                <w:rFonts w:ascii="Times New Roman"/>
                <w:sz w:val="13"/>
              </w:rPr>
              <w:t>10,954,516,854.93</w:t>
            </w: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7"/>
              <w:ind w:left="38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7"/>
              <w:ind w:right="96"/>
              <w:jc w:val="right"/>
              <w:rPr>
                <w:rFonts w:ascii="Times New Roman" w:hAnsi="Times New Roman" w:cs="Times New Roman" w:eastAsia="Times New Roman" w:hint="default"/>
                <w:sz w:val="13"/>
                <w:szCs w:val="13"/>
              </w:rPr>
            </w:pPr>
            <w:r>
              <w:rPr>
                <w:rFonts w:ascii="Times New Roman"/>
                <w:sz w:val="13"/>
              </w:rPr>
              <w:t>5,915,190.00</w:t>
            </w: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7"/>
              <w:ind w:left="138" w:right="0"/>
              <w:jc w:val="center"/>
              <w:rPr>
                <w:rFonts w:ascii="Times New Roman" w:hAnsi="Times New Roman" w:cs="Times New Roman" w:eastAsia="Times New Roman" w:hint="default"/>
                <w:sz w:val="13"/>
                <w:szCs w:val="13"/>
              </w:rPr>
            </w:pPr>
            <w:r>
              <w:rPr>
                <w:rFonts w:ascii="Times New Roman"/>
                <w:sz w:val="13"/>
              </w:rPr>
              <w:t>-9,537,699.45</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7"/>
              <w:ind w:right="104"/>
              <w:jc w:val="right"/>
              <w:rPr>
                <w:rFonts w:ascii="Times New Roman" w:hAnsi="Times New Roman" w:cs="Times New Roman" w:eastAsia="Times New Roman" w:hint="default"/>
                <w:sz w:val="13"/>
                <w:szCs w:val="13"/>
              </w:rPr>
            </w:pPr>
            <w:r>
              <w:rPr>
                <w:rFonts w:ascii="Times New Roman"/>
                <w:sz w:val="13"/>
              </w:rPr>
              <w:t>-3,622,509.45</w:t>
            </w:r>
          </w:p>
        </w:tc>
      </w:tr>
      <w:tr>
        <w:trPr>
          <w:trHeight w:val="312"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64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64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1,935,084,653.00</w:t>
            </w: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1"/>
              <w:jc w:val="right"/>
              <w:rPr>
                <w:rFonts w:ascii="Times New Roman" w:hAnsi="Times New Roman" w:cs="Times New Roman" w:eastAsia="Times New Roman" w:hint="default"/>
                <w:sz w:val="13"/>
                <w:szCs w:val="13"/>
              </w:rPr>
            </w:pPr>
            <w:r>
              <w:rPr>
                <w:rFonts w:ascii="Times New Roman"/>
                <w:sz w:val="13"/>
              </w:rPr>
              <w:t>8,861,452,546.01</w:t>
            </w: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9"/>
              <w:jc w:val="right"/>
              <w:rPr>
                <w:rFonts w:ascii="Times New Roman" w:hAnsi="Times New Roman" w:cs="Times New Roman" w:eastAsia="Times New Roman" w:hint="default"/>
                <w:sz w:val="13"/>
                <w:szCs w:val="13"/>
              </w:rPr>
            </w:pPr>
            <w:r>
              <w:rPr>
                <w:rFonts w:ascii="Times New Roman"/>
                <w:sz w:val="13"/>
              </w:rPr>
              <w:t>44,253,651.01</w:t>
            </w: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52" w:right="0"/>
              <w:jc w:val="center"/>
              <w:rPr>
                <w:rFonts w:ascii="Times New Roman" w:hAnsi="Times New Roman" w:cs="Times New Roman" w:eastAsia="Times New Roman" w:hint="default"/>
                <w:sz w:val="13"/>
                <w:szCs w:val="13"/>
              </w:rPr>
            </w:pPr>
            <w:r>
              <w:rPr>
                <w:rFonts w:ascii="Times New Roman"/>
                <w:sz w:val="13"/>
              </w:rPr>
              <w:t>110,103,495.46</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4"/>
              <w:jc w:val="right"/>
              <w:rPr>
                <w:rFonts w:ascii="Times New Roman" w:hAnsi="Times New Roman" w:cs="Times New Roman" w:eastAsia="Times New Roman" w:hint="default"/>
                <w:sz w:val="13"/>
                <w:szCs w:val="13"/>
              </w:rPr>
            </w:pPr>
            <w:r>
              <w:rPr>
                <w:rFonts w:ascii="Times New Roman"/>
                <w:sz w:val="13"/>
              </w:rPr>
              <w:t>10,950,894,345.48</w:t>
            </w:r>
          </w:p>
        </w:tc>
      </w:tr>
      <w:tr>
        <w:trPr>
          <w:trHeight w:val="53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pacing w:val="-5"/>
                <w:sz w:val="13"/>
                <w:szCs w:val="13"/>
              </w:rPr>
              <w:t>三、本年增减变动金额（减少以</w:t>
            </w:r>
          </w:p>
          <w:p>
            <w:pPr>
              <w:pStyle w:val="TableParagraph"/>
              <w:spacing w:line="240" w:lineRule="auto" w:before="48"/>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69" w:right="0"/>
              <w:jc w:val="center"/>
              <w:rPr>
                <w:rFonts w:ascii="Times New Roman" w:hAnsi="Times New Roman" w:cs="Times New Roman" w:eastAsia="Times New Roman" w:hint="default"/>
                <w:sz w:val="13"/>
                <w:szCs w:val="13"/>
              </w:rPr>
            </w:pPr>
            <w:r>
              <w:rPr>
                <w:rFonts w:ascii="Times New Roman"/>
                <w:sz w:val="13"/>
              </w:rPr>
              <w:t>-36,843,507.22</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-36,843,507.22</w:t>
            </w: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69" w:right="0"/>
              <w:jc w:val="center"/>
              <w:rPr>
                <w:rFonts w:ascii="Times New Roman" w:hAnsi="Times New Roman" w:cs="Times New Roman" w:eastAsia="Times New Roman" w:hint="default"/>
                <w:sz w:val="13"/>
                <w:szCs w:val="13"/>
              </w:rPr>
            </w:pPr>
            <w:r>
              <w:rPr>
                <w:rFonts w:ascii="Times New Roman"/>
                <w:sz w:val="13"/>
              </w:rPr>
              <w:t>-36,843,507.22</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3"/>
                <w:szCs w:val="13"/>
              </w:rPr>
            </w:pPr>
            <w:r>
              <w:rPr>
                <w:rFonts w:ascii="Times New Roman"/>
                <w:sz w:val="13"/>
              </w:rPr>
              <w:t>-36,843,507.22</w:t>
            </w: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53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95" w:lineRule="auto" w:before="66"/>
              <w:ind w:left="122" w:right="103" w:firstLine="197"/>
              <w:jc w:val="left"/>
              <w:rPr>
                <w:rFonts w:ascii="宋体" w:hAnsi="宋体" w:cs="宋体" w:eastAsia="宋体" w:hint="default"/>
                <w:sz w:val="13"/>
                <w:szCs w:val="13"/>
              </w:rPr>
            </w:pPr>
            <w:r>
              <w:rPr>
                <w:rFonts w:ascii="Times New Roman" w:hAnsi="Times New Roman" w:cs="Times New Roman" w:eastAsia="Times New Roman" w:hint="default"/>
                <w:spacing w:val="-5"/>
                <w:w w:val="99"/>
                <w:sz w:val="13"/>
                <w:szCs w:val="13"/>
              </w:rPr>
              <w:t>2</w:t>
            </w:r>
            <w:r>
              <w:rPr>
                <w:rFonts w:ascii="宋体" w:hAnsi="宋体" w:cs="宋体" w:eastAsia="宋体" w:hint="default"/>
                <w:spacing w:val="-5"/>
                <w:w w:val="99"/>
                <w:sz w:val="13"/>
                <w:szCs w:val="13"/>
              </w:rPr>
              <w:t>．其他权益工具持有者投入</w:t>
            </w:r>
            <w:r>
              <w:rPr>
                <w:rFonts w:ascii="宋体" w:hAnsi="宋体" w:cs="宋体" w:eastAsia="宋体" w:hint="default"/>
                <w:w w:val="99"/>
                <w:sz w:val="13"/>
                <w:szCs w:val="13"/>
              </w:rPr>
              <w:t> </w:t>
            </w:r>
            <w:r>
              <w:rPr>
                <w:rFonts w:ascii="宋体" w:hAnsi="宋体" w:cs="宋体" w:eastAsia="宋体" w:hint="default"/>
                <w:sz w:val="13"/>
                <w:szCs w:val="13"/>
              </w:rPr>
              <w:t>资本</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53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95" w:lineRule="auto" w:before="66"/>
              <w:ind w:left="122" w:right="103" w:firstLine="197"/>
              <w:jc w:val="left"/>
              <w:rPr>
                <w:rFonts w:ascii="宋体" w:hAnsi="宋体" w:cs="宋体" w:eastAsia="宋体" w:hint="default"/>
                <w:sz w:val="13"/>
                <w:szCs w:val="13"/>
              </w:rPr>
            </w:pPr>
            <w:r>
              <w:rPr>
                <w:rFonts w:ascii="Times New Roman" w:hAnsi="Times New Roman" w:cs="Times New Roman" w:eastAsia="Times New Roman" w:hint="default"/>
                <w:spacing w:val="-5"/>
                <w:w w:val="99"/>
                <w:sz w:val="13"/>
                <w:szCs w:val="13"/>
              </w:rPr>
              <w:t>3</w:t>
            </w:r>
            <w:r>
              <w:rPr>
                <w:rFonts w:ascii="宋体" w:hAnsi="宋体" w:cs="宋体" w:eastAsia="宋体" w:hint="default"/>
                <w:spacing w:val="-5"/>
                <w:w w:val="99"/>
                <w:sz w:val="13"/>
                <w:szCs w:val="13"/>
              </w:rPr>
              <w:t>．股份支付计入所有者权益</w:t>
            </w:r>
            <w:r>
              <w:rPr>
                <w:rFonts w:ascii="宋体" w:hAnsi="宋体" w:cs="宋体" w:eastAsia="宋体" w:hint="default"/>
                <w:w w:val="99"/>
                <w:sz w:val="13"/>
                <w:szCs w:val="13"/>
              </w:rPr>
              <w:t> </w:t>
            </w:r>
            <w:r>
              <w:rPr>
                <w:rFonts w:ascii="宋体" w:hAnsi="宋体" w:cs="宋体" w:eastAsia="宋体" w:hint="default"/>
                <w:sz w:val="13"/>
                <w:szCs w:val="13"/>
              </w:rPr>
              <w:t>的金额</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2"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529"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7"/>
              <w:ind w:left="319" w:right="0"/>
              <w:jc w:val="left"/>
              <w:rPr>
                <w:rFonts w:ascii="宋体" w:hAnsi="宋体" w:cs="宋体" w:eastAsia="宋体" w:hint="default"/>
                <w:sz w:val="13"/>
                <w:szCs w:val="13"/>
              </w:rPr>
            </w:pPr>
            <w:r>
              <w:rPr>
                <w:rFonts w:ascii="Times New Roman" w:hAnsi="Times New Roman" w:cs="Times New Roman" w:eastAsia="Times New Roman" w:hint="default"/>
                <w:spacing w:val="-6"/>
                <w:sz w:val="13"/>
                <w:szCs w:val="13"/>
              </w:rPr>
              <w:t>3</w:t>
            </w:r>
            <w:r>
              <w:rPr>
                <w:rFonts w:ascii="宋体" w:hAnsi="宋体" w:cs="宋体" w:eastAsia="宋体" w:hint="default"/>
                <w:spacing w:val="-6"/>
                <w:sz w:val="13"/>
                <w:szCs w:val="13"/>
              </w:rPr>
              <w:t>．对所有者（或股东）的分</w:t>
            </w:r>
          </w:p>
          <w:p>
            <w:pPr>
              <w:pStyle w:val="TableParagraph"/>
              <w:spacing w:line="240" w:lineRule="auto" w:before="38"/>
              <w:ind w:left="122" w:right="0"/>
              <w:jc w:val="left"/>
              <w:rPr>
                <w:rFonts w:ascii="宋体" w:hAnsi="宋体" w:cs="宋体" w:eastAsia="宋体" w:hint="default"/>
                <w:sz w:val="13"/>
                <w:szCs w:val="13"/>
              </w:rPr>
            </w:pPr>
            <w:r>
              <w:rPr>
                <w:rFonts w:ascii="宋体" w:hAnsi="宋体" w:cs="宋体" w:eastAsia="宋体" w:hint="default"/>
                <w:w w:val="99"/>
                <w:sz w:val="13"/>
                <w:szCs w:val="13"/>
              </w:rPr>
              <w:t>配</w:t>
            </w:r>
            <w:r>
              <w:rPr>
                <w:rFonts w:ascii="宋体" w:hAnsi="宋体" w:cs="宋体" w:eastAsia="宋体" w:hint="default"/>
                <w:sz w:val="13"/>
                <w:szCs w:val="13"/>
              </w:rPr>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2"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53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90" w:lineRule="auto" w:before="66"/>
              <w:ind w:left="122" w:right="103" w:firstLine="197"/>
              <w:jc w:val="left"/>
              <w:rPr>
                <w:rFonts w:ascii="宋体" w:hAnsi="宋体" w:cs="宋体" w:eastAsia="宋体" w:hint="default"/>
                <w:sz w:val="13"/>
                <w:szCs w:val="13"/>
              </w:rPr>
            </w:pPr>
            <w:r>
              <w:rPr>
                <w:rFonts w:ascii="Times New Roman" w:hAnsi="Times New Roman" w:cs="Times New Roman" w:eastAsia="Times New Roman" w:hint="default"/>
                <w:spacing w:val="-6"/>
                <w:sz w:val="13"/>
                <w:szCs w:val="13"/>
              </w:rPr>
              <w:t>1</w:t>
            </w:r>
            <w:r>
              <w:rPr>
                <w:rFonts w:ascii="宋体" w:hAnsi="宋体" w:cs="宋体" w:eastAsia="宋体" w:hint="default"/>
                <w:spacing w:val="-6"/>
                <w:sz w:val="13"/>
                <w:szCs w:val="13"/>
              </w:rPr>
              <w:t>．资本公积转增资本（或股</w:t>
            </w:r>
            <w:r>
              <w:rPr>
                <w:rFonts w:ascii="宋体" w:hAnsi="宋体" w:cs="宋体" w:eastAsia="宋体" w:hint="default"/>
                <w:w w:val="99"/>
                <w:sz w:val="13"/>
                <w:szCs w:val="13"/>
              </w:rPr>
              <w:t> </w:t>
            </w:r>
            <w:r>
              <w:rPr>
                <w:rFonts w:ascii="宋体" w:hAnsi="宋体" w:cs="宋体" w:eastAsia="宋体" w:hint="default"/>
                <w:sz w:val="13"/>
                <w:szCs w:val="13"/>
              </w:rPr>
              <w:t>本）</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19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pacing w:val="-6"/>
                <w:sz w:val="13"/>
                <w:szCs w:val="13"/>
              </w:rPr>
              <w:t>2</w:t>
            </w:r>
            <w:r>
              <w:rPr>
                <w:rFonts w:ascii="宋体" w:hAnsi="宋体" w:cs="宋体" w:eastAsia="宋体" w:hint="default"/>
                <w:spacing w:val="-6"/>
                <w:sz w:val="13"/>
                <w:szCs w:val="13"/>
              </w:rPr>
              <w:t>．盈余公积转增资本（或股</w:t>
            </w:r>
          </w:p>
        </w:tc>
        <w:tc>
          <w:tcPr>
            <w:tcW w:w="1488" w:type="dxa"/>
            <w:tcBorders>
              <w:top w:val="dotted" w:sz="4" w:space="0" w:color="000000"/>
              <w:left w:val="dotted" w:sz="4" w:space="0" w:color="000000"/>
              <w:bottom w:val="single" w:sz="12" w:space="0" w:color="000000"/>
              <w:right w:val="dotted" w:sz="4" w:space="0" w:color="000000"/>
            </w:tcBorders>
          </w:tcPr>
          <w:p>
            <w:pPr/>
          </w:p>
        </w:tc>
        <w:tc>
          <w:tcPr>
            <w:tcW w:w="670" w:type="dxa"/>
            <w:tcBorders>
              <w:top w:val="dotted" w:sz="4" w:space="0" w:color="000000"/>
              <w:left w:val="dotted" w:sz="4" w:space="0" w:color="000000"/>
              <w:bottom w:val="single" w:sz="12" w:space="0" w:color="000000"/>
              <w:right w:val="dotted" w:sz="4" w:space="0" w:color="000000"/>
            </w:tcBorders>
          </w:tcPr>
          <w:p>
            <w:pPr/>
          </w:p>
        </w:tc>
        <w:tc>
          <w:tcPr>
            <w:tcW w:w="718" w:type="dxa"/>
            <w:tcBorders>
              <w:top w:val="dotted" w:sz="4" w:space="0" w:color="000000"/>
              <w:left w:val="dotted" w:sz="4" w:space="0" w:color="000000"/>
              <w:bottom w:val="single" w:sz="12" w:space="0" w:color="000000"/>
              <w:right w:val="dotted" w:sz="4" w:space="0" w:color="000000"/>
            </w:tcBorders>
          </w:tcPr>
          <w:p>
            <w:pPr/>
          </w:p>
        </w:tc>
        <w:tc>
          <w:tcPr>
            <w:tcW w:w="614" w:type="dxa"/>
            <w:tcBorders>
              <w:top w:val="dotted" w:sz="4" w:space="0" w:color="000000"/>
              <w:left w:val="dotted" w:sz="4" w:space="0" w:color="000000"/>
              <w:bottom w:val="single" w:sz="12" w:space="0" w:color="000000"/>
              <w:right w:val="dotted" w:sz="4" w:space="0" w:color="000000"/>
            </w:tcBorders>
          </w:tcPr>
          <w:p>
            <w:pPr/>
          </w:p>
        </w:tc>
        <w:tc>
          <w:tcPr>
            <w:tcW w:w="1178" w:type="dxa"/>
            <w:tcBorders>
              <w:top w:val="dotted" w:sz="4" w:space="0" w:color="000000"/>
              <w:left w:val="dotted" w:sz="4" w:space="0" w:color="000000"/>
              <w:bottom w:val="single" w:sz="12" w:space="0" w:color="000000"/>
              <w:right w:val="dotted" w:sz="4" w:space="0" w:color="000000"/>
            </w:tcBorders>
          </w:tcPr>
          <w:p>
            <w:pPr/>
          </w:p>
        </w:tc>
        <w:tc>
          <w:tcPr>
            <w:tcW w:w="716" w:type="dxa"/>
            <w:tcBorders>
              <w:top w:val="dotted" w:sz="4" w:space="0" w:color="000000"/>
              <w:left w:val="dotted" w:sz="4" w:space="0" w:color="000000"/>
              <w:bottom w:val="single" w:sz="12" w:space="0" w:color="000000"/>
              <w:right w:val="dotted" w:sz="4" w:space="0" w:color="000000"/>
            </w:tcBorders>
          </w:tcPr>
          <w:p>
            <w:pPr/>
          </w:p>
        </w:tc>
        <w:tc>
          <w:tcPr>
            <w:tcW w:w="1210" w:type="dxa"/>
            <w:tcBorders>
              <w:top w:val="dotted" w:sz="4" w:space="0" w:color="000000"/>
              <w:left w:val="dotted" w:sz="4" w:space="0" w:color="000000"/>
              <w:bottom w:val="single" w:sz="12" w:space="0" w:color="000000"/>
              <w:right w:val="dotted" w:sz="4" w:space="0" w:color="000000"/>
            </w:tcBorders>
          </w:tcPr>
          <w:p>
            <w:pPr/>
          </w:p>
        </w:tc>
        <w:tc>
          <w:tcPr>
            <w:tcW w:w="1212" w:type="dxa"/>
            <w:tcBorders>
              <w:top w:val="dotted" w:sz="4" w:space="0" w:color="000000"/>
              <w:left w:val="dotted" w:sz="4" w:space="0" w:color="000000"/>
              <w:bottom w:val="single" w:sz="12" w:space="0" w:color="000000"/>
              <w:right w:val="dotted" w:sz="4" w:space="0" w:color="000000"/>
            </w:tcBorders>
          </w:tcPr>
          <w:p>
            <w:pPr/>
          </w:p>
        </w:tc>
        <w:tc>
          <w:tcPr>
            <w:tcW w:w="1037" w:type="dxa"/>
            <w:tcBorders>
              <w:top w:val="dotted" w:sz="4" w:space="0" w:color="000000"/>
              <w:left w:val="dotted" w:sz="4" w:space="0" w:color="000000"/>
              <w:bottom w:val="single" w:sz="12" w:space="0" w:color="000000"/>
              <w:right w:val="dotted" w:sz="4" w:space="0" w:color="000000"/>
            </w:tcBorders>
          </w:tcPr>
          <w:p>
            <w:pPr/>
          </w:p>
        </w:tc>
        <w:tc>
          <w:tcPr>
            <w:tcW w:w="1082" w:type="dxa"/>
            <w:tcBorders>
              <w:top w:val="dotted" w:sz="4" w:space="0" w:color="000000"/>
              <w:left w:val="dotted" w:sz="4" w:space="0" w:color="000000"/>
              <w:bottom w:val="single" w:sz="12" w:space="0" w:color="000000"/>
              <w:right w:val="dotted" w:sz="4" w:space="0" w:color="000000"/>
            </w:tcBorders>
          </w:tcPr>
          <w:p>
            <w:pPr/>
          </w:p>
        </w:tc>
        <w:tc>
          <w:tcPr>
            <w:tcW w:w="2062"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36"/>
          <w:pgSz w:w="16840" w:h="11910" w:orient="landscape"/>
          <w:pgMar w:footer="980" w:header="867" w:top="1060" w:bottom="1200" w:left="1300" w:right="1300"/>
          <w:pgNumType w:start="11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Microsoft JhengHei" w:hAnsi="Microsoft JhengHei" w:cs="Microsoft JhengHei" w:eastAsia="Microsoft JhengHei"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1988"/>
        <w:gridCol w:w="1488"/>
        <w:gridCol w:w="670"/>
        <w:gridCol w:w="718"/>
        <w:gridCol w:w="614"/>
        <w:gridCol w:w="1178"/>
        <w:gridCol w:w="716"/>
        <w:gridCol w:w="1210"/>
        <w:gridCol w:w="1212"/>
        <w:gridCol w:w="1037"/>
        <w:gridCol w:w="1082"/>
        <w:gridCol w:w="2062"/>
      </w:tblGrid>
      <w:tr>
        <w:trPr>
          <w:trHeight w:val="322" w:hRule="exact"/>
        </w:trPr>
        <w:tc>
          <w:tcPr>
            <w:tcW w:w="198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988" w:type="dxa"/>
            <w:gridSpan w:val="11"/>
            <w:tcBorders>
              <w:top w:val="single" w:sz="12" w:space="0" w:color="000000"/>
              <w:left w:val="dotted" w:sz="4" w:space="0" w:color="000000"/>
              <w:bottom w:val="dotted" w:sz="4" w:space="0" w:color="000000"/>
              <w:right w:val="nil" w:sz="6" w:space="0" w:color="auto"/>
            </w:tcBorders>
          </w:tcPr>
          <w:p>
            <w:pPr>
              <w:pStyle w:val="TableParagraph"/>
              <w:spacing w:line="240" w:lineRule="auto" w:before="69"/>
              <w:ind w:left="-1" w:right="7"/>
              <w:jc w:val="center"/>
              <w:rPr>
                <w:rFonts w:ascii="宋体" w:hAnsi="宋体" w:cs="宋体" w:eastAsia="宋体" w:hint="default"/>
                <w:sz w:val="13"/>
                <w:szCs w:val="13"/>
              </w:rPr>
            </w:pPr>
            <w:r>
              <w:rPr>
                <w:rFonts w:ascii="宋体" w:hAnsi="宋体" w:cs="宋体" w:eastAsia="宋体" w:hint="default"/>
                <w:sz w:val="13"/>
                <w:szCs w:val="13"/>
              </w:rPr>
              <w:t>本期金额</w:t>
            </w:r>
          </w:p>
        </w:tc>
      </w:tr>
      <w:tr>
        <w:trPr>
          <w:trHeight w:val="310" w:hRule="exact"/>
        </w:trPr>
        <w:tc>
          <w:tcPr>
            <w:tcW w:w="1988" w:type="dxa"/>
            <w:vMerge/>
            <w:tcBorders>
              <w:left w:val="nil" w:sz="6" w:space="0" w:color="auto"/>
              <w:right w:val="dotted" w:sz="4" w:space="0" w:color="000000"/>
            </w:tcBorders>
          </w:tcPr>
          <w:p>
            <w:pPr/>
          </w:p>
        </w:tc>
        <w:tc>
          <w:tcPr>
            <w:tcW w:w="1488"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53" w:right="0"/>
              <w:jc w:val="left"/>
              <w:rPr>
                <w:rFonts w:ascii="宋体" w:hAnsi="宋体" w:cs="宋体" w:eastAsia="宋体" w:hint="default"/>
                <w:sz w:val="13"/>
                <w:szCs w:val="13"/>
              </w:rPr>
            </w:pPr>
            <w:r>
              <w:rPr>
                <w:rFonts w:ascii="宋体" w:hAnsi="宋体" w:cs="宋体" w:eastAsia="宋体" w:hint="default"/>
                <w:sz w:val="13"/>
                <w:szCs w:val="13"/>
              </w:rPr>
              <w:t>实收资本（或股本）</w:t>
            </w:r>
          </w:p>
        </w:tc>
        <w:tc>
          <w:tcPr>
            <w:tcW w:w="2002"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60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78"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32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16"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6"/>
                <w:szCs w:val="6"/>
              </w:rPr>
            </w:pPr>
          </w:p>
          <w:p>
            <w:pPr>
              <w:pStyle w:val="TableParagraph"/>
              <w:spacing w:line="307" w:lineRule="auto"/>
              <w:ind w:left="223" w:right="158" w:hanging="68"/>
              <w:jc w:val="left"/>
              <w:rPr>
                <w:rFonts w:ascii="宋体" w:hAnsi="宋体" w:cs="宋体" w:eastAsia="宋体" w:hint="default"/>
                <w:sz w:val="13"/>
                <w:szCs w:val="13"/>
              </w:rPr>
            </w:pPr>
            <w:r>
              <w:rPr>
                <w:rFonts w:ascii="宋体" w:hAnsi="宋体" w:cs="宋体" w:eastAsia="宋体" w:hint="default"/>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1210"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212"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34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037"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24"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082"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20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2062" w:type="dxa"/>
            <w:vMerge w:val="restart"/>
            <w:tcBorders>
              <w:top w:val="dotted" w:sz="4" w:space="0" w:color="000000"/>
              <w:left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所有者权益（或股东权益）合计</w:t>
            </w:r>
          </w:p>
        </w:tc>
      </w:tr>
      <w:tr>
        <w:trPr>
          <w:trHeight w:val="310" w:hRule="exact"/>
        </w:trPr>
        <w:tc>
          <w:tcPr>
            <w:tcW w:w="1988" w:type="dxa"/>
            <w:vMerge/>
            <w:tcBorders>
              <w:left w:val="nil" w:sz="6" w:space="0" w:color="auto"/>
              <w:bottom w:val="dotted" w:sz="4" w:space="0" w:color="000000"/>
              <w:right w:val="dotted" w:sz="4" w:space="0" w:color="000000"/>
            </w:tcBorders>
          </w:tcPr>
          <w:p>
            <w:pPr/>
          </w:p>
        </w:tc>
        <w:tc>
          <w:tcPr>
            <w:tcW w:w="1488" w:type="dxa"/>
            <w:vMerge/>
            <w:tcBorders>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10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10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6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6"/>
              <w:ind w:left="10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78" w:type="dxa"/>
            <w:vMerge/>
            <w:tcBorders>
              <w:left w:val="dotted" w:sz="4" w:space="0" w:color="000000"/>
              <w:bottom w:val="dotted" w:sz="4" w:space="0" w:color="000000"/>
              <w:right w:val="dotted" w:sz="4" w:space="0" w:color="000000"/>
            </w:tcBorders>
          </w:tcPr>
          <w:p>
            <w:pPr/>
          </w:p>
        </w:tc>
        <w:tc>
          <w:tcPr>
            <w:tcW w:w="716" w:type="dxa"/>
            <w:vMerge/>
            <w:tcBorders>
              <w:left w:val="dotted" w:sz="4" w:space="0" w:color="000000"/>
              <w:bottom w:val="dotted" w:sz="4" w:space="0" w:color="000000"/>
              <w:right w:val="dotted" w:sz="4" w:space="0" w:color="000000"/>
            </w:tcBorders>
          </w:tcPr>
          <w:p>
            <w:pPr/>
          </w:p>
        </w:tc>
        <w:tc>
          <w:tcPr>
            <w:tcW w:w="1210" w:type="dxa"/>
            <w:vMerge/>
            <w:tcBorders>
              <w:left w:val="dotted" w:sz="4" w:space="0" w:color="000000"/>
              <w:bottom w:val="dotted" w:sz="4" w:space="0" w:color="000000"/>
              <w:right w:val="dotted" w:sz="4" w:space="0" w:color="000000"/>
            </w:tcBorders>
          </w:tcPr>
          <w:p>
            <w:pPr/>
          </w:p>
        </w:tc>
        <w:tc>
          <w:tcPr>
            <w:tcW w:w="1212" w:type="dxa"/>
            <w:vMerge/>
            <w:tcBorders>
              <w:left w:val="dotted" w:sz="4" w:space="0" w:color="000000"/>
              <w:bottom w:val="dotted" w:sz="4" w:space="0" w:color="000000"/>
              <w:right w:val="dotted" w:sz="4" w:space="0" w:color="000000"/>
            </w:tcBorders>
          </w:tcPr>
          <w:p>
            <w:pPr/>
          </w:p>
        </w:tc>
        <w:tc>
          <w:tcPr>
            <w:tcW w:w="1037" w:type="dxa"/>
            <w:vMerge/>
            <w:tcBorders>
              <w:left w:val="dotted" w:sz="4" w:space="0" w:color="000000"/>
              <w:bottom w:val="dotted" w:sz="4" w:space="0" w:color="000000"/>
              <w:right w:val="dotted" w:sz="4" w:space="0" w:color="000000"/>
            </w:tcBorders>
          </w:tcPr>
          <w:p>
            <w:pPr/>
          </w:p>
        </w:tc>
        <w:tc>
          <w:tcPr>
            <w:tcW w:w="1082" w:type="dxa"/>
            <w:vMerge/>
            <w:tcBorders>
              <w:left w:val="dotted" w:sz="4" w:space="0" w:color="000000"/>
              <w:bottom w:val="dotted" w:sz="4" w:space="0" w:color="000000"/>
              <w:right w:val="dotted" w:sz="4" w:space="0" w:color="000000"/>
            </w:tcBorders>
          </w:tcPr>
          <w:p>
            <w:pPr/>
          </w:p>
        </w:tc>
        <w:tc>
          <w:tcPr>
            <w:tcW w:w="2062" w:type="dxa"/>
            <w:vMerge/>
            <w:tcBorders>
              <w:left w:val="dotted" w:sz="4" w:space="0" w:color="000000"/>
              <w:bottom w:val="dotted" w:sz="4" w:space="0" w:color="000000"/>
              <w:right w:val="nil" w:sz="6" w:space="0" w:color="auto"/>
            </w:tcBorders>
          </w:tcPr>
          <w:p>
            <w:pPr/>
          </w:p>
        </w:tc>
      </w:tr>
      <w:tr>
        <w:trPr>
          <w:trHeight w:val="29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宋体" w:hAnsi="宋体" w:cs="宋体" w:eastAsia="宋体" w:hint="default"/>
                <w:sz w:val="13"/>
                <w:szCs w:val="13"/>
              </w:rPr>
            </w:pPr>
            <w:r>
              <w:rPr>
                <w:rFonts w:ascii="宋体" w:hAnsi="宋体" w:cs="宋体" w:eastAsia="宋体" w:hint="default"/>
                <w:sz w:val="13"/>
                <w:szCs w:val="13"/>
              </w:rPr>
              <w:t>本）</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53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95" w:lineRule="auto" w:before="66"/>
              <w:ind w:left="122" w:right="103" w:firstLine="197"/>
              <w:jc w:val="left"/>
              <w:rPr>
                <w:rFonts w:ascii="宋体" w:hAnsi="宋体" w:cs="宋体" w:eastAsia="宋体" w:hint="default"/>
                <w:sz w:val="13"/>
                <w:szCs w:val="13"/>
              </w:rPr>
            </w:pPr>
            <w:r>
              <w:rPr>
                <w:rFonts w:ascii="Times New Roman" w:hAnsi="Times New Roman" w:cs="Times New Roman" w:eastAsia="Times New Roman" w:hint="default"/>
                <w:spacing w:val="-5"/>
                <w:w w:val="99"/>
                <w:sz w:val="13"/>
                <w:szCs w:val="13"/>
              </w:rPr>
              <w:t>4</w:t>
            </w:r>
            <w:r>
              <w:rPr>
                <w:rFonts w:ascii="宋体" w:hAnsi="宋体" w:cs="宋体" w:eastAsia="宋体" w:hint="default"/>
                <w:spacing w:val="-5"/>
                <w:w w:val="99"/>
                <w:sz w:val="13"/>
                <w:szCs w:val="13"/>
              </w:rPr>
              <w:t>．设定受益计划变动额结转</w:t>
            </w:r>
            <w:r>
              <w:rPr>
                <w:rFonts w:ascii="宋体" w:hAnsi="宋体" w:cs="宋体" w:eastAsia="宋体" w:hint="default"/>
                <w:w w:val="99"/>
                <w:sz w:val="13"/>
                <w:szCs w:val="13"/>
              </w:rPr>
              <w:t> </w:t>
            </w:r>
            <w:r>
              <w:rPr>
                <w:rFonts w:ascii="宋体" w:hAnsi="宋体" w:cs="宋体" w:eastAsia="宋体" w:hint="default"/>
                <w:sz w:val="13"/>
                <w:szCs w:val="13"/>
              </w:rPr>
              <w:t>留存收益</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53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9" w:right="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t>5</w:t>
            </w:r>
            <w:r>
              <w:rPr>
                <w:rFonts w:ascii="宋体" w:hAnsi="宋体" w:cs="宋体" w:eastAsia="宋体" w:hint="default"/>
                <w:spacing w:val="-65"/>
                <w:w w:val="99"/>
                <w:sz w:val="13"/>
                <w:szCs w:val="13"/>
              </w:rPr>
              <w:t>．</w:t>
            </w:r>
            <w:r>
              <w:rPr>
                <w:rFonts w:ascii="宋体" w:hAnsi="宋体" w:cs="宋体" w:eastAsia="宋体" w:hint="default"/>
                <w:w w:val="99"/>
                <w:sz w:val="13"/>
                <w:szCs w:val="13"/>
              </w:rPr>
              <w:t>其他综合收益结转</w:t>
            </w:r>
            <w:r>
              <w:rPr>
                <w:rFonts w:ascii="宋体" w:hAnsi="宋体" w:cs="宋体" w:eastAsia="宋体" w:hint="default"/>
                <w:spacing w:val="2"/>
                <w:w w:val="99"/>
                <w:sz w:val="13"/>
                <w:szCs w:val="13"/>
              </w:rPr>
              <w:t>留</w:t>
            </w:r>
            <w:r>
              <w:rPr>
                <w:rFonts w:ascii="宋体" w:hAnsi="宋体" w:cs="宋体" w:eastAsia="宋体" w:hint="default"/>
                <w:w w:val="99"/>
                <w:sz w:val="13"/>
                <w:szCs w:val="13"/>
              </w:rPr>
              <w:t>存收</w:t>
            </w:r>
            <w:r>
              <w:rPr>
                <w:rFonts w:ascii="宋体" w:hAnsi="宋体" w:cs="宋体" w:eastAsia="宋体" w:hint="default"/>
                <w:sz w:val="13"/>
                <w:szCs w:val="13"/>
              </w:rPr>
            </w:r>
          </w:p>
          <w:p>
            <w:pPr>
              <w:pStyle w:val="TableParagraph"/>
              <w:spacing w:line="240" w:lineRule="auto" w:before="41"/>
              <w:ind w:left="122" w:right="0"/>
              <w:jc w:val="left"/>
              <w:rPr>
                <w:rFonts w:ascii="宋体" w:hAnsi="宋体" w:cs="宋体" w:eastAsia="宋体" w:hint="default"/>
                <w:sz w:val="13"/>
                <w:szCs w:val="13"/>
              </w:rPr>
            </w:pPr>
            <w:r>
              <w:rPr>
                <w:rFonts w:ascii="宋体" w:hAnsi="宋体" w:cs="宋体" w:eastAsia="宋体" w:hint="default"/>
                <w:w w:val="99"/>
                <w:sz w:val="13"/>
                <w:szCs w:val="13"/>
              </w:rPr>
              <w:t>益</w:t>
            </w:r>
            <w:r>
              <w:rPr>
                <w:rFonts w:ascii="宋体" w:hAnsi="宋体" w:cs="宋体" w:eastAsia="宋体" w:hint="default"/>
                <w:sz w:val="13"/>
                <w:szCs w:val="13"/>
              </w:rPr>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7"/>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2"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9"/>
              <w:ind w:left="12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0" w:hRule="exact"/>
        </w:trPr>
        <w:tc>
          <w:tcPr>
            <w:tcW w:w="19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488" w:type="dxa"/>
            <w:tcBorders>
              <w:top w:val="dotted" w:sz="4" w:space="0" w:color="000000"/>
              <w:left w:val="dotted" w:sz="4" w:space="0" w:color="000000"/>
              <w:bottom w:val="dotted" w:sz="4" w:space="0" w:color="000000"/>
              <w:right w:val="dotted" w:sz="4" w:space="0" w:color="000000"/>
            </w:tcBorders>
          </w:tcPr>
          <w:p>
            <w:pPr/>
          </w:p>
        </w:tc>
        <w:tc>
          <w:tcPr>
            <w:tcW w:w="670" w:type="dxa"/>
            <w:tcBorders>
              <w:top w:val="dotted" w:sz="4" w:space="0" w:color="000000"/>
              <w:left w:val="dotted" w:sz="4" w:space="0" w:color="000000"/>
              <w:bottom w:val="dotted" w:sz="4" w:space="0" w:color="000000"/>
              <w:right w:val="dotted" w:sz="4" w:space="0" w:color="000000"/>
            </w:tcBorders>
          </w:tcPr>
          <w:p>
            <w:pPr/>
          </w:p>
        </w:tc>
        <w:tc>
          <w:tcPr>
            <w:tcW w:w="718" w:type="dxa"/>
            <w:tcBorders>
              <w:top w:val="dotted" w:sz="4" w:space="0" w:color="000000"/>
              <w:left w:val="dotted" w:sz="4" w:space="0" w:color="000000"/>
              <w:bottom w:val="dotted" w:sz="4" w:space="0" w:color="000000"/>
              <w:right w:val="dotted" w:sz="4" w:space="0" w:color="000000"/>
            </w:tcBorders>
          </w:tcPr>
          <w:p>
            <w:pPr/>
          </w:p>
        </w:tc>
        <w:tc>
          <w:tcPr>
            <w:tcW w:w="614"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212" w:type="dxa"/>
            <w:tcBorders>
              <w:top w:val="dotted" w:sz="4" w:space="0" w:color="000000"/>
              <w:left w:val="dotted" w:sz="4" w:space="0" w:color="000000"/>
              <w:bottom w:val="dotted" w:sz="4" w:space="0" w:color="000000"/>
              <w:right w:val="dotted" w:sz="4" w:space="0" w:color="000000"/>
            </w:tcBorders>
          </w:tcPr>
          <w:p>
            <w:pPr/>
          </w:p>
        </w:tc>
        <w:tc>
          <w:tcPr>
            <w:tcW w:w="1037" w:type="dxa"/>
            <w:tcBorders>
              <w:top w:val="dotted" w:sz="4" w:space="0" w:color="000000"/>
              <w:left w:val="dotted" w:sz="4" w:space="0" w:color="000000"/>
              <w:bottom w:val="dotted" w:sz="4" w:space="0" w:color="000000"/>
              <w:right w:val="dotted" w:sz="4" w:space="0" w:color="000000"/>
            </w:tcBorders>
          </w:tcPr>
          <w:p>
            <w:pPr/>
          </w:p>
        </w:tc>
        <w:tc>
          <w:tcPr>
            <w:tcW w:w="1082" w:type="dxa"/>
            <w:tcBorders>
              <w:top w:val="dotted" w:sz="4" w:space="0" w:color="000000"/>
              <w:left w:val="dotted" w:sz="4" w:space="0" w:color="000000"/>
              <w:bottom w:val="dotted" w:sz="4" w:space="0" w:color="000000"/>
              <w:right w:val="dotted" w:sz="4" w:space="0" w:color="000000"/>
            </w:tcBorders>
          </w:tcPr>
          <w:p>
            <w:pP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319" w:hRule="exact"/>
        </w:trPr>
        <w:tc>
          <w:tcPr>
            <w:tcW w:w="19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6"/>
              <w:ind w:left="12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465" w:right="0"/>
              <w:jc w:val="left"/>
              <w:rPr>
                <w:rFonts w:ascii="Times New Roman" w:hAnsi="Times New Roman" w:cs="Times New Roman" w:eastAsia="Times New Roman" w:hint="default"/>
                <w:sz w:val="13"/>
                <w:szCs w:val="13"/>
              </w:rPr>
            </w:pPr>
            <w:r>
              <w:rPr>
                <w:rFonts w:ascii="Times New Roman"/>
                <w:sz w:val="13"/>
              </w:rPr>
              <w:t>1,935,084,653.00</w:t>
            </w:r>
          </w:p>
        </w:tc>
        <w:tc>
          <w:tcPr>
            <w:tcW w:w="670" w:type="dxa"/>
            <w:tcBorders>
              <w:top w:val="dotted" w:sz="4" w:space="0" w:color="000000"/>
              <w:left w:val="dotted" w:sz="4" w:space="0" w:color="000000"/>
              <w:bottom w:val="single" w:sz="12" w:space="0" w:color="000000"/>
              <w:right w:val="dotted" w:sz="4" w:space="0" w:color="000000"/>
            </w:tcBorders>
          </w:tcPr>
          <w:p>
            <w:pPr/>
          </w:p>
        </w:tc>
        <w:tc>
          <w:tcPr>
            <w:tcW w:w="718" w:type="dxa"/>
            <w:tcBorders>
              <w:top w:val="dotted" w:sz="4" w:space="0" w:color="000000"/>
              <w:left w:val="dotted" w:sz="4" w:space="0" w:color="000000"/>
              <w:bottom w:val="single" w:sz="12" w:space="0" w:color="000000"/>
              <w:right w:val="dotted" w:sz="4" w:space="0" w:color="000000"/>
            </w:tcBorders>
          </w:tcPr>
          <w:p>
            <w:pPr/>
          </w:p>
        </w:tc>
        <w:tc>
          <w:tcPr>
            <w:tcW w:w="614" w:type="dxa"/>
            <w:tcBorders>
              <w:top w:val="dotted" w:sz="4" w:space="0" w:color="000000"/>
              <w:left w:val="dotted" w:sz="4" w:space="0" w:color="000000"/>
              <w:bottom w:val="single" w:sz="12" w:space="0" w:color="000000"/>
              <w:right w:val="dotted" w:sz="4" w:space="0" w:color="000000"/>
            </w:tcBorders>
          </w:tcPr>
          <w:p>
            <w:pPr/>
          </w:p>
        </w:tc>
        <w:tc>
          <w:tcPr>
            <w:tcW w:w="11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153" w:right="0"/>
              <w:jc w:val="left"/>
              <w:rPr>
                <w:rFonts w:ascii="Times New Roman" w:hAnsi="Times New Roman" w:cs="Times New Roman" w:eastAsia="Times New Roman" w:hint="default"/>
                <w:sz w:val="13"/>
                <w:szCs w:val="13"/>
              </w:rPr>
            </w:pPr>
            <w:r>
              <w:rPr>
                <w:rFonts w:ascii="Times New Roman"/>
                <w:sz w:val="13"/>
              </w:rPr>
              <w:t>8,861,452,546.01</w:t>
            </w:r>
          </w:p>
        </w:tc>
        <w:tc>
          <w:tcPr>
            <w:tcW w:w="716" w:type="dxa"/>
            <w:tcBorders>
              <w:top w:val="dotted" w:sz="4" w:space="0" w:color="000000"/>
              <w:left w:val="dotted" w:sz="4" w:space="0" w:color="000000"/>
              <w:bottom w:val="single" w:sz="12" w:space="0" w:color="000000"/>
              <w:right w:val="dotted" w:sz="4" w:space="0" w:color="000000"/>
            </w:tcBorders>
          </w:tcPr>
          <w:p>
            <w:pPr/>
          </w:p>
        </w:tc>
        <w:tc>
          <w:tcPr>
            <w:tcW w:w="1210" w:type="dxa"/>
            <w:tcBorders>
              <w:top w:val="dotted" w:sz="4" w:space="0" w:color="000000"/>
              <w:left w:val="dotted" w:sz="4" w:space="0" w:color="000000"/>
              <w:bottom w:val="single" w:sz="12" w:space="0" w:color="000000"/>
              <w:right w:val="dotted" w:sz="4" w:space="0" w:color="000000"/>
            </w:tcBorders>
          </w:tcPr>
          <w:p>
            <w:pPr/>
          </w:p>
        </w:tc>
        <w:tc>
          <w:tcPr>
            <w:tcW w:w="12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352" w:right="0"/>
              <w:jc w:val="left"/>
              <w:rPr>
                <w:rFonts w:ascii="Times New Roman" w:hAnsi="Times New Roman" w:cs="Times New Roman" w:eastAsia="Times New Roman" w:hint="default"/>
                <w:sz w:val="13"/>
                <w:szCs w:val="13"/>
              </w:rPr>
            </w:pPr>
            <w:r>
              <w:rPr>
                <w:rFonts w:ascii="Times New Roman"/>
                <w:sz w:val="13"/>
              </w:rPr>
              <w:t>44,253,651.01</w:t>
            </w:r>
          </w:p>
        </w:tc>
        <w:tc>
          <w:tcPr>
            <w:tcW w:w="1037" w:type="dxa"/>
            <w:tcBorders>
              <w:top w:val="dotted" w:sz="4" w:space="0" w:color="000000"/>
              <w:left w:val="dotted" w:sz="4" w:space="0" w:color="000000"/>
              <w:bottom w:val="single" w:sz="12" w:space="0" w:color="000000"/>
              <w:right w:val="dotted" w:sz="4" w:space="0" w:color="000000"/>
            </w:tcBorders>
          </w:tcPr>
          <w:p>
            <w:pP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220" w:right="0"/>
              <w:jc w:val="left"/>
              <w:rPr>
                <w:rFonts w:ascii="Times New Roman" w:hAnsi="Times New Roman" w:cs="Times New Roman" w:eastAsia="Times New Roman" w:hint="default"/>
                <w:sz w:val="13"/>
                <w:szCs w:val="13"/>
              </w:rPr>
            </w:pPr>
            <w:r>
              <w:rPr>
                <w:rFonts w:ascii="Times New Roman"/>
                <w:sz w:val="13"/>
              </w:rPr>
              <w:t>73,259,988.24</w:t>
            </w:r>
          </w:p>
        </w:tc>
        <w:tc>
          <w:tcPr>
            <w:tcW w:w="20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6"/>
              <w:ind w:left="974" w:right="0"/>
              <w:jc w:val="left"/>
              <w:rPr>
                <w:rFonts w:ascii="Times New Roman" w:hAnsi="Times New Roman" w:cs="Times New Roman" w:eastAsia="Times New Roman" w:hint="default"/>
                <w:sz w:val="13"/>
                <w:szCs w:val="13"/>
              </w:rPr>
            </w:pPr>
            <w:r>
              <w:rPr>
                <w:rFonts w:ascii="Times New Roman"/>
                <w:sz w:val="13"/>
              </w:rPr>
              <w:t>10,914,050,838.26</w:t>
            </w:r>
          </w:p>
        </w:tc>
      </w:tr>
    </w:tbl>
    <w:p>
      <w:pPr>
        <w:spacing w:before="17"/>
        <w:ind w:left="14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452" w:val="left" w:leader="none"/>
          <w:tab w:pos="10855" w:val="left" w:leader="none"/>
        </w:tabs>
        <w:spacing w:before="155"/>
        <w:ind w:left="14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主管会计工作负责人：赵岑</w:t>
        <w:tab/>
        <w:t>会计机构负责人：吴艳艳</w:t>
      </w:r>
    </w:p>
    <w:p>
      <w:pPr>
        <w:spacing w:after="0"/>
        <w:jc w:val="left"/>
        <w:rPr>
          <w:rFonts w:ascii="宋体" w:hAnsi="宋体" w:cs="宋体" w:eastAsia="宋体" w:hint="default"/>
          <w:sz w:val="18"/>
          <w:szCs w:val="18"/>
        </w:rPr>
        <w:sectPr>
          <w:pgSz w:w="16840" w:h="11910" w:orient="landscape"/>
          <w:pgMar w:header="867" w:footer="980" w:top="1060" w:bottom="1160" w:left="1300" w:right="1300"/>
        </w:sectPr>
      </w:pPr>
    </w:p>
    <w:p>
      <w:pPr>
        <w:spacing w:line="240" w:lineRule="auto" w:before="1"/>
        <w:rPr>
          <w:rFonts w:ascii="宋体" w:hAnsi="宋体" w:cs="宋体" w:eastAsia="宋体" w:hint="default"/>
          <w:sz w:val="18"/>
          <w:szCs w:val="18"/>
        </w:rPr>
      </w:pPr>
    </w:p>
    <w:p>
      <w:pPr>
        <w:spacing w:line="274" w:lineRule="exact" w:before="35"/>
        <w:ind w:left="5855" w:right="5852" w:hanging="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国盛金融控股集团股份有限公司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母公司所有者权益变动表（续）</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67" w:lineRule="exact" w:before="0"/>
        <w:ind w:left="5388" w:right="538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2530"/>
        <w:gridCol w:w="1136"/>
        <w:gridCol w:w="677"/>
        <w:gridCol w:w="677"/>
        <w:gridCol w:w="547"/>
        <w:gridCol w:w="1128"/>
        <w:gridCol w:w="790"/>
        <w:gridCol w:w="1178"/>
        <w:gridCol w:w="1238"/>
        <w:gridCol w:w="1141"/>
        <w:gridCol w:w="1025"/>
        <w:gridCol w:w="1908"/>
      </w:tblGrid>
      <w:tr>
        <w:trPr>
          <w:trHeight w:val="341" w:hRule="exact"/>
        </w:trPr>
        <w:tc>
          <w:tcPr>
            <w:tcW w:w="253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445" w:type="dxa"/>
            <w:gridSpan w:val="11"/>
            <w:tcBorders>
              <w:top w:val="single" w:sz="12" w:space="0" w:color="000000"/>
              <w:left w:val="dotted" w:sz="4" w:space="0" w:color="000000"/>
              <w:bottom w:val="dotted" w:sz="4" w:space="0" w:color="000000"/>
              <w:right w:val="nil" w:sz="6" w:space="0" w:color="auto"/>
            </w:tcBorders>
          </w:tcPr>
          <w:p>
            <w:pPr>
              <w:pStyle w:val="TableParagraph"/>
              <w:spacing w:line="240" w:lineRule="auto" w:before="88"/>
              <w:ind w:right="7"/>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331" w:hRule="exact"/>
        </w:trPr>
        <w:tc>
          <w:tcPr>
            <w:tcW w:w="2530" w:type="dxa"/>
            <w:vMerge/>
            <w:tcBorders>
              <w:left w:val="nil" w:sz="6" w:space="0" w:color="auto"/>
              <w:right w:val="dotted" w:sz="4" w:space="0" w:color="000000"/>
            </w:tcBorders>
          </w:tcPr>
          <w:p>
            <w:pPr/>
          </w:p>
        </w:tc>
        <w:tc>
          <w:tcPr>
            <w:tcW w:w="1136"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1901"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556"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2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90" w:type="dxa"/>
            <w:vMerge w:val="restart"/>
            <w:tcBorders>
              <w:top w:val="dotted" w:sz="4" w:space="0" w:color="000000"/>
              <w:left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7"/>
                <w:szCs w:val="7"/>
              </w:rPr>
            </w:pPr>
          </w:p>
          <w:p>
            <w:pPr>
              <w:pStyle w:val="TableParagraph"/>
              <w:spacing w:line="338" w:lineRule="auto"/>
              <w:ind w:left="321" w:right="132" w:hanging="195"/>
              <w:jc w:val="left"/>
              <w:rPr>
                <w:rFonts w:ascii="宋体" w:hAnsi="宋体" w:cs="宋体" w:eastAsia="宋体" w:hint="default"/>
                <w:sz w:val="13"/>
                <w:szCs w:val="13"/>
              </w:rPr>
            </w:pPr>
            <w:r>
              <w:rPr>
                <w:rFonts w:ascii="宋体" w:hAnsi="宋体" w:cs="宋体" w:eastAsia="宋体" w:hint="default"/>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7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194"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23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35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41"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305"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025"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182"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908" w:type="dxa"/>
            <w:vMerge w:val="restart"/>
            <w:tcBorders>
              <w:top w:val="dotted" w:sz="4" w:space="0" w:color="000000"/>
              <w:left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49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29" w:hRule="exact"/>
        </w:trPr>
        <w:tc>
          <w:tcPr>
            <w:tcW w:w="2530" w:type="dxa"/>
            <w:vMerge/>
            <w:tcBorders>
              <w:left w:val="nil" w:sz="6" w:space="0" w:color="auto"/>
              <w:bottom w:val="dotted" w:sz="4" w:space="0" w:color="000000"/>
              <w:right w:val="dotted" w:sz="4" w:space="0" w:color="000000"/>
            </w:tcBorders>
          </w:tcPr>
          <w:p>
            <w:pPr/>
          </w:p>
        </w:tc>
        <w:tc>
          <w:tcPr>
            <w:tcW w:w="1136" w:type="dxa"/>
            <w:vMerge/>
            <w:tcBorders>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3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36"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3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28" w:type="dxa"/>
            <w:vMerge/>
            <w:tcBorders>
              <w:left w:val="dotted" w:sz="4" w:space="0" w:color="000000"/>
              <w:bottom w:val="dotted" w:sz="4" w:space="0" w:color="000000"/>
              <w:right w:val="dotted" w:sz="4" w:space="0" w:color="000000"/>
            </w:tcBorders>
          </w:tcPr>
          <w:p>
            <w:pPr/>
          </w:p>
        </w:tc>
        <w:tc>
          <w:tcPr>
            <w:tcW w:w="790" w:type="dxa"/>
            <w:vMerge/>
            <w:tcBorders>
              <w:left w:val="dotted" w:sz="4" w:space="0" w:color="000000"/>
              <w:bottom w:val="dotted" w:sz="4" w:space="0" w:color="000000"/>
              <w:right w:val="dotted" w:sz="4" w:space="0" w:color="000000"/>
            </w:tcBorders>
          </w:tcPr>
          <w:p>
            <w:pPr/>
          </w:p>
        </w:tc>
        <w:tc>
          <w:tcPr>
            <w:tcW w:w="1178" w:type="dxa"/>
            <w:vMerge/>
            <w:tcBorders>
              <w:left w:val="dotted" w:sz="4" w:space="0" w:color="000000"/>
              <w:bottom w:val="dotted" w:sz="4" w:space="0" w:color="000000"/>
              <w:right w:val="dotted" w:sz="4" w:space="0" w:color="000000"/>
            </w:tcBorders>
          </w:tcPr>
          <w:p>
            <w:pPr/>
          </w:p>
        </w:tc>
        <w:tc>
          <w:tcPr>
            <w:tcW w:w="1238" w:type="dxa"/>
            <w:vMerge/>
            <w:tcBorders>
              <w:left w:val="dotted" w:sz="4" w:space="0" w:color="000000"/>
              <w:bottom w:val="dotted" w:sz="4" w:space="0" w:color="000000"/>
              <w:right w:val="dotted" w:sz="4" w:space="0" w:color="000000"/>
            </w:tcBorders>
          </w:tcPr>
          <w:p>
            <w:pPr/>
          </w:p>
        </w:tc>
        <w:tc>
          <w:tcPr>
            <w:tcW w:w="1141" w:type="dxa"/>
            <w:vMerge/>
            <w:tcBorders>
              <w:left w:val="dotted" w:sz="4" w:space="0" w:color="000000"/>
              <w:bottom w:val="dotted" w:sz="4" w:space="0" w:color="000000"/>
              <w:right w:val="dotted" w:sz="4" w:space="0" w:color="000000"/>
            </w:tcBorders>
          </w:tcPr>
          <w:p>
            <w:pPr/>
          </w:p>
        </w:tc>
        <w:tc>
          <w:tcPr>
            <w:tcW w:w="1025" w:type="dxa"/>
            <w:vMerge/>
            <w:tcBorders>
              <w:left w:val="dotted" w:sz="4" w:space="0" w:color="000000"/>
              <w:bottom w:val="dotted" w:sz="4" w:space="0" w:color="000000"/>
              <w:right w:val="dotted" w:sz="4" w:space="0" w:color="000000"/>
            </w:tcBorders>
          </w:tcPr>
          <w:p>
            <w:pPr/>
          </w:p>
        </w:tc>
        <w:tc>
          <w:tcPr>
            <w:tcW w:w="1908" w:type="dxa"/>
            <w:vMerge/>
            <w:tcBorders>
              <w:left w:val="dotted" w:sz="4" w:space="0" w:color="000000"/>
              <w:bottom w:val="dotted" w:sz="4" w:space="0" w:color="000000"/>
              <w:right w:val="nil" w:sz="6" w:space="0" w:color="auto"/>
            </w:tcBorders>
          </w:tcPr>
          <w:p>
            <w:pPr/>
          </w:p>
        </w:tc>
      </w:tr>
      <w:tr>
        <w:trPr>
          <w:trHeight w:val="332"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22" w:right="0"/>
              <w:jc w:val="left"/>
              <w:rPr>
                <w:rFonts w:ascii="宋体" w:hAnsi="宋体" w:cs="宋体" w:eastAsia="宋体" w:hint="default"/>
                <w:sz w:val="13"/>
                <w:szCs w:val="13"/>
              </w:rPr>
            </w:pPr>
            <w:r>
              <w:rPr>
                <w:rFonts w:ascii="宋体" w:hAnsi="宋体" w:cs="宋体" w:eastAsia="宋体" w:hint="default"/>
                <w:sz w:val="13"/>
                <w:szCs w:val="13"/>
              </w:rPr>
              <w:t>一、期初余额</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5" w:right="0"/>
              <w:jc w:val="center"/>
              <w:rPr>
                <w:rFonts w:ascii="Times New Roman" w:hAnsi="Times New Roman" w:cs="Times New Roman" w:eastAsia="Times New Roman" w:hint="default"/>
                <w:sz w:val="13"/>
                <w:szCs w:val="13"/>
              </w:rPr>
            </w:pPr>
            <w:r>
              <w:rPr>
                <w:rFonts w:ascii="Times New Roman"/>
                <w:sz w:val="13"/>
              </w:rPr>
              <w:t>1,497,804,400.00</w:t>
            </w: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9,460,010,652.84</w:t>
            </w: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2,257,138.40</w:t>
            </w: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42,142,887.16</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115,563,429.37</w:t>
            </w:r>
          </w:p>
        </w:tc>
        <w:tc>
          <w:tcPr>
            <w:tcW w:w="19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11,117,778,507.77</w:t>
            </w: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8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64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64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122"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5" w:right="0"/>
              <w:jc w:val="center"/>
              <w:rPr>
                <w:rFonts w:ascii="Times New Roman" w:hAnsi="Times New Roman" w:cs="Times New Roman" w:eastAsia="Times New Roman" w:hint="default"/>
                <w:sz w:val="13"/>
                <w:szCs w:val="13"/>
              </w:rPr>
            </w:pPr>
            <w:r>
              <w:rPr>
                <w:rFonts w:ascii="Times New Roman"/>
                <w:sz w:val="13"/>
              </w:rPr>
              <w:t>1,497,804,400.00</w:t>
            </w: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9,460,010,652.84</w:t>
            </w: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2,257,138.40</w:t>
            </w: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42,142,887.16</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115,563,429.37</w:t>
            </w:r>
          </w:p>
        </w:tc>
        <w:tc>
          <w:tcPr>
            <w:tcW w:w="19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pacing w:val="-1"/>
                <w:sz w:val="13"/>
              </w:rPr>
              <w:t>11,117,778,507.77</w:t>
            </w:r>
          </w:p>
        </w:tc>
      </w:tr>
      <w:tr>
        <w:trPr>
          <w:trHeight w:val="56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85"/>
              <w:ind w:left="122" w:right="95"/>
              <w:jc w:val="left"/>
              <w:rPr>
                <w:rFonts w:ascii="宋体" w:hAnsi="宋体" w:cs="宋体" w:eastAsia="宋体" w:hint="default"/>
                <w:sz w:val="13"/>
                <w:szCs w:val="13"/>
              </w:rPr>
            </w:pPr>
            <w:r>
              <w:rPr>
                <w:rFonts w:ascii="宋体" w:hAnsi="宋体" w:cs="宋体" w:eastAsia="宋体" w:hint="default"/>
                <w:spacing w:val="3"/>
                <w:sz w:val="13"/>
                <w:szCs w:val="13"/>
              </w:rPr>
              <w:t>三、本期增减变动金额（减少以</w:t>
            </w:r>
            <w:r>
              <w:rPr>
                <w:rFonts w:ascii="Times New Roman" w:hAnsi="Times New Roman" w:cs="Times New Roman" w:eastAsia="Times New Roman" w:hint="default"/>
                <w:spacing w:val="3"/>
                <w:sz w:val="13"/>
                <w:szCs w:val="13"/>
              </w:rPr>
              <w:t>“</w:t>
            </w:r>
            <w:r>
              <w:rPr>
                <w:rFonts w:ascii="Times New Roman" w:hAnsi="Times New Roman" w:cs="Times New Roman" w:eastAsia="Times New Roman" w:hint="default"/>
                <w:spacing w:val="3"/>
                <w:sz w:val="13"/>
                <w:szCs w:val="13"/>
              </w:rPr>
              <w:t>-</w:t>
            </w:r>
            <w:r>
              <w:rPr>
                <w:rFonts w:ascii="Times New Roman" w:hAnsi="Times New Roman" w:cs="Times New Roman" w:eastAsia="Times New Roman" w:hint="default"/>
                <w:spacing w:val="3"/>
                <w:sz w:val="13"/>
                <w:szCs w:val="13"/>
              </w:rPr>
              <w:t>”</w:t>
            </w:r>
            <w:r>
              <w:rPr>
                <w:rFonts w:ascii="宋体" w:hAnsi="宋体" w:cs="宋体" w:eastAsia="宋体" w:hint="default"/>
                <w:spacing w:val="3"/>
                <w:sz w:val="13"/>
                <w:szCs w:val="13"/>
              </w:rPr>
              <w:t>号填</w:t>
            </w:r>
            <w:r>
              <w:rPr>
                <w:rFonts w:ascii="宋体" w:hAnsi="宋体" w:cs="宋体" w:eastAsia="宋体" w:hint="default"/>
                <w:spacing w:val="4"/>
                <w:w w:val="99"/>
                <w:sz w:val="13"/>
                <w:szCs w:val="13"/>
              </w:rPr>
              <w:t> </w:t>
            </w:r>
            <w:r>
              <w:rPr>
                <w:rFonts w:ascii="宋体" w:hAnsi="宋体" w:cs="宋体" w:eastAsia="宋体" w:hint="default"/>
                <w:sz w:val="13"/>
                <w:szCs w:val="13"/>
              </w:rPr>
              <w:t>列）</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99" w:right="0"/>
              <w:jc w:val="center"/>
              <w:rPr>
                <w:rFonts w:ascii="Times New Roman" w:hAnsi="Times New Roman" w:cs="Times New Roman" w:eastAsia="Times New Roman" w:hint="default"/>
                <w:sz w:val="13"/>
                <w:szCs w:val="13"/>
              </w:rPr>
            </w:pPr>
            <w:r>
              <w:rPr>
                <w:rFonts w:ascii="Times New Roman"/>
                <w:sz w:val="13"/>
              </w:rPr>
              <w:t>437,280,253.00</w:t>
            </w: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-598,558,106.83</w:t>
            </w: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-8,172,328.40</w:t>
            </w: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2,110,763.85</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4,077,765.54</w:t>
            </w:r>
          </w:p>
        </w:tc>
        <w:tc>
          <w:tcPr>
            <w:tcW w:w="19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-163,261,652.84</w:t>
            </w: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122"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-8,172,328.40</w:t>
            </w: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21,110,608.46</w:t>
            </w:r>
          </w:p>
        </w:tc>
        <w:tc>
          <w:tcPr>
            <w:tcW w:w="19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sz w:val="13"/>
              </w:rPr>
              <w:t>12,938,280.06</w:t>
            </w: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22"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．股东投入的普通股</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122"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121" w:right="0"/>
              <w:jc w:val="center"/>
              <w:rPr>
                <w:rFonts w:ascii="Times New Roman" w:hAnsi="Times New Roman" w:cs="Times New Roman" w:eastAsia="Times New Roman" w:hint="default"/>
                <w:sz w:val="13"/>
                <w:szCs w:val="13"/>
              </w:rPr>
            </w:pPr>
            <w:r>
              <w:rPr>
                <w:rFonts w:ascii="Times New Roman"/>
                <w:sz w:val="13"/>
              </w:rPr>
              <w:t>-10,299,888.00</w:t>
            </w: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-150,977,965.83</w:t>
            </w: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2,110,763.85</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-17,032,842.92</w:t>
            </w:r>
          </w:p>
        </w:tc>
        <w:tc>
          <w:tcPr>
            <w:tcW w:w="19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-176,199,932.90</w:t>
            </w: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2,111,060.85</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-2,111,060.85</w:t>
            </w: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．对所有者（或股东）的分配</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-14,919,109.10</w:t>
            </w:r>
          </w:p>
        </w:tc>
        <w:tc>
          <w:tcPr>
            <w:tcW w:w="19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-14,919,109.10</w:t>
            </w: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121" w:right="0"/>
              <w:jc w:val="center"/>
              <w:rPr>
                <w:rFonts w:ascii="Times New Roman" w:hAnsi="Times New Roman" w:cs="Times New Roman" w:eastAsia="Times New Roman" w:hint="default"/>
                <w:sz w:val="13"/>
                <w:szCs w:val="13"/>
              </w:rPr>
            </w:pPr>
            <w:r>
              <w:rPr>
                <w:rFonts w:ascii="Times New Roman"/>
                <w:sz w:val="13"/>
              </w:rPr>
              <w:t>-10,299,888.00</w:t>
            </w: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-150,977,965.83</w:t>
            </w: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-297.00</w:t>
            </w:r>
            <w:r>
              <w:rPr>
                <w:rFonts w:ascii="Times New Roman"/>
                <w:sz w:val="13"/>
              </w:rPr>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-2,672.97</w:t>
            </w:r>
          </w:p>
        </w:tc>
        <w:tc>
          <w:tcPr>
            <w:tcW w:w="19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-161,280,823.80</w:t>
            </w: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122"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99" w:right="0"/>
              <w:jc w:val="center"/>
              <w:rPr>
                <w:rFonts w:ascii="Times New Roman" w:hAnsi="Times New Roman" w:cs="Times New Roman" w:eastAsia="Times New Roman" w:hint="default"/>
                <w:sz w:val="13"/>
                <w:szCs w:val="13"/>
              </w:rPr>
            </w:pPr>
            <w:r>
              <w:rPr>
                <w:rFonts w:ascii="Times New Roman"/>
                <w:sz w:val="13"/>
              </w:rPr>
              <w:t>447,580,141.00</w:t>
            </w: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-447,580,141.00</w:t>
            </w: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99" w:right="0"/>
              <w:jc w:val="center"/>
              <w:rPr>
                <w:rFonts w:ascii="Times New Roman" w:hAnsi="Times New Roman" w:cs="Times New Roman" w:eastAsia="Times New Roman" w:hint="default"/>
                <w:sz w:val="13"/>
                <w:szCs w:val="13"/>
              </w:rPr>
            </w:pPr>
            <w:r>
              <w:rPr>
                <w:rFonts w:ascii="Times New Roman"/>
                <w:sz w:val="13"/>
              </w:rPr>
              <w:t>447,580,141.00</w:t>
            </w: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-447,580,141.00</w:t>
            </w: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530"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36" w:type="dxa"/>
            <w:tcBorders>
              <w:top w:val="dotted" w:sz="4" w:space="0" w:color="000000"/>
              <w:left w:val="dotted" w:sz="4" w:space="0" w:color="000000"/>
              <w:bottom w:val="single" w:sz="4" w:space="0" w:color="000000"/>
              <w:right w:val="dotted" w:sz="4" w:space="0" w:color="000000"/>
            </w:tcBorders>
          </w:tcPr>
          <w:p>
            <w:pPr/>
          </w:p>
        </w:tc>
        <w:tc>
          <w:tcPr>
            <w:tcW w:w="677" w:type="dxa"/>
            <w:tcBorders>
              <w:top w:val="dotted" w:sz="4" w:space="0" w:color="000000"/>
              <w:left w:val="dotted" w:sz="4" w:space="0" w:color="000000"/>
              <w:bottom w:val="single" w:sz="4" w:space="0" w:color="000000"/>
              <w:right w:val="dotted" w:sz="4" w:space="0" w:color="000000"/>
            </w:tcBorders>
          </w:tcPr>
          <w:p>
            <w:pPr/>
          </w:p>
        </w:tc>
        <w:tc>
          <w:tcPr>
            <w:tcW w:w="677" w:type="dxa"/>
            <w:tcBorders>
              <w:top w:val="dotted" w:sz="4" w:space="0" w:color="000000"/>
              <w:left w:val="dotted" w:sz="4" w:space="0" w:color="000000"/>
              <w:bottom w:val="single" w:sz="4" w:space="0" w:color="000000"/>
              <w:right w:val="dotted" w:sz="4" w:space="0" w:color="000000"/>
            </w:tcBorders>
          </w:tcPr>
          <w:p>
            <w:pPr/>
          </w:p>
        </w:tc>
        <w:tc>
          <w:tcPr>
            <w:tcW w:w="547" w:type="dxa"/>
            <w:tcBorders>
              <w:top w:val="dotted" w:sz="4" w:space="0" w:color="000000"/>
              <w:left w:val="dotted" w:sz="4" w:space="0" w:color="000000"/>
              <w:bottom w:val="single" w:sz="4" w:space="0" w:color="000000"/>
              <w:right w:val="dotted" w:sz="4" w:space="0" w:color="000000"/>
            </w:tcBorders>
          </w:tcPr>
          <w:p>
            <w:pPr/>
          </w:p>
        </w:tc>
        <w:tc>
          <w:tcPr>
            <w:tcW w:w="1128" w:type="dxa"/>
            <w:tcBorders>
              <w:top w:val="dotted" w:sz="4" w:space="0" w:color="000000"/>
              <w:left w:val="dotted" w:sz="4" w:space="0" w:color="000000"/>
              <w:bottom w:val="single" w:sz="4" w:space="0" w:color="000000"/>
              <w:right w:val="dotted" w:sz="4" w:space="0" w:color="000000"/>
            </w:tcBorders>
          </w:tcPr>
          <w:p>
            <w:pPr/>
          </w:p>
        </w:tc>
        <w:tc>
          <w:tcPr>
            <w:tcW w:w="790" w:type="dxa"/>
            <w:tcBorders>
              <w:top w:val="dotted" w:sz="4" w:space="0" w:color="000000"/>
              <w:left w:val="dotted" w:sz="4" w:space="0" w:color="000000"/>
              <w:bottom w:val="single" w:sz="4" w:space="0" w:color="000000"/>
              <w:right w:val="dotted" w:sz="4" w:space="0" w:color="000000"/>
            </w:tcBorders>
          </w:tcPr>
          <w:p>
            <w:pPr/>
          </w:p>
        </w:tc>
        <w:tc>
          <w:tcPr>
            <w:tcW w:w="1178" w:type="dxa"/>
            <w:tcBorders>
              <w:top w:val="dotted" w:sz="4" w:space="0" w:color="000000"/>
              <w:left w:val="dotted" w:sz="4" w:space="0" w:color="000000"/>
              <w:bottom w:val="single" w:sz="4" w:space="0" w:color="000000"/>
              <w:right w:val="dotted" w:sz="4" w:space="0" w:color="000000"/>
            </w:tcBorders>
          </w:tcPr>
          <w:p>
            <w:pPr/>
          </w:p>
        </w:tc>
        <w:tc>
          <w:tcPr>
            <w:tcW w:w="1238" w:type="dxa"/>
            <w:tcBorders>
              <w:top w:val="dotted" w:sz="4" w:space="0" w:color="000000"/>
              <w:left w:val="dotted" w:sz="4" w:space="0" w:color="000000"/>
              <w:bottom w:val="single" w:sz="4" w:space="0" w:color="000000"/>
              <w:right w:val="dotted" w:sz="4" w:space="0" w:color="000000"/>
            </w:tcBorders>
          </w:tcPr>
          <w:p>
            <w:pPr/>
          </w:p>
        </w:tc>
        <w:tc>
          <w:tcPr>
            <w:tcW w:w="1141" w:type="dxa"/>
            <w:tcBorders>
              <w:top w:val="dotted" w:sz="4" w:space="0" w:color="000000"/>
              <w:left w:val="dotted" w:sz="4" w:space="0" w:color="000000"/>
              <w:bottom w:val="single" w:sz="4" w:space="0" w:color="000000"/>
              <w:right w:val="dotted" w:sz="4" w:space="0" w:color="000000"/>
            </w:tcBorders>
          </w:tcPr>
          <w:p>
            <w:pPr/>
          </w:p>
        </w:tc>
        <w:tc>
          <w:tcPr>
            <w:tcW w:w="1025" w:type="dxa"/>
            <w:tcBorders>
              <w:top w:val="dotted" w:sz="4" w:space="0" w:color="000000"/>
              <w:left w:val="dotted" w:sz="4" w:space="0" w:color="000000"/>
              <w:bottom w:val="single" w:sz="4" w:space="0" w:color="000000"/>
              <w:right w:val="dotted" w:sz="4" w:space="0" w:color="000000"/>
            </w:tcBorders>
          </w:tcPr>
          <w:p>
            <w:pPr/>
          </w:p>
        </w:tc>
        <w:tc>
          <w:tcPr>
            <w:tcW w:w="1908" w:type="dxa"/>
            <w:tcBorders>
              <w:top w:val="dotted" w:sz="4" w:space="0" w:color="000000"/>
              <w:left w:val="dotted" w:sz="4" w:space="0" w:color="000000"/>
              <w:bottom w:val="single" w:sz="4" w:space="0" w:color="000000"/>
              <w:right w:val="nil" w:sz="6" w:space="0" w:color="auto"/>
            </w:tcBorders>
          </w:tcPr>
          <w:p>
            <w:pPr/>
          </w:p>
        </w:tc>
      </w:tr>
    </w:tbl>
    <w:p>
      <w:pPr>
        <w:spacing w:after="0"/>
        <w:sectPr>
          <w:pgSz w:w="16840" w:h="11910" w:orient="landscape"/>
          <w:pgMar w:header="867" w:footer="980" w:top="1060" w:bottom="1160" w:left="1300" w:right="1300"/>
        </w:sectPr>
      </w:pPr>
    </w:p>
    <w:p>
      <w:pPr>
        <w:spacing w:line="240" w:lineRule="auto" w:before="13"/>
        <w:rPr>
          <w:rFonts w:ascii="Microsoft JhengHei" w:hAnsi="Microsoft JhengHei" w:cs="Microsoft JhengHei" w:eastAsia="Microsoft JhengHei"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2530"/>
        <w:gridCol w:w="1136"/>
        <w:gridCol w:w="677"/>
        <w:gridCol w:w="677"/>
        <w:gridCol w:w="547"/>
        <w:gridCol w:w="1128"/>
        <w:gridCol w:w="790"/>
        <w:gridCol w:w="1178"/>
        <w:gridCol w:w="1238"/>
        <w:gridCol w:w="1141"/>
        <w:gridCol w:w="1025"/>
        <w:gridCol w:w="1908"/>
      </w:tblGrid>
      <w:tr>
        <w:trPr>
          <w:trHeight w:val="341" w:hRule="exact"/>
        </w:trPr>
        <w:tc>
          <w:tcPr>
            <w:tcW w:w="253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445" w:type="dxa"/>
            <w:gridSpan w:val="11"/>
            <w:tcBorders>
              <w:top w:val="single" w:sz="12" w:space="0" w:color="000000"/>
              <w:left w:val="dotted" w:sz="4" w:space="0" w:color="000000"/>
              <w:bottom w:val="dotted" w:sz="4" w:space="0" w:color="000000"/>
              <w:right w:val="nil" w:sz="6" w:space="0" w:color="auto"/>
            </w:tcBorders>
          </w:tcPr>
          <w:p>
            <w:pPr>
              <w:pStyle w:val="TableParagraph"/>
              <w:spacing w:line="240" w:lineRule="auto" w:before="88"/>
              <w:ind w:right="7"/>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331" w:hRule="exact"/>
        </w:trPr>
        <w:tc>
          <w:tcPr>
            <w:tcW w:w="2530" w:type="dxa"/>
            <w:vMerge/>
            <w:tcBorders>
              <w:left w:val="nil" w:sz="6" w:space="0" w:color="auto"/>
              <w:right w:val="dotted" w:sz="4" w:space="0" w:color="000000"/>
            </w:tcBorders>
          </w:tcPr>
          <w:p>
            <w:pPr/>
          </w:p>
        </w:tc>
        <w:tc>
          <w:tcPr>
            <w:tcW w:w="1136"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1901"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556"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2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90" w:type="dxa"/>
            <w:vMerge w:val="restart"/>
            <w:tcBorders>
              <w:top w:val="dotted" w:sz="4" w:space="0" w:color="000000"/>
              <w:left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7"/>
                <w:szCs w:val="7"/>
              </w:rPr>
            </w:pPr>
          </w:p>
          <w:p>
            <w:pPr>
              <w:pStyle w:val="TableParagraph"/>
              <w:spacing w:line="338" w:lineRule="auto"/>
              <w:ind w:left="322" w:right="132" w:hanging="195"/>
              <w:jc w:val="left"/>
              <w:rPr>
                <w:rFonts w:ascii="宋体" w:hAnsi="宋体" w:cs="宋体" w:eastAsia="宋体" w:hint="default"/>
                <w:sz w:val="13"/>
                <w:szCs w:val="13"/>
              </w:rPr>
            </w:pPr>
            <w:r>
              <w:rPr>
                <w:rFonts w:ascii="宋体" w:hAnsi="宋体" w:cs="宋体" w:eastAsia="宋体" w:hint="default"/>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7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194"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23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35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41"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305"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025"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182"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908" w:type="dxa"/>
            <w:vMerge w:val="restart"/>
            <w:tcBorders>
              <w:top w:val="dotted" w:sz="4" w:space="0" w:color="000000"/>
              <w:left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49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29" w:hRule="exact"/>
        </w:trPr>
        <w:tc>
          <w:tcPr>
            <w:tcW w:w="2530" w:type="dxa"/>
            <w:vMerge/>
            <w:tcBorders>
              <w:left w:val="nil" w:sz="6" w:space="0" w:color="auto"/>
              <w:bottom w:val="dotted" w:sz="4" w:space="0" w:color="000000"/>
              <w:right w:val="dotted" w:sz="4" w:space="0" w:color="000000"/>
            </w:tcBorders>
          </w:tcPr>
          <w:p>
            <w:pPr/>
          </w:p>
        </w:tc>
        <w:tc>
          <w:tcPr>
            <w:tcW w:w="1136" w:type="dxa"/>
            <w:vMerge/>
            <w:tcBorders>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3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36"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3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28" w:type="dxa"/>
            <w:vMerge/>
            <w:tcBorders>
              <w:left w:val="dotted" w:sz="4" w:space="0" w:color="000000"/>
              <w:bottom w:val="dotted" w:sz="4" w:space="0" w:color="000000"/>
              <w:right w:val="dotted" w:sz="4" w:space="0" w:color="000000"/>
            </w:tcBorders>
          </w:tcPr>
          <w:p>
            <w:pPr/>
          </w:p>
        </w:tc>
        <w:tc>
          <w:tcPr>
            <w:tcW w:w="790" w:type="dxa"/>
            <w:vMerge/>
            <w:tcBorders>
              <w:left w:val="dotted" w:sz="4" w:space="0" w:color="000000"/>
              <w:bottom w:val="dotted" w:sz="4" w:space="0" w:color="000000"/>
              <w:right w:val="dotted" w:sz="4" w:space="0" w:color="000000"/>
            </w:tcBorders>
          </w:tcPr>
          <w:p>
            <w:pPr/>
          </w:p>
        </w:tc>
        <w:tc>
          <w:tcPr>
            <w:tcW w:w="1178" w:type="dxa"/>
            <w:vMerge/>
            <w:tcBorders>
              <w:left w:val="dotted" w:sz="4" w:space="0" w:color="000000"/>
              <w:bottom w:val="dotted" w:sz="4" w:space="0" w:color="000000"/>
              <w:right w:val="dotted" w:sz="4" w:space="0" w:color="000000"/>
            </w:tcBorders>
          </w:tcPr>
          <w:p>
            <w:pPr/>
          </w:p>
        </w:tc>
        <w:tc>
          <w:tcPr>
            <w:tcW w:w="1238" w:type="dxa"/>
            <w:vMerge/>
            <w:tcBorders>
              <w:left w:val="dotted" w:sz="4" w:space="0" w:color="000000"/>
              <w:bottom w:val="dotted" w:sz="4" w:space="0" w:color="000000"/>
              <w:right w:val="dotted" w:sz="4" w:space="0" w:color="000000"/>
            </w:tcBorders>
          </w:tcPr>
          <w:p>
            <w:pPr/>
          </w:p>
        </w:tc>
        <w:tc>
          <w:tcPr>
            <w:tcW w:w="1141" w:type="dxa"/>
            <w:vMerge/>
            <w:tcBorders>
              <w:left w:val="dotted" w:sz="4" w:space="0" w:color="000000"/>
              <w:bottom w:val="dotted" w:sz="4" w:space="0" w:color="000000"/>
              <w:right w:val="dotted" w:sz="4" w:space="0" w:color="000000"/>
            </w:tcBorders>
          </w:tcPr>
          <w:p>
            <w:pPr/>
          </w:p>
        </w:tc>
        <w:tc>
          <w:tcPr>
            <w:tcW w:w="1025" w:type="dxa"/>
            <w:vMerge/>
            <w:tcBorders>
              <w:left w:val="dotted" w:sz="4" w:space="0" w:color="000000"/>
              <w:bottom w:val="dotted" w:sz="4" w:space="0" w:color="000000"/>
              <w:right w:val="dotted" w:sz="4" w:space="0" w:color="000000"/>
            </w:tcBorders>
          </w:tcPr>
          <w:p>
            <w:pPr/>
          </w:p>
        </w:tc>
        <w:tc>
          <w:tcPr>
            <w:tcW w:w="1908" w:type="dxa"/>
            <w:vMerge/>
            <w:tcBorders>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pacing w:val="-3"/>
                <w:sz w:val="13"/>
                <w:szCs w:val="13"/>
              </w:rPr>
              <w:t>4</w:t>
            </w:r>
            <w:r>
              <w:rPr>
                <w:rFonts w:ascii="宋体" w:hAnsi="宋体" w:cs="宋体" w:eastAsia="宋体" w:hint="default"/>
                <w:spacing w:val="-3"/>
                <w:sz w:val="13"/>
                <w:szCs w:val="13"/>
              </w:rPr>
              <w:t>．设定受益计划变动额结转留存收益</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122"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31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29" w:hRule="exact"/>
        </w:trPr>
        <w:tc>
          <w:tcPr>
            <w:tcW w:w="25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6"/>
              <w:ind w:left="122"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36"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677"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1128" w:type="dxa"/>
            <w:tcBorders>
              <w:top w:val="dotted" w:sz="4" w:space="0" w:color="000000"/>
              <w:left w:val="dotted" w:sz="4" w:space="0" w:color="000000"/>
              <w:bottom w:val="dotted" w:sz="4" w:space="0" w:color="000000"/>
              <w:right w:val="dotted" w:sz="4" w:space="0" w:color="000000"/>
            </w:tcBorders>
          </w:tcPr>
          <w:p>
            <w:pPr/>
          </w:p>
        </w:tc>
        <w:tc>
          <w:tcPr>
            <w:tcW w:w="790" w:type="dxa"/>
            <w:tcBorders>
              <w:top w:val="dotted" w:sz="4" w:space="0" w:color="000000"/>
              <w:left w:val="dotted" w:sz="4" w:space="0" w:color="000000"/>
              <w:bottom w:val="dotted" w:sz="4" w:space="0" w:color="000000"/>
              <w:right w:val="dotted" w:sz="4" w:space="0" w:color="000000"/>
            </w:tcBorders>
          </w:tcPr>
          <w:p>
            <w:pPr/>
          </w:p>
        </w:tc>
        <w:tc>
          <w:tcPr>
            <w:tcW w:w="1178" w:type="dxa"/>
            <w:tcBorders>
              <w:top w:val="dotted" w:sz="4" w:space="0" w:color="000000"/>
              <w:left w:val="dotted" w:sz="4" w:space="0" w:color="000000"/>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
        </w:tc>
        <w:tc>
          <w:tcPr>
            <w:tcW w:w="1141" w:type="dxa"/>
            <w:tcBorders>
              <w:top w:val="dotted" w:sz="4" w:space="0" w:color="000000"/>
              <w:left w:val="dotted" w:sz="4" w:space="0" w:color="000000"/>
              <w:bottom w:val="dotted" w:sz="4" w:space="0" w:color="000000"/>
              <w:right w:val="dotted" w:sz="4" w:space="0" w:color="000000"/>
            </w:tcBorders>
          </w:tcPr>
          <w:p>
            <w:pPr/>
          </w:p>
        </w:tc>
        <w:tc>
          <w:tcPr>
            <w:tcW w:w="1025" w:type="dxa"/>
            <w:tcBorders>
              <w:top w:val="dotted" w:sz="4" w:space="0" w:color="000000"/>
              <w:left w:val="dotted" w:sz="4" w:space="0" w:color="000000"/>
              <w:bottom w:val="dotted" w:sz="4" w:space="0" w:color="000000"/>
              <w:right w:val="dotted" w:sz="4" w:space="0" w:color="000000"/>
            </w:tcBorders>
          </w:tcPr>
          <w:p>
            <w:pPr/>
          </w:p>
        </w:tc>
        <w:tc>
          <w:tcPr>
            <w:tcW w:w="1908" w:type="dxa"/>
            <w:tcBorders>
              <w:top w:val="dotted" w:sz="4" w:space="0" w:color="000000"/>
              <w:left w:val="dotted" w:sz="4" w:space="0" w:color="000000"/>
              <w:bottom w:val="dotted" w:sz="4" w:space="0" w:color="000000"/>
              <w:right w:val="nil" w:sz="6" w:space="0" w:color="auto"/>
            </w:tcBorders>
          </w:tcPr>
          <w:p>
            <w:pPr/>
          </w:p>
        </w:tc>
      </w:tr>
      <w:tr>
        <w:trPr>
          <w:trHeight w:val="341" w:hRule="exact"/>
        </w:trPr>
        <w:tc>
          <w:tcPr>
            <w:tcW w:w="25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5"/>
              <w:ind w:left="12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110" w:right="0"/>
              <w:jc w:val="left"/>
              <w:rPr>
                <w:rFonts w:ascii="Times New Roman" w:hAnsi="Times New Roman" w:cs="Times New Roman" w:eastAsia="Times New Roman" w:hint="default"/>
                <w:sz w:val="13"/>
                <w:szCs w:val="13"/>
              </w:rPr>
            </w:pPr>
            <w:r>
              <w:rPr>
                <w:rFonts w:ascii="Times New Roman"/>
                <w:sz w:val="13"/>
              </w:rPr>
              <w:t>1,935,084,653.00</w:t>
            </w:r>
          </w:p>
        </w:tc>
        <w:tc>
          <w:tcPr>
            <w:tcW w:w="677" w:type="dxa"/>
            <w:tcBorders>
              <w:top w:val="dotted" w:sz="4" w:space="0" w:color="000000"/>
              <w:left w:val="dotted" w:sz="4" w:space="0" w:color="000000"/>
              <w:bottom w:val="single" w:sz="12" w:space="0" w:color="000000"/>
              <w:right w:val="dotted" w:sz="4" w:space="0" w:color="000000"/>
            </w:tcBorders>
          </w:tcPr>
          <w:p>
            <w:pPr/>
          </w:p>
        </w:tc>
        <w:tc>
          <w:tcPr>
            <w:tcW w:w="677" w:type="dxa"/>
            <w:tcBorders>
              <w:top w:val="dotted" w:sz="4" w:space="0" w:color="000000"/>
              <w:left w:val="dotted" w:sz="4" w:space="0" w:color="000000"/>
              <w:bottom w:val="single" w:sz="12" w:space="0" w:color="000000"/>
              <w:right w:val="dotted" w:sz="4" w:space="0" w:color="000000"/>
            </w:tcBorders>
          </w:tcPr>
          <w:p>
            <w:pPr/>
          </w:p>
        </w:tc>
        <w:tc>
          <w:tcPr>
            <w:tcW w:w="547" w:type="dxa"/>
            <w:tcBorders>
              <w:top w:val="dotted" w:sz="4" w:space="0" w:color="000000"/>
              <w:left w:val="dotted" w:sz="4" w:space="0" w:color="000000"/>
              <w:bottom w:val="single" w:sz="12" w:space="0" w:color="000000"/>
              <w:right w:val="dotted" w:sz="4" w:space="0" w:color="000000"/>
            </w:tcBorders>
          </w:tcPr>
          <w:p>
            <w:pPr/>
          </w:p>
        </w:tc>
        <w:tc>
          <w:tcPr>
            <w:tcW w:w="11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103" w:right="0"/>
              <w:jc w:val="left"/>
              <w:rPr>
                <w:rFonts w:ascii="Times New Roman" w:hAnsi="Times New Roman" w:cs="Times New Roman" w:eastAsia="Times New Roman" w:hint="default"/>
                <w:sz w:val="13"/>
                <w:szCs w:val="13"/>
              </w:rPr>
            </w:pPr>
            <w:r>
              <w:rPr>
                <w:rFonts w:ascii="Times New Roman"/>
                <w:sz w:val="13"/>
              </w:rPr>
              <w:t>8,861,452,546.01</w:t>
            </w:r>
          </w:p>
        </w:tc>
        <w:tc>
          <w:tcPr>
            <w:tcW w:w="790" w:type="dxa"/>
            <w:tcBorders>
              <w:top w:val="dotted" w:sz="4" w:space="0" w:color="000000"/>
              <w:left w:val="dotted" w:sz="4" w:space="0" w:color="000000"/>
              <w:bottom w:val="single" w:sz="12" w:space="0" w:color="000000"/>
              <w:right w:val="dotted" w:sz="4" w:space="0" w:color="000000"/>
            </w:tcBorders>
          </w:tcPr>
          <w:p>
            <w:pPr/>
          </w:p>
        </w:tc>
        <w:tc>
          <w:tcPr>
            <w:tcW w:w="11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340" w:right="0"/>
              <w:jc w:val="left"/>
              <w:rPr>
                <w:rFonts w:ascii="Times New Roman" w:hAnsi="Times New Roman" w:cs="Times New Roman" w:eastAsia="Times New Roman" w:hint="default"/>
                <w:sz w:val="13"/>
                <w:szCs w:val="13"/>
              </w:rPr>
            </w:pPr>
            <w:r>
              <w:rPr>
                <w:rFonts w:ascii="Times New Roman"/>
                <w:sz w:val="13"/>
              </w:rPr>
              <w:t>-5,915,190.00</w:t>
            </w:r>
          </w:p>
        </w:tc>
        <w:tc>
          <w:tcPr>
            <w:tcW w:w="1238" w:type="dxa"/>
            <w:tcBorders>
              <w:top w:val="dotted" w:sz="4" w:space="0" w:color="000000"/>
              <w:left w:val="dotted" w:sz="4" w:space="0" w:color="000000"/>
              <w:bottom w:val="single" w:sz="12" w:space="0" w:color="000000"/>
              <w:right w:val="dotted" w:sz="4" w:space="0" w:color="000000"/>
            </w:tcBorders>
          </w:tcPr>
          <w:p>
            <w:pPr/>
          </w:p>
        </w:tc>
        <w:tc>
          <w:tcPr>
            <w:tcW w:w="11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281" w:right="0"/>
              <w:jc w:val="left"/>
              <w:rPr>
                <w:rFonts w:ascii="Times New Roman" w:hAnsi="Times New Roman" w:cs="Times New Roman" w:eastAsia="Times New Roman" w:hint="default"/>
                <w:sz w:val="13"/>
                <w:szCs w:val="13"/>
              </w:rPr>
            </w:pPr>
            <w:r>
              <w:rPr>
                <w:rFonts w:ascii="Times New Roman"/>
                <w:sz w:val="13"/>
              </w:rPr>
              <w:t>44,253,651.01</w:t>
            </w:r>
          </w:p>
        </w:tc>
        <w:tc>
          <w:tcPr>
            <w:tcW w:w="10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103" w:right="0"/>
              <w:jc w:val="left"/>
              <w:rPr>
                <w:rFonts w:ascii="Times New Roman" w:hAnsi="Times New Roman" w:cs="Times New Roman" w:eastAsia="Times New Roman" w:hint="default"/>
                <w:sz w:val="13"/>
                <w:szCs w:val="13"/>
              </w:rPr>
            </w:pPr>
            <w:r>
              <w:rPr>
                <w:rFonts w:ascii="Times New Roman"/>
                <w:sz w:val="13"/>
              </w:rPr>
              <w:t>119,641,194.91</w:t>
            </w:r>
          </w:p>
        </w:tc>
        <w:tc>
          <w:tcPr>
            <w:tcW w:w="19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7"/>
                <w:szCs w:val="7"/>
              </w:rPr>
            </w:pPr>
          </w:p>
          <w:p>
            <w:pPr>
              <w:pStyle w:val="TableParagraph"/>
              <w:spacing w:line="240" w:lineRule="auto"/>
              <w:ind w:left="820" w:right="0"/>
              <w:jc w:val="left"/>
              <w:rPr>
                <w:rFonts w:ascii="Times New Roman" w:hAnsi="Times New Roman" w:cs="Times New Roman" w:eastAsia="Times New Roman" w:hint="default"/>
                <w:sz w:val="13"/>
                <w:szCs w:val="13"/>
              </w:rPr>
            </w:pPr>
            <w:r>
              <w:rPr>
                <w:rFonts w:ascii="Times New Roman"/>
                <w:sz w:val="13"/>
              </w:rPr>
              <w:t>10,954,516,854.93</w:t>
            </w:r>
          </w:p>
        </w:tc>
      </w:tr>
    </w:tbl>
    <w:p>
      <w:pPr>
        <w:spacing w:before="8"/>
        <w:ind w:left="140"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360" w:val="left" w:leader="none"/>
          <w:tab w:pos="10764" w:val="left" w:leader="none"/>
        </w:tabs>
        <w:spacing w:before="155"/>
        <w:ind w:left="140" w:right="0" w:firstLine="0"/>
        <w:jc w:val="left"/>
        <w:rPr>
          <w:rFonts w:ascii="宋体" w:hAnsi="宋体" w:cs="宋体" w:eastAsia="宋体" w:hint="default"/>
          <w:sz w:val="18"/>
          <w:szCs w:val="18"/>
        </w:rPr>
      </w:pPr>
      <w:r>
        <w:rPr>
          <w:rFonts w:ascii="宋体" w:hAnsi="宋体" w:cs="宋体" w:eastAsia="宋体" w:hint="default"/>
          <w:sz w:val="18"/>
          <w:szCs w:val="18"/>
        </w:rPr>
        <w:t>企业法定代表人：杜力</w:t>
        <w:tab/>
        <w:t>主管会计工作负责人：</w:t>
      </w:r>
      <w:r>
        <w:rPr>
          <w:rFonts w:ascii="宋体" w:hAnsi="宋体" w:cs="宋体" w:eastAsia="宋体" w:hint="default"/>
          <w:spacing w:val="3"/>
          <w:sz w:val="18"/>
          <w:szCs w:val="18"/>
        </w:rPr>
        <w:t> </w:t>
      </w:r>
      <w:r>
        <w:rPr>
          <w:rFonts w:ascii="宋体" w:hAnsi="宋体" w:cs="宋体" w:eastAsia="宋体" w:hint="default"/>
          <w:sz w:val="18"/>
          <w:szCs w:val="18"/>
        </w:rPr>
        <w:t>赵岑</w:t>
        <w:tab/>
        <w:t>会计机构负责人： </w:t>
      </w:r>
      <w:r>
        <w:rPr>
          <w:rFonts w:ascii="宋体" w:hAnsi="宋体" w:cs="宋体" w:eastAsia="宋体" w:hint="default"/>
          <w:spacing w:val="2"/>
          <w:sz w:val="18"/>
          <w:szCs w:val="18"/>
        </w:rPr>
        <w:t> </w:t>
      </w:r>
      <w:r>
        <w:rPr>
          <w:rFonts w:ascii="宋体" w:hAnsi="宋体" w:cs="宋体" w:eastAsia="宋体" w:hint="default"/>
          <w:sz w:val="18"/>
          <w:szCs w:val="18"/>
        </w:rPr>
        <w:t>吴艳艳</w:t>
      </w:r>
    </w:p>
    <w:p>
      <w:pPr>
        <w:spacing w:after="0"/>
        <w:jc w:val="left"/>
        <w:rPr>
          <w:rFonts w:ascii="宋体" w:hAnsi="宋体" w:cs="宋体" w:eastAsia="宋体" w:hint="default"/>
          <w:sz w:val="18"/>
          <w:szCs w:val="18"/>
        </w:rPr>
        <w:sectPr>
          <w:pgSz w:w="16840" w:h="11910" w:orient="landscape"/>
          <w:pgMar w:header="867" w:footer="980" w:top="1060" w:bottom="1160" w:left="1300" w:right="1300"/>
        </w:sectPr>
      </w:pPr>
    </w:p>
    <w:p>
      <w:pPr>
        <w:spacing w:line="240" w:lineRule="auto" w:before="7"/>
        <w:rPr>
          <w:rFonts w:ascii="宋体" w:hAnsi="宋体" w:cs="宋体" w:eastAsia="宋体" w:hint="default"/>
          <w:sz w:val="19"/>
          <w:szCs w:val="19"/>
        </w:rPr>
      </w:pPr>
    </w:p>
    <w:p>
      <w:pPr>
        <w:pStyle w:val="Heading2"/>
        <w:spacing w:line="350" w:lineRule="exact" w:before="26"/>
        <w:ind w:left="3285" w:right="4265"/>
        <w:jc w:val="center"/>
        <w:rPr>
          <w:b w:val="0"/>
          <w:bCs w:val="0"/>
        </w:rPr>
      </w:pPr>
      <w:r>
        <w:rPr/>
        <w:t>国盛金融控股集团股份有限公司</w:t>
      </w:r>
      <w:r>
        <w:rPr>
          <w:spacing w:val="-53"/>
        </w:rPr>
        <w:t> </w:t>
      </w:r>
      <w:r>
        <w:rPr>
          <w:spacing w:val="-53"/>
        </w:rPr>
      </w:r>
      <w:r>
        <w:rPr>
          <w:rFonts w:ascii="Trebuchet MS" w:hAnsi="Trebuchet MS" w:cs="Trebuchet MS" w:eastAsia="Trebuchet MS" w:hint="default"/>
          <w:w w:val="95"/>
        </w:rPr>
        <w:t>2019</w:t>
      </w:r>
      <w:r>
        <w:rPr>
          <w:rFonts w:ascii="Trebuchet MS" w:hAnsi="Trebuchet MS" w:cs="Trebuchet MS" w:eastAsia="Trebuchet MS" w:hint="default"/>
          <w:spacing w:val="40"/>
          <w:w w:val="95"/>
        </w:rPr>
        <w:t> </w:t>
      </w:r>
      <w:r>
        <w:rPr>
          <w:w w:val="95"/>
        </w:rPr>
        <w:t>年度财务报表附注</w:t>
      </w:r>
      <w:r>
        <w:rPr>
          <w:b w:val="0"/>
          <w:bCs w:val="0"/>
          <w:w w:val="95"/>
        </w:rPr>
      </w:r>
    </w:p>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left="152" w:right="0"/>
        <w:jc w:val="left"/>
        <w:rPr>
          <w:b w:val="0"/>
          <w:bCs w:val="0"/>
        </w:rPr>
      </w:pPr>
      <w:r>
        <w:rPr/>
        <w:t>一、</w:t>
      </w:r>
      <w:r>
        <w:rPr>
          <w:spacing w:val="46"/>
        </w:rPr>
        <w:t> </w:t>
      </w:r>
      <w:r>
        <w:rPr/>
        <w:t>公司基本情况</w:t>
      </w:r>
      <w:r>
        <w:rPr>
          <w:b w:val="0"/>
          <w:bCs w:val="0"/>
        </w:rPr>
      </w:r>
    </w:p>
    <w:p>
      <w:pPr>
        <w:spacing w:line="340" w:lineRule="auto" w:before="81"/>
        <w:ind w:left="573" w:right="1125"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（一）公司注册地、组织形式和总部地址</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6"/>
          <w:w w:val="100"/>
          <w:sz w:val="21"/>
          <w:szCs w:val="21"/>
        </w:rPr>
        <w:t>国盛金融控股集团股份有限公司（以下简称“公司”或“本公司”）系于</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年</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2"/>
          <w:w w:val="100"/>
          <w:sz w:val="21"/>
          <w:szCs w:val="21"/>
        </w:rPr>
        <w:t>10</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2"/>
          <w:w w:val="100"/>
          <w:sz w:val="21"/>
          <w:szCs w:val="21"/>
        </w:rPr>
        <w:t>22</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3"/>
          <w:w w:val="100"/>
          <w:sz w:val="21"/>
          <w:szCs w:val="21"/>
        </w:rPr>
        <w:t>日，经广东</w:t>
      </w:r>
    </w:p>
    <w:p>
      <w:pPr>
        <w:pStyle w:val="BodyText"/>
        <w:spacing w:line="240" w:lineRule="auto" w:before="19"/>
        <w:ind w:right="0"/>
        <w:jc w:val="left"/>
      </w:pPr>
      <w:r>
        <w:rPr/>
        <w:t>省对外贸易经济合作厅《关于合资企业广东华声电器实业有限公司转制为外商投资股份有限公司的批复》</w:t>
      </w:r>
    </w:p>
    <w:p>
      <w:pPr>
        <w:pStyle w:val="BodyText"/>
        <w:spacing w:line="240" w:lineRule="auto" w:before="133"/>
        <w:ind w:right="0"/>
        <w:jc w:val="left"/>
      </w:pPr>
      <w:r>
        <w:rPr/>
        <w:t>（粤外经贸资字【</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363</w:t>
      </w:r>
      <w:r>
        <w:rPr>
          <w:rFonts w:ascii="Times New Roman" w:hAnsi="Times New Roman" w:cs="Times New Roman" w:eastAsia="Times New Roman" w:hint="default"/>
          <w:spacing w:val="4"/>
        </w:rPr>
        <w:t> </w:t>
      </w:r>
      <w:r>
        <w:rPr/>
        <w:t>号）核准，由广东华声电器实业有限公司以截至</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日的净资产</w:t>
      </w:r>
    </w:p>
    <w:p>
      <w:pPr>
        <w:pStyle w:val="BodyText"/>
        <w:spacing w:line="240" w:lineRule="auto" w:before="119"/>
        <w:ind w:right="0"/>
        <w:jc w:val="left"/>
      </w:pPr>
      <w:r>
        <w:rPr>
          <w:rFonts w:ascii="Times New Roman" w:hAnsi="Times New Roman" w:cs="Times New Roman" w:eastAsia="Times New Roman" w:hint="default"/>
        </w:rPr>
        <w:t>293,141,214.80</w:t>
      </w:r>
      <w:r>
        <w:rPr>
          <w:rFonts w:ascii="Times New Roman" w:hAnsi="Times New Roman" w:cs="Times New Roman" w:eastAsia="Times New Roman" w:hint="default"/>
          <w:spacing w:val="5"/>
        </w:rPr>
        <w:t> </w:t>
      </w:r>
      <w:r>
        <w:rPr/>
        <w:t>元按</w:t>
      </w:r>
      <w:r>
        <w:rPr>
          <w:spacing w:val="-48"/>
        </w:rPr>
        <w:t>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0.5117</w:t>
      </w:r>
      <w:r>
        <w:rPr>
          <w:rFonts w:ascii="Times New Roman" w:hAnsi="Times New Roman" w:cs="Times New Roman" w:eastAsia="Times New Roman" w:hint="default"/>
          <w:spacing w:val="5"/>
        </w:rPr>
        <w:t> </w:t>
      </w:r>
      <w:r>
        <w:rPr/>
        <w:t>的比例折为</w:t>
      </w:r>
      <w:r>
        <w:rPr>
          <w:spacing w:val="-45"/>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4"/>
        </w:rPr>
        <w:t> </w:t>
      </w:r>
      <w:r>
        <w:rPr>
          <w:spacing w:val="-5"/>
        </w:rPr>
        <w:t>万股普通股，每股面值</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6"/>
        </w:rPr>
        <w:t>元，通过整体变更方式设立。设</w:t>
      </w:r>
    </w:p>
    <w:p>
      <w:pPr>
        <w:pStyle w:val="BodyText"/>
        <w:spacing w:line="336" w:lineRule="auto" w:before="118"/>
        <w:ind w:right="0"/>
        <w:jc w:val="left"/>
      </w:pPr>
      <w:r>
        <w:rPr>
          <w:spacing w:val="-5"/>
        </w:rPr>
        <w:t>立后，公司股本总额为人民币 </w:t>
      </w:r>
      <w:r>
        <w:rPr>
          <w:rFonts w:ascii="Times New Roman" w:hAnsi="Times New Roman" w:cs="Times New Roman" w:eastAsia="Times New Roman" w:hint="default"/>
        </w:rPr>
        <w:t>15,000 </w:t>
      </w:r>
      <w:r>
        <w:rPr>
          <w:spacing w:val="-3"/>
        </w:rPr>
        <w:t>万元，本次出资业经立信大华会计师事务所有限公司出具的立信大华</w:t>
      </w:r>
      <w:r>
        <w:rPr>
          <w:spacing w:val="-80"/>
        </w:rPr>
        <w:t> </w:t>
      </w:r>
      <w:r>
        <w:rPr>
          <w:spacing w:val="-80"/>
        </w:rPr>
      </w:r>
      <w:r>
        <w:rPr>
          <w:spacing w:val="-1"/>
        </w:rPr>
        <w:t>验字【</w:t>
      </w:r>
      <w:r>
        <w:rPr>
          <w:rFonts w:ascii="Times New Roman" w:hAnsi="Times New Roman" w:cs="Times New Roman" w:eastAsia="Times New Roman" w:hint="default"/>
          <w:spacing w:val="-1"/>
        </w:rPr>
        <w:t>2010</w:t>
      </w:r>
      <w:r>
        <w:rPr>
          <w:spacing w:val="-1"/>
        </w:rPr>
        <w:t>】</w:t>
      </w:r>
      <w:r>
        <w:rPr>
          <w:rFonts w:ascii="Times New Roman" w:hAnsi="Times New Roman" w:cs="Times New Roman" w:eastAsia="Times New Roman" w:hint="default"/>
          <w:spacing w:val="-1"/>
        </w:rPr>
        <w:t>155</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spacing w:val="-2"/>
        </w:rPr>
        <w:t>号验资报告验证。公司名称变更为广东华声电器股份有限公司。</w:t>
      </w:r>
    </w:p>
    <w:p>
      <w:pPr>
        <w:pStyle w:val="BodyText"/>
        <w:spacing w:line="357" w:lineRule="auto" w:before="24"/>
        <w:ind w:right="1022" w:firstLine="420"/>
        <w:jc w:val="left"/>
      </w:pPr>
      <w:r>
        <w:rPr>
          <w:spacing w:val="-2"/>
          <w:w w:val="100"/>
        </w:rPr>
        <w:t>经中国证券监督管理委员会《关于核准广东华声电器股份有限公司首次公开发行股票的批复》（证监</w:t>
      </w:r>
      <w:r>
        <w:rPr>
          <w:w w:val="100"/>
        </w:rPr>
        <w:t> </w:t>
      </w:r>
      <w:r>
        <w:rPr/>
        <w:t>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363</w:t>
      </w:r>
      <w:r>
        <w:rPr>
          <w:rFonts w:ascii="Times New Roman" w:hAnsi="Times New Roman" w:cs="Times New Roman" w:eastAsia="Times New Roman" w:hint="default"/>
          <w:spacing w:val="5"/>
        </w:rPr>
        <w:t> </w:t>
      </w:r>
      <w:r>
        <w:rPr/>
        <w:t>号文）核准，公司于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日向社会公众投资者公开发行人民币普通股（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p>
    <w:p>
      <w:pPr>
        <w:pStyle w:val="BodyText"/>
        <w:spacing w:line="240" w:lineRule="auto" w:before="3"/>
        <w:ind w:right="0"/>
        <w:jc w:val="left"/>
      </w:pP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万股，每股面值人民币</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元，每股发行认购价格人民币</w:t>
      </w:r>
      <w:r>
        <w:rPr>
          <w:spacing w:val="-42"/>
        </w:rPr>
        <w:t> </w:t>
      </w:r>
      <w:r>
        <w:rPr>
          <w:rFonts w:ascii="Times New Roman" w:hAnsi="Times New Roman" w:cs="Times New Roman" w:eastAsia="Times New Roman" w:hint="default"/>
        </w:rPr>
        <w:t>7.30</w:t>
      </w:r>
      <w:r>
        <w:rPr>
          <w:rFonts w:ascii="Times New Roman" w:hAnsi="Times New Roman" w:cs="Times New Roman" w:eastAsia="Times New Roman" w:hint="default"/>
          <w:spacing w:val="8"/>
        </w:rPr>
        <w:t> </w:t>
      </w:r>
      <w:r>
        <w:rPr/>
        <w:t>元，共计募集资金人民币</w:t>
      </w:r>
      <w:r>
        <w:rPr>
          <w:spacing w:val="-41"/>
        </w:rPr>
        <w:t> </w:t>
      </w:r>
      <w:r>
        <w:rPr>
          <w:rFonts w:ascii="Times New Roman" w:hAnsi="Times New Roman" w:cs="Times New Roman" w:eastAsia="Times New Roman" w:hint="default"/>
        </w:rPr>
        <w:t>36,500</w:t>
      </w:r>
      <w:r>
        <w:rPr>
          <w:rFonts w:ascii="Times New Roman" w:hAnsi="Times New Roman" w:cs="Times New Roman" w:eastAsia="Times New Roman" w:hint="default"/>
          <w:spacing w:val="11"/>
        </w:rPr>
        <w:t> </w:t>
      </w:r>
      <w:r>
        <w:rPr>
          <w:spacing w:val="-3"/>
        </w:rPr>
        <w:t>万元。</w:t>
      </w:r>
      <w:r>
        <w:rPr/>
      </w:r>
    </w:p>
    <w:p>
      <w:pPr>
        <w:pStyle w:val="BodyText"/>
        <w:spacing w:line="240" w:lineRule="auto" w:before="117"/>
        <w:ind w:right="0"/>
        <w:jc w:val="left"/>
      </w:pPr>
      <w:r>
        <w:rPr>
          <w:spacing w:val="-3"/>
        </w:rPr>
        <w:t>经此发行，公司注册资本变更为人民币 </w:t>
      </w:r>
      <w:r>
        <w:rPr>
          <w:rFonts w:ascii="Times New Roman" w:hAnsi="Times New Roman" w:cs="Times New Roman" w:eastAsia="Times New Roman" w:hint="default"/>
        </w:rPr>
        <w:t>20,000</w:t>
      </w:r>
      <w:r>
        <w:rPr>
          <w:rFonts w:ascii="Times New Roman" w:hAnsi="Times New Roman" w:cs="Times New Roman" w:eastAsia="Times New Roman" w:hint="default"/>
          <w:spacing w:val="19"/>
        </w:rPr>
        <w:t> </w:t>
      </w:r>
      <w:r>
        <w:rPr>
          <w:spacing w:val="-4"/>
        </w:rPr>
        <w:t>万元，本次变更业经立信会计师事务所（特殊普通合伙）出</w:t>
      </w:r>
    </w:p>
    <w:p>
      <w:pPr>
        <w:pStyle w:val="BodyText"/>
        <w:spacing w:line="336" w:lineRule="auto" w:before="117"/>
        <w:ind w:right="1124"/>
        <w:jc w:val="left"/>
      </w:pPr>
      <w:r>
        <w:rPr/>
        <w:t>具的信会师报字【</w:t>
      </w:r>
      <w:r>
        <w:rPr>
          <w:rFonts w:ascii="Times New Roman" w:hAnsi="Times New Roman" w:cs="Times New Roman" w:eastAsia="Times New Roman" w:hint="default"/>
        </w:rPr>
        <w:t>2012</w:t>
      </w:r>
      <w:r>
        <w:rPr/>
        <w:t>】第</w:t>
      </w:r>
      <w:r>
        <w:rPr>
          <w:spacing w:val="-49"/>
        </w:rPr>
        <w:t> </w:t>
      </w:r>
      <w:r>
        <w:rPr>
          <w:rFonts w:ascii="Times New Roman" w:hAnsi="Times New Roman" w:cs="Times New Roman" w:eastAsia="Times New Roman" w:hint="default"/>
        </w:rPr>
        <w:t>310187</w:t>
      </w:r>
      <w:r>
        <w:rPr>
          <w:rFonts w:ascii="Times New Roman" w:hAnsi="Times New Roman" w:cs="Times New Roman" w:eastAsia="Times New Roman" w:hint="default"/>
          <w:spacing w:val="2"/>
        </w:rPr>
        <w:t> </w:t>
      </w:r>
      <w:r>
        <w:rPr/>
        <w:t>号验资报告验证。</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月公司首次公开发行股票在深圳证券交易</w:t>
      </w:r>
      <w:r>
        <w:rPr>
          <w:w w:val="100"/>
        </w:rPr>
        <w:t> </w:t>
      </w:r>
      <w:r>
        <w:rPr/>
        <w:t>所上市。</w:t>
      </w:r>
    </w:p>
    <w:p>
      <w:pPr>
        <w:pStyle w:val="BodyText"/>
        <w:spacing w:line="345" w:lineRule="auto" w:before="52"/>
        <w:ind w:right="1126" w:firstLine="420"/>
        <w:jc w:val="both"/>
      </w:pPr>
      <w:r>
        <w:rPr>
          <w:spacing w:val="-2"/>
        </w:rPr>
        <w:t>经中国证券监督管理委员会《关于核准广东华声电器股份有限公司向中江国际信托股份有限公司等发</w:t>
      </w:r>
      <w:r>
        <w:rPr>
          <w:w w:val="100"/>
        </w:rPr>
        <w:t> </w:t>
      </w:r>
      <w:r>
        <w:rPr>
          <w:spacing w:val="-6"/>
          <w:w w:val="100"/>
        </w:rPr>
        <w:t>行股份购买资产并募集配套资金的批复》（证监许可【</w:t>
      </w:r>
      <w:r>
        <w:rPr>
          <w:rFonts w:ascii="Times New Roman" w:hAnsi="Times New Roman" w:cs="Times New Roman" w:eastAsia="Times New Roman" w:hint="default"/>
          <w:spacing w:val="-6"/>
          <w:w w:val="100"/>
        </w:rPr>
        <w:t>2016</w:t>
      </w:r>
      <w:r>
        <w:rPr>
          <w:spacing w:val="-6"/>
          <w:w w:val="100"/>
        </w:rPr>
        <w:t>】</w:t>
      </w:r>
      <w:r>
        <w:rPr>
          <w:rFonts w:ascii="Times New Roman" w:hAnsi="Times New Roman" w:cs="Times New Roman" w:eastAsia="Times New Roman" w:hint="default"/>
          <w:spacing w:val="-6"/>
          <w:w w:val="100"/>
        </w:rPr>
        <w:t>657</w:t>
      </w:r>
      <w:r>
        <w:rPr>
          <w:rFonts w:ascii="Times New Roman" w:hAnsi="Times New Roman" w:cs="Times New Roman" w:eastAsia="Times New Roman" w:hint="default"/>
          <w:w w:val="100"/>
        </w:rPr>
        <w:t> </w:t>
      </w:r>
      <w:r>
        <w:rPr>
          <w:spacing w:val="-4"/>
          <w:w w:val="100"/>
        </w:rPr>
        <w:t>号）核准，公司向中江国际信托股份有限</w:t>
      </w:r>
      <w:r>
        <w:rPr>
          <w:spacing w:val="-87"/>
          <w:w w:val="100"/>
        </w:rPr>
        <w:t> </w:t>
      </w:r>
      <w:r>
        <w:rPr>
          <w:spacing w:val="-87"/>
          <w:w w:val="100"/>
        </w:rPr>
      </w:r>
      <w:r>
        <w:rPr>
          <w:spacing w:val="-4"/>
        </w:rPr>
        <w:t>公司等单位发行股份购买资产并募集配套资金。经此发行，公司股本总额变更为 </w:t>
      </w:r>
      <w:r>
        <w:rPr>
          <w:rFonts w:ascii="Times New Roman" w:hAnsi="Times New Roman" w:cs="Times New Roman" w:eastAsia="Times New Roman" w:hint="default"/>
        </w:rPr>
        <w:t>93,612.7750</w:t>
      </w:r>
      <w:r>
        <w:rPr>
          <w:rFonts w:ascii="Times New Roman" w:hAnsi="Times New Roman" w:cs="Times New Roman" w:eastAsia="Times New Roman" w:hint="default"/>
          <w:spacing w:val="9"/>
        </w:rPr>
        <w:t> </w:t>
      </w:r>
      <w:r>
        <w:rPr>
          <w:spacing w:val="-9"/>
        </w:rPr>
        <w:t>万元，本次出</w:t>
      </w:r>
    </w:p>
    <w:p>
      <w:pPr>
        <w:pStyle w:val="BodyText"/>
        <w:spacing w:line="240" w:lineRule="auto" w:before="15"/>
        <w:ind w:right="0"/>
        <w:jc w:val="left"/>
        <w:rPr>
          <w:rFonts w:ascii="Times New Roman" w:hAnsi="Times New Roman" w:cs="Times New Roman" w:eastAsia="Times New Roman" w:hint="default"/>
        </w:rPr>
      </w:pPr>
      <w:r>
        <w:rPr>
          <w:spacing w:val="-3"/>
        </w:rPr>
        <w:t>资业经立信会计师事务所（特殊普通合伙）出具的信会师报字</w:t>
      </w:r>
      <w:r>
        <w:rPr>
          <w:rFonts w:ascii="Times New Roman" w:hAnsi="Times New Roman" w:cs="Times New Roman" w:eastAsia="Times New Roman" w:hint="default"/>
          <w:spacing w:val="-3"/>
        </w:rPr>
        <w:t>[2016]</w:t>
      </w:r>
      <w:r>
        <w:rPr>
          <w:spacing w:val="-3"/>
        </w:rPr>
        <w:t>第 </w:t>
      </w:r>
      <w:r>
        <w:rPr>
          <w:rFonts w:ascii="Times New Roman" w:hAnsi="Times New Roman" w:cs="Times New Roman" w:eastAsia="Times New Roman" w:hint="default"/>
          <w:spacing w:val="-3"/>
        </w:rPr>
        <w:t>114648  </w:t>
      </w:r>
      <w:r>
        <w:rPr>
          <w:spacing w:val="-3"/>
        </w:rPr>
        <w:t>号验资报告验证。</w:t>
      </w:r>
      <w:r>
        <w:rPr>
          <w:rFonts w:ascii="Times New Roman" w:hAnsi="Times New Roman" w:cs="Times New Roman" w:eastAsia="Times New Roman" w:hint="default"/>
          <w:spacing w:val="-3"/>
        </w:rPr>
        <w:t>2016 </w:t>
      </w:r>
      <w:r>
        <w:rPr/>
        <w:t>年</w:t>
      </w:r>
      <w:r>
        <w:rPr>
          <w:spacing w:val="-57"/>
        </w:rPr>
        <w:t> </w:t>
      </w:r>
      <w:r>
        <w:rPr>
          <w:rFonts w:ascii="Times New Roman" w:hAnsi="Times New Roman" w:cs="Times New Roman" w:eastAsia="Times New Roman" w:hint="default"/>
        </w:rPr>
        <w:t>5</w:t>
      </w:r>
    </w:p>
    <w:p>
      <w:pPr>
        <w:pStyle w:val="BodyText"/>
        <w:spacing w:line="240" w:lineRule="auto" w:before="119"/>
        <w:ind w:right="0"/>
        <w:jc w:val="left"/>
      </w:pP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日本次发行股票在深圳证券交易所上市。</w:t>
      </w:r>
    </w:p>
    <w:p>
      <w:pPr>
        <w:pStyle w:val="BodyText"/>
        <w:spacing w:line="240" w:lineRule="auto" w:before="117"/>
        <w:ind w:left="573" w:right="0"/>
        <w:jc w:val="left"/>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日</w:t>
      </w:r>
      <w:r>
        <w:rPr>
          <w:spacing w:val="-3"/>
          <w:w w:val="100"/>
        </w:rPr>
        <w:t>，</w:t>
      </w:r>
      <w:r>
        <w:rPr>
          <w:w w:val="100"/>
        </w:rPr>
        <w:t>公</w:t>
      </w:r>
      <w:r>
        <w:rPr>
          <w:spacing w:val="-3"/>
          <w:w w:val="100"/>
        </w:rPr>
        <w:t>司</w:t>
      </w:r>
      <w:r>
        <w:rPr>
          <w:w w:val="100"/>
        </w:rPr>
        <w:t>名称</w:t>
      </w:r>
      <w:r>
        <w:rPr>
          <w:spacing w:val="-3"/>
          <w:w w:val="100"/>
        </w:rPr>
        <w:t>变</w:t>
      </w:r>
      <w:r>
        <w:rPr>
          <w:w w:val="100"/>
        </w:rPr>
        <w:t>更</w:t>
      </w:r>
      <w:r>
        <w:rPr>
          <w:spacing w:val="-3"/>
          <w:w w:val="100"/>
        </w:rPr>
        <w:t>为</w:t>
      </w:r>
      <w:r>
        <w:rPr>
          <w:w w:val="100"/>
        </w:rPr>
        <w:t>“</w:t>
      </w:r>
      <w:r>
        <w:rPr>
          <w:spacing w:val="-3"/>
          <w:w w:val="100"/>
        </w:rPr>
        <w:t>广</w:t>
      </w:r>
      <w:r>
        <w:rPr>
          <w:w w:val="100"/>
        </w:rPr>
        <w:t>东</w:t>
      </w:r>
      <w:r>
        <w:rPr>
          <w:spacing w:val="-3"/>
          <w:w w:val="100"/>
        </w:rPr>
        <w:t>国</w:t>
      </w:r>
      <w:r>
        <w:rPr>
          <w:w w:val="100"/>
        </w:rPr>
        <w:t>盛</w:t>
      </w:r>
      <w:r>
        <w:rPr>
          <w:spacing w:val="-3"/>
          <w:w w:val="100"/>
        </w:rPr>
        <w:t>金</w:t>
      </w:r>
      <w:r>
        <w:rPr>
          <w:w w:val="100"/>
        </w:rPr>
        <w:t>控集</w:t>
      </w:r>
      <w:r>
        <w:rPr>
          <w:spacing w:val="-3"/>
          <w:w w:val="100"/>
        </w:rPr>
        <w:t>团</w:t>
      </w:r>
      <w:r>
        <w:rPr>
          <w:w w:val="100"/>
        </w:rPr>
        <w:t>股</w:t>
      </w:r>
      <w:r>
        <w:rPr>
          <w:spacing w:val="-3"/>
          <w:w w:val="100"/>
        </w:rPr>
        <w:t>份</w:t>
      </w:r>
      <w:r>
        <w:rPr>
          <w:w w:val="100"/>
        </w:rPr>
        <w:t>有</w:t>
      </w:r>
      <w:r>
        <w:rPr>
          <w:spacing w:val="-3"/>
          <w:w w:val="100"/>
        </w:rPr>
        <w:t>限</w:t>
      </w:r>
      <w:r>
        <w:rPr>
          <w:w w:val="100"/>
        </w:rPr>
        <w:t>公</w:t>
      </w:r>
      <w:r>
        <w:rPr>
          <w:spacing w:val="-3"/>
          <w:w w:val="100"/>
        </w:rPr>
        <w:t>司</w:t>
      </w:r>
      <w:r>
        <w:rPr>
          <w:spacing w:val="-106"/>
          <w:w w:val="100"/>
        </w:rPr>
        <w:t>”</w:t>
      </w:r>
      <w:r>
        <w:rPr>
          <w:w w:val="100"/>
        </w:rPr>
        <w:t>。</w:t>
      </w:r>
    </w:p>
    <w:p>
      <w:pPr>
        <w:pStyle w:val="BodyText"/>
        <w:spacing w:line="240" w:lineRule="auto" w:before="117"/>
        <w:ind w:left="573" w:right="0"/>
        <w:jc w:val="left"/>
      </w:pPr>
      <w:r>
        <w:rPr/>
        <w:t>经</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年度股东大会审议通过，公司于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日实施资本公积金转增股本方案，本次转增</w:t>
      </w:r>
    </w:p>
    <w:p>
      <w:pPr>
        <w:pStyle w:val="BodyText"/>
        <w:spacing w:line="240" w:lineRule="auto" w:before="117"/>
        <w:ind w:right="0"/>
        <w:jc w:val="left"/>
      </w:pPr>
      <w:r>
        <w:rPr/>
        <w:t>后，公司股本总额变更为人民币</w:t>
      </w:r>
      <w:r>
        <w:rPr>
          <w:spacing w:val="-53"/>
        </w:rPr>
        <w:t> </w:t>
      </w:r>
      <w:r>
        <w:rPr>
          <w:rFonts w:ascii="Times New Roman" w:hAnsi="Times New Roman" w:cs="Times New Roman" w:eastAsia="Times New Roman" w:hint="default"/>
        </w:rPr>
        <w:t>149,780.44</w:t>
      </w:r>
      <w:r>
        <w:rPr>
          <w:rFonts w:ascii="Times New Roman" w:hAnsi="Times New Roman" w:cs="Times New Roman" w:eastAsia="Times New Roman" w:hint="default"/>
          <w:spacing w:val="-1"/>
        </w:rPr>
        <w:t> </w:t>
      </w:r>
      <w:r>
        <w:rPr/>
        <w:t>万元。</w:t>
      </w:r>
    </w:p>
    <w:p>
      <w:pPr>
        <w:pStyle w:val="BodyText"/>
        <w:spacing w:line="240" w:lineRule="auto" w:before="118"/>
        <w:ind w:left="573" w:right="0"/>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rPr>
        <w:t> </w:t>
      </w:r>
      <w:r>
        <w:rPr>
          <w:w w:val="100"/>
        </w:rPr>
        <w:t>日</w:t>
      </w:r>
      <w:r>
        <w:rPr>
          <w:spacing w:val="-3"/>
          <w:w w:val="100"/>
        </w:rPr>
        <w:t>，</w:t>
      </w:r>
      <w:r>
        <w:rPr>
          <w:w w:val="100"/>
        </w:rPr>
        <w:t>公</w:t>
      </w:r>
      <w:r>
        <w:rPr>
          <w:spacing w:val="-3"/>
          <w:w w:val="100"/>
        </w:rPr>
        <w:t>司</w:t>
      </w:r>
      <w:r>
        <w:rPr>
          <w:w w:val="100"/>
        </w:rPr>
        <w:t>名称</w:t>
      </w:r>
      <w:r>
        <w:rPr>
          <w:spacing w:val="-3"/>
          <w:w w:val="100"/>
        </w:rPr>
        <w:t>变</w:t>
      </w:r>
      <w:r>
        <w:rPr>
          <w:w w:val="100"/>
        </w:rPr>
        <w:t>更</w:t>
      </w:r>
      <w:r>
        <w:rPr>
          <w:spacing w:val="-3"/>
          <w:w w:val="100"/>
        </w:rPr>
        <w:t>为</w:t>
      </w:r>
      <w:r>
        <w:rPr>
          <w:w w:val="100"/>
        </w:rPr>
        <w:t>“</w:t>
      </w:r>
      <w:r>
        <w:rPr>
          <w:spacing w:val="-3"/>
          <w:w w:val="100"/>
        </w:rPr>
        <w:t>国</w:t>
      </w:r>
      <w:r>
        <w:rPr>
          <w:w w:val="100"/>
        </w:rPr>
        <w:t>盛</w:t>
      </w:r>
      <w:r>
        <w:rPr>
          <w:spacing w:val="-3"/>
          <w:w w:val="100"/>
        </w:rPr>
        <w:t>金</w:t>
      </w:r>
      <w:r>
        <w:rPr>
          <w:w w:val="100"/>
        </w:rPr>
        <w:t>融</w:t>
      </w:r>
      <w:r>
        <w:rPr>
          <w:spacing w:val="-3"/>
          <w:w w:val="100"/>
        </w:rPr>
        <w:t>控</w:t>
      </w:r>
      <w:r>
        <w:rPr>
          <w:w w:val="100"/>
        </w:rPr>
        <w:t>股集</w:t>
      </w:r>
      <w:r>
        <w:rPr>
          <w:spacing w:val="-3"/>
          <w:w w:val="100"/>
        </w:rPr>
        <w:t>团</w:t>
      </w:r>
      <w:r>
        <w:rPr>
          <w:w w:val="100"/>
        </w:rPr>
        <w:t>股</w:t>
      </w:r>
      <w:r>
        <w:rPr>
          <w:spacing w:val="-3"/>
          <w:w w:val="100"/>
        </w:rPr>
        <w:t>份</w:t>
      </w:r>
      <w:r>
        <w:rPr>
          <w:w w:val="100"/>
        </w:rPr>
        <w:t>有</w:t>
      </w:r>
      <w:r>
        <w:rPr>
          <w:spacing w:val="-3"/>
          <w:w w:val="100"/>
        </w:rPr>
        <w:t>限</w:t>
      </w:r>
      <w:r>
        <w:rPr>
          <w:w w:val="100"/>
        </w:rPr>
        <w:t>公</w:t>
      </w:r>
      <w:r>
        <w:rPr>
          <w:spacing w:val="-3"/>
          <w:w w:val="100"/>
        </w:rPr>
        <w:t>司</w:t>
      </w:r>
      <w:r>
        <w:rPr>
          <w:spacing w:val="-106"/>
          <w:w w:val="100"/>
        </w:rPr>
        <w:t>”</w:t>
      </w:r>
      <w:r>
        <w:rPr>
          <w:w w:val="100"/>
        </w:rPr>
        <w:t>。</w:t>
      </w:r>
    </w:p>
    <w:p>
      <w:pPr>
        <w:pStyle w:val="BodyText"/>
        <w:spacing w:line="240" w:lineRule="auto" w:before="119"/>
        <w:ind w:left="573" w:right="0"/>
        <w:jc w:val="left"/>
      </w:pPr>
      <w:r>
        <w:rPr/>
        <w:t>经</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年度股东大会审议通过，公司于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日实施资本公积金转增股本方案，本次转增</w:t>
      </w:r>
    </w:p>
    <w:p>
      <w:pPr>
        <w:pStyle w:val="BodyText"/>
        <w:spacing w:line="240" w:lineRule="auto" w:before="117"/>
        <w:ind w:right="0"/>
        <w:jc w:val="left"/>
      </w:pPr>
      <w:r>
        <w:rPr/>
        <w:t>后，公司股本总额变更为人民币</w:t>
      </w:r>
      <w:r>
        <w:rPr>
          <w:spacing w:val="-52"/>
        </w:rPr>
        <w:t> </w:t>
      </w:r>
      <w:r>
        <w:rPr>
          <w:rFonts w:ascii="Times New Roman" w:hAnsi="Times New Roman" w:cs="Times New Roman" w:eastAsia="Times New Roman" w:hint="default"/>
        </w:rPr>
        <w:t>194,538.4541</w:t>
      </w:r>
      <w:r>
        <w:rPr>
          <w:rFonts w:ascii="Times New Roman" w:hAnsi="Times New Roman" w:cs="Times New Roman" w:eastAsia="Times New Roman" w:hint="default"/>
          <w:spacing w:val="-3"/>
        </w:rPr>
        <w:t> </w:t>
      </w:r>
      <w:r>
        <w:rPr/>
        <w:t>万元。</w:t>
      </w:r>
    </w:p>
    <w:p>
      <w:pPr>
        <w:pStyle w:val="BodyText"/>
        <w:spacing w:line="240" w:lineRule="auto" w:before="117"/>
        <w:ind w:left="573" w:right="0"/>
        <w:jc w:val="left"/>
      </w:pPr>
      <w:r>
        <w:rPr/>
        <w:t>经</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年第二次临时股东大会审议通过，公司回购并于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日注销股份</w:t>
      </w:r>
      <w:r>
        <w:rPr>
          <w:spacing w:val="-45"/>
        </w:rPr>
        <w:t> </w:t>
      </w:r>
      <w:r>
        <w:rPr>
          <w:rFonts w:ascii="Times New Roman" w:hAnsi="Times New Roman" w:cs="Times New Roman" w:eastAsia="Times New Roman" w:hint="default"/>
        </w:rPr>
        <w:t>10,299,888</w:t>
      </w:r>
      <w:r>
        <w:rPr>
          <w:rFonts w:ascii="Times New Roman" w:hAnsi="Times New Roman" w:cs="Times New Roman" w:eastAsia="Times New Roman" w:hint="default"/>
          <w:spacing w:val="4"/>
        </w:rPr>
        <w:t> </w:t>
      </w:r>
      <w:r>
        <w:rPr/>
        <w:t>股，</w:t>
      </w:r>
    </w:p>
    <w:p>
      <w:pPr>
        <w:pStyle w:val="BodyText"/>
        <w:spacing w:line="240" w:lineRule="auto" w:before="117"/>
        <w:ind w:right="0"/>
        <w:jc w:val="left"/>
      </w:pPr>
      <w:r>
        <w:rPr/>
        <w:t>本次回购注销后，公司股本总额变更为</w:t>
      </w:r>
      <w:r>
        <w:rPr>
          <w:spacing w:val="-55"/>
        </w:rPr>
        <w:t> </w:t>
      </w:r>
      <w:r>
        <w:rPr>
          <w:rFonts w:ascii="Times New Roman" w:hAnsi="Times New Roman" w:cs="Times New Roman" w:eastAsia="Times New Roman" w:hint="default"/>
        </w:rPr>
        <w:t>193,508.4653</w:t>
      </w:r>
      <w:r>
        <w:rPr>
          <w:rFonts w:ascii="Times New Roman" w:hAnsi="Times New Roman" w:cs="Times New Roman" w:eastAsia="Times New Roman" w:hint="default"/>
          <w:spacing w:val="-3"/>
        </w:rPr>
        <w:t> </w:t>
      </w:r>
      <w:r>
        <w:rPr/>
        <w:t>万元。</w:t>
      </w:r>
    </w:p>
    <w:p>
      <w:pPr>
        <w:pStyle w:val="BodyText"/>
        <w:spacing w:line="240" w:lineRule="auto" w:before="117"/>
        <w:ind w:left="573" w:right="0"/>
        <w:jc w:val="left"/>
      </w:pPr>
      <w:r>
        <w:rPr/>
        <w:t>截止</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日，公司累计发行股份总数</w:t>
      </w:r>
      <w:r>
        <w:rPr>
          <w:spacing w:val="-54"/>
        </w:rPr>
        <w:t> </w:t>
      </w:r>
      <w:r>
        <w:rPr>
          <w:rFonts w:ascii="Times New Roman" w:hAnsi="Times New Roman" w:cs="Times New Roman" w:eastAsia="Times New Roman" w:hint="default"/>
        </w:rPr>
        <w:t>193,508.4653</w:t>
      </w:r>
      <w:r>
        <w:rPr>
          <w:rFonts w:ascii="Times New Roman" w:hAnsi="Times New Roman" w:cs="Times New Roman" w:eastAsia="Times New Roman" w:hint="default"/>
          <w:spacing w:val="-3"/>
        </w:rPr>
        <w:t> </w:t>
      </w:r>
      <w:r>
        <w:rPr/>
        <w:t>万股，注册资本为人民币</w:t>
      </w:r>
    </w:p>
    <w:p>
      <w:pPr>
        <w:pStyle w:val="BodyText"/>
        <w:spacing w:line="240" w:lineRule="auto" w:before="119"/>
        <w:ind w:right="0"/>
        <w:jc w:val="left"/>
      </w:pPr>
      <w:r>
        <w:rPr>
          <w:rFonts w:ascii="Times New Roman" w:hAnsi="Times New Roman" w:cs="Times New Roman" w:eastAsia="Times New Roman" w:hint="default"/>
        </w:rPr>
        <w:t>193,508.4653</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Heading4"/>
        <w:spacing w:line="240" w:lineRule="auto"/>
        <w:ind w:left="513" w:right="0"/>
        <w:jc w:val="left"/>
        <w:rPr>
          <w:b w:val="0"/>
          <w:bCs w:val="0"/>
        </w:rPr>
      </w:pPr>
      <w:r>
        <w:rPr/>
        <w:t>（二）公司注册地</w:t>
      </w:r>
      <w:r>
        <w:rPr>
          <w:b w:val="0"/>
          <w:bCs w:val="0"/>
        </w:rPr>
      </w:r>
    </w:p>
    <w:p>
      <w:pPr>
        <w:spacing w:after="0" w:line="240" w:lineRule="auto"/>
        <w:jc w:val="left"/>
        <w:sectPr>
          <w:headerReference w:type="default" r:id="rId37"/>
          <w:footerReference w:type="default" r:id="rId38"/>
          <w:pgSz w:w="11910" w:h="16840"/>
          <w:pgMar w:header="877" w:footer="979" w:top="1100" w:bottom="1160" w:left="980" w:right="0"/>
          <w:pgNumType w:start="114"/>
        </w:sectPr>
      </w:pPr>
    </w:p>
    <w:p>
      <w:pPr>
        <w:spacing w:line="240" w:lineRule="auto" w:before="6"/>
        <w:rPr>
          <w:rFonts w:ascii="Microsoft JhengHei" w:hAnsi="Microsoft JhengHei" w:cs="Microsoft JhengHei" w:eastAsia="Microsoft JhengHei" w:hint="default"/>
          <w:b/>
          <w:bCs/>
          <w:sz w:val="14"/>
          <w:szCs w:val="14"/>
        </w:rPr>
      </w:pPr>
    </w:p>
    <w:p>
      <w:pPr>
        <w:pStyle w:val="BodyText"/>
        <w:spacing w:line="240" w:lineRule="auto" w:before="36"/>
        <w:ind w:left="573" w:right="0"/>
        <w:jc w:val="left"/>
      </w:pPr>
      <w:r>
        <w:rPr/>
        <w:t>广东省佛山市顺德区容桂街道华口昌宝东路</w:t>
      </w:r>
      <w:r>
        <w:rPr>
          <w:spacing w:val="-54"/>
        </w:rPr>
        <w:t> </w:t>
      </w:r>
      <w:r>
        <w:rPr>
          <w:rFonts w:ascii="Calibri" w:hAnsi="Calibri" w:cs="Calibri" w:eastAsia="Calibri" w:hint="default"/>
        </w:rPr>
        <w:t>13</w:t>
      </w:r>
      <w:r>
        <w:rPr>
          <w:rFonts w:ascii="Calibri" w:hAnsi="Calibri" w:cs="Calibri" w:eastAsia="Calibri" w:hint="default"/>
          <w:spacing w:val="4"/>
        </w:rPr>
        <w:t> </w:t>
      </w:r>
      <w:r>
        <w:rPr/>
        <w:t>号。</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pStyle w:val="BodyText"/>
        <w:spacing w:line="340" w:lineRule="auto"/>
        <w:ind w:left="573" w:right="0" w:hanging="60"/>
        <w:jc w:val="left"/>
      </w:pPr>
      <w:r>
        <w:rPr>
          <w:rFonts w:ascii="Microsoft JhengHei" w:hAnsi="Microsoft JhengHei" w:cs="Microsoft JhengHei" w:eastAsia="Microsoft JhengHei" w:hint="default"/>
          <w:b/>
          <w:bCs/>
        </w:rPr>
        <w:t>（三）公司经营范围</w:t>
      </w:r>
      <w:r>
        <w:rPr>
          <w:rFonts w:ascii="Microsoft JhengHei" w:hAnsi="Microsoft JhengHei" w:cs="Microsoft JhengHei" w:eastAsia="Microsoft JhengHei" w:hint="default"/>
          <w:b/>
          <w:bCs/>
          <w:spacing w:val="-42"/>
        </w:rPr>
        <w:t> </w:t>
      </w:r>
      <w:r>
        <w:rPr>
          <w:spacing w:val="-2"/>
        </w:rPr>
        <w:t>控股公司服务，股权投资，投资管理与咨询；金融信息服务；科技中介服务，技术推广服务，软件开</w:t>
      </w:r>
    </w:p>
    <w:p>
      <w:pPr>
        <w:pStyle w:val="BodyText"/>
        <w:spacing w:line="355" w:lineRule="auto" w:before="45"/>
        <w:ind w:right="0"/>
        <w:jc w:val="left"/>
      </w:pPr>
      <w:r>
        <w:rPr/>
        <w:t>发，信息技术服务，信息系统集成服务；橡胶管制造，电线电缆制造；家用电器配件及原材料的进出口；</w:t>
      </w:r>
      <w:r>
        <w:rPr>
          <w:spacing w:val="-24"/>
        </w:rPr>
        <w:t> </w:t>
      </w:r>
      <w:r>
        <w:rPr>
          <w:spacing w:val="-24"/>
        </w:rPr>
      </w:r>
      <w:r>
        <w:rPr>
          <w:spacing w:val="-4"/>
          <w:w w:val="100"/>
        </w:rPr>
        <w:t>电器连接线、电源线销售（依法须经批准的项目，经相关部门批准后方可开展经营活动）。</w:t>
      </w:r>
    </w:p>
    <w:p>
      <w:pPr>
        <w:spacing w:line="240" w:lineRule="auto" w:before="0"/>
        <w:rPr>
          <w:rFonts w:ascii="宋体" w:hAnsi="宋体" w:cs="宋体" w:eastAsia="宋体" w:hint="default"/>
          <w:sz w:val="20"/>
          <w:szCs w:val="20"/>
        </w:rPr>
      </w:pPr>
    </w:p>
    <w:p>
      <w:pPr>
        <w:spacing w:line="338" w:lineRule="auto" w:before="169"/>
        <w:ind w:left="573" w:right="4657" w:hanging="6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（四）公司财务报告的批准报出</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本年度财务报告经公司董事会于</w:t>
      </w:r>
      <w:r>
        <w:rPr>
          <w:rFonts w:ascii="宋体" w:hAnsi="宋体" w:cs="宋体" w:eastAsia="宋体" w:hint="default"/>
          <w:spacing w:val="-53"/>
          <w:sz w:val="21"/>
          <w:szCs w:val="21"/>
        </w:rPr>
        <w:t> </w:t>
      </w:r>
      <w:r>
        <w:rPr>
          <w:rFonts w:ascii="Calibri" w:hAnsi="Calibri" w:cs="Calibri" w:eastAsia="Calibri" w:hint="default"/>
          <w:sz w:val="21"/>
          <w:szCs w:val="21"/>
        </w:rPr>
        <w:t>2020</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29</w:t>
      </w:r>
      <w:r>
        <w:rPr>
          <w:rFonts w:ascii="Calibri" w:hAnsi="Calibri" w:cs="Calibri" w:eastAsia="Calibri" w:hint="default"/>
          <w:spacing w:val="6"/>
          <w:sz w:val="21"/>
          <w:szCs w:val="21"/>
        </w:rPr>
        <w:t> </w:t>
      </w:r>
      <w:r>
        <w:rPr>
          <w:rFonts w:ascii="宋体" w:hAnsi="宋体" w:cs="宋体" w:eastAsia="宋体" w:hint="default"/>
          <w:sz w:val="21"/>
          <w:szCs w:val="21"/>
        </w:rPr>
        <w:t>日批准报出。</w:t>
      </w:r>
    </w:p>
    <w:p>
      <w:pPr>
        <w:spacing w:line="240" w:lineRule="auto" w:before="5"/>
        <w:rPr>
          <w:rFonts w:ascii="宋体" w:hAnsi="宋体" w:cs="宋体" w:eastAsia="宋体" w:hint="default"/>
          <w:sz w:val="30"/>
          <w:szCs w:val="30"/>
        </w:rPr>
      </w:pPr>
    </w:p>
    <w:p>
      <w:pPr>
        <w:pStyle w:val="Heading4"/>
        <w:spacing w:line="240" w:lineRule="auto"/>
        <w:ind w:left="152" w:right="0"/>
        <w:jc w:val="left"/>
        <w:rPr>
          <w:b w:val="0"/>
          <w:bCs w:val="0"/>
        </w:rPr>
      </w:pPr>
      <w:r>
        <w:rPr/>
        <w:t>二、</w:t>
      </w:r>
      <w:r>
        <w:rPr>
          <w:spacing w:val="48"/>
        </w:rPr>
        <w:t> </w:t>
      </w:r>
      <w:r>
        <w:rPr/>
        <w:t>合并财务报表范围</w:t>
      </w:r>
      <w:r>
        <w:rPr>
          <w:b w:val="0"/>
          <w:bCs w:val="0"/>
        </w:rPr>
      </w:r>
    </w:p>
    <w:p>
      <w:pPr>
        <w:pStyle w:val="BodyText"/>
        <w:spacing w:line="240" w:lineRule="auto" w:before="150"/>
        <w:ind w:left="573" w:right="0"/>
        <w:jc w:val="left"/>
      </w:pPr>
      <w:r>
        <w:rPr/>
        <w:t>截至</w:t>
      </w:r>
      <w:r>
        <w:rPr>
          <w:spacing w:val="-56"/>
        </w:rPr>
        <w:t> </w:t>
      </w:r>
      <w:r>
        <w:rPr>
          <w:rFonts w:ascii="Calibri" w:hAnsi="Calibri" w:cs="Calibri" w:eastAsia="Calibri" w:hint="default"/>
        </w:rPr>
        <w:t>2019</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5"/>
        </w:rPr>
        <w:t> </w:t>
      </w:r>
      <w:r>
        <w:rPr/>
        <w:t>日止，本公司合并财务报表范围内一级子公司如下：</w:t>
      </w:r>
    </w:p>
    <w:p>
      <w:pPr>
        <w:spacing w:line="240" w:lineRule="auto" w:before="0"/>
        <w:rPr>
          <w:rFonts w:ascii="宋体" w:hAnsi="宋体" w:cs="宋体" w:eastAsia="宋体" w:hint="default"/>
          <w:sz w:val="14"/>
          <w:szCs w:val="14"/>
        </w:rPr>
      </w:pPr>
    </w:p>
    <w:p>
      <w:pPr>
        <w:spacing w:line="28" w:lineRule="exact"/>
        <w:ind w:left="13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3.5pt;height:1.45pt;mso-position-horizontal-relative:char;mso-position-vertical-relative:line" coordorigin="0,0" coordsize="9670,29">
            <v:group style="position:absolute;left:14;top:14;width:9641;height:2" coordorigin="14,14" coordsize="9641,2">
              <v:shape style="position:absolute;left:14;top:14;width:9641;height:2" coordorigin="14,14" coordsize="9641,0" path="m14,14l9655,14e" filled="false" stroked="true" strokeweight="1.44pt" strokecolor="#000000">
                <v:path arrowok="t"/>
              </v:shape>
            </v:group>
          </v:group>
        </w:pict>
      </w:r>
      <w:r>
        <w:rPr>
          <w:rFonts w:ascii="宋体" w:hAnsi="宋体" w:cs="宋体" w:eastAsia="宋体" w:hint="default"/>
          <w:position w:val="0"/>
          <w:sz w:val="2"/>
          <w:szCs w:val="2"/>
        </w:rPr>
      </w:r>
    </w:p>
    <w:p>
      <w:pPr>
        <w:spacing w:before="11"/>
        <w:ind w:left="260" w:right="0" w:firstLine="0"/>
        <w:jc w:val="left"/>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3"/>
        <w:rPr>
          <w:rFonts w:ascii="宋体" w:hAnsi="宋体" w:cs="宋体" w:eastAsia="宋体" w:hint="default"/>
          <w:sz w:val="5"/>
          <w:szCs w:val="5"/>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宋体" w:hAnsi="宋体" w:cs="宋体" w:eastAsia="宋体" w:hint="default"/>
          <w:sz w:val="18"/>
          <w:szCs w:val="18"/>
        </w:rPr>
        <w:t>国盛证券有限责任公司（简称“国盛证券</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38"/>
        <w:ind w:left="260" w:right="0" w:firstLine="0"/>
        <w:jc w:val="left"/>
        <w:rPr>
          <w:rFonts w:ascii="宋体" w:hAnsi="宋体" w:cs="宋体" w:eastAsia="宋体" w:hint="default"/>
          <w:sz w:val="18"/>
          <w:szCs w:val="18"/>
        </w:rPr>
      </w:pPr>
      <w:r>
        <w:rPr>
          <w:rFonts w:ascii="宋体" w:hAnsi="宋体" w:cs="宋体" w:eastAsia="宋体" w:hint="default"/>
          <w:sz w:val="18"/>
          <w:szCs w:val="18"/>
        </w:rPr>
        <w:t>深圳国盛前海投资有限公司（简称“深圳投资</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1"/>
          <w:sz w:val="18"/>
          <w:szCs w:val="18"/>
        </w:rPr>
        <w:t>uo</w:t>
      </w:r>
      <w:r>
        <w:rPr>
          <w:rFonts w:ascii="Times New Roman" w:hAnsi="Times New Roman" w:cs="Times New Roman" w:eastAsia="Times New Roman" w:hint="default"/>
          <w:w w:val="99"/>
          <w:sz w:val="18"/>
          <w:szCs w:val="18"/>
        </w:rPr>
        <w:t>sh</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w w:val="99"/>
          <w:sz w:val="18"/>
          <w:szCs w:val="18"/>
        </w:rPr>
        <w:t>(Ho</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w w:val="99"/>
          <w:sz w:val="18"/>
          <w:szCs w:val="18"/>
        </w:rPr>
        <w:t>Ko</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v</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w w:val="99"/>
          <w:sz w:val="18"/>
          <w:szCs w:val="18"/>
        </w:rPr>
        <w:t>st</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4"/>
          <w:sz w:val="18"/>
          <w:szCs w:val="18"/>
        </w:rPr>
        <w:t>d</w:t>
      </w:r>
      <w:r>
        <w:rPr>
          <w:rFonts w:ascii="宋体" w:hAnsi="宋体" w:cs="宋体" w:eastAsia="宋体" w:hint="default"/>
          <w:sz w:val="18"/>
          <w:szCs w:val="18"/>
        </w:rPr>
        <w:t>（国盛（香港）投资</w:t>
      </w:r>
      <w:r>
        <w:rPr>
          <w:rFonts w:ascii="宋体" w:hAnsi="宋体" w:cs="宋体" w:eastAsia="宋体" w:hint="default"/>
          <w:spacing w:val="2"/>
          <w:sz w:val="18"/>
          <w:szCs w:val="18"/>
        </w:rPr>
        <w:t>有</w:t>
      </w:r>
      <w:r>
        <w:rPr>
          <w:rFonts w:ascii="宋体" w:hAnsi="宋体" w:cs="宋体" w:eastAsia="宋体" w:hint="default"/>
          <w:sz w:val="18"/>
          <w:szCs w:val="18"/>
        </w:rPr>
        <w:t>限公司</w:t>
      </w:r>
      <w:r>
        <w:rPr>
          <w:rFonts w:ascii="宋体" w:hAnsi="宋体" w:cs="宋体" w:eastAsia="宋体" w:hint="default"/>
          <w:spacing w:val="-92"/>
          <w:sz w:val="18"/>
          <w:szCs w:val="18"/>
        </w:rPr>
        <w:t>）</w:t>
      </w:r>
      <w:r>
        <w:rPr>
          <w:rFonts w:ascii="宋体" w:hAnsi="宋体" w:cs="宋体" w:eastAsia="宋体" w:hint="default"/>
          <w:sz w:val="18"/>
          <w:szCs w:val="18"/>
        </w:rPr>
        <w:t>（简称“香港投资</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7"/>
          <w:szCs w:val="7"/>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38"/>
        <w:ind w:left="26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1"/>
          <w:sz w:val="18"/>
          <w:szCs w:val="18"/>
        </w:rPr>
        <w:t>uo</w:t>
      </w:r>
      <w:r>
        <w:rPr>
          <w:rFonts w:ascii="Times New Roman" w:hAnsi="Times New Roman" w:cs="Times New Roman" w:eastAsia="Times New Roman" w:hint="default"/>
          <w:w w:val="99"/>
          <w:sz w:val="18"/>
          <w:szCs w:val="18"/>
        </w:rPr>
        <w:t>sh</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1"/>
          <w:sz w:val="18"/>
          <w:szCs w:val="18"/>
        </w:rPr>
        <w:t>ob</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lI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v</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4"/>
          <w:sz w:val="18"/>
          <w:szCs w:val="18"/>
        </w:rPr>
        <w:t>d</w:t>
      </w:r>
      <w:r>
        <w:rPr>
          <w:rFonts w:ascii="宋体" w:hAnsi="宋体" w:cs="宋体" w:eastAsia="宋体" w:hint="default"/>
          <w:sz w:val="18"/>
          <w:szCs w:val="18"/>
        </w:rPr>
        <w:t>（国盛环球投资有限公司</w:t>
      </w:r>
      <w:r>
        <w:rPr>
          <w:rFonts w:ascii="宋体" w:hAnsi="宋体" w:cs="宋体" w:eastAsia="宋体" w:hint="default"/>
          <w:spacing w:val="-92"/>
          <w:sz w:val="18"/>
          <w:szCs w:val="18"/>
        </w:rPr>
        <w:t>）</w:t>
      </w:r>
      <w:r>
        <w:rPr>
          <w:rFonts w:ascii="宋体" w:hAnsi="宋体" w:cs="宋体" w:eastAsia="宋体" w:hint="default"/>
          <w:sz w:val="18"/>
          <w:szCs w:val="18"/>
        </w:rPr>
        <w:t>（简称“国盛环球</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7"/>
          <w:szCs w:val="7"/>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宋体" w:hAnsi="宋体" w:cs="宋体" w:eastAsia="宋体" w:hint="default"/>
          <w:sz w:val="18"/>
          <w:szCs w:val="18"/>
        </w:rPr>
        <w:t>珠海横琴极盛科技有限公司（简称“极盛科技</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38"/>
        <w:ind w:left="260" w:right="0" w:firstLine="0"/>
        <w:jc w:val="left"/>
        <w:rPr>
          <w:rFonts w:ascii="宋体" w:hAnsi="宋体" w:cs="宋体" w:eastAsia="宋体" w:hint="default"/>
          <w:sz w:val="18"/>
          <w:szCs w:val="18"/>
        </w:rPr>
      </w:pPr>
      <w:r>
        <w:rPr>
          <w:rFonts w:ascii="宋体" w:hAnsi="宋体" w:cs="宋体" w:eastAsia="宋体" w:hint="default"/>
          <w:sz w:val="18"/>
          <w:szCs w:val="18"/>
        </w:rPr>
        <w:t>深圳前海国盛科技有限公司（简称“国盛科技</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宋体" w:hAnsi="宋体" w:cs="宋体" w:eastAsia="宋体" w:hint="default"/>
          <w:sz w:val="18"/>
          <w:szCs w:val="18"/>
        </w:rPr>
        <w:t>北京国盛互联信息咨询有限公司（简称“北京国盛</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38"/>
        <w:ind w:left="260" w:right="0" w:firstLine="0"/>
        <w:jc w:val="left"/>
        <w:rPr>
          <w:rFonts w:ascii="宋体" w:hAnsi="宋体" w:cs="宋体" w:eastAsia="宋体" w:hint="default"/>
          <w:sz w:val="18"/>
          <w:szCs w:val="18"/>
        </w:rPr>
      </w:pPr>
      <w:r>
        <w:rPr>
          <w:rFonts w:ascii="宋体" w:hAnsi="宋体" w:cs="宋体" w:eastAsia="宋体" w:hint="default"/>
          <w:sz w:val="18"/>
          <w:szCs w:val="18"/>
        </w:rPr>
        <w:t>天津国盛信安科技有限公司（简称“国盛信安</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宋体" w:hAnsi="宋体" w:cs="宋体" w:eastAsia="宋体" w:hint="default"/>
          <w:sz w:val="18"/>
          <w:szCs w:val="18"/>
        </w:rPr>
        <w:t>上海钰信金融信息服务有限公司（简称“上海钰信</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38"/>
        <w:ind w:left="260" w:right="0" w:firstLine="0"/>
        <w:jc w:val="left"/>
        <w:rPr>
          <w:rFonts w:ascii="宋体" w:hAnsi="宋体" w:cs="宋体" w:eastAsia="宋体" w:hint="default"/>
          <w:sz w:val="18"/>
          <w:szCs w:val="18"/>
        </w:rPr>
      </w:pPr>
      <w:r>
        <w:rPr>
          <w:rFonts w:ascii="宋体" w:hAnsi="宋体" w:cs="宋体" w:eastAsia="宋体" w:hint="default"/>
          <w:sz w:val="18"/>
          <w:szCs w:val="18"/>
        </w:rPr>
        <w:t>广州极盛融资租赁有限公司（简称“极盛租赁</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宋体" w:hAnsi="宋体" w:cs="宋体" w:eastAsia="宋体" w:hint="default"/>
          <w:sz w:val="18"/>
          <w:szCs w:val="18"/>
        </w:rPr>
        <w:t>深圳前海弘大嘉豪资本管理有限公司（简称“弘大嘉豪</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8"/>
          <w:szCs w:val="8"/>
        </w:rPr>
      </w:pPr>
    </w:p>
    <w:p>
      <w:pPr>
        <w:spacing w:line="28" w:lineRule="exact"/>
        <w:ind w:left="124"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4.2pt;height:1.45pt;mso-position-horizontal-relative:char;mso-position-vertical-relative:line" coordorigin="0,0" coordsize="9684,29">
            <v:group style="position:absolute;left:14;top:14;width:9655;height:2" coordorigin="14,14" coordsize="9655,2">
              <v:shape style="position:absolute;left:14;top:14;width:9655;height:2" coordorigin="14,14" coordsize="9655,0" path="m14,14l9669,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pStyle w:val="BodyText"/>
        <w:spacing w:line="240" w:lineRule="auto" w:before="168"/>
        <w:ind w:left="573" w:right="0"/>
        <w:jc w:val="left"/>
      </w:pPr>
      <w:r>
        <w:rPr/>
        <w:t>截至</w:t>
      </w:r>
      <w:r>
        <w:rPr>
          <w:spacing w:val="-56"/>
        </w:rPr>
        <w:t> </w:t>
      </w:r>
      <w:r>
        <w:rPr>
          <w:rFonts w:ascii="Calibri" w:hAnsi="Calibri" w:cs="Calibri" w:eastAsia="Calibri" w:hint="default"/>
        </w:rPr>
        <w:t>2019</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5"/>
        </w:rPr>
        <w:t> </w:t>
      </w:r>
      <w:r>
        <w:rPr/>
        <w:t>日止，本公司合并财务报表范围内二、三级子公司如下：</w:t>
      </w:r>
    </w:p>
    <w:p>
      <w:pPr>
        <w:spacing w:line="240" w:lineRule="auto" w:before="0"/>
        <w:rPr>
          <w:rFonts w:ascii="宋体" w:hAnsi="宋体" w:cs="宋体" w:eastAsia="宋体" w:hint="default"/>
          <w:sz w:val="14"/>
          <w:szCs w:val="14"/>
        </w:rPr>
      </w:pPr>
    </w:p>
    <w:p>
      <w:pPr>
        <w:spacing w:line="28" w:lineRule="exact"/>
        <w:ind w:left="13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3.5pt;height:1.45pt;mso-position-horizontal-relative:char;mso-position-vertical-relative:line" coordorigin="0,0" coordsize="9670,29">
            <v:group style="position:absolute;left:14;top:14;width:9641;height:2" coordorigin="14,14" coordsize="9641,2">
              <v:shape style="position:absolute;left:14;top:14;width:9641;height:2" coordorigin="14,14" coordsize="9641,0" path="m14,14l9655,14e" filled="false" stroked="true" strokeweight="1.44pt" strokecolor="#000000">
                <v:path arrowok="t"/>
              </v:shape>
            </v:group>
          </v:group>
        </w:pict>
      </w:r>
      <w:r>
        <w:rPr>
          <w:rFonts w:ascii="宋体" w:hAnsi="宋体" w:cs="宋体" w:eastAsia="宋体" w:hint="default"/>
          <w:position w:val="0"/>
          <w:sz w:val="2"/>
          <w:szCs w:val="2"/>
        </w:rPr>
      </w:r>
    </w:p>
    <w:p>
      <w:pPr>
        <w:spacing w:before="9"/>
        <w:ind w:left="0" w:right="980" w:firstLine="0"/>
        <w:jc w:val="center"/>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5"/>
        <w:rPr>
          <w:rFonts w:ascii="宋体" w:hAnsi="宋体" w:cs="宋体" w:eastAsia="宋体" w:hint="default"/>
          <w:sz w:val="5"/>
          <w:szCs w:val="5"/>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38"/>
        <w:ind w:left="260" w:right="0" w:firstLine="0"/>
        <w:jc w:val="left"/>
        <w:rPr>
          <w:rFonts w:ascii="宋体" w:hAnsi="宋体" w:cs="宋体" w:eastAsia="宋体" w:hint="default"/>
          <w:sz w:val="18"/>
          <w:szCs w:val="18"/>
        </w:rPr>
      </w:pPr>
      <w:r>
        <w:rPr>
          <w:rFonts w:ascii="宋体" w:hAnsi="宋体" w:cs="宋体" w:eastAsia="宋体" w:hint="default"/>
          <w:sz w:val="18"/>
          <w:szCs w:val="18"/>
        </w:rPr>
        <w:t>国盛期货有限责任公司（简称“国盛期货</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宋体" w:hAnsi="宋体" w:cs="宋体" w:eastAsia="宋体" w:hint="default"/>
          <w:sz w:val="18"/>
          <w:szCs w:val="18"/>
        </w:rPr>
        <w:t>国盛证券资产管理有限公司（简称“国盛资管</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38"/>
        <w:ind w:left="260" w:right="0" w:firstLine="0"/>
        <w:jc w:val="left"/>
        <w:rPr>
          <w:rFonts w:ascii="宋体" w:hAnsi="宋体" w:cs="宋体" w:eastAsia="宋体" w:hint="default"/>
          <w:sz w:val="18"/>
          <w:szCs w:val="18"/>
        </w:rPr>
      </w:pPr>
      <w:r>
        <w:rPr>
          <w:rFonts w:ascii="宋体" w:hAnsi="宋体" w:cs="宋体" w:eastAsia="宋体" w:hint="default"/>
          <w:sz w:val="18"/>
          <w:szCs w:val="18"/>
        </w:rPr>
        <w:t>国盛弘远（上海）投资有限公司（简称“弘远投资</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1"/>
          <w:sz w:val="18"/>
          <w:szCs w:val="18"/>
        </w:rPr>
        <w:t>uo</w:t>
      </w:r>
      <w:r>
        <w:rPr>
          <w:rFonts w:ascii="Times New Roman" w:hAnsi="Times New Roman" w:cs="Times New Roman" w:eastAsia="Times New Roman" w:hint="default"/>
          <w:w w:val="99"/>
          <w:sz w:val="18"/>
          <w:szCs w:val="18"/>
        </w:rPr>
        <w:t>sh</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tern</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ti</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lI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v</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w w:val="99"/>
          <w:sz w:val="18"/>
          <w:szCs w:val="18"/>
        </w:rPr>
        <w:t>st</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4"/>
          <w:sz w:val="18"/>
          <w:szCs w:val="18"/>
        </w:rPr>
        <w:t>d</w:t>
      </w:r>
      <w:r>
        <w:rPr>
          <w:rFonts w:ascii="宋体" w:hAnsi="宋体" w:cs="宋体" w:eastAsia="宋体" w:hint="default"/>
          <w:sz w:val="18"/>
          <w:szCs w:val="18"/>
        </w:rPr>
        <w:t>（国盛国际投资有限</w:t>
      </w:r>
      <w:r>
        <w:rPr>
          <w:rFonts w:ascii="宋体" w:hAnsi="宋体" w:cs="宋体" w:eastAsia="宋体" w:hint="default"/>
          <w:spacing w:val="2"/>
          <w:sz w:val="18"/>
          <w:szCs w:val="18"/>
        </w:rPr>
        <w:t>公</w:t>
      </w:r>
      <w:r>
        <w:rPr>
          <w:rFonts w:ascii="宋体" w:hAnsi="宋体" w:cs="宋体" w:eastAsia="宋体" w:hint="default"/>
          <w:sz w:val="18"/>
          <w:szCs w:val="18"/>
        </w:rPr>
        <w:t>司</w:t>
      </w:r>
      <w:r>
        <w:rPr>
          <w:rFonts w:ascii="宋体" w:hAnsi="宋体" w:cs="宋体" w:eastAsia="宋体" w:hint="default"/>
          <w:spacing w:val="-92"/>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w w:val="99"/>
          <w:sz w:val="18"/>
          <w:szCs w:val="18"/>
        </w:rPr>
        <w:t>B</w:t>
      </w:r>
      <w:r>
        <w:rPr>
          <w:rFonts w:ascii="Times New Roman" w:hAnsi="Times New Roman" w:cs="Times New Roman" w:eastAsia="Times New Roman" w:hint="default"/>
          <w:spacing w:val="1"/>
          <w:w w:val="99"/>
          <w:sz w:val="18"/>
          <w:szCs w:val="18"/>
        </w:rPr>
        <w:t>V</w:t>
      </w:r>
      <w:r>
        <w:rPr>
          <w:rFonts w:ascii="Times New Roman" w:hAnsi="Times New Roman" w:cs="Times New Roman" w:eastAsia="Times New Roman" w:hint="default"/>
          <w:w w:val="99"/>
          <w:sz w:val="18"/>
          <w:szCs w:val="18"/>
        </w:rPr>
        <w:t>I </w:t>
      </w:r>
      <w:r>
        <w:rPr>
          <w:rFonts w:ascii="宋体" w:hAnsi="宋体" w:cs="宋体" w:eastAsia="宋体" w:hint="default"/>
          <w:w w:val="99"/>
          <w:sz w:val="18"/>
          <w:szCs w:val="18"/>
        </w:rPr>
        <w:t>国盛</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1"/>
        <w:rPr>
          <w:rFonts w:ascii="宋体" w:hAnsi="宋体" w:cs="宋体" w:eastAsia="宋体" w:hint="default"/>
          <w:sz w:val="7"/>
          <w:szCs w:val="7"/>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38"/>
        <w:ind w:left="26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spacing w:val="1"/>
          <w:sz w:val="18"/>
          <w:szCs w:val="18"/>
        </w:rPr>
        <w:t>uo</w:t>
      </w:r>
      <w:r>
        <w:rPr>
          <w:rFonts w:ascii="Times New Roman" w:hAnsi="Times New Roman" w:cs="Times New Roman" w:eastAsia="Times New Roman" w:hint="default"/>
          <w:w w:val="99"/>
          <w:sz w:val="18"/>
          <w:szCs w:val="18"/>
        </w:rPr>
        <w:t>sh</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tern</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v</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w w:val="99"/>
          <w:sz w:val="18"/>
          <w:szCs w:val="18"/>
        </w:rPr>
        <w:t>st</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tM</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me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L</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4"/>
          <w:sz w:val="18"/>
          <w:szCs w:val="18"/>
        </w:rPr>
        <w:t>d</w:t>
      </w:r>
      <w:r>
        <w:rPr>
          <w:rFonts w:ascii="宋体" w:hAnsi="宋体" w:cs="宋体" w:eastAsia="宋体" w:hint="default"/>
          <w:sz w:val="18"/>
          <w:szCs w:val="18"/>
        </w:rPr>
        <w:t>（国盛互联网</w:t>
      </w:r>
      <w:r>
        <w:rPr>
          <w:rFonts w:ascii="宋体" w:hAnsi="宋体" w:cs="宋体" w:eastAsia="宋体" w:hint="default"/>
          <w:spacing w:val="2"/>
          <w:sz w:val="18"/>
          <w:szCs w:val="18"/>
        </w:rPr>
        <w:t>投</w:t>
      </w:r>
      <w:r>
        <w:rPr>
          <w:rFonts w:ascii="宋体" w:hAnsi="宋体" w:cs="宋体" w:eastAsia="宋体" w:hint="default"/>
          <w:sz w:val="18"/>
          <w:szCs w:val="18"/>
        </w:rPr>
        <w:t>资管理有限公司</w:t>
      </w:r>
      <w:r>
        <w:rPr>
          <w:rFonts w:ascii="宋体" w:hAnsi="宋体" w:cs="宋体" w:eastAsia="宋体" w:hint="default"/>
          <w:spacing w:val="-92"/>
          <w:sz w:val="18"/>
          <w:szCs w:val="18"/>
        </w:rPr>
        <w:t>）</w:t>
      </w:r>
      <w:r>
        <w:rPr>
          <w:rFonts w:ascii="宋体" w:hAnsi="宋体" w:cs="宋体" w:eastAsia="宋体" w:hint="default"/>
          <w:sz w:val="18"/>
          <w:szCs w:val="18"/>
        </w:rPr>
        <w:t>（简称“开</w:t>
      </w:r>
      <w:r>
        <w:rPr>
          <w:rFonts w:ascii="宋体" w:hAnsi="宋体" w:cs="宋体" w:eastAsia="宋体" w:hint="default"/>
          <w:spacing w:val="2"/>
          <w:sz w:val="18"/>
          <w:szCs w:val="18"/>
        </w:rPr>
        <w:t>曼</w:t>
      </w:r>
      <w:r>
        <w:rPr>
          <w:rFonts w:ascii="宋体" w:hAnsi="宋体" w:cs="宋体" w:eastAsia="宋体" w:hint="default"/>
          <w:sz w:val="18"/>
          <w:szCs w:val="18"/>
        </w:rPr>
        <w:t>国盛</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7"/>
          <w:szCs w:val="7"/>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82.5pt;height:.5pt;mso-position-horizontal-relative:char;mso-position-vertical-relative:line" coordorigin="0,0" coordsize="9650,10">
            <v:group style="position:absolute;left:5;top:5;width:9641;height:2" coordorigin="5,5" coordsize="9641,2">
              <v:shape style="position:absolute;left:5;top:5;width:9641;height:2" coordorigin="5,5" coordsize="9641,0" path="m5,5l9645,5e" filled="false" stroked="true" strokeweight=".48pt" strokecolor="#000000">
                <v:path arrowok="t"/>
                <v:stroke dashstyle="dash"/>
              </v:shape>
            </v:group>
          </v:group>
        </w:pict>
      </w:r>
      <w:r>
        <w:rPr>
          <w:rFonts w:ascii="宋体" w:hAnsi="宋体" w:cs="宋体" w:eastAsia="宋体" w:hint="default"/>
          <w:sz w:val="2"/>
          <w:szCs w:val="2"/>
        </w:rPr>
      </w:r>
    </w:p>
    <w:p>
      <w:pPr>
        <w:spacing w:before="41"/>
        <w:ind w:left="260" w:right="0" w:firstLine="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Ki</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4"/>
          <w:sz w:val="18"/>
          <w:szCs w:val="18"/>
        </w:rPr>
        <w:t>y</w:t>
      </w:r>
      <w:r>
        <w:rPr>
          <w:rFonts w:ascii="Times New Roman" w:hAnsi="Times New Roman" w:cs="Times New Roman" w:eastAsia="Times New Roman" w:hint="default"/>
          <w:spacing w:val="-10"/>
          <w:w w:val="99"/>
          <w:sz w:val="18"/>
          <w:szCs w:val="18"/>
        </w:rPr>
        <w:t>Y</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w w:val="99"/>
          <w:sz w:val="18"/>
          <w:szCs w:val="18"/>
        </w:rPr>
        <w:t>F</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3"/>
          <w:w w:val="99"/>
          <w:sz w:val="18"/>
          <w:szCs w:val="18"/>
        </w:rPr>
        <w:t>P</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3"/>
          <w:sz w:val="18"/>
          <w:szCs w:val="18"/>
        </w:rPr>
        <w:t>r</w:t>
      </w:r>
      <w:r>
        <w:rPr>
          <w:rFonts w:ascii="Times New Roman" w:hAnsi="Times New Roman" w:cs="Times New Roman" w:eastAsia="Times New Roman" w:hint="default"/>
          <w:spacing w:val="2"/>
          <w:w w:val="99"/>
          <w:sz w:val="18"/>
          <w:szCs w:val="18"/>
        </w:rPr>
        <w:t>P</w:t>
      </w:r>
      <w:r>
        <w:rPr>
          <w:rFonts w:ascii="Times New Roman" w:hAnsi="Times New Roman" w:cs="Times New Roman" w:eastAsia="Times New Roman" w:hint="default"/>
          <w:spacing w:val="-3"/>
          <w:w w:val="99"/>
          <w:sz w:val="18"/>
          <w:szCs w:val="18"/>
        </w:rPr>
        <w:t>r</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spacing w:val="-2"/>
          <w:w w:val="99"/>
          <w:sz w:val="18"/>
          <w:szCs w:val="18"/>
        </w:rPr>
        <w:t>d</w:t>
      </w:r>
      <w:r>
        <w:rPr>
          <w:rFonts w:ascii="Times New Roman" w:hAnsi="Times New Roman" w:cs="Times New Roman" w:eastAsia="Times New Roman" w:hint="default"/>
          <w:spacing w:val="1"/>
          <w:w w:val="99"/>
          <w:sz w:val="18"/>
          <w:szCs w:val="18"/>
        </w:rPr>
        <w:t>u</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w w:val="99"/>
          <w:sz w:val="18"/>
          <w:szCs w:val="18"/>
        </w:rPr>
        <w:t>ts</w:t>
      </w:r>
      <w:r>
        <w:rPr>
          <w:rFonts w:ascii="Times New Roman" w:hAnsi="Times New Roman" w:cs="Times New Roman" w:eastAsia="Times New Roman" w:hint="default"/>
          <w:spacing w:val="-1"/>
          <w:w w:val="99"/>
          <w:sz w:val="18"/>
          <w:szCs w:val="18"/>
        </w:rPr>
        <w:t>&amp;</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w w:val="99"/>
          <w:sz w:val="18"/>
          <w:szCs w:val="18"/>
        </w:rPr>
        <w:t>ri</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w w:val="99"/>
          <w:sz w:val="18"/>
          <w:szCs w:val="18"/>
        </w:rPr>
        <w:t>ti</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spacing w:val="-2"/>
          <w:w w:val="99"/>
          <w:sz w:val="18"/>
          <w:szCs w:val="18"/>
        </w:rPr>
        <w:t>gL</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3"/>
          <w:w w:val="99"/>
          <w:sz w:val="18"/>
          <w:szCs w:val="18"/>
        </w:rPr>
        <w:t>m</w:t>
      </w:r>
      <w:r>
        <w:rPr>
          <w:rFonts w:ascii="Times New Roman" w:hAnsi="Times New Roman" w:cs="Times New Roman" w:eastAsia="Times New Roman" w:hint="default"/>
          <w:w w:val="99"/>
          <w:sz w:val="18"/>
          <w:szCs w:val="18"/>
        </w:rPr>
        <w:t>it</w:t>
      </w:r>
      <w:r>
        <w:rPr>
          <w:rFonts w:ascii="Times New Roman" w:hAnsi="Times New Roman" w:cs="Times New Roman" w:eastAsia="Times New Roman" w:hint="default"/>
          <w:spacing w:val="-1"/>
          <w:w w:val="99"/>
          <w:sz w:val="18"/>
          <w:szCs w:val="18"/>
        </w:rPr>
        <w:t>e</w:t>
      </w:r>
      <w:r>
        <w:rPr>
          <w:rFonts w:ascii="Times New Roman" w:hAnsi="Times New Roman" w:cs="Times New Roman" w:eastAsia="Times New Roman" w:hint="default"/>
          <w:spacing w:val="4"/>
          <w:w w:val="99"/>
          <w:sz w:val="18"/>
          <w:szCs w:val="18"/>
        </w:rPr>
        <w:t>d</w:t>
      </w:r>
      <w:r>
        <w:rPr>
          <w:rFonts w:ascii="宋体" w:hAnsi="宋体" w:cs="宋体" w:eastAsia="宋体" w:hint="default"/>
          <w:w w:val="99"/>
          <w:sz w:val="18"/>
          <w:szCs w:val="18"/>
        </w:rPr>
        <w:t>（金来英发纸</w:t>
      </w:r>
      <w:r>
        <w:rPr>
          <w:rFonts w:ascii="宋体" w:hAnsi="宋体" w:cs="宋体" w:eastAsia="宋体" w:hint="default"/>
          <w:spacing w:val="2"/>
          <w:w w:val="99"/>
          <w:sz w:val="18"/>
          <w:szCs w:val="18"/>
        </w:rPr>
        <w:t>品</w:t>
      </w:r>
      <w:r>
        <w:rPr>
          <w:rFonts w:ascii="宋体" w:hAnsi="宋体" w:cs="宋体" w:eastAsia="宋体" w:hint="default"/>
          <w:w w:val="99"/>
          <w:sz w:val="18"/>
          <w:szCs w:val="18"/>
        </w:rPr>
        <w:t>印刷有限公司</w:t>
      </w:r>
      <w:r>
        <w:rPr>
          <w:rFonts w:ascii="宋体" w:hAnsi="宋体" w:cs="宋体" w:eastAsia="宋体" w:hint="default"/>
          <w:spacing w:val="-92"/>
          <w:w w:val="99"/>
          <w:sz w:val="18"/>
          <w:szCs w:val="18"/>
        </w:rPr>
        <w:t>）</w:t>
      </w:r>
      <w:r>
        <w:rPr>
          <w:rFonts w:ascii="宋体" w:hAnsi="宋体" w:cs="宋体" w:eastAsia="宋体" w:hint="default"/>
          <w:w w:val="99"/>
          <w:sz w:val="18"/>
          <w:szCs w:val="18"/>
        </w:rPr>
        <w:t>（简称“金来</w:t>
      </w:r>
      <w:r>
        <w:rPr>
          <w:rFonts w:ascii="宋体" w:hAnsi="宋体" w:cs="宋体" w:eastAsia="宋体" w:hint="default"/>
          <w:spacing w:val="2"/>
          <w:w w:val="99"/>
          <w:sz w:val="18"/>
          <w:szCs w:val="18"/>
        </w:rPr>
        <w:t>英</w:t>
      </w:r>
      <w:r>
        <w:rPr>
          <w:rFonts w:ascii="宋体" w:hAnsi="宋体" w:cs="宋体" w:eastAsia="宋体" w:hint="default"/>
          <w:w w:val="99"/>
          <w:sz w:val="18"/>
          <w:szCs w:val="18"/>
        </w:rPr>
        <w:t>发</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1"/>
        <w:rPr>
          <w:rFonts w:ascii="宋体" w:hAnsi="宋体" w:cs="宋体" w:eastAsia="宋体" w:hint="default"/>
          <w:sz w:val="7"/>
          <w:szCs w:val="7"/>
        </w:rPr>
      </w:pPr>
    </w:p>
    <w:p>
      <w:pPr>
        <w:spacing w:line="28" w:lineRule="exact"/>
        <w:ind w:left="124"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4.2pt;height:1.45pt;mso-position-horizontal-relative:char;mso-position-vertical-relative:line" coordorigin="0,0" coordsize="9684,29">
            <v:group style="position:absolute;left:14;top:14;width:9655;height:2" coordorigin="14,14" coordsize="9655,2">
              <v:shape style="position:absolute;left:14;top:14;width:9655;height:2" coordorigin="14,14" coordsize="9655,0" path="m14,14l966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p>
      <w:pPr>
        <w:spacing w:line="28" w:lineRule="exact"/>
        <w:ind w:left="13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3.5pt;height:1.45pt;mso-position-horizontal-relative:char;mso-position-vertical-relative:line" coordorigin="0,0" coordsize="9670,29">
            <v:group style="position:absolute;left:14;top:14;width:9641;height:2" coordorigin="14,14" coordsize="9641,2">
              <v:shape style="position:absolute;left:14;top:14;width:9641;height:2" coordorigin="14,14" coordsize="9641,0" path="m14,14l9655,14e" filled="false" stroked="true" strokeweight="1.44pt" strokecolor="#000000">
                <v:path arrowok="t"/>
              </v:shape>
            </v:group>
          </v:group>
        </w:pict>
      </w:r>
      <w:r>
        <w:rPr>
          <w:rFonts w:ascii="宋体" w:hAnsi="宋体" w:cs="宋体" w:eastAsia="宋体" w:hint="default"/>
          <w:position w:val="0"/>
          <w:sz w:val="2"/>
          <w:szCs w:val="2"/>
        </w:rPr>
      </w:r>
    </w:p>
    <w:p>
      <w:pPr>
        <w:spacing w:before="52"/>
        <w:ind w:left="260" w:right="0" w:firstLine="0"/>
        <w:jc w:val="left"/>
        <w:rPr>
          <w:rFonts w:ascii="宋体" w:hAnsi="宋体" w:cs="宋体" w:eastAsia="宋体" w:hint="default"/>
          <w:sz w:val="18"/>
          <w:szCs w:val="18"/>
        </w:rPr>
      </w:pPr>
      <w:r>
        <w:rPr>
          <w:rFonts w:ascii="宋体" w:hAnsi="宋体" w:cs="宋体" w:eastAsia="宋体" w:hint="default"/>
          <w:sz w:val="18"/>
          <w:szCs w:val="18"/>
        </w:rPr>
        <w:t>上海多专科技有限公司（简称“上海多专</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8"/>
          <w:szCs w:val="8"/>
        </w:rPr>
      </w:pPr>
    </w:p>
    <w:p>
      <w:pPr>
        <w:spacing w:line="28" w:lineRule="exact"/>
        <w:ind w:left="124"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4.2pt;height:1.45pt;mso-position-horizontal-relative:char;mso-position-vertical-relative:line" coordorigin="0,0" coordsize="9684,29">
            <v:group style="position:absolute;left:14;top:14;width:9655;height:2" coordorigin="14,14" coordsize="9655,2">
              <v:shape style="position:absolute;left:14;top:14;width:9655;height:2" coordorigin="14,14" coordsize="9655,0" path="m14,14l9669,14e" filled="false" stroked="true" strokeweight="1.44pt" strokecolor="#000000">
                <v:path arrowok="t"/>
              </v:shape>
            </v:group>
          </v:group>
        </w:pict>
      </w:r>
      <w:r>
        <w:rPr>
          <w:rFonts w:ascii="宋体" w:hAnsi="宋体" w:cs="宋体" w:eastAsia="宋体" w:hint="default"/>
          <w:position w:val="0"/>
          <w:sz w:val="2"/>
          <w:szCs w:val="2"/>
        </w:rPr>
      </w:r>
    </w:p>
    <w:p>
      <w:pPr>
        <w:spacing w:line="254" w:lineRule="auto" w:before="9"/>
        <w:ind w:left="513" w:right="198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月国盛金控子公司上海全钰股权投资有限公司变更名称为国盛弘远（上海）投资有限公司。 本期合并财务报表范围变化情况详见本附注</w:t>
      </w:r>
      <w:r>
        <w:rPr>
          <w:rFonts w:ascii="Calibri" w:hAnsi="Calibri" w:cs="Calibri" w:eastAsia="Calibri" w:hint="default"/>
          <w:sz w:val="18"/>
          <w:szCs w:val="18"/>
        </w:rPr>
        <w:t>“</w:t>
      </w:r>
      <w:r>
        <w:rPr>
          <w:rFonts w:ascii="宋体" w:hAnsi="宋体" w:cs="宋体" w:eastAsia="宋体" w:hint="default"/>
          <w:sz w:val="18"/>
          <w:szCs w:val="18"/>
        </w:rPr>
        <w:t>七、合并范围的变更</w:t>
      </w:r>
      <w:r>
        <w:rPr>
          <w:rFonts w:ascii="Calibri" w:hAnsi="Calibri" w:cs="Calibri" w:eastAsia="Calibri" w:hint="default"/>
          <w:sz w:val="18"/>
          <w:szCs w:val="18"/>
        </w:rPr>
        <w:t>”</w:t>
      </w:r>
      <w:r>
        <w:rPr>
          <w:rFonts w:ascii="宋体" w:hAnsi="宋体" w:cs="宋体" w:eastAsia="宋体" w:hint="default"/>
          <w:sz w:val="18"/>
          <w:szCs w:val="18"/>
        </w:rPr>
        <w:t>和</w:t>
      </w:r>
      <w:r>
        <w:rPr>
          <w:rFonts w:ascii="Calibri" w:hAnsi="Calibri" w:cs="Calibri" w:eastAsia="Calibri" w:hint="default"/>
          <w:sz w:val="18"/>
          <w:szCs w:val="18"/>
        </w:rPr>
        <w:t>“</w:t>
      </w:r>
      <w:r>
        <w:rPr>
          <w:rFonts w:ascii="宋体" w:hAnsi="宋体" w:cs="宋体" w:eastAsia="宋体" w:hint="default"/>
          <w:sz w:val="18"/>
          <w:szCs w:val="18"/>
        </w:rPr>
        <w:t>八、在其他主体中的权益</w:t>
      </w:r>
      <w:r>
        <w:rPr>
          <w:rFonts w:ascii="Calibri" w:hAnsi="Calibri" w:cs="Calibri" w:eastAsia="Calibri"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pStyle w:val="Heading4"/>
        <w:spacing w:line="240" w:lineRule="auto" w:before="178"/>
        <w:ind w:left="152" w:right="0"/>
        <w:jc w:val="left"/>
        <w:rPr>
          <w:b w:val="0"/>
          <w:bCs w:val="0"/>
        </w:rPr>
      </w:pPr>
      <w:r>
        <w:rPr/>
        <w:t>三、</w:t>
      </w:r>
      <w:r>
        <w:rPr>
          <w:spacing w:val="49"/>
        </w:rPr>
        <w:t> </w:t>
      </w:r>
      <w:r>
        <w:rPr/>
        <w:t>财务报表的编制基础</w:t>
      </w:r>
      <w:r>
        <w:rPr>
          <w:b w:val="0"/>
          <w:bCs w:val="0"/>
        </w:rPr>
      </w:r>
    </w:p>
    <w:p>
      <w:pPr>
        <w:spacing w:line="340" w:lineRule="auto" w:before="81"/>
        <w:ind w:left="573"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本公司根据实际发生的交易和事项，按照财政部颁布的《企业会计准则——基本准则》和具体企业会</w:t>
      </w:r>
    </w:p>
    <w:p>
      <w:pPr>
        <w:pStyle w:val="BodyText"/>
        <w:spacing w:line="357" w:lineRule="auto" w:before="47"/>
        <w:ind w:right="1123"/>
        <w:jc w:val="left"/>
      </w:pPr>
      <w:r>
        <w:rPr>
          <w:spacing w:val="-7"/>
          <w:w w:val="100"/>
        </w:rPr>
        <w:t>计准则、企业会计准则应用指南、企业会计准则解释及其他相关规定（以下合称“企业会计准则”）进行确</w:t>
      </w:r>
      <w:r>
        <w:rPr>
          <w:spacing w:val="-77"/>
          <w:w w:val="100"/>
        </w:rPr>
        <w:t> </w:t>
      </w:r>
      <w:r>
        <w:rPr>
          <w:spacing w:val="-77"/>
          <w:w w:val="100"/>
        </w:rPr>
      </w:r>
      <w:r>
        <w:rPr/>
        <w:t>认和计量，在此基础上，结合中国证券监督管理委员会《公开发行证券的公司信息披露编报规则第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23"/>
        </w:rPr>
        <w:t> </w:t>
      </w:r>
      <w:r>
        <w:rPr/>
        <w:t>号</w:t>
      </w:r>
    </w:p>
    <w:p>
      <w:pPr>
        <w:pStyle w:val="BodyText"/>
        <w:spacing w:line="240" w:lineRule="auto" w:before="1"/>
        <w:ind w:right="0"/>
        <w:jc w:val="left"/>
      </w:pPr>
      <w:r>
        <w:rPr>
          <w:w w:val="100"/>
        </w:rPr>
        <w:t>——</w:t>
      </w:r>
      <w:r>
        <w:rPr>
          <w:spacing w:val="-3"/>
          <w:w w:val="100"/>
        </w:rPr>
        <w:t>财</w:t>
      </w:r>
      <w:r>
        <w:rPr>
          <w:w w:val="100"/>
        </w:rPr>
        <w:t>务</w:t>
      </w:r>
      <w:r>
        <w:rPr>
          <w:spacing w:val="-3"/>
          <w:w w:val="100"/>
        </w:rPr>
        <w:t>报</w:t>
      </w:r>
      <w:r>
        <w:rPr>
          <w:w w:val="100"/>
        </w:rPr>
        <w:t>告</w:t>
      </w:r>
      <w:r>
        <w:rPr>
          <w:spacing w:val="-3"/>
          <w:w w:val="100"/>
        </w:rPr>
        <w:t>的</w:t>
      </w:r>
      <w:r>
        <w:rPr>
          <w:w w:val="100"/>
        </w:rPr>
        <w:t>一</w:t>
      </w:r>
      <w:r>
        <w:rPr>
          <w:spacing w:val="-3"/>
          <w:w w:val="100"/>
        </w:rPr>
        <w:t>般</w:t>
      </w:r>
      <w:r>
        <w:rPr>
          <w:w w:val="100"/>
        </w:rPr>
        <w:t>规</w:t>
      </w:r>
      <w:r>
        <w:rPr>
          <w:spacing w:val="-3"/>
          <w:w w:val="100"/>
        </w:rPr>
        <w:t>定</w:t>
      </w:r>
      <w:r>
        <w:rPr>
          <w:spacing w:val="-108"/>
          <w:w w:val="100"/>
        </w:rPr>
        <w:t>》</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spacing w:val="-3"/>
          <w:w w:val="100"/>
        </w:rPr>
        <w:t>年</w:t>
      </w:r>
      <w:r>
        <w:rPr>
          <w:w w:val="100"/>
        </w:rPr>
        <w:t>修</w:t>
      </w:r>
      <w:r>
        <w:rPr>
          <w:spacing w:val="-3"/>
          <w:w w:val="100"/>
        </w:rPr>
        <w:t>订</w:t>
      </w:r>
      <w:r>
        <w:rPr>
          <w:w w:val="100"/>
        </w:rPr>
        <w:t>）</w:t>
      </w:r>
      <w:r>
        <w:rPr>
          <w:spacing w:val="-3"/>
          <w:w w:val="100"/>
        </w:rPr>
        <w:t>的</w:t>
      </w:r>
      <w:r>
        <w:rPr>
          <w:w w:val="100"/>
        </w:rPr>
        <w:t>规</w:t>
      </w:r>
      <w:r>
        <w:rPr>
          <w:spacing w:val="-3"/>
          <w:w w:val="100"/>
        </w:rPr>
        <w:t>定，</w:t>
      </w:r>
      <w:r>
        <w:rPr>
          <w:w w:val="100"/>
        </w:rPr>
        <w:t>编制</w:t>
      </w:r>
      <w:r>
        <w:rPr>
          <w:spacing w:val="-3"/>
          <w:w w:val="100"/>
        </w:rPr>
        <w:t>财</w:t>
      </w:r>
      <w:r>
        <w:rPr>
          <w:w w:val="100"/>
        </w:rPr>
        <w:t>务</w:t>
      </w:r>
      <w:r>
        <w:rPr>
          <w:spacing w:val="-3"/>
          <w:w w:val="100"/>
        </w:rPr>
        <w:t>报</w:t>
      </w:r>
      <w:r>
        <w:rPr>
          <w:w w:val="100"/>
        </w:rPr>
        <w:t>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40" w:lineRule="auto"/>
        <w:ind w:left="573" w:right="0"/>
        <w:jc w:val="left"/>
      </w:pPr>
      <w:r>
        <w:rPr>
          <w:rFonts w:ascii="Microsoft JhengHei" w:hAnsi="Microsoft JhengHei" w:cs="Microsoft JhengHei" w:eastAsia="Microsoft JhengHei" w:hint="default"/>
          <w:b/>
          <w:bCs/>
        </w:rPr>
        <w:t>（二）</w:t>
      </w:r>
      <w:r>
        <w:rPr>
          <w:rFonts w:ascii="Microsoft JhengHei" w:hAnsi="Microsoft JhengHei" w:cs="Microsoft JhengHei" w:eastAsia="Microsoft JhengHei" w:hint="default"/>
          <w:b/>
          <w:bCs/>
          <w:spacing w:val="33"/>
        </w:rPr>
        <w:t> </w:t>
      </w:r>
      <w:r>
        <w:rPr>
          <w:rFonts w:ascii="Microsoft JhengHei" w:hAnsi="Microsoft JhengHei" w:cs="Microsoft JhengHei" w:eastAsia="Microsoft JhengHei" w:hint="default"/>
          <w:b/>
          <w:bCs/>
        </w:rPr>
        <w:t>持续经营</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公司综合考虑宏观政策风险、市场经营风险、企业目前或长期的盈利能力、偿债能力、财务弹性等因</w:t>
      </w:r>
    </w:p>
    <w:p>
      <w:pPr>
        <w:pStyle w:val="BodyText"/>
        <w:spacing w:line="240" w:lineRule="auto" w:before="45"/>
        <w:ind w:right="0"/>
        <w:jc w:val="left"/>
      </w:pPr>
      <w:r>
        <w:rPr/>
        <w:t>素，认为公司具有自报告期末起至少</w:t>
      </w:r>
      <w:r>
        <w:rPr>
          <w:spacing w:val="-53"/>
        </w:rPr>
        <w:t> </w:t>
      </w:r>
      <w:r>
        <w:rPr>
          <w:rFonts w:ascii="宋体" w:hAnsi="宋体" w:cs="宋体" w:eastAsia="宋体" w:hint="default"/>
        </w:rPr>
        <w:t>12</w:t>
      </w:r>
      <w:r>
        <w:rPr>
          <w:rFonts w:ascii="宋体" w:hAnsi="宋体" w:cs="宋体" w:eastAsia="宋体" w:hint="default"/>
          <w:spacing w:val="-56"/>
        </w:rPr>
        <w:t> </w:t>
      </w:r>
      <w:r>
        <w:rPr/>
        <w:t>个月的持续经营能力。</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4"/>
        <w:spacing w:line="240" w:lineRule="auto"/>
        <w:ind w:left="152" w:right="0"/>
        <w:jc w:val="left"/>
        <w:rPr>
          <w:b w:val="0"/>
          <w:bCs w:val="0"/>
        </w:rPr>
      </w:pPr>
      <w:r>
        <w:rPr/>
        <w:t>四、</w:t>
      </w:r>
      <w:r>
        <w:rPr>
          <w:spacing w:val="49"/>
        </w:rPr>
        <w:t> </w:t>
      </w:r>
      <w:r>
        <w:rPr/>
        <w:t>重要会计政策、会计估计</w:t>
      </w:r>
      <w:r>
        <w:rPr>
          <w:b w:val="0"/>
          <w:bCs w:val="0"/>
        </w:rPr>
      </w:r>
    </w:p>
    <w:p>
      <w:pPr>
        <w:spacing w:line="340" w:lineRule="auto" w:before="83"/>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（一）遵循企业会计准则的声明</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公司所编制的财务报表符合企业会计准则的要求，真实、完整地反映了报告期公司的财务状况、经营</w:t>
      </w:r>
    </w:p>
    <w:p>
      <w:pPr>
        <w:pStyle w:val="BodyText"/>
        <w:spacing w:line="240" w:lineRule="auto" w:before="42"/>
        <w:ind w:right="0"/>
        <w:jc w:val="left"/>
      </w:pPr>
      <w:r>
        <w:rPr/>
        <w:t>成果、现金流量等有关信息。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240" w:lineRule="auto"/>
        <w:ind w:left="575" w:right="0"/>
        <w:jc w:val="left"/>
        <w:rPr>
          <w:b w:val="0"/>
          <w:bCs w:val="0"/>
        </w:rPr>
      </w:pPr>
      <w:r>
        <w:rPr/>
        <w:t>（二）会计期间</w:t>
      </w:r>
      <w:r>
        <w:rPr>
          <w:b w:val="0"/>
          <w:bCs w:val="0"/>
        </w:rPr>
      </w:r>
    </w:p>
    <w:p>
      <w:pPr>
        <w:pStyle w:val="BodyText"/>
        <w:spacing w:line="240" w:lineRule="auto" w:before="150"/>
        <w:ind w:left="573" w:right="0"/>
        <w:jc w:val="left"/>
      </w:pPr>
      <w:r>
        <w:rPr/>
        <w:t>自公历</w:t>
      </w:r>
      <w:r>
        <w:rPr>
          <w:spacing w:val="-53"/>
        </w:rPr>
        <w:t> </w:t>
      </w:r>
      <w:r>
        <w:rPr>
          <w:rFonts w:ascii="Calibri" w:hAnsi="Calibri" w:cs="Calibri" w:eastAsia="Calibri" w:hint="default"/>
        </w:rPr>
        <w:t>1</w:t>
      </w:r>
      <w:r>
        <w:rPr>
          <w:rFonts w:ascii="Calibri" w:hAnsi="Calibri" w:cs="Calibri" w:eastAsia="Calibri" w:hint="default"/>
          <w:spacing w:val="3"/>
        </w:rPr>
        <w:t> </w:t>
      </w:r>
      <w:r>
        <w:rPr/>
        <w:t>月</w:t>
      </w:r>
      <w:r>
        <w:rPr>
          <w:spacing w:val="-55"/>
        </w:rPr>
        <w:t> </w:t>
      </w:r>
      <w:r>
        <w:rPr>
          <w:rFonts w:ascii="Calibri" w:hAnsi="Calibri" w:cs="Calibri" w:eastAsia="Calibri" w:hint="default"/>
        </w:rPr>
        <w:t>1</w:t>
      </w:r>
      <w:r>
        <w:rPr>
          <w:rFonts w:ascii="Calibri" w:hAnsi="Calibri" w:cs="Calibri" w:eastAsia="Calibri" w:hint="default"/>
          <w:spacing w:val="6"/>
        </w:rPr>
        <w:t> </w:t>
      </w:r>
      <w:r>
        <w:rPr/>
        <w:t>日至</w:t>
      </w:r>
      <w:r>
        <w:rPr>
          <w:spacing w:val="-55"/>
        </w:rPr>
        <w:t> </w:t>
      </w:r>
      <w:r>
        <w:rPr>
          <w:rFonts w:ascii="Calibri" w:hAnsi="Calibri" w:cs="Calibri" w:eastAsia="Calibri" w:hint="default"/>
        </w:rPr>
        <w:t>12</w:t>
      </w:r>
      <w:r>
        <w:rPr>
          <w:rFonts w:ascii="Calibri" w:hAnsi="Calibri" w:cs="Calibri" w:eastAsia="Calibri" w:hint="default"/>
          <w:spacing w:val="3"/>
        </w:rPr>
        <w:t> </w:t>
      </w:r>
      <w:r>
        <w:rPr/>
        <w:t>月</w:t>
      </w:r>
      <w:r>
        <w:rPr>
          <w:spacing w:val="-54"/>
        </w:rPr>
        <w:t> </w:t>
      </w:r>
      <w:r>
        <w:rPr>
          <w:rFonts w:ascii="Calibri" w:hAnsi="Calibri" w:cs="Calibri" w:eastAsia="Calibri" w:hint="default"/>
        </w:rPr>
        <w:t>31</w:t>
      </w:r>
      <w:r>
        <w:rPr>
          <w:rFonts w:ascii="Calibri" w:hAnsi="Calibri" w:cs="Calibri" w:eastAsia="Calibri" w:hint="default"/>
          <w:spacing w:val="6"/>
        </w:rPr>
        <w:t> </w:t>
      </w:r>
      <w:r>
        <w:rPr/>
        <w:t>日止为一个会计年度。</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spacing w:line="338" w:lineRule="auto" w:before="0"/>
        <w:ind w:left="573" w:right="7708"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（三）营业周期</w:t>
      </w:r>
      <w:r>
        <w:rPr>
          <w:rFonts w:ascii="Microsoft JhengHei" w:hAnsi="Microsoft JhengHei" w:cs="Microsoft JhengHei" w:eastAsia="Microsoft JhengHei" w:hint="default"/>
          <w:b/>
          <w:bCs/>
          <w:spacing w:val="-47"/>
          <w:sz w:val="21"/>
          <w:szCs w:val="21"/>
        </w:rPr>
        <w:t> </w:t>
      </w:r>
      <w:r>
        <w:rPr>
          <w:rFonts w:ascii="宋体" w:hAnsi="宋体" w:cs="宋体" w:eastAsia="宋体" w:hint="default"/>
          <w:sz w:val="21"/>
          <w:szCs w:val="21"/>
        </w:rPr>
        <w:t>本公司营业周期为</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个月。</w:t>
      </w:r>
    </w:p>
    <w:p>
      <w:pPr>
        <w:spacing w:line="240" w:lineRule="auto" w:before="5"/>
        <w:rPr>
          <w:rFonts w:ascii="宋体" w:hAnsi="宋体" w:cs="宋体" w:eastAsia="宋体" w:hint="default"/>
          <w:sz w:val="30"/>
          <w:szCs w:val="30"/>
        </w:rPr>
      </w:pPr>
    </w:p>
    <w:p>
      <w:pPr>
        <w:spacing w:line="338" w:lineRule="auto" w:before="0"/>
        <w:ind w:left="573" w:right="6408"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（四）记账本位币</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本公司采用人民币为记账本位币。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40" w:lineRule="auto" w:before="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（五）同一控制下和非同一控制下企业合并的会计处理方法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同一控制下企业合并：本公司在企业合并中取得的资产和负债，按照合并日被合并方资产、负债（包</w:t>
      </w:r>
    </w:p>
    <w:p>
      <w:pPr>
        <w:pStyle w:val="BodyText"/>
        <w:spacing w:line="355" w:lineRule="auto" w:before="45"/>
        <w:ind w:right="0"/>
        <w:jc w:val="left"/>
      </w:pP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p>
    <w:p>
      <w:pPr>
        <w:spacing w:after="0" w:line="355"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393" w:lineRule="auto" w:before="36"/>
        <w:ind w:left="573" w:right="0" w:hanging="421"/>
        <w:jc w:val="left"/>
      </w:pPr>
      <w:r>
        <w:rPr/>
        <w:t>价，资本公积中的股本溢价不足冲减的，调整留存收益。</w:t>
      </w:r>
      <w:r>
        <w:rPr>
          <w:w w:val="100"/>
        </w:rPr>
        <w:t> </w:t>
      </w:r>
      <w:r>
        <w:rPr>
          <w:spacing w:val="-2"/>
        </w:rPr>
        <w:t>非同一控制下企业合并：本公司在购买日对作为企业合并对价付出的资产、发生或承担的负债按照公</w:t>
      </w:r>
    </w:p>
    <w:p>
      <w:pPr>
        <w:pStyle w:val="BodyText"/>
        <w:spacing w:line="355" w:lineRule="auto"/>
        <w:ind w:right="1126"/>
        <w:jc w:val="both"/>
      </w:pP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4"/>
        </w:rPr>
        <w:t> </w:t>
      </w:r>
      <w:r>
        <w:rPr>
          <w:spacing w:val="-44"/>
        </w:rPr>
      </w:r>
      <w:r>
        <w:rPr/>
        <w:t>允价值份额的差额，经复核后，计入当期损益。</w:t>
      </w:r>
    </w:p>
    <w:p>
      <w:pPr>
        <w:pStyle w:val="BodyText"/>
        <w:spacing w:line="355" w:lineRule="auto" w:before="73"/>
        <w:ind w:right="0" w:firstLine="420"/>
        <w:jc w:val="left"/>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spacing w:line="240" w:lineRule="auto" w:before="0"/>
        <w:rPr>
          <w:rFonts w:ascii="宋体" w:hAnsi="宋体" w:cs="宋体" w:eastAsia="宋体" w:hint="default"/>
          <w:sz w:val="20"/>
          <w:szCs w:val="20"/>
        </w:rPr>
      </w:pPr>
    </w:p>
    <w:p>
      <w:pPr>
        <w:pStyle w:val="Heading4"/>
        <w:spacing w:line="240" w:lineRule="auto" w:before="167"/>
        <w:ind w:left="575" w:right="0"/>
        <w:jc w:val="left"/>
        <w:rPr>
          <w:b w:val="0"/>
          <w:bCs w:val="0"/>
        </w:rPr>
      </w:pPr>
      <w:r>
        <w:rPr/>
        <w:t>（六）合并财务报表的编制方法</w:t>
      </w:r>
      <w:r>
        <w:rPr>
          <w:b w:val="0"/>
          <w:bCs w:val="0"/>
        </w:rPr>
      </w:r>
    </w:p>
    <w:p>
      <w:pPr>
        <w:pStyle w:val="BodyText"/>
        <w:spacing w:line="340" w:lineRule="auto" w:before="83"/>
        <w:ind w:left="573" w:right="115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 合并范围</w:t>
      </w:r>
      <w:r>
        <w:rPr>
          <w:rFonts w:ascii="Microsoft JhengHei" w:hAnsi="Microsoft JhengHei" w:cs="Microsoft JhengHei" w:eastAsia="Microsoft JhengHei" w:hint="default"/>
          <w:b/>
          <w:bCs/>
          <w:spacing w:val="-48"/>
        </w:rPr>
        <w:t> </w:t>
      </w:r>
      <w:r>
        <w:rPr>
          <w:rFonts w:ascii="Microsoft JhengHei" w:hAnsi="Microsoft JhengHei" w:cs="Microsoft JhengHei" w:eastAsia="Microsoft JhengHei" w:hint="default"/>
          <w:b/>
          <w:bCs/>
          <w:spacing w:val="-48"/>
        </w:rPr>
      </w:r>
      <w:r>
        <w:rPr>
          <w:spacing w:val="-2"/>
        </w:rPr>
        <w:t>本公司合并财务报表的合并范围以控制为基础确定，所有子公司（包括本公司所控制的被投资方可分</w:t>
      </w:r>
    </w:p>
    <w:p>
      <w:pPr>
        <w:pStyle w:val="BodyText"/>
        <w:spacing w:line="240" w:lineRule="auto" w:before="42"/>
        <w:ind w:right="0"/>
        <w:jc w:val="left"/>
      </w:pPr>
      <w:r>
        <w:rPr/>
        <w:t>割的部分）均纳入合并财务报表。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340" w:lineRule="auto"/>
        <w:ind w:left="573" w:right="1150"/>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 合并程序</w:t>
      </w:r>
      <w:r>
        <w:rPr>
          <w:rFonts w:ascii="Microsoft JhengHei" w:hAnsi="Microsoft JhengHei" w:cs="Microsoft JhengHei" w:eastAsia="Microsoft JhengHei" w:hint="default"/>
          <w:b/>
          <w:bCs/>
          <w:spacing w:val="-48"/>
        </w:rPr>
        <w:t> </w:t>
      </w:r>
      <w:r>
        <w:rPr>
          <w:rFonts w:ascii="Microsoft JhengHei" w:hAnsi="Microsoft JhengHei" w:cs="Microsoft JhengHei" w:eastAsia="Microsoft JhengHei" w:hint="default"/>
          <w:b/>
          <w:bCs/>
          <w:spacing w:val="-48"/>
        </w:rPr>
      </w:r>
      <w:r>
        <w:rPr>
          <w:spacing w:val="-2"/>
        </w:rPr>
        <w:t>本公司以自身和各子公司的财务报表为基础，根据其他有关资料，编制合并财务报表。本公司编制</w:t>
      </w:r>
    </w:p>
    <w:p>
      <w:pPr>
        <w:pStyle w:val="BodyText"/>
        <w:spacing w:line="357" w:lineRule="auto" w:before="45"/>
        <w:ind w:right="0"/>
        <w:jc w:val="left"/>
      </w:pPr>
      <w:r>
        <w:rPr>
          <w:spacing w:val="-2"/>
        </w:rPr>
        <w:t>合并财务报表，将整个企业集团视为一个会计主体，依据相关企业会计准则的确认、计量和列报要求，</w:t>
      </w:r>
      <w:r>
        <w:rPr>
          <w:spacing w:val="-21"/>
        </w:rPr>
        <w:t> </w:t>
      </w:r>
      <w:r>
        <w:rPr>
          <w:spacing w:val="-21"/>
        </w:rPr>
      </w:r>
      <w:r>
        <w:rPr/>
        <w:t>按照统一的会计政策，反映本企业集团整体财务状况、经营成果和现金流量。</w:t>
      </w:r>
    </w:p>
    <w:p>
      <w:pPr>
        <w:pStyle w:val="BodyText"/>
        <w:spacing w:line="357" w:lineRule="auto" w:before="30"/>
        <w:ind w:right="1313" w:firstLine="420"/>
        <w:jc w:val="both"/>
      </w:pPr>
      <w:r>
        <w:rPr>
          <w:spacing w:val="-2"/>
        </w:rPr>
        <w:t>所有纳入合并财务报表合并范围的子公司所采用的会计政策、会计期间与本公司一致，如子公司采</w:t>
      </w:r>
      <w:r>
        <w:rPr>
          <w:w w:val="100"/>
        </w:rPr>
        <w:t> </w:t>
      </w:r>
      <w:r>
        <w:rPr>
          <w:spacing w:val="-2"/>
        </w:rPr>
        <w:t>用的会计政策、会计期间与本公司不一致的，在编制合并财务报表时，按本公司的会计政策、会计期间</w:t>
      </w:r>
      <w:r>
        <w:rPr>
          <w:spacing w:val="-21"/>
        </w:rPr>
        <w:t> </w:t>
      </w:r>
      <w:r>
        <w:rPr>
          <w:spacing w:val="-21"/>
        </w:rPr>
      </w:r>
      <w:r>
        <w:rPr/>
        <w:t>进行必要的调整。</w:t>
      </w:r>
    </w:p>
    <w:p>
      <w:pPr>
        <w:pStyle w:val="BodyText"/>
        <w:spacing w:line="355" w:lineRule="auto" w:before="30"/>
        <w:ind w:right="1313" w:firstLine="420"/>
        <w:jc w:val="both"/>
      </w:pPr>
      <w:r>
        <w:rPr>
          <w:spacing w:val="-2"/>
        </w:rPr>
        <w:t>合并财务报表时抵销本公司与各子公司、各子公司相互之间发生的内部交易对合并资产负债表、合</w:t>
      </w:r>
      <w:r>
        <w:rPr>
          <w:w w:val="100"/>
        </w:rPr>
        <w:t> </w:t>
      </w:r>
      <w:r>
        <w:rPr>
          <w:spacing w:val="-2"/>
        </w:rPr>
        <w:t>并利润表、合并现金流量表、合并股东权益变动表的影响。如果站在企业集团合并财务报表角度与以本</w:t>
      </w:r>
      <w:r>
        <w:rPr>
          <w:spacing w:val="-21"/>
        </w:rPr>
        <w:t> </w:t>
      </w:r>
      <w:r>
        <w:rPr>
          <w:spacing w:val="-21"/>
        </w:rPr>
      </w:r>
      <w:r>
        <w:rPr/>
        <w:t>公司或子公司为会计主体对同一交易的认定不同时，从企业集团的角度对该交易予以调整。</w:t>
      </w:r>
    </w:p>
    <w:p>
      <w:pPr>
        <w:pStyle w:val="BodyText"/>
        <w:spacing w:line="357" w:lineRule="auto" w:before="34"/>
        <w:ind w:right="1313" w:firstLine="420"/>
        <w:jc w:val="right"/>
      </w:pPr>
      <w:r>
        <w:rPr>
          <w:spacing w:val="-2"/>
        </w:rPr>
        <w:t>子公司所有者权益、当期净损益和当期综合收益中属于少数股东的份额分别在合并资产负债表中所</w:t>
      </w:r>
      <w:r>
        <w:rPr>
          <w:w w:val="100"/>
        </w:rPr>
        <w:t> </w:t>
      </w:r>
      <w:r>
        <w:rPr>
          <w:spacing w:val="-2"/>
        </w:rPr>
        <w:t>有者权益项目下、合并利润表中净利润项目下和综合收益总额项目下单独列示。子公司少数股东分担的</w:t>
      </w:r>
      <w:r>
        <w:rPr>
          <w:spacing w:val="-42"/>
        </w:rPr>
        <w:t> </w:t>
      </w:r>
      <w:r>
        <w:rPr>
          <w:spacing w:val="-42"/>
        </w:rPr>
      </w:r>
      <w:r>
        <w:rPr>
          <w:spacing w:val="-2"/>
        </w:rPr>
        <w:t>当期亏损超过了少数股东在该子公司期初所有者权益中所享有份额而形成的余额，冲减少数股东权益。</w:t>
      </w:r>
      <w:r>
        <w:rPr>
          <w:spacing w:val="-42"/>
        </w:rPr>
        <w:t> </w:t>
      </w:r>
      <w:r>
        <w:rPr>
          <w:spacing w:val="-42"/>
        </w:rPr>
      </w:r>
      <w:r>
        <w:rPr>
          <w:spacing w:val="-2"/>
        </w:rPr>
        <w:t>对于同一控制下企业合并取得的子公司，以其资产、负债（包括最终控制方收购该子公司而形成的</w:t>
      </w:r>
    </w:p>
    <w:p>
      <w:pPr>
        <w:pStyle w:val="BodyText"/>
        <w:spacing w:line="355" w:lineRule="auto" w:before="32"/>
        <w:ind w:left="573" w:right="0" w:hanging="421"/>
        <w:jc w:val="left"/>
      </w:pPr>
      <w:r>
        <w:rPr/>
        <w:t>商誉）在最终控制方财务报表中的账面价值为基础对其财务报表进行调整。</w:t>
      </w:r>
      <w:r>
        <w:rPr>
          <w:w w:val="100"/>
        </w:rPr>
        <w:t> </w:t>
      </w:r>
      <w:r>
        <w:rPr>
          <w:spacing w:val="-2"/>
        </w:rPr>
        <w:t>对于非同一控制下企业合并取得的子公司，以购买日可辨认净资产公允价值为基础对其财务报表进</w:t>
      </w:r>
    </w:p>
    <w:p>
      <w:pPr>
        <w:pStyle w:val="BodyText"/>
        <w:spacing w:line="240" w:lineRule="auto" w:before="32"/>
        <w:ind w:right="0"/>
        <w:jc w:val="left"/>
      </w:pPr>
      <w:r>
        <w:rPr/>
        <w:t>行调整。</w:t>
      </w:r>
    </w:p>
    <w:p>
      <w:pPr>
        <w:pStyle w:val="BodyText"/>
        <w:spacing w:line="336" w:lineRule="auto" w:before="133"/>
        <w:ind w:left="573" w:right="0"/>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在报告期内，若因同一控制下企业合并增加子公司或业务的，则调整合并资产负债表的期初数；将</w:t>
      </w:r>
    </w:p>
    <w:p>
      <w:pPr>
        <w:pStyle w:val="BodyText"/>
        <w:spacing w:line="240" w:lineRule="auto" w:before="52"/>
        <w:ind w:right="0"/>
        <w:jc w:val="left"/>
      </w:pPr>
      <w:r>
        <w:rPr/>
        <w:t>子公司或业务合并当期期初至报告期末的收入、费用、利润纳入合并利润表；将子公司或业务合并当期</w:t>
      </w:r>
    </w:p>
    <w:p>
      <w:pPr>
        <w:spacing w:after="0" w:line="240" w:lineRule="auto"/>
        <w:jc w:val="left"/>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0"/>
        <w:jc w:val="left"/>
      </w:pPr>
      <w:r>
        <w:rPr>
          <w:spacing w:val="-2"/>
        </w:rPr>
        <w:t>期初至报告期末的现金流量纳入合并现金流量表，同时对比较报表的相关项目进行调整，视同合并后的</w:t>
      </w:r>
      <w:r>
        <w:rPr>
          <w:spacing w:val="-21"/>
        </w:rPr>
        <w:t> </w:t>
      </w:r>
      <w:r>
        <w:rPr>
          <w:spacing w:val="-21"/>
        </w:rPr>
      </w:r>
      <w:r>
        <w:rPr/>
        <w:t>报告主体自最终控制方开始控制时点起一直存在。</w:t>
      </w:r>
    </w:p>
    <w:p>
      <w:pPr>
        <w:pStyle w:val="BodyText"/>
        <w:spacing w:line="357" w:lineRule="auto" w:before="32"/>
        <w:ind w:right="1313" w:firstLine="420"/>
        <w:jc w:val="both"/>
      </w:pPr>
      <w:r>
        <w:rPr>
          <w:spacing w:val="-2"/>
        </w:rPr>
        <w:t>因追加投资等原因能够对同一控制下的被投资方实施控制的，视同参与合并的各方在最终控制方开</w:t>
      </w:r>
      <w:r>
        <w:rPr>
          <w:w w:val="100"/>
        </w:rPr>
        <w:t> </w:t>
      </w:r>
      <w:r>
        <w:rPr>
          <w:spacing w:val="-2"/>
        </w:rPr>
        <w:t>始控制时即以目前的状态存在进行调整。在取得被合并方控制权之前持有的股权投资，在取得原股权之</w:t>
      </w:r>
      <w:r>
        <w:rPr>
          <w:spacing w:val="-21"/>
        </w:rPr>
        <w:t> </w:t>
      </w:r>
      <w:r>
        <w:rPr>
          <w:spacing w:val="-21"/>
        </w:rPr>
      </w:r>
      <w:r>
        <w:rPr>
          <w:spacing w:val="-2"/>
        </w:rPr>
        <w:t>日与合并方和被合并方同处于同一控制之日孰晚日起至合并日之间已确认有关损益、其他综合收益以及</w:t>
      </w:r>
      <w:r>
        <w:rPr>
          <w:spacing w:val="-21"/>
        </w:rPr>
        <w:t> </w:t>
      </w:r>
      <w:r>
        <w:rPr>
          <w:spacing w:val="-21"/>
        </w:rPr>
      </w:r>
      <w:r>
        <w:rPr/>
        <w:t>其他净资产变动，分别冲减比较报表期间的期初留存收益或当期损益。</w:t>
      </w:r>
    </w:p>
    <w:p>
      <w:pPr>
        <w:pStyle w:val="BodyText"/>
        <w:spacing w:line="357" w:lineRule="auto" w:before="30"/>
        <w:ind w:right="1313" w:firstLine="420"/>
        <w:jc w:val="both"/>
      </w:pPr>
      <w:r>
        <w:rPr>
          <w:spacing w:val="-2"/>
        </w:rPr>
        <w:t>在报告期内，若因非同一控制下企业合并增加子公司或业务的，则不调整合并资产负债表期初数；</w:t>
      </w:r>
      <w:r>
        <w:rPr>
          <w:w w:val="100"/>
        </w:rPr>
        <w:t> </w:t>
      </w:r>
      <w:r>
        <w:rPr>
          <w:spacing w:val="-2"/>
        </w:rPr>
        <w:t>将该子公司或业务自购买日至报告期末的收入、费用、利润纳入合并利润表；该子公司或业务自购买日</w:t>
      </w:r>
      <w:r>
        <w:rPr>
          <w:spacing w:val="-21"/>
        </w:rPr>
        <w:t> </w:t>
      </w:r>
      <w:r>
        <w:rPr>
          <w:spacing w:val="-21"/>
        </w:rPr>
      </w:r>
      <w:r>
        <w:rPr/>
        <w:t>至报告期末的现金流量纳入合并现金流量表。</w:t>
      </w:r>
    </w:p>
    <w:p>
      <w:pPr>
        <w:pStyle w:val="BodyText"/>
        <w:spacing w:line="357" w:lineRule="auto" w:before="30"/>
        <w:ind w:right="1313" w:firstLine="420"/>
        <w:jc w:val="both"/>
      </w:pPr>
      <w:r>
        <w:rPr>
          <w:spacing w:val="-2"/>
        </w:rPr>
        <w:t>因追加投资等原因能够对非同一控制下的被投资方实施控制的，对于购买日之前持有的被购买方的</w:t>
      </w:r>
      <w:r>
        <w:rPr>
          <w:w w:val="100"/>
        </w:rPr>
        <w:t> </w:t>
      </w:r>
      <w:r>
        <w:rPr>
          <w:spacing w:val="-2"/>
        </w:rPr>
        <w:t>股权，本公司按照该股权在购买日的公允价值进行重新计量，公允价值与其账面价值的差额计入当期投</w:t>
      </w:r>
      <w:r>
        <w:rPr>
          <w:spacing w:val="-21"/>
        </w:rPr>
        <w:t> </w:t>
      </w:r>
      <w:r>
        <w:rPr>
          <w:spacing w:val="-21"/>
        </w:rPr>
      </w:r>
      <w:r>
        <w:rPr>
          <w:spacing w:val="-2"/>
        </w:rPr>
        <w:t>资收益。购买日之前持有的被购买方的股权涉及权益法核算下的其他综合收益以及除净损益、其他综合</w:t>
      </w:r>
      <w:r>
        <w:rPr>
          <w:spacing w:val="-21"/>
        </w:rPr>
        <w:t> </w:t>
      </w:r>
      <w:r>
        <w:rPr>
          <w:spacing w:val="-21"/>
        </w:rPr>
      </w:r>
      <w:r>
        <w:rPr>
          <w:spacing w:val="-2"/>
        </w:rPr>
        <w:t>收益和利润分配之外的其他所有者权益变动的，与其相关的其他综合收益、其他所有者权益变动转为购</w:t>
      </w:r>
      <w:r>
        <w:rPr>
          <w:spacing w:val="-21"/>
        </w:rPr>
        <w:t> </w:t>
      </w:r>
      <w:r>
        <w:rPr>
          <w:spacing w:val="-21"/>
        </w:rPr>
      </w:r>
      <w:r>
        <w:rPr>
          <w:spacing w:val="-2"/>
        </w:rPr>
        <w:t>买日所属当期投资收益，由于被投资方重新计量设定受益计划净负债或净资产变动而产生的其他综合收</w:t>
      </w:r>
      <w:r>
        <w:rPr>
          <w:spacing w:val="-20"/>
        </w:rPr>
        <w:t> </w:t>
      </w:r>
      <w:r>
        <w:rPr>
          <w:spacing w:val="-20"/>
        </w:rPr>
      </w:r>
      <w:r>
        <w:rPr/>
        <w:t>益除外。</w:t>
      </w:r>
    </w:p>
    <w:p>
      <w:pPr>
        <w:pStyle w:val="BodyText"/>
        <w:spacing w:line="240" w:lineRule="auto" w:before="30"/>
        <w:ind w:left="573" w:right="0"/>
        <w:jc w:val="left"/>
      </w:pPr>
      <w:r>
        <w:rPr/>
        <w:t>（</w:t>
      </w:r>
      <w:r>
        <w:rPr>
          <w:rFonts w:ascii="Times New Roman" w:hAnsi="Times New Roman" w:cs="Times New Roman" w:eastAsia="Times New Roman" w:hint="default"/>
        </w:rPr>
        <w:t>2</w:t>
      </w:r>
      <w:r>
        <w:rPr/>
        <w:t>）处置子公司或业务</w:t>
      </w:r>
    </w:p>
    <w:p>
      <w:pPr>
        <w:pStyle w:val="BodyText"/>
        <w:spacing w:line="338" w:lineRule="auto" w:before="117"/>
        <w:ind w:left="573" w:right="0"/>
        <w:jc w:val="left"/>
      </w:pPr>
      <w:r>
        <w:rPr>
          <w:rFonts w:ascii="Times New Roman" w:hAnsi="Times New Roman" w:cs="Times New Roman" w:eastAsia="Times New Roman" w:hint="default"/>
        </w:rPr>
        <w:t>1</w:t>
      </w:r>
      <w:r>
        <w:rPr/>
        <w:t>）一般处理方法</w:t>
      </w:r>
      <w:r>
        <w:rPr>
          <w:w w:val="100"/>
        </w:rPr>
        <w:t> </w:t>
      </w:r>
      <w:r>
        <w:rPr>
          <w:spacing w:val="-2"/>
        </w:rPr>
        <w:t>在报告期内，本公司处置子公司或业务，则该子公司或业务期初至处置日的收入、费用、利润纳入</w:t>
      </w:r>
    </w:p>
    <w:p>
      <w:pPr>
        <w:pStyle w:val="BodyText"/>
        <w:spacing w:line="355" w:lineRule="auto" w:before="47"/>
        <w:ind w:left="573" w:right="0" w:hanging="421"/>
        <w:jc w:val="left"/>
      </w:pPr>
      <w:r>
        <w:rPr/>
        <w:t>合并利润表；该子公司或业务期初至处置日的现金流量纳入合并现金流量表。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w:t>
      </w:r>
    </w:p>
    <w:p>
      <w:pPr>
        <w:pStyle w:val="BodyText"/>
        <w:spacing w:line="357" w:lineRule="auto" w:before="32"/>
        <w:ind w:right="0"/>
        <w:jc w:val="left"/>
      </w:pPr>
      <w:r>
        <w:rPr>
          <w:spacing w:val="-2"/>
        </w:rPr>
        <w:t>按照其在丧失控制权日的公允价值进行重新计量。处置股权取得的对价与剩余股权公允价值之和，减去</w:t>
      </w:r>
      <w:r>
        <w:rPr>
          <w:spacing w:val="-21"/>
        </w:rPr>
        <w:t> </w:t>
      </w:r>
      <w:r>
        <w:rPr>
          <w:spacing w:val="-21"/>
        </w:rPr>
      </w:r>
      <w:r>
        <w:rPr/>
        <w:t>按原持股比例计算应享有原有子公司自购买日或合并日开始持续计算的净资产的份额与商誉之和的差</w:t>
      </w:r>
      <w:r>
        <w:rPr>
          <w:w w:val="100"/>
        </w:rPr>
        <w:t> </w:t>
      </w:r>
      <w:r>
        <w:rPr>
          <w:spacing w:val="-2"/>
        </w:rPr>
        <w:t>额，计入丧失控制权当期的投资收益。与原有子公司股权投资相关的其他综合收益或除净损益、其他综</w:t>
      </w:r>
      <w:r>
        <w:rPr>
          <w:spacing w:val="-21"/>
        </w:rPr>
        <w:t> </w:t>
      </w:r>
      <w:r>
        <w:rPr>
          <w:spacing w:val="-21"/>
        </w:rPr>
      </w:r>
      <w:r>
        <w:rPr>
          <w:spacing w:val="-2"/>
        </w:rPr>
        <w:t>合收益及利润分配之外的其他所有者权益变动，在丧失控制权时转为当期投资收益，由于被投资方重新</w:t>
      </w:r>
      <w:r>
        <w:rPr>
          <w:spacing w:val="-21"/>
        </w:rPr>
        <w:t> </w:t>
      </w:r>
      <w:r>
        <w:rPr>
          <w:spacing w:val="-21"/>
        </w:rPr>
      </w:r>
      <w:r>
        <w:rPr/>
        <w:t>计量设定受益计划净负债或净资产变动而产生的其他综合收益除外。</w:t>
      </w:r>
    </w:p>
    <w:p>
      <w:pPr>
        <w:pStyle w:val="BodyText"/>
        <w:spacing w:line="357" w:lineRule="auto" w:before="30"/>
        <w:ind w:right="1313" w:firstLine="420"/>
        <w:jc w:val="both"/>
      </w:pPr>
      <w:r>
        <w:rPr>
          <w:spacing w:val="-2"/>
        </w:rPr>
        <w:t>因其他投资方对子公司增资而导致本公司持股比例下降从而丧失控制权的，按照上述原则进行会计</w:t>
      </w:r>
      <w:r>
        <w:rPr>
          <w:w w:val="100"/>
        </w:rPr>
        <w:t> </w:t>
      </w:r>
      <w:r>
        <w:rPr/>
        <w:t>处理。</w:t>
      </w:r>
    </w:p>
    <w:p>
      <w:pPr>
        <w:pStyle w:val="BodyText"/>
        <w:spacing w:line="336" w:lineRule="auto" w:before="30"/>
        <w:ind w:left="573" w:right="0"/>
        <w:jc w:val="left"/>
      </w:pPr>
      <w:r>
        <w:rPr>
          <w:rFonts w:ascii="Times New Roman" w:hAnsi="Times New Roman" w:cs="Times New Roman" w:eastAsia="Times New Roman" w:hint="default"/>
        </w:rPr>
        <w:t>2</w:t>
      </w:r>
      <w:r>
        <w:rPr/>
        <w:t>）分步处置子公司</w:t>
      </w:r>
      <w:r>
        <w:rPr>
          <w:w w:val="100"/>
        </w:rPr>
        <w:t> </w:t>
      </w:r>
      <w:r>
        <w:rPr>
          <w:spacing w:val="-2"/>
        </w:rPr>
        <w:t>通过多次交易分步处置对子公司股权投资直至丧失控制权的，处置对子公司股权投资的各项交易的</w:t>
      </w:r>
    </w:p>
    <w:p>
      <w:pPr>
        <w:pStyle w:val="BodyText"/>
        <w:spacing w:line="355" w:lineRule="auto" w:before="49"/>
        <w:ind w:right="1150"/>
        <w:jc w:val="left"/>
      </w:pPr>
      <w:r>
        <w:rPr>
          <w:spacing w:val="-2"/>
        </w:rPr>
        <w:t>条款、条件以及经济影响符合以下一种或多种情况，通常表明应将多次交易事项作为一揽子交易进行会</w:t>
      </w:r>
      <w:r>
        <w:rPr>
          <w:spacing w:val="-21"/>
        </w:rPr>
        <w:t> </w:t>
      </w:r>
      <w:r>
        <w:rPr>
          <w:spacing w:val="-21"/>
        </w:rPr>
      </w:r>
      <w:r>
        <w:rPr/>
        <w:t>计处理：</w:t>
      </w:r>
    </w:p>
    <w:p>
      <w:pPr>
        <w:pStyle w:val="BodyText"/>
        <w:spacing w:line="336" w:lineRule="auto" w:before="34"/>
        <w:ind w:left="573" w:right="3233"/>
        <w:jc w:val="left"/>
      </w:pPr>
      <w:r>
        <w:rPr>
          <w:rFonts w:ascii="Times New Roman" w:hAnsi="Times New Roman" w:cs="Times New Roman" w:eastAsia="Times New Roman" w:hint="default"/>
          <w:spacing w:val="-2"/>
        </w:rPr>
        <w:t>A.</w:t>
      </w:r>
      <w:r>
        <w:rPr>
          <w:spacing w:val="-2"/>
        </w:rPr>
        <w:t>这些交易是同时或者在考虑了彼此影响的情况下订立的；</w:t>
      </w:r>
      <w:r>
        <w:rPr>
          <w:spacing w:val="-55"/>
        </w:rPr>
        <w:t> </w:t>
      </w:r>
      <w:r>
        <w:rPr>
          <w:spacing w:val="-55"/>
        </w:rPr>
      </w:r>
      <w:r>
        <w:rPr>
          <w:rFonts w:ascii="Times New Roman" w:hAnsi="Times New Roman" w:cs="Times New Roman" w:eastAsia="Times New Roman" w:hint="default"/>
        </w:rPr>
        <w:t>B.</w:t>
      </w:r>
      <w:r>
        <w:rPr/>
        <w:t>这些交易整体才能达成一项完整的商业结果；</w:t>
      </w:r>
      <w:r>
        <w:rPr>
          <w:w w:val="100"/>
        </w:rPr>
        <w:t> </w:t>
      </w:r>
      <w:r>
        <w:rPr>
          <w:rFonts w:ascii="Times New Roman" w:hAnsi="Times New Roman" w:cs="Times New Roman" w:eastAsia="Times New Roman" w:hint="default"/>
        </w:rPr>
        <w:t>C.</w:t>
      </w:r>
      <w:r>
        <w:rPr/>
        <w:t>一项交易的发生取决于其他至少一项交易的发生；</w:t>
      </w:r>
    </w:p>
    <w:p>
      <w:pPr>
        <w:spacing w:after="0" w:line="336" w:lineRule="auto"/>
        <w:jc w:val="left"/>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36" w:lineRule="auto" w:before="36"/>
        <w:ind w:left="573" w:right="0"/>
        <w:jc w:val="left"/>
      </w:pPr>
      <w:r>
        <w:rPr>
          <w:rFonts w:ascii="Times New Roman" w:hAnsi="Times New Roman" w:cs="Times New Roman" w:eastAsia="Times New Roman" w:hint="default"/>
        </w:rPr>
        <w:t>D.</w:t>
      </w:r>
      <w:r>
        <w:rPr/>
        <w:t>一项交易单独看是不经济的，但是和其他交易一并考虑时是经济的。</w:t>
      </w:r>
      <w:r>
        <w:rPr>
          <w:w w:val="100"/>
        </w:rPr>
        <w:t> </w:t>
      </w:r>
      <w:r>
        <w:rPr>
          <w:spacing w:val="-2"/>
        </w:rPr>
        <w:t>处置对子公司股权投资直至丧失控制权的各项交易属于一揽子交易的，本公司将各项交易作为一项</w:t>
      </w:r>
    </w:p>
    <w:p>
      <w:pPr>
        <w:pStyle w:val="BodyText"/>
        <w:spacing w:line="357" w:lineRule="auto" w:before="49"/>
        <w:ind w:right="1314"/>
        <w:jc w:val="both"/>
      </w:pPr>
      <w:r>
        <w:rPr>
          <w:spacing w:val="-2"/>
        </w:rPr>
        <w:t>处置子公司并丧失控制权的交易进行会计处理；但是，在丧失控制权之前每一次处置价款与处置投资对</w:t>
      </w:r>
      <w:r>
        <w:rPr>
          <w:spacing w:val="-21"/>
        </w:rPr>
        <w:t> </w:t>
      </w:r>
      <w:r>
        <w:rPr>
          <w:spacing w:val="-21"/>
        </w:rPr>
      </w:r>
      <w:r>
        <w:rPr>
          <w:spacing w:val="-2"/>
        </w:rPr>
        <w:t>应的享有该子公司净资产份额的差额，在合并财务报表中确认为其他综合收益，在丧失控制权时一并转</w:t>
      </w:r>
      <w:r>
        <w:rPr>
          <w:spacing w:val="-21"/>
        </w:rPr>
        <w:t> </w:t>
      </w:r>
      <w:r>
        <w:rPr>
          <w:spacing w:val="-21"/>
        </w:rPr>
      </w:r>
      <w:r>
        <w:rPr/>
        <w:t>入丧失控制权当期的损益。</w:t>
      </w:r>
    </w:p>
    <w:p>
      <w:pPr>
        <w:pStyle w:val="BodyText"/>
        <w:spacing w:line="357" w:lineRule="auto" w:before="30"/>
        <w:ind w:right="1313" w:firstLine="420"/>
        <w:jc w:val="both"/>
      </w:pPr>
      <w:r>
        <w:rPr>
          <w:spacing w:val="-2"/>
        </w:rPr>
        <w:t>处置对子公司股权投资直至丧失控制权的各项交易不属于一揽子交易的，在丧失控制权之前，按不</w:t>
      </w:r>
      <w:r>
        <w:rPr>
          <w:w w:val="100"/>
        </w:rPr>
        <w:t> </w:t>
      </w:r>
      <w:r>
        <w:rPr>
          <w:spacing w:val="-2"/>
        </w:rPr>
        <w:t>丧失控制权的情况下部分处置对子公司的股权投资的相关政策进行会计处理；在丧失控制权时，按处置</w:t>
      </w:r>
      <w:r>
        <w:rPr>
          <w:spacing w:val="-21"/>
        </w:rPr>
        <w:t> </w:t>
      </w:r>
      <w:r>
        <w:rPr>
          <w:spacing w:val="-21"/>
        </w:rPr>
      </w:r>
      <w:r>
        <w:rPr/>
        <w:t>子公司一般处理方法进行会计处理。</w:t>
      </w:r>
    </w:p>
    <w:p>
      <w:pPr>
        <w:pStyle w:val="BodyText"/>
        <w:spacing w:line="336" w:lineRule="auto" w:before="31"/>
        <w:ind w:left="573" w:right="0"/>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本公司因购买少数股权新取得的长期股权投资与按照新增持股比例计算应享有子公司自购买日（或</w:t>
      </w:r>
    </w:p>
    <w:p>
      <w:pPr>
        <w:pStyle w:val="BodyText"/>
        <w:spacing w:line="355" w:lineRule="auto" w:before="49"/>
        <w:ind w:right="0"/>
        <w:jc w:val="left"/>
      </w:pPr>
      <w:r>
        <w:rPr>
          <w:spacing w:val="-2"/>
        </w:rPr>
        <w:t>合并日）开始持续计算的净资产份额之间的差额，调整合并资产负债表中的资本公积中的股本溢价，资</w:t>
      </w:r>
      <w:r>
        <w:rPr>
          <w:spacing w:val="-20"/>
        </w:rPr>
        <w:t> </w:t>
      </w:r>
      <w:r>
        <w:rPr>
          <w:spacing w:val="-20"/>
        </w:rPr>
      </w:r>
      <w:r>
        <w:rPr/>
        <w:t>本公积中的股本溢价不足冲减的，调整留存收益。</w:t>
      </w:r>
    </w:p>
    <w:p>
      <w:pPr>
        <w:pStyle w:val="BodyText"/>
        <w:spacing w:line="336" w:lineRule="auto" w:before="34"/>
        <w:ind w:left="573" w:right="0"/>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355" w:lineRule="auto" w:before="49"/>
        <w:ind w:right="0"/>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0"/>
        <w:rPr>
          <w:rFonts w:ascii="宋体" w:hAnsi="宋体" w:cs="宋体" w:eastAsia="宋体" w:hint="default"/>
          <w:sz w:val="20"/>
          <w:szCs w:val="20"/>
        </w:rPr>
      </w:pPr>
    </w:p>
    <w:p>
      <w:pPr>
        <w:pStyle w:val="Heading4"/>
        <w:spacing w:line="240" w:lineRule="auto" w:before="146"/>
        <w:ind w:left="575" w:right="0"/>
        <w:jc w:val="left"/>
        <w:rPr>
          <w:b w:val="0"/>
          <w:bCs w:val="0"/>
        </w:rPr>
      </w:pPr>
      <w:r>
        <w:rPr/>
        <w:t>（七）合营安排分类及共同经营会计处理方法</w:t>
      </w:r>
      <w:r>
        <w:rPr>
          <w:b w:val="0"/>
          <w:bCs w:val="0"/>
        </w:rPr>
      </w:r>
    </w:p>
    <w:p>
      <w:pPr>
        <w:pStyle w:val="BodyText"/>
        <w:spacing w:line="338" w:lineRule="auto" w:before="83"/>
        <w:ind w:left="573" w:right="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 合营安排的分类</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本公司根据合营安排的结构、法律形式以及合营安排中约定的条款、其他相关事实和情况等因素，将</w:t>
      </w:r>
    </w:p>
    <w:p>
      <w:pPr>
        <w:pStyle w:val="BodyText"/>
        <w:spacing w:line="393" w:lineRule="auto" w:before="47"/>
        <w:ind w:left="573" w:right="0" w:hanging="421"/>
        <w:jc w:val="left"/>
      </w:pPr>
      <w:r>
        <w:rPr/>
        <w:t>合营安排分为共同经营和合营企业。</w:t>
      </w:r>
      <w:r>
        <w:rPr>
          <w:w w:val="100"/>
        </w:rPr>
        <w:t> </w:t>
      </w:r>
      <w:r>
        <w:rPr>
          <w:spacing w:val="-2"/>
        </w:rPr>
        <w:t>未通过单独主体达成的合营安排，划分为共同经营；通过单独主体达成的合营安排，通常划分为合营</w:t>
      </w:r>
    </w:p>
    <w:p>
      <w:pPr>
        <w:pStyle w:val="BodyText"/>
        <w:spacing w:line="271" w:lineRule="exact"/>
        <w:ind w:right="0"/>
        <w:jc w:val="both"/>
      </w:pPr>
      <w:r>
        <w:rPr/>
        <w:t>企业；但有确凿证据表明满足下列任一条件并且符合相关法律法规规定的合营安排划分为共同经营：</w:t>
      </w:r>
    </w:p>
    <w:p>
      <w:pPr>
        <w:pStyle w:val="BodyText"/>
        <w:spacing w:line="240" w:lineRule="auto" w:before="174"/>
        <w:ind w:left="573"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158"/>
        <w:ind w:left="573"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36" w:lineRule="auto" w:before="158"/>
        <w:ind w:right="0" w:firstLine="420"/>
        <w:jc w:val="left"/>
      </w:pPr>
      <w:r>
        <w:rPr>
          <w:spacing w:val="-5"/>
        </w:rPr>
        <w:t>（</w:t>
      </w:r>
      <w:r>
        <w:rPr>
          <w:rFonts w:ascii="Times New Roman" w:hAnsi="Times New Roman" w:cs="Times New Roman" w:eastAsia="Times New Roman" w:hint="default"/>
          <w:spacing w:val="-5"/>
        </w:rPr>
        <w:t>3</w:t>
      </w:r>
      <w:r>
        <w:rPr>
          <w:spacing w:val="-5"/>
        </w:rPr>
        <w:t>）其他相关事实和情况表明，合营方对该安排中的相关资产和负债分别享有权利和承担义务，如合</w:t>
      </w:r>
      <w:r>
        <w:rPr>
          <w:w w:val="100"/>
        </w:rPr>
        <w:t> </w:t>
      </w:r>
      <w:r>
        <w:rPr/>
        <w:t>营方享有与合营安排相关的几乎所有产出，并且该安排中负债的清偿持续依赖于合营方的支持。</w:t>
      </w:r>
    </w:p>
    <w:p>
      <w:pPr>
        <w:spacing w:line="240" w:lineRule="auto" w:before="0"/>
        <w:rPr>
          <w:rFonts w:ascii="宋体" w:hAnsi="宋体" w:cs="宋体" w:eastAsia="宋体" w:hint="default"/>
          <w:sz w:val="20"/>
          <w:szCs w:val="20"/>
        </w:rPr>
      </w:pPr>
    </w:p>
    <w:p>
      <w:pPr>
        <w:spacing w:line="340" w:lineRule="auto" w:before="162"/>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 共同经营会计处理方法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本公司确认共同经营中利益份额中与本公司相关的下列项目，并按照相关企业会计准则的规定进行会</w:t>
      </w:r>
    </w:p>
    <w:p>
      <w:pPr>
        <w:pStyle w:val="BodyText"/>
        <w:spacing w:line="240" w:lineRule="auto" w:before="42"/>
        <w:ind w:right="0"/>
        <w:jc w:val="both"/>
      </w:pPr>
      <w:r>
        <w:rPr/>
        <w:t>计处理：</w:t>
      </w:r>
    </w:p>
    <w:p>
      <w:pPr>
        <w:pStyle w:val="BodyText"/>
        <w:spacing w:line="240" w:lineRule="auto" w:before="174"/>
        <w:ind w:left="573"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58"/>
        <w:ind w:left="573" w:right="0"/>
        <w:jc w:val="left"/>
      </w:pPr>
      <w:r>
        <w:rPr/>
        <w:t>（</w:t>
      </w:r>
      <w:r>
        <w:rPr>
          <w:rFonts w:ascii="Times New Roman" w:hAnsi="Times New Roman" w:cs="Times New Roman" w:eastAsia="Times New Roman" w:hint="default"/>
        </w:rPr>
        <w:t>2</w:t>
      </w:r>
      <w:r>
        <w:rPr/>
        <w:t>）确认单独所承担的负债，以及按其份额确认共同承担的负债；</w:t>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6"/>
        <w:ind w:left="573"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58"/>
        <w:ind w:left="573"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158"/>
        <w:ind w:left="573" w:right="0"/>
        <w:jc w:val="left"/>
      </w:pPr>
      <w:r>
        <w:rPr/>
        <w:t>（</w:t>
      </w:r>
      <w:r>
        <w:rPr>
          <w:rFonts w:ascii="Times New Roman" w:hAnsi="Times New Roman" w:cs="Times New Roman" w:eastAsia="Times New Roman" w:hint="default"/>
        </w:rPr>
        <w:t>5</w:t>
      </w:r>
      <w:r>
        <w:rPr/>
        <w:t>）确认单独所发生的费用，以及按其份额确认共同经营发生的费用。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line="340" w:lineRule="auto" w:before="0"/>
        <w:ind w:left="573"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（八）现金及现金等价物的确定标准</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240" w:lineRule="auto" w:before="42"/>
        <w:ind w:right="0"/>
        <w:jc w:val="left"/>
      </w:pPr>
      <w:r>
        <w:rPr/>
        <w:t>短、流动性强、易于转换为已知金额的现金、价值变动风险很小四个条件的投资，确定为现金等价物。</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4"/>
        <w:spacing w:line="240" w:lineRule="auto"/>
        <w:ind w:left="573" w:right="0"/>
        <w:jc w:val="left"/>
        <w:rPr>
          <w:b w:val="0"/>
          <w:bCs w:val="0"/>
        </w:rPr>
      </w:pPr>
      <w:r>
        <w:rPr/>
        <w:t>（九）外币业务和外币报表折算</w:t>
      </w:r>
      <w:r>
        <w:rPr>
          <w:b w:val="0"/>
          <w:bCs w:val="0"/>
        </w:rPr>
      </w:r>
    </w:p>
    <w:p>
      <w:pPr>
        <w:pStyle w:val="BodyText"/>
        <w:spacing w:line="448" w:lineRule="exact" w:before="37"/>
        <w:ind w:left="573" w:right="115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 外币业务</w:t>
      </w:r>
      <w:r>
        <w:rPr>
          <w:rFonts w:ascii="Microsoft JhengHei" w:hAnsi="Microsoft JhengHei" w:cs="Microsoft JhengHei" w:eastAsia="Microsoft JhengHei" w:hint="default"/>
          <w:b/>
          <w:bCs/>
          <w:spacing w:val="-48"/>
        </w:rPr>
        <w:t> </w:t>
      </w:r>
      <w:r>
        <w:rPr>
          <w:rFonts w:ascii="Microsoft JhengHei" w:hAnsi="Microsoft JhengHei" w:cs="Microsoft JhengHei" w:eastAsia="Microsoft JhengHei" w:hint="default"/>
          <w:b/>
          <w:bCs/>
          <w:spacing w:val="-48"/>
        </w:rPr>
      </w:r>
      <w:r>
        <w:rPr/>
        <w:t>外币业务交易在初始确认时，采用交易发生日的即期汇率作为折算汇率折合成人民币记账。</w:t>
      </w:r>
      <w:r>
        <w:rPr>
          <w:w w:val="100"/>
        </w:rPr>
        <w:t> </w:t>
      </w:r>
      <w:r>
        <w:rPr>
          <w:spacing w:val="-2"/>
        </w:rPr>
        <w:t>资产负债表日外币货币性项目余额按资产负债表日即期汇率折算，由此产生的汇兑差额，除属于与购</w:t>
      </w:r>
    </w:p>
    <w:p>
      <w:pPr>
        <w:pStyle w:val="BodyText"/>
        <w:spacing w:line="355" w:lineRule="auto" w:before="75"/>
        <w:ind w:right="1150"/>
        <w:jc w:val="left"/>
      </w:pPr>
      <w:r>
        <w:rPr>
          <w:spacing w:val="-2"/>
        </w:rPr>
        <w:t>建符合资本化条件的资产相关的外币专门借款产生的汇兑差额按照借款费用资本化的原则处理外，均计入</w:t>
      </w:r>
      <w:r>
        <w:rPr>
          <w:spacing w:val="-43"/>
        </w:rPr>
        <w:t> </w:t>
      </w:r>
      <w:r>
        <w:rPr>
          <w:spacing w:val="-43"/>
        </w:rPr>
      </w:r>
      <w:r>
        <w:rPr/>
        <w:t>当期损益。</w:t>
      </w:r>
    </w:p>
    <w:p>
      <w:pPr>
        <w:spacing w:line="240" w:lineRule="auto" w:before="0"/>
        <w:rPr>
          <w:rFonts w:ascii="宋体" w:hAnsi="宋体" w:cs="宋体" w:eastAsia="宋体" w:hint="default"/>
          <w:sz w:val="20"/>
          <w:szCs w:val="20"/>
        </w:rPr>
      </w:pPr>
    </w:p>
    <w:p>
      <w:pPr>
        <w:spacing w:line="340" w:lineRule="auto" w:before="169"/>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 外币财务报表的折算</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36" w:lineRule="auto" w:before="19"/>
        <w:ind w:right="0"/>
        <w:jc w:val="left"/>
      </w:pPr>
      <w:r>
        <w:rPr>
          <w:spacing w:val="-4"/>
        </w:rPr>
        <w:t>润</w:t>
      </w:r>
      <w:r>
        <w:rPr>
          <w:rFonts w:ascii="Times New Roman" w:hAnsi="Times New Roman" w:cs="Times New Roman" w:eastAsia="Times New Roman" w:hint="default"/>
          <w:spacing w:val="-4"/>
        </w:rPr>
        <w:t>”</w:t>
      </w:r>
      <w:r>
        <w:rPr>
          <w:spacing w:val="-4"/>
        </w:rPr>
        <w:t>项目外，其他项目采用发生时的即期汇率折算。利润表中的收入和费用项目，采用交易发生日的即期汇</w:t>
      </w:r>
      <w:r>
        <w:rPr>
          <w:spacing w:val="-41"/>
        </w:rPr>
        <w:t> </w:t>
      </w:r>
      <w:r>
        <w:rPr>
          <w:spacing w:val="-41"/>
        </w:rPr>
      </w:r>
      <w:r>
        <w:rPr/>
        <w:t>率折算。按照上述折算产生的外币财务报表折算差额计入其他综合收益。</w:t>
      </w:r>
    </w:p>
    <w:p>
      <w:pPr>
        <w:pStyle w:val="BodyText"/>
        <w:spacing w:line="357" w:lineRule="auto" w:before="92"/>
        <w:ind w:right="1126" w:firstLine="420"/>
        <w:jc w:val="both"/>
      </w:pPr>
      <w:r>
        <w:rPr>
          <w:spacing w:val="-2"/>
        </w:rPr>
        <w:t>处置境外经营时，将资产负债表中其他综合收益项目中列示的、与该境外经营相关的外币财务报表折</w:t>
      </w:r>
      <w:r>
        <w:rPr>
          <w:w w:val="100"/>
        </w:rPr>
        <w:t> </w:t>
      </w:r>
      <w:r>
        <w:rPr>
          <w:spacing w:val="-2"/>
        </w:rPr>
        <w:t>算差额，自其他综合收益项目转入处置当期损益；在处置部分股权投资或其他原因导致持有境外经营权益</w:t>
      </w:r>
      <w:r>
        <w:rPr>
          <w:spacing w:val="-43"/>
        </w:rPr>
        <w:t> </w:t>
      </w:r>
      <w:r>
        <w:rPr>
          <w:spacing w:val="-43"/>
        </w:rPr>
      </w:r>
      <w:r>
        <w:rPr>
          <w:spacing w:val="-2"/>
        </w:rPr>
        <w:t>比例降低但不丧失对境外经营控制权时，与该境外经营处置部分相关的外币报表折算差额将归属于少数股</w:t>
      </w:r>
      <w:r>
        <w:rPr>
          <w:spacing w:val="-43"/>
        </w:rPr>
        <w:t> </w:t>
      </w:r>
      <w:r>
        <w:rPr>
          <w:spacing w:val="-43"/>
        </w:rPr>
      </w:r>
      <w:r>
        <w:rPr>
          <w:spacing w:val="-2"/>
        </w:rPr>
        <w:t>东权益，不转入当期损益。在处置境外经营为联营企业或合营企业的部分股权时，与该境外经营相关的外</w:t>
      </w:r>
      <w:r>
        <w:rPr>
          <w:spacing w:val="-44"/>
        </w:rPr>
        <w:t> </w:t>
      </w:r>
      <w:r>
        <w:rPr>
          <w:spacing w:val="-44"/>
        </w:rPr>
      </w:r>
      <w:r>
        <w:rPr/>
        <w:t>币报表折算差额，按处置该境外经营的比例转入处置当期损益。</w:t>
      </w:r>
    </w:p>
    <w:p>
      <w:pPr>
        <w:spacing w:line="240" w:lineRule="auto" w:before="0"/>
        <w:rPr>
          <w:rFonts w:ascii="宋体" w:hAnsi="宋体" w:cs="宋体" w:eastAsia="宋体" w:hint="default"/>
          <w:sz w:val="20"/>
          <w:szCs w:val="20"/>
        </w:rPr>
      </w:pPr>
    </w:p>
    <w:p>
      <w:pPr>
        <w:pStyle w:val="Heading4"/>
        <w:spacing w:line="240" w:lineRule="auto" w:before="143"/>
        <w:ind w:left="573" w:right="0"/>
        <w:jc w:val="left"/>
        <w:rPr>
          <w:b w:val="0"/>
          <w:bCs w:val="0"/>
        </w:rPr>
      </w:pPr>
      <w:r>
        <w:rPr/>
        <w:t>（十）金融工具</w:t>
      </w:r>
      <w:r>
        <w:rPr>
          <w:b w:val="0"/>
          <w:bCs w:val="0"/>
        </w:rPr>
      </w:r>
    </w:p>
    <w:p>
      <w:pPr>
        <w:pStyle w:val="Heading4"/>
        <w:spacing w:line="240" w:lineRule="auto" w:before="83"/>
        <w:ind w:left="573" w:right="0"/>
        <w:jc w:val="left"/>
        <w:rPr>
          <w:b w:val="0"/>
          <w:bCs w:val="0"/>
        </w:rPr>
      </w:pPr>
      <w:r>
        <w:rPr>
          <w:rFonts w:ascii="Times New Roman" w:hAnsi="Times New Roman" w:cs="Times New Roman" w:eastAsia="Times New Roman" w:hint="default"/>
        </w:rPr>
        <w:t>1</w:t>
      </w:r>
      <w:r>
        <w:rPr/>
        <w:t>． </w:t>
      </w:r>
      <w:r>
        <w:rPr>
          <w:spacing w:val="8"/>
        </w:rPr>
        <w:t> </w:t>
      </w:r>
      <w:r>
        <w:rPr/>
        <w:t>金融工具的分类</w:t>
      </w:r>
      <w:r>
        <w:rPr>
          <w:b w:val="0"/>
          <w:bCs w:val="0"/>
        </w:rPr>
      </w:r>
    </w:p>
    <w:p>
      <w:pPr>
        <w:spacing w:line="338" w:lineRule="auto" w:before="83"/>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自 </w:t>
      </w:r>
      <w:r>
        <w:rPr>
          <w:rFonts w:ascii="Arial" w:hAnsi="Arial" w:cs="Arial" w:eastAsia="Arial" w:hint="default"/>
          <w:b/>
          <w:bCs/>
          <w:sz w:val="21"/>
          <w:szCs w:val="21"/>
        </w:rPr>
        <w:t>2019 </w:t>
      </w:r>
      <w:r>
        <w:rPr>
          <w:rFonts w:ascii="Microsoft JhengHei" w:hAnsi="Microsoft JhengHei" w:cs="Microsoft JhengHei" w:eastAsia="Microsoft JhengHei" w:hint="default"/>
          <w:b/>
          <w:bCs/>
          <w:sz w:val="21"/>
          <w:szCs w:val="21"/>
        </w:rPr>
        <w:t>年 </w:t>
      </w:r>
      <w:r>
        <w:rPr>
          <w:rFonts w:ascii="Arial" w:hAnsi="Arial" w:cs="Arial" w:eastAsia="Arial" w:hint="default"/>
          <w:b/>
          <w:bCs/>
          <w:sz w:val="21"/>
          <w:szCs w:val="21"/>
        </w:rPr>
        <w:t>1 </w:t>
      </w:r>
      <w:r>
        <w:rPr>
          <w:rFonts w:ascii="Microsoft JhengHei" w:hAnsi="Microsoft JhengHei" w:cs="Microsoft JhengHei" w:eastAsia="Microsoft JhengHei" w:hint="default"/>
          <w:b/>
          <w:bCs/>
          <w:sz w:val="21"/>
          <w:szCs w:val="21"/>
        </w:rPr>
        <w:t>月 </w:t>
      </w:r>
      <w:r>
        <w:rPr>
          <w:rFonts w:ascii="Arial" w:hAnsi="Arial" w:cs="Arial" w:eastAsia="Arial" w:hint="default"/>
          <w:b/>
          <w:bCs/>
          <w:sz w:val="21"/>
          <w:szCs w:val="21"/>
        </w:rPr>
        <w:t>1</w:t>
      </w:r>
      <w:r>
        <w:rPr>
          <w:rFonts w:ascii="Arial" w:hAnsi="Arial" w:cs="Arial" w:eastAsia="Arial" w:hint="default"/>
          <w:b/>
          <w:bCs/>
          <w:spacing w:val="-27"/>
          <w:sz w:val="21"/>
          <w:szCs w:val="21"/>
        </w:rPr>
        <w:t> </w:t>
      </w:r>
      <w:r>
        <w:rPr>
          <w:rFonts w:ascii="Microsoft JhengHei" w:hAnsi="Microsoft JhengHei" w:cs="Microsoft JhengHei" w:eastAsia="Microsoft JhengHei" w:hint="default"/>
          <w:b/>
          <w:bCs/>
          <w:sz w:val="21"/>
          <w:szCs w:val="21"/>
        </w:rPr>
        <w:t>日起适用的会计政策</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公司根据管理金融资产的业务模式和金融资产的合同现金流量特征，将金融资产于初始确认时分类为：</w:t>
      </w:r>
    </w:p>
    <w:p>
      <w:pPr>
        <w:pStyle w:val="BodyText"/>
        <w:spacing w:line="355" w:lineRule="auto" w:before="90"/>
        <w:ind w:right="1126" w:firstLine="420"/>
        <w:jc w:val="both"/>
      </w:pPr>
      <w:r>
        <w:rPr>
          <w:spacing w:val="-2"/>
        </w:rPr>
        <w:t>以摊余成本计量的金融资产、以公允价值计量且其变动计入其他综合收益的金融资产和以公允价值计</w:t>
      </w:r>
      <w:r>
        <w:rPr>
          <w:w w:val="100"/>
        </w:rPr>
        <w:t> </w:t>
      </w:r>
      <w:r>
        <w:rPr>
          <w:spacing w:val="-2"/>
        </w:rPr>
        <w:t>量且其变动计入当期损益的金融资产。金融负债于初始确认时分类为：以公允价值计量且其变动计入当期</w:t>
      </w:r>
      <w:r>
        <w:rPr>
          <w:spacing w:val="-43"/>
        </w:rPr>
        <w:t> </w:t>
      </w:r>
      <w:r>
        <w:rPr>
          <w:spacing w:val="-43"/>
        </w:rPr>
      </w:r>
      <w:r>
        <w:rPr/>
        <w:t>损益的金融负债和以摊余成本计量的金融负债。</w:t>
      </w:r>
    </w:p>
    <w:p>
      <w:pPr>
        <w:spacing w:after="0" w:line="355" w:lineRule="auto"/>
        <w:jc w:val="both"/>
        <w:sectPr>
          <w:footerReference w:type="default" r:id="rId39"/>
          <w:pgSz w:w="11910" w:h="16840"/>
          <w:pgMar w:footer="979" w:header="877" w:top="1100" w:bottom="1160" w:left="980" w:right="0"/>
          <w:pgNumType w:start="1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335" w:lineRule="exact"/>
        <w:ind w:left="575" w:right="0"/>
        <w:jc w:val="left"/>
        <w:rPr>
          <w:b w:val="0"/>
          <w:bCs w:val="0"/>
        </w:rPr>
      </w:pPr>
      <w:r>
        <w:rPr>
          <w:rFonts w:ascii="Arial" w:hAnsi="Arial" w:cs="Arial" w:eastAsia="Arial" w:hint="default"/>
        </w:rPr>
        <w:t>2019</w:t>
      </w:r>
      <w:r>
        <w:rPr>
          <w:rFonts w:ascii="Arial" w:hAnsi="Arial" w:cs="Arial" w:eastAsia="Arial" w:hint="default"/>
          <w:spacing w:val="-32"/>
        </w:rPr>
        <w:t> </w:t>
      </w:r>
      <w:r>
        <w:rPr/>
        <w:t>年</w:t>
      </w:r>
      <w:r>
        <w:rPr>
          <w:spacing w:val="-23"/>
        </w:rPr>
        <w:t> </w:t>
      </w:r>
      <w:r>
        <w:rPr>
          <w:rFonts w:ascii="Arial" w:hAnsi="Arial" w:cs="Arial" w:eastAsia="Arial" w:hint="default"/>
        </w:rPr>
        <w:t>1</w:t>
      </w:r>
      <w:r>
        <w:rPr>
          <w:rFonts w:ascii="Arial" w:hAnsi="Arial" w:cs="Arial" w:eastAsia="Arial" w:hint="default"/>
          <w:spacing w:val="-32"/>
        </w:rPr>
        <w:t> </w:t>
      </w:r>
      <w:r>
        <w:rPr/>
        <w:t>月</w:t>
      </w:r>
      <w:r>
        <w:rPr>
          <w:spacing w:val="-23"/>
        </w:rPr>
        <w:t> </w:t>
      </w:r>
      <w:r>
        <w:rPr>
          <w:rFonts w:ascii="Arial" w:hAnsi="Arial" w:cs="Arial" w:eastAsia="Arial" w:hint="default"/>
        </w:rPr>
        <w:t>1</w:t>
      </w:r>
      <w:r>
        <w:rPr>
          <w:rFonts w:ascii="Arial" w:hAnsi="Arial" w:cs="Arial" w:eastAsia="Arial" w:hint="default"/>
          <w:spacing w:val="-32"/>
        </w:rPr>
        <w:t> </w:t>
      </w:r>
      <w:r>
        <w:rPr/>
        <w:t>日前适用的会计政策</w:t>
      </w:r>
      <w:r>
        <w:rPr>
          <w:b w:val="0"/>
          <w:bCs w:val="0"/>
        </w:rPr>
      </w:r>
    </w:p>
    <w:p>
      <w:pPr>
        <w:pStyle w:val="BodyText"/>
        <w:spacing w:line="355" w:lineRule="auto" w:before="152"/>
        <w:ind w:right="1126" w:firstLine="420"/>
        <w:jc w:val="both"/>
      </w:pPr>
      <w:r>
        <w:rPr>
          <w:spacing w:val="-2"/>
        </w:rPr>
        <w:t>本公司的金融资产于初始确认时分类为：以公允价值计量且其变动计入当期损益的金融资产、持有至</w:t>
      </w:r>
      <w:r>
        <w:rPr>
          <w:w w:val="100"/>
        </w:rPr>
        <w:t> </w:t>
      </w:r>
      <w:r>
        <w:rPr>
          <w:spacing w:val="-2"/>
        </w:rPr>
        <w:t>到期投资、贷款和应收款项、可供出售金融资产。金融资产在初始确认时以公允价值计量。对于以公允价</w:t>
      </w:r>
      <w:r>
        <w:rPr>
          <w:spacing w:val="-47"/>
        </w:rPr>
        <w:t> </w:t>
      </w:r>
      <w:r>
        <w:rPr>
          <w:spacing w:val="-47"/>
        </w:rPr>
      </w:r>
      <w:r>
        <w:rPr>
          <w:spacing w:val="-2"/>
        </w:rPr>
        <w:t>值计量且其变动计入当期损益的金融资产，相关交易费用直接计入当期损益，其他类别的金融资产相关交</w:t>
      </w:r>
      <w:r>
        <w:rPr>
          <w:spacing w:val="-44"/>
        </w:rPr>
        <w:t> </w:t>
      </w:r>
      <w:r>
        <w:rPr>
          <w:spacing w:val="-44"/>
        </w:rPr>
      </w:r>
      <w:r>
        <w:rPr/>
        <w:t>易费用计入其初始确认金额。</w:t>
      </w:r>
    </w:p>
    <w:p>
      <w:pPr>
        <w:pStyle w:val="BodyText"/>
        <w:spacing w:line="355" w:lineRule="auto" w:before="75"/>
        <w:ind w:right="1126" w:firstLine="420"/>
        <w:jc w:val="both"/>
      </w:pPr>
      <w:r>
        <w:rPr>
          <w:spacing w:val="-2"/>
        </w:rPr>
        <w:t>本公司将金融负债划分为下列两类：以公允价值计量且其变动计入当期损益的金融负债及其他金融负</w:t>
      </w:r>
      <w:r>
        <w:rPr>
          <w:w w:val="100"/>
        </w:rPr>
        <w:t> </w:t>
      </w:r>
      <w:r>
        <w:rPr>
          <w:spacing w:val="-2"/>
        </w:rPr>
        <w:t>债。对于以公允价值计量且其变动计入当期损益的金融负债，相关交易费用直接计入当期损益，其他金融</w:t>
      </w:r>
      <w:r>
        <w:rPr>
          <w:spacing w:val="-43"/>
        </w:rPr>
        <w:t> </w:t>
      </w:r>
      <w:r>
        <w:rPr>
          <w:spacing w:val="-43"/>
        </w:rPr>
      </w:r>
      <w:r>
        <w:rPr/>
        <w:t>负债的相关交易费用计入其初始确认金额。</w:t>
      </w:r>
    </w:p>
    <w:p>
      <w:pPr>
        <w:spacing w:line="240" w:lineRule="auto" w:before="0"/>
        <w:rPr>
          <w:rFonts w:ascii="宋体" w:hAnsi="宋体" w:cs="宋体" w:eastAsia="宋体" w:hint="default"/>
          <w:sz w:val="20"/>
          <w:szCs w:val="20"/>
        </w:rPr>
      </w:pPr>
    </w:p>
    <w:p>
      <w:pPr>
        <w:pStyle w:val="Heading4"/>
        <w:spacing w:line="295" w:lineRule="auto" w:before="145"/>
        <w:ind w:left="575" w:right="6919" w:hanging="3"/>
        <w:jc w:val="left"/>
        <w:rPr>
          <w:b w:val="0"/>
          <w:bCs w:val="0"/>
        </w:rPr>
      </w:pPr>
      <w:r>
        <w:rPr>
          <w:rFonts w:ascii="Times New Roman" w:hAnsi="Times New Roman" w:cs="Times New Roman" w:eastAsia="Times New Roman" w:hint="default"/>
        </w:rPr>
        <w:t>2</w:t>
      </w:r>
      <w:r>
        <w:rPr/>
        <w:t>． 金融工具的确认依据和计量方法</w:t>
      </w:r>
      <w:r>
        <w:rPr>
          <w:spacing w:val="-42"/>
        </w:rPr>
        <w:t> </w:t>
      </w:r>
      <w:r>
        <w:rPr>
          <w:spacing w:val="-42"/>
        </w:rPr>
      </w:r>
      <w:r>
        <w:rPr/>
        <w:t>自</w:t>
      </w:r>
      <w:r>
        <w:rPr>
          <w:spacing w:val="-19"/>
        </w:rPr>
        <w:t> </w:t>
      </w:r>
      <w:r>
        <w:rPr>
          <w:rFonts w:ascii="Arial" w:hAnsi="Arial" w:cs="Arial" w:eastAsia="Arial" w:hint="default"/>
        </w:rPr>
        <w:t>2019</w:t>
      </w:r>
      <w:r>
        <w:rPr>
          <w:rFonts w:ascii="Arial" w:hAnsi="Arial" w:cs="Arial" w:eastAsia="Arial" w:hint="default"/>
          <w:spacing w:val="-28"/>
        </w:rPr>
        <w:t> </w:t>
      </w:r>
      <w:r>
        <w:rPr/>
        <w:t>年</w:t>
      </w:r>
      <w:r>
        <w:rPr>
          <w:spacing w:val="-19"/>
        </w:rPr>
        <w:t> </w:t>
      </w:r>
      <w:r>
        <w:rPr>
          <w:rFonts w:ascii="Arial" w:hAnsi="Arial" w:cs="Arial" w:eastAsia="Arial" w:hint="default"/>
        </w:rPr>
        <w:t>1</w:t>
      </w:r>
      <w:r>
        <w:rPr>
          <w:rFonts w:ascii="Arial" w:hAnsi="Arial" w:cs="Arial" w:eastAsia="Arial" w:hint="default"/>
          <w:spacing w:val="-28"/>
        </w:rPr>
        <w:t> </w:t>
      </w:r>
      <w:r>
        <w:rPr/>
        <w:t>月</w:t>
      </w:r>
      <w:r>
        <w:rPr>
          <w:spacing w:val="-19"/>
        </w:rPr>
        <w:t> </w:t>
      </w:r>
      <w:r>
        <w:rPr>
          <w:rFonts w:ascii="Arial" w:hAnsi="Arial" w:cs="Arial" w:eastAsia="Arial" w:hint="default"/>
        </w:rPr>
        <w:t>1</w:t>
      </w:r>
      <w:r>
        <w:rPr>
          <w:rFonts w:ascii="Arial" w:hAnsi="Arial" w:cs="Arial" w:eastAsia="Arial" w:hint="default"/>
          <w:spacing w:val="-28"/>
        </w:rPr>
        <w:t> </w:t>
      </w:r>
      <w:r>
        <w:rPr/>
        <w:t>日起适用的会计政策</w:t>
      </w:r>
      <w:r>
        <w:rPr>
          <w:b w:val="0"/>
          <w:bCs w:val="0"/>
        </w:rPr>
      </w:r>
    </w:p>
    <w:p>
      <w:pPr>
        <w:pStyle w:val="BodyText"/>
        <w:spacing w:line="374" w:lineRule="auto" w:before="86"/>
        <w:ind w:left="573" w:right="0"/>
        <w:jc w:val="left"/>
      </w:pPr>
      <w:r>
        <w:rPr/>
        <w:t>（</w:t>
      </w:r>
      <w:r>
        <w:rPr>
          <w:rFonts w:ascii="Arial" w:hAnsi="Arial" w:cs="Arial" w:eastAsia="Arial" w:hint="default"/>
        </w:rPr>
        <w:t>1</w:t>
      </w:r>
      <w:r>
        <w:rPr/>
        <w:t>）以摊余成本计量的金融资产</w:t>
      </w:r>
      <w:r>
        <w:rPr>
          <w:w w:val="100"/>
        </w:rPr>
        <w:t> </w:t>
      </w:r>
      <w:r>
        <w:rPr>
          <w:spacing w:val="-2"/>
        </w:rPr>
        <w:t>以摊余成本计量的金融资产包括应收账款、其他应收款、长期应收款、债权投资等，按公允价值进行</w:t>
      </w:r>
    </w:p>
    <w:p>
      <w:pPr>
        <w:pStyle w:val="BodyText"/>
        <w:spacing w:line="355" w:lineRule="auto" w:before="15"/>
        <w:ind w:right="0"/>
        <w:jc w:val="left"/>
      </w:pPr>
      <w:r>
        <w:rPr>
          <w:spacing w:val="-2"/>
        </w:rPr>
        <w:t>初始计量，相关交易费用计入初始确认金额；不包含重大融资成分的应收账款以及本公司决定不考虑不超</w:t>
      </w:r>
      <w:r>
        <w:rPr>
          <w:spacing w:val="-42"/>
        </w:rPr>
        <w:t> </w:t>
      </w:r>
      <w:r>
        <w:rPr>
          <w:spacing w:val="-42"/>
        </w:rPr>
      </w:r>
      <w:r>
        <w:rPr/>
        <w:t>过一年的融资成分的应收账款，以合同交易价格进行初始计量。</w:t>
      </w:r>
    </w:p>
    <w:p>
      <w:pPr>
        <w:pStyle w:val="BodyText"/>
        <w:spacing w:line="391" w:lineRule="auto" w:before="73"/>
        <w:ind w:left="573" w:right="0"/>
        <w:jc w:val="left"/>
      </w:pPr>
      <w:r>
        <w:rPr/>
        <w:t>持有期间采用实际利率法计算的利息计入当期损益。</w:t>
      </w:r>
      <w:r>
        <w:rPr>
          <w:w w:val="100"/>
        </w:rPr>
        <w:t> </w:t>
      </w:r>
      <w:r>
        <w:rPr>
          <w:spacing w:val="-2"/>
        </w:rPr>
        <w:t>收回或处置时，将取得的价款与该金融资产账面价值之间的差额计入当期损益。</w:t>
      </w:r>
    </w:p>
    <w:p>
      <w:pPr>
        <w:pStyle w:val="BodyText"/>
        <w:spacing w:line="374" w:lineRule="auto" w:before="41"/>
        <w:ind w:left="573" w:right="0"/>
        <w:jc w:val="left"/>
      </w:pPr>
      <w:r>
        <w:rPr/>
        <w:t>（</w:t>
      </w:r>
      <w:r>
        <w:rPr>
          <w:rFonts w:ascii="Arial" w:hAnsi="Arial" w:cs="Arial" w:eastAsia="Arial" w:hint="default"/>
        </w:rPr>
        <w:t>2</w:t>
      </w:r>
      <w:r>
        <w:rPr/>
        <w:t>）以公允价值计量且其变动计入其他综合收益的金融资产（债务工具）</w:t>
      </w:r>
      <w:r>
        <w:rPr>
          <w:w w:val="100"/>
        </w:rPr>
        <w:t> </w:t>
      </w:r>
      <w:r>
        <w:rPr>
          <w:spacing w:val="-2"/>
        </w:rPr>
        <w:t>以公允价值计量且其变动计入其他综合收益的金融资产（债务工具）包括其他债权投资等，按公允价</w:t>
      </w:r>
    </w:p>
    <w:p>
      <w:pPr>
        <w:pStyle w:val="BodyText"/>
        <w:spacing w:line="355" w:lineRule="auto" w:before="15"/>
        <w:ind w:right="0"/>
        <w:jc w:val="left"/>
      </w:pPr>
      <w:r>
        <w:rPr>
          <w:spacing w:val="-2"/>
        </w:rPr>
        <w:t>值进行初始计量，相关交易费用计入初始确认金额。该金融资产按公允价值进行后续计量，公允价值变动</w:t>
      </w:r>
      <w:r>
        <w:rPr>
          <w:spacing w:val="-45"/>
        </w:rPr>
        <w:t> </w:t>
      </w:r>
      <w:r>
        <w:rPr>
          <w:spacing w:val="-45"/>
        </w:rPr>
      </w:r>
      <w:r>
        <w:rPr/>
        <w:t>除采用实际利率法计算的利息、减值损失或利得和汇兑损益之外，均计入其他综合收益。</w:t>
      </w:r>
    </w:p>
    <w:p>
      <w:pPr>
        <w:pStyle w:val="BodyText"/>
        <w:spacing w:line="240" w:lineRule="auto" w:before="73"/>
        <w:ind w:left="573" w:right="0"/>
        <w:jc w:val="left"/>
      </w:pPr>
      <w:r>
        <w:rPr/>
        <w:t>终止确认时，之前计入其他综合收益的累计利得或损失从其他综合收益中转出，计入当期损益。</w:t>
      </w:r>
    </w:p>
    <w:p>
      <w:pPr>
        <w:pStyle w:val="BodyText"/>
        <w:spacing w:line="374" w:lineRule="auto" w:before="174"/>
        <w:ind w:left="573" w:right="0"/>
        <w:jc w:val="left"/>
      </w:pPr>
      <w:r>
        <w:rPr/>
        <w:t>（</w:t>
      </w:r>
      <w:r>
        <w:rPr>
          <w:rFonts w:ascii="Arial" w:hAnsi="Arial" w:cs="Arial" w:eastAsia="Arial" w:hint="default"/>
        </w:rPr>
        <w:t>3</w:t>
      </w:r>
      <w:r>
        <w:rPr/>
        <w:t>）以公允价值计量且其变动计入其他综合收益的金融资产（权益工具）</w:t>
      </w:r>
      <w:r>
        <w:rPr>
          <w:w w:val="100"/>
        </w:rPr>
        <w:t> </w:t>
      </w:r>
      <w:r>
        <w:rPr>
          <w:spacing w:val="-2"/>
        </w:rPr>
        <w:t>以公允价值计量且其变动计入其他综合收益的金融资产（权益工具）包括其他权益工具投资等，按公</w:t>
      </w:r>
    </w:p>
    <w:p>
      <w:pPr>
        <w:pStyle w:val="BodyText"/>
        <w:spacing w:line="355" w:lineRule="auto" w:before="15"/>
        <w:ind w:right="0"/>
        <w:jc w:val="left"/>
      </w:pPr>
      <w:r>
        <w:rPr>
          <w:spacing w:val="-2"/>
        </w:rPr>
        <w:t>允价值进行初始计量，相关交易费用计入初始确认金额。该金融资产按公允价值进行后续计量，公允价值</w:t>
      </w:r>
      <w:r>
        <w:rPr>
          <w:spacing w:val="-44"/>
        </w:rPr>
        <w:t> </w:t>
      </w:r>
      <w:r>
        <w:rPr>
          <w:spacing w:val="-44"/>
        </w:rPr>
      </w:r>
      <w:r>
        <w:rPr/>
        <w:t>变动计入其他综合收益。取得的股利计入当期损益。</w:t>
      </w:r>
    </w:p>
    <w:p>
      <w:pPr>
        <w:pStyle w:val="BodyText"/>
        <w:spacing w:line="240" w:lineRule="auto" w:before="73"/>
        <w:ind w:left="573" w:right="0"/>
        <w:jc w:val="left"/>
      </w:pPr>
      <w:r>
        <w:rPr/>
        <w:t>终止确认时，之前计入其他综合收益的累计利得或损失从其他综合收益中转出，计入留存收益。</w:t>
      </w:r>
    </w:p>
    <w:p>
      <w:pPr>
        <w:pStyle w:val="BodyText"/>
        <w:spacing w:line="374" w:lineRule="auto" w:before="174"/>
        <w:ind w:left="573" w:right="0"/>
        <w:jc w:val="left"/>
      </w:pPr>
      <w:r>
        <w:rPr/>
        <w:t>（</w:t>
      </w:r>
      <w:r>
        <w:rPr>
          <w:rFonts w:ascii="Arial" w:hAnsi="Arial" w:cs="Arial" w:eastAsia="Arial" w:hint="default"/>
        </w:rPr>
        <w:t>4</w:t>
      </w:r>
      <w:r>
        <w:rPr/>
        <w:t>）以公允价值计量且其变动计入当期损益的金融资产</w:t>
      </w:r>
      <w:r>
        <w:rPr>
          <w:w w:val="100"/>
        </w:rPr>
        <w:t> </w:t>
      </w:r>
      <w:r>
        <w:rPr>
          <w:spacing w:val="-2"/>
        </w:rPr>
        <w:t>以公允价值计量且其变动计入当期损益的金融资产包括交易性金融资产、衍生金融资产、其他非流动</w:t>
      </w:r>
    </w:p>
    <w:p>
      <w:pPr>
        <w:pStyle w:val="BodyText"/>
        <w:spacing w:line="355" w:lineRule="auto" w:before="15"/>
        <w:ind w:right="0"/>
        <w:jc w:val="left"/>
      </w:pPr>
      <w:r>
        <w:rPr>
          <w:spacing w:val="-2"/>
        </w:rPr>
        <w:t>金融资产等，按公允价值进行初始计量，相关交易费用计入当期损益。该金融资产按公允价值进行后续计</w:t>
      </w:r>
      <w:r>
        <w:rPr>
          <w:spacing w:val="-43"/>
        </w:rPr>
        <w:t> </w:t>
      </w:r>
      <w:r>
        <w:rPr>
          <w:spacing w:val="-43"/>
        </w:rPr>
      </w:r>
      <w:r>
        <w:rPr/>
        <w:t>量，公允价值变动计入当期损益。</w:t>
      </w:r>
    </w:p>
    <w:p>
      <w:pPr>
        <w:spacing w:after="0" w:line="355"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6"/>
        <w:ind w:left="573" w:right="0"/>
        <w:jc w:val="left"/>
      </w:pPr>
      <w:r>
        <w:rPr/>
        <w:t>终止确认时，其公允价值与初始入账金额之间的差额确认为投资收益，同时调整公允价值变动损益。</w:t>
      </w:r>
    </w:p>
    <w:p>
      <w:pPr>
        <w:spacing w:line="240" w:lineRule="auto" w:before="13"/>
        <w:rPr>
          <w:rFonts w:ascii="宋体" w:hAnsi="宋体" w:cs="宋体" w:eastAsia="宋体" w:hint="default"/>
          <w:sz w:val="20"/>
          <w:szCs w:val="20"/>
        </w:rPr>
      </w:pPr>
    </w:p>
    <w:p>
      <w:pPr>
        <w:pStyle w:val="BodyText"/>
        <w:spacing w:line="422" w:lineRule="auto"/>
        <w:ind w:left="573" w:right="0"/>
        <w:jc w:val="left"/>
      </w:pPr>
      <w:r>
        <w:rPr/>
        <w:t>（</w:t>
      </w:r>
      <w:r>
        <w:rPr>
          <w:rFonts w:ascii="Arial" w:hAnsi="Arial" w:cs="Arial" w:eastAsia="Arial" w:hint="default"/>
        </w:rPr>
        <w:t>5</w:t>
      </w:r>
      <w:r>
        <w:rPr/>
        <w:t>）以公允价值计量且其变动计入当期损益的金融负债</w:t>
      </w:r>
      <w:r>
        <w:rPr>
          <w:w w:val="100"/>
        </w:rPr>
        <w:t> </w:t>
      </w:r>
      <w:r>
        <w:rPr>
          <w:spacing w:val="-2"/>
        </w:rPr>
        <w:t>以公允价值计量且其变动计入当期损益的金融负债包括交易性金融负债、衍生金融负债等，按公允价</w:t>
      </w:r>
    </w:p>
    <w:p>
      <w:pPr>
        <w:pStyle w:val="BodyText"/>
        <w:spacing w:line="408" w:lineRule="auto" w:before="33"/>
        <w:ind w:right="1150"/>
        <w:jc w:val="left"/>
      </w:pPr>
      <w:r>
        <w:rPr>
          <w:spacing w:val="-2"/>
        </w:rPr>
        <w:t>值进行初始计量，相关交易费用计入当期损益。该金融负债按公允价值进行后续计量，公允价值变动计入</w:t>
      </w:r>
      <w:r>
        <w:rPr>
          <w:spacing w:val="-45"/>
        </w:rPr>
        <w:t> </w:t>
      </w:r>
      <w:r>
        <w:rPr>
          <w:spacing w:val="-45"/>
        </w:rPr>
      </w:r>
      <w:r>
        <w:rPr/>
        <w:t>当期损益。</w:t>
      </w:r>
    </w:p>
    <w:p>
      <w:pPr>
        <w:pStyle w:val="BodyText"/>
        <w:spacing w:line="240" w:lineRule="auto" w:before="84"/>
        <w:ind w:left="573" w:right="0"/>
        <w:jc w:val="left"/>
      </w:pPr>
      <w:r>
        <w:rPr/>
        <w:t>终止确认时，其账面价值与支付的对价之间的差额计入当期损益。</w:t>
      </w:r>
    </w:p>
    <w:p>
      <w:pPr>
        <w:spacing w:line="240" w:lineRule="auto" w:before="12"/>
        <w:rPr>
          <w:rFonts w:ascii="宋体" w:hAnsi="宋体" w:cs="宋体" w:eastAsia="宋体" w:hint="default"/>
          <w:sz w:val="17"/>
          <w:szCs w:val="17"/>
        </w:rPr>
      </w:pPr>
    </w:p>
    <w:p>
      <w:pPr>
        <w:pStyle w:val="BodyText"/>
        <w:spacing w:line="422" w:lineRule="auto"/>
        <w:ind w:left="573" w:right="0"/>
        <w:jc w:val="left"/>
      </w:pPr>
      <w:r>
        <w:rPr/>
        <w:t>（</w:t>
      </w:r>
      <w:r>
        <w:rPr>
          <w:rFonts w:ascii="Arial" w:hAnsi="Arial" w:cs="Arial" w:eastAsia="Arial" w:hint="default"/>
        </w:rPr>
        <w:t>6</w:t>
      </w:r>
      <w:r>
        <w:rPr/>
        <w:t>）以摊余成本计量的金融负债</w:t>
      </w:r>
      <w:r>
        <w:rPr>
          <w:w w:val="100"/>
        </w:rPr>
        <w:t> </w:t>
      </w:r>
      <w:r>
        <w:rPr>
          <w:spacing w:val="-7"/>
        </w:rPr>
        <w:t>以摊余成本计量的金融负债包括短期借款、应付票据及应付账款、其他应付款、长期借款、应付债券、</w:t>
      </w:r>
    </w:p>
    <w:p>
      <w:pPr>
        <w:pStyle w:val="BodyText"/>
        <w:spacing w:line="444" w:lineRule="auto" w:before="33"/>
        <w:ind w:left="573" w:right="0" w:hanging="421"/>
        <w:jc w:val="left"/>
      </w:pPr>
      <w:r>
        <w:rPr/>
        <w:t>长期应付款等，按公允价值进行初始计量，相关交易费用计入初始确认金额。</w:t>
      </w:r>
      <w:r>
        <w:rPr>
          <w:w w:val="100"/>
        </w:rPr>
        <w:t> </w:t>
      </w:r>
      <w:r>
        <w:rPr/>
        <w:t>持有期间采用实际利率法计算的利息计入当期损益。</w:t>
      </w:r>
      <w:r>
        <w:rPr>
          <w:w w:val="100"/>
        </w:rPr>
        <w:t> </w:t>
      </w:r>
      <w:r>
        <w:rPr>
          <w:spacing w:val="-2"/>
        </w:rPr>
        <w:t>终止确认时，将支付的对价与该金融负债账面价值之间的差额计入当期损益。</w:t>
      </w:r>
    </w:p>
    <w:p>
      <w:pPr>
        <w:pStyle w:val="Heading4"/>
        <w:spacing w:line="354" w:lineRule="exact"/>
        <w:ind w:left="575" w:right="0"/>
        <w:jc w:val="left"/>
        <w:rPr>
          <w:b w:val="0"/>
          <w:bCs w:val="0"/>
        </w:rPr>
      </w:pPr>
      <w:r>
        <w:rPr>
          <w:rFonts w:ascii="Arial" w:hAnsi="Arial" w:cs="Arial" w:eastAsia="Arial" w:hint="default"/>
        </w:rPr>
        <w:t>2019</w:t>
      </w:r>
      <w:r>
        <w:rPr>
          <w:rFonts w:ascii="Arial" w:hAnsi="Arial" w:cs="Arial" w:eastAsia="Arial" w:hint="default"/>
          <w:spacing w:val="-32"/>
        </w:rPr>
        <w:t> </w:t>
      </w:r>
      <w:r>
        <w:rPr/>
        <w:t>年</w:t>
      </w:r>
      <w:r>
        <w:rPr>
          <w:spacing w:val="-23"/>
        </w:rPr>
        <w:t> </w:t>
      </w:r>
      <w:r>
        <w:rPr>
          <w:rFonts w:ascii="Arial" w:hAnsi="Arial" w:cs="Arial" w:eastAsia="Arial" w:hint="default"/>
        </w:rPr>
        <w:t>1</w:t>
      </w:r>
      <w:r>
        <w:rPr>
          <w:rFonts w:ascii="Arial" w:hAnsi="Arial" w:cs="Arial" w:eastAsia="Arial" w:hint="default"/>
          <w:spacing w:val="-32"/>
        </w:rPr>
        <w:t> </w:t>
      </w:r>
      <w:r>
        <w:rPr/>
        <w:t>月</w:t>
      </w:r>
      <w:r>
        <w:rPr>
          <w:spacing w:val="-23"/>
        </w:rPr>
        <w:t> </w:t>
      </w:r>
      <w:r>
        <w:rPr>
          <w:rFonts w:ascii="Arial" w:hAnsi="Arial" w:cs="Arial" w:eastAsia="Arial" w:hint="default"/>
        </w:rPr>
        <w:t>1</w:t>
      </w:r>
      <w:r>
        <w:rPr>
          <w:rFonts w:ascii="Arial" w:hAnsi="Arial" w:cs="Arial" w:eastAsia="Arial" w:hint="default"/>
          <w:spacing w:val="-32"/>
        </w:rPr>
        <w:t> </w:t>
      </w:r>
      <w:r>
        <w:rPr/>
        <w:t>日前适用的会计政策</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340" w:lineRule="auto"/>
        <w:ind w:left="573" w:right="0"/>
        <w:jc w:val="left"/>
      </w:pPr>
      <w:r>
        <w:rPr/>
        <w:t>（</w:t>
      </w:r>
      <w:r>
        <w:rPr>
          <w:rFonts w:ascii="Arial" w:hAnsi="Arial" w:cs="Arial" w:eastAsia="Arial" w:hint="default"/>
        </w:rPr>
        <w:t>1</w:t>
      </w:r>
      <w:r>
        <w:rPr/>
        <w:t>）以公允价值计量且其变动计入当期损益的金融资产和金融负债</w:t>
      </w:r>
      <w:r>
        <w:rPr>
          <w:w w:val="100"/>
        </w:rPr>
        <w:t> </w:t>
      </w:r>
      <w:r>
        <w:rPr>
          <w:spacing w:val="-2"/>
        </w:rPr>
        <w:t>以公允价值计量且其变动计入当期损益的金融资产和金融负债，包括交易性金融资产和金融负债，以</w:t>
      </w:r>
    </w:p>
    <w:p>
      <w:pPr>
        <w:pStyle w:val="BodyText"/>
        <w:spacing w:line="393" w:lineRule="auto" w:before="43"/>
        <w:ind w:left="573" w:right="0" w:hanging="421"/>
        <w:jc w:val="left"/>
      </w:pPr>
      <w:r>
        <w:rPr/>
        <w:t>及本公司指定的以公允价值计量且其变动计入当期损益的金融资产和金融负债。</w:t>
      </w:r>
      <w:r>
        <w:rPr>
          <w:w w:val="100"/>
        </w:rPr>
        <w:t> </w:t>
      </w:r>
      <w:r>
        <w:rPr>
          <w:spacing w:val="-2"/>
        </w:rPr>
        <w:t>若取得金融资产或承担金融负债的目的主要是为了近期内出售或回购，则该金融资产被分类为交易性</w:t>
      </w:r>
    </w:p>
    <w:p>
      <w:pPr>
        <w:pStyle w:val="BodyText"/>
        <w:spacing w:line="271" w:lineRule="exact"/>
        <w:ind w:right="0"/>
        <w:jc w:val="left"/>
      </w:pPr>
      <w:r>
        <w:rPr/>
        <w:t>金融资产。</w:t>
      </w:r>
    </w:p>
    <w:p>
      <w:pPr>
        <w:pStyle w:val="BodyText"/>
        <w:spacing w:line="355" w:lineRule="auto" w:before="176"/>
        <w:ind w:right="1126" w:firstLine="420"/>
        <w:jc w:val="both"/>
      </w:pPr>
      <w:r>
        <w:rPr>
          <w:spacing w:val="-2"/>
        </w:rPr>
        <w:t>对于此类金融工具，采用公允价值进行后续计量。期末按公允价值与原账面价值的差额确认公允价值</w:t>
      </w:r>
      <w:r>
        <w:rPr>
          <w:w w:val="100"/>
        </w:rPr>
        <w:t> </w:t>
      </w:r>
      <w:r>
        <w:rPr>
          <w:spacing w:val="-2"/>
        </w:rPr>
        <w:t>变动损益，计入当期损益。售出时，确认投资收益。与以公允价值计量且其变动计入当期损益的金融资产</w:t>
      </w:r>
      <w:r>
        <w:rPr>
          <w:spacing w:val="-47"/>
        </w:rPr>
        <w:t> </w:t>
      </w:r>
      <w:r>
        <w:rPr>
          <w:spacing w:val="-47"/>
        </w:rPr>
      </w:r>
      <w:r>
        <w:rPr/>
        <w:t>相关的股利或利息收入，计入当期投资收益。</w:t>
      </w:r>
    </w:p>
    <w:p>
      <w:pPr>
        <w:pStyle w:val="BodyText"/>
        <w:spacing w:line="357" w:lineRule="auto" w:before="75"/>
        <w:ind w:right="1126" w:firstLine="420"/>
        <w:jc w:val="both"/>
      </w:pPr>
      <w:r>
        <w:rPr>
          <w:spacing w:val="-2"/>
        </w:rPr>
        <w:t>只有符合以下条件之一，金融资产或金融负债才可在初始计量时指定为以公允价值计量且其变动计入</w:t>
      </w:r>
      <w:r>
        <w:rPr>
          <w:w w:val="100"/>
        </w:rPr>
        <w:t> </w:t>
      </w:r>
      <w:r>
        <w:rPr/>
        <w:t>当期损益的金融资产或金融负债：</w:t>
      </w:r>
    </w:p>
    <w:p>
      <w:pPr>
        <w:pStyle w:val="BodyText"/>
        <w:spacing w:line="338" w:lineRule="auto" w:before="71"/>
        <w:ind w:right="1127" w:firstLine="420"/>
        <w:jc w:val="both"/>
      </w:pPr>
      <w:r>
        <w:rPr>
          <w:rFonts w:ascii="Arial" w:hAnsi="Arial" w:cs="Arial" w:eastAsia="Arial" w:hint="default"/>
        </w:rPr>
        <w:t>(i)</w:t>
      </w:r>
      <w:r>
        <w:rPr>
          <w:rFonts w:ascii="Arial" w:hAnsi="Arial" w:cs="Arial" w:eastAsia="Arial" w:hint="default"/>
          <w:spacing w:val="37"/>
        </w:rPr>
        <w:t> </w:t>
      </w:r>
      <w:r>
        <w:rPr/>
        <w:t>该项指定可以消除或明显减少由于金融工具计量基础不同所导致的相关利得或损失在确认或计量</w:t>
      </w:r>
      <w:r>
        <w:rPr>
          <w:w w:val="100"/>
        </w:rPr>
        <w:t> </w:t>
      </w:r>
      <w:r>
        <w:rPr/>
        <w:t>方面不一致的情况。</w:t>
      </w:r>
    </w:p>
    <w:p>
      <w:pPr>
        <w:pStyle w:val="BodyText"/>
        <w:spacing w:line="336" w:lineRule="auto" w:before="90"/>
        <w:ind w:right="1126" w:firstLine="420"/>
        <w:jc w:val="both"/>
      </w:pPr>
      <w:r>
        <w:rPr>
          <w:rFonts w:ascii="Arial" w:hAnsi="Arial" w:cs="Arial" w:eastAsia="Arial" w:hint="default"/>
        </w:rPr>
        <w:t>(ii)</w:t>
      </w:r>
      <w:r>
        <w:rPr>
          <w:rFonts w:ascii="Arial" w:hAnsi="Arial" w:cs="Arial" w:eastAsia="Arial" w:hint="default"/>
          <w:spacing w:val="46"/>
        </w:rPr>
        <w:t> </w:t>
      </w:r>
      <w:r>
        <w:rPr/>
        <w:t>风险管理或投资策略的正式书面文件已载明，该金融工具组合以公允价值为基础进行管理、评价</w:t>
      </w:r>
      <w:r>
        <w:rPr>
          <w:w w:val="100"/>
        </w:rPr>
        <w:t> </w:t>
      </w:r>
      <w:r>
        <w:rPr/>
        <w:t>并向关键管理人员报告。</w:t>
      </w:r>
    </w:p>
    <w:p>
      <w:pPr>
        <w:pStyle w:val="BodyText"/>
        <w:spacing w:line="336" w:lineRule="auto" w:before="92"/>
        <w:ind w:right="1126" w:firstLine="420"/>
        <w:jc w:val="both"/>
      </w:pPr>
      <w:r>
        <w:rPr>
          <w:rFonts w:ascii="Arial" w:hAnsi="Arial" w:cs="Arial" w:eastAsia="Arial" w:hint="default"/>
        </w:rPr>
        <w:t>(iii)</w:t>
      </w:r>
      <w:r>
        <w:rPr>
          <w:rFonts w:ascii="Arial" w:hAnsi="Arial" w:cs="Arial" w:eastAsia="Arial" w:hint="default"/>
          <w:spacing w:val="1"/>
        </w:rPr>
        <w:t> </w:t>
      </w:r>
      <w:r>
        <w:rPr>
          <w:spacing w:val="-3"/>
        </w:rPr>
        <w:t>包含一项或多项嵌入衍生工具的混合工具，除非嵌入衍生工具对混合工具的现金流量没有重大改</w:t>
      </w:r>
      <w:r>
        <w:rPr>
          <w:w w:val="100"/>
        </w:rPr>
        <w:t> </w:t>
      </w:r>
      <w:r>
        <w:rPr/>
        <w:t>变，或所嵌入的衍生工具明显不应当从相关混合工具中分拆。</w:t>
      </w:r>
    </w:p>
    <w:p>
      <w:pPr>
        <w:pStyle w:val="BodyText"/>
        <w:spacing w:line="336" w:lineRule="auto" w:before="92"/>
        <w:ind w:right="1138" w:firstLine="420"/>
        <w:jc w:val="both"/>
      </w:pPr>
      <w:r>
        <w:rPr>
          <w:rFonts w:ascii="Arial" w:hAnsi="Arial" w:cs="Arial" w:eastAsia="Arial" w:hint="default"/>
        </w:rPr>
        <w:t>(iv)</w:t>
      </w:r>
      <w:r>
        <w:rPr>
          <w:rFonts w:ascii="Arial" w:hAnsi="Arial" w:cs="Arial" w:eastAsia="Arial" w:hint="default"/>
          <w:spacing w:val="44"/>
        </w:rPr>
        <w:t> </w:t>
      </w:r>
      <w:r>
        <w:rPr>
          <w:spacing w:val="2"/>
        </w:rPr>
        <w:t>包含需要分拆但无法在取得时或后续的资产负债表日对其进行单独计量的嵌入衍生工具的混合</w:t>
      </w:r>
      <w:r>
        <w:rPr>
          <w:w w:val="100"/>
        </w:rPr>
        <w:t> </w:t>
      </w:r>
      <w:r>
        <w:rPr/>
        <w:t>工具。</w:t>
      </w:r>
    </w:p>
    <w:p>
      <w:pPr>
        <w:spacing w:after="0" w:line="336" w:lineRule="auto"/>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374" w:lineRule="auto" w:before="36"/>
        <w:ind w:left="573" w:right="0"/>
        <w:jc w:val="left"/>
      </w:pPr>
      <w:r>
        <w:rPr/>
        <w:t>（</w:t>
      </w:r>
      <w:r>
        <w:rPr>
          <w:rFonts w:ascii="Arial" w:hAnsi="Arial" w:cs="Arial" w:eastAsia="Arial" w:hint="default"/>
        </w:rPr>
        <w:t>2</w:t>
      </w:r>
      <w:r>
        <w:rPr/>
        <w:t>）持有至到期投资</w:t>
      </w:r>
      <w:r>
        <w:rPr>
          <w:w w:val="100"/>
        </w:rPr>
        <w:t> </w:t>
      </w:r>
      <w:r>
        <w:rPr>
          <w:spacing w:val="-2"/>
        </w:rPr>
        <w:t>本公司有明确意图持有至到期且具有固定或可确定回收金额及固定期限的非衍生性金融资产，确认为</w:t>
      </w:r>
    </w:p>
    <w:p>
      <w:pPr>
        <w:pStyle w:val="BodyText"/>
        <w:spacing w:line="355" w:lineRule="auto" w:before="15"/>
        <w:ind w:right="0"/>
        <w:jc w:val="left"/>
      </w:pPr>
      <w:r>
        <w:rPr>
          <w:spacing w:val="-2"/>
        </w:rPr>
        <w:t>持有至到期投资。其后续计量采用实际利率法，按摊余成本计量。如果合同利率或票面利率与实际利率差</w:t>
      </w:r>
      <w:r>
        <w:rPr>
          <w:spacing w:val="-45"/>
        </w:rPr>
        <w:t> </w:t>
      </w:r>
      <w:r>
        <w:rPr>
          <w:spacing w:val="-45"/>
        </w:rPr>
      </w:r>
      <w:r>
        <w:rPr/>
        <w:t>异不大，采用合同利率或票面利率，按摊余成本计量。</w:t>
      </w:r>
    </w:p>
    <w:p>
      <w:pPr>
        <w:pStyle w:val="BodyText"/>
        <w:spacing w:line="374" w:lineRule="auto" w:before="73"/>
        <w:ind w:left="573" w:right="0"/>
        <w:jc w:val="left"/>
      </w:pPr>
      <w:r>
        <w:rPr/>
        <w:t>（</w:t>
      </w:r>
      <w:r>
        <w:rPr>
          <w:rFonts w:ascii="Arial" w:hAnsi="Arial" w:cs="Arial" w:eastAsia="Arial" w:hint="default"/>
        </w:rPr>
        <w:t>3</w:t>
      </w:r>
      <w:r>
        <w:rPr/>
        <w:t>）贷款和应收款项</w:t>
      </w:r>
      <w:r>
        <w:rPr>
          <w:w w:val="100"/>
        </w:rPr>
        <w:t> </w:t>
      </w:r>
      <w:r>
        <w:rPr>
          <w:spacing w:val="-2"/>
        </w:rPr>
        <w:t>贷款和应收款项，是指在活跃市场中没有报价、回收金额固定或可确定的非衍生金融资产。对于此类</w:t>
      </w:r>
    </w:p>
    <w:p>
      <w:pPr>
        <w:pStyle w:val="BodyText"/>
        <w:spacing w:line="357" w:lineRule="auto" w:before="15"/>
        <w:ind w:right="1126"/>
        <w:jc w:val="both"/>
      </w:pPr>
      <w:r>
        <w:rPr>
          <w:spacing w:val="-2"/>
        </w:rPr>
        <w:t>金融资产，采用实际利率法，按照摊余成本进行后续计量。如果合同利率与实际利率差异不大，采用合同</w:t>
      </w:r>
      <w:r>
        <w:rPr>
          <w:spacing w:val="-50"/>
        </w:rPr>
        <w:t> </w:t>
      </w:r>
      <w:r>
        <w:rPr>
          <w:spacing w:val="-50"/>
        </w:rPr>
      </w:r>
      <w:r>
        <w:rPr>
          <w:spacing w:val="-2"/>
        </w:rPr>
        <w:t>利率，按摊余成本计量。本公司收回贷款和应收款项时，按取得的价款与贷款和应收款项账面价值之间的</w:t>
      </w:r>
      <w:r>
        <w:rPr>
          <w:spacing w:val="-44"/>
        </w:rPr>
        <w:t> </w:t>
      </w:r>
      <w:r>
        <w:rPr>
          <w:spacing w:val="-44"/>
        </w:rPr>
      </w:r>
      <w:r>
        <w:rPr/>
        <w:t>差额，确认为当期损益。</w:t>
      </w:r>
    </w:p>
    <w:p>
      <w:pPr>
        <w:pStyle w:val="BodyText"/>
        <w:spacing w:line="372" w:lineRule="auto" w:before="71"/>
        <w:ind w:left="573" w:right="0"/>
        <w:jc w:val="left"/>
      </w:pPr>
      <w:r>
        <w:rPr/>
        <w:t>（</w:t>
      </w:r>
      <w:r>
        <w:rPr>
          <w:rFonts w:ascii="Arial" w:hAnsi="Arial" w:cs="Arial" w:eastAsia="Arial" w:hint="default"/>
        </w:rPr>
        <w:t>4</w:t>
      </w:r>
      <w:r>
        <w:rPr/>
        <w:t>）可供出售金融资产</w:t>
      </w:r>
      <w:r>
        <w:rPr>
          <w:w w:val="100"/>
        </w:rPr>
        <w:t> </w:t>
      </w:r>
      <w:r>
        <w:rPr>
          <w:spacing w:val="-2"/>
        </w:rPr>
        <w:t>可供出售金融资产，是指初始确认时即指定为可供出售的非衍生金融资产，以及除上述金融资产类别</w:t>
      </w:r>
    </w:p>
    <w:p>
      <w:pPr>
        <w:pStyle w:val="BodyText"/>
        <w:spacing w:line="355" w:lineRule="auto" w:before="20"/>
        <w:ind w:right="0"/>
        <w:jc w:val="left"/>
      </w:pPr>
      <w:r>
        <w:rPr>
          <w:spacing w:val="-2"/>
        </w:rPr>
        <w:t>以外的金融资产。对于此类金融资产，采用公允价值进行后续计量，没有公允价值的按成本计量。处置可</w:t>
      </w:r>
      <w:r>
        <w:rPr>
          <w:spacing w:val="-50"/>
        </w:rPr>
        <w:t> </w:t>
      </w:r>
      <w:r>
        <w:rPr>
          <w:spacing w:val="-50"/>
        </w:rPr>
      </w:r>
      <w:r>
        <w:rPr/>
        <w:t>供出售金融资产时，按取得的价款与原直接计入所有者权益的公允价值变动累计额对应处置部分的金额，</w:t>
      </w:r>
      <w:r>
        <w:rPr>
          <w:spacing w:val="-24"/>
        </w:rPr>
        <w:t> </w:t>
      </w:r>
      <w:r>
        <w:rPr>
          <w:spacing w:val="-24"/>
        </w:rPr>
      </w:r>
      <w:r>
        <w:rPr/>
        <w:t>与该金融资产账面价值之间的差额，确认为投资收益。</w:t>
      </w:r>
    </w:p>
    <w:p>
      <w:pPr>
        <w:pStyle w:val="BodyText"/>
        <w:spacing w:line="374" w:lineRule="auto" w:before="73"/>
        <w:ind w:left="573" w:right="0"/>
        <w:jc w:val="left"/>
      </w:pPr>
      <w:r>
        <w:rPr/>
        <w:t>（</w:t>
      </w:r>
      <w:r>
        <w:rPr>
          <w:rFonts w:ascii="Arial" w:hAnsi="Arial" w:cs="Arial" w:eastAsia="Arial" w:hint="default"/>
        </w:rPr>
        <w:t>5</w:t>
      </w:r>
      <w:r>
        <w:rPr/>
        <w:t>）其他金融负债</w:t>
      </w:r>
      <w:r>
        <w:rPr>
          <w:w w:val="100"/>
        </w:rPr>
        <w:t> </w:t>
      </w:r>
      <w:r>
        <w:rPr>
          <w:spacing w:val="-2"/>
        </w:rPr>
        <w:t>其他金融负债指除以公允价值计量且其变动计入当期损益的金融负债以外的非衍生金融负债。对于此</w:t>
      </w:r>
    </w:p>
    <w:p>
      <w:pPr>
        <w:pStyle w:val="BodyText"/>
        <w:spacing w:line="240" w:lineRule="auto" w:before="13"/>
        <w:ind w:right="0"/>
        <w:jc w:val="left"/>
      </w:pPr>
      <w:r>
        <w:rPr/>
        <w:t>类金融负债，采用实际利率法，按照摊余成本进行后续计量。</w:t>
      </w:r>
    </w:p>
    <w:p>
      <w:pPr>
        <w:pStyle w:val="BodyText"/>
        <w:spacing w:line="374" w:lineRule="auto" w:before="174"/>
        <w:ind w:left="573" w:right="0"/>
        <w:jc w:val="left"/>
      </w:pPr>
      <w:r>
        <w:rPr/>
        <w:t>（</w:t>
      </w:r>
      <w:r>
        <w:rPr>
          <w:rFonts w:ascii="Arial" w:hAnsi="Arial" w:cs="Arial" w:eastAsia="Arial" w:hint="default"/>
        </w:rPr>
        <w:t>6</w:t>
      </w:r>
      <w:r>
        <w:rPr/>
        <w:t>）金融资产的重分类</w:t>
      </w:r>
      <w:r>
        <w:rPr>
          <w:w w:val="100"/>
        </w:rPr>
        <w:t> </w:t>
      </w:r>
      <w:r>
        <w:rPr>
          <w:spacing w:val="-2"/>
        </w:rPr>
        <w:t>本公司改变投资意图时，将持有至到期投资重分类为可供出售金融资产。当出售或重分类金额相对于</w:t>
      </w:r>
    </w:p>
    <w:p>
      <w:pPr>
        <w:pStyle w:val="BodyText"/>
        <w:spacing w:line="355" w:lineRule="auto" w:before="15"/>
        <w:ind w:right="0"/>
        <w:jc w:val="left"/>
      </w:pPr>
      <w:r>
        <w:rPr>
          <w:spacing w:val="-2"/>
        </w:rPr>
        <w:t>该类投资在出售或重分类前的总额较大时，其剩余部分转入可供出售金融资产，且在本会计年度及以后两</w:t>
      </w:r>
      <w:r>
        <w:rPr>
          <w:spacing w:val="-44"/>
        </w:rPr>
        <w:t> </w:t>
      </w:r>
      <w:r>
        <w:rPr>
          <w:spacing w:val="-44"/>
        </w:rPr>
      </w:r>
      <w:r>
        <w:rPr/>
        <w:t>个完整的会计年度内不得再将金融资产划分为持有至到期投资。</w:t>
      </w:r>
    </w:p>
    <w:p>
      <w:pPr>
        <w:spacing w:line="240" w:lineRule="auto" w:before="0"/>
        <w:rPr>
          <w:rFonts w:ascii="宋体" w:hAnsi="宋体" w:cs="宋体" w:eastAsia="宋体" w:hint="default"/>
          <w:sz w:val="20"/>
          <w:szCs w:val="20"/>
        </w:rPr>
      </w:pPr>
    </w:p>
    <w:p>
      <w:pPr>
        <w:spacing w:line="340" w:lineRule="auto" w:before="145"/>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 金融资产转移的确认依据和计量方法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公司发生金融资产转移时，如已将金融资产所有权上几乎所有的风险和报酬转移给转入方，则终止确</w:t>
      </w:r>
    </w:p>
    <w:p>
      <w:pPr>
        <w:pStyle w:val="BodyText"/>
        <w:spacing w:line="391" w:lineRule="auto" w:before="45"/>
        <w:ind w:left="573" w:right="0" w:hanging="421"/>
        <w:jc w:val="left"/>
      </w:pPr>
      <w:r>
        <w:rPr/>
        <w:t>认该金融资产；如保留了金融资产所有权上几乎所有的风险和报酬的，则不终止确认该金融资产。</w:t>
      </w:r>
      <w:r>
        <w:rPr>
          <w:w w:val="100"/>
        </w:rPr>
        <w:t> </w:t>
      </w:r>
      <w:r>
        <w:rPr/>
        <w:t>在判断金融资产转移是否满足上述金融资产终止确认条件时，采用实质重于形式的原则。</w:t>
      </w:r>
      <w:r>
        <w:rPr>
          <w:w w:val="100"/>
        </w:rPr>
        <w:t> </w:t>
      </w:r>
      <w:r>
        <w:rPr/>
        <w:t>公司将金融资产转移区分为金融资产整体转移和部分转移。金融资产整体转移满足终止确认条件的，</w:t>
      </w:r>
    </w:p>
    <w:p>
      <w:pPr>
        <w:pStyle w:val="BodyText"/>
        <w:spacing w:line="240" w:lineRule="auto" w:before="1"/>
        <w:ind w:right="0"/>
        <w:jc w:val="left"/>
      </w:pPr>
      <w:r>
        <w:rPr/>
        <w:t>将下列两项金额的差额计入当期损益：</w:t>
      </w:r>
    </w:p>
    <w:p>
      <w:pPr>
        <w:pStyle w:val="BodyText"/>
        <w:spacing w:line="240" w:lineRule="auto" w:before="171"/>
        <w:ind w:left="573" w:right="0"/>
        <w:jc w:val="left"/>
      </w:pPr>
      <w:r>
        <w:rPr/>
        <w:t>（</w:t>
      </w:r>
      <w:r>
        <w:rPr>
          <w:rFonts w:ascii="Arial" w:hAnsi="Arial" w:cs="Arial" w:eastAsia="Arial" w:hint="default"/>
        </w:rPr>
        <w:t>1</w:t>
      </w:r>
      <w:r>
        <w:rPr/>
        <w:t>）所转移金融资产的账面价值；</w:t>
      </w:r>
    </w:p>
    <w:p>
      <w:pPr>
        <w:pStyle w:val="BodyText"/>
        <w:spacing w:line="338" w:lineRule="auto" w:before="161"/>
        <w:ind w:right="0" w:firstLine="420"/>
        <w:jc w:val="left"/>
      </w:pPr>
      <w:r>
        <w:rPr>
          <w:spacing w:val="-5"/>
        </w:rPr>
        <w:t>（</w:t>
      </w:r>
      <w:r>
        <w:rPr>
          <w:rFonts w:ascii="Arial" w:hAnsi="Arial" w:cs="Arial" w:eastAsia="Arial" w:hint="default"/>
          <w:spacing w:val="-5"/>
        </w:rPr>
        <w:t>2</w:t>
      </w:r>
      <w:r>
        <w:rPr>
          <w:spacing w:val="-5"/>
        </w:rPr>
        <w:t>）因转移而收到的对价，与原直接计入所有者权益的公允价值变动累计额（涉及转移的金融资产为</w:t>
      </w:r>
      <w:r>
        <w:rPr>
          <w:w w:val="100"/>
        </w:rPr>
        <w:t> </w:t>
      </w:r>
      <w:r>
        <w:rPr>
          <w:spacing w:val="-4"/>
          <w:w w:val="100"/>
        </w:rPr>
        <w:t>以公允价值计量且其变动计入其他综合收益的金融资产（债务工具）、可供出售金融资产的情形）之和。</w:t>
      </w:r>
    </w:p>
    <w:p>
      <w:pPr>
        <w:pStyle w:val="BodyText"/>
        <w:spacing w:line="240" w:lineRule="auto" w:before="88"/>
        <w:ind w:left="573" w:right="0"/>
        <w:jc w:val="left"/>
      </w:pPr>
      <w:r>
        <w:rPr/>
        <w:t>金融资产部分转移满足终止确认条件的，将所转移金融资产整体的账面价值，在终止确认部分和未终</w:t>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6"/>
        <w:ind w:right="0"/>
        <w:jc w:val="left"/>
      </w:pPr>
      <w:r>
        <w:rPr/>
        <w:t>止确认部分之间，按照各自的相对公允价值进行分摊，并将下列两项金额的差额计入当期损益：</w:t>
      </w:r>
    </w:p>
    <w:p>
      <w:pPr>
        <w:pStyle w:val="BodyText"/>
        <w:spacing w:line="240" w:lineRule="auto" w:before="174"/>
        <w:ind w:left="573" w:right="0"/>
        <w:jc w:val="left"/>
      </w:pPr>
      <w:r>
        <w:rPr/>
        <w:t>（</w:t>
      </w:r>
      <w:r>
        <w:rPr>
          <w:rFonts w:ascii="Arial" w:hAnsi="Arial" w:cs="Arial" w:eastAsia="Arial" w:hint="default"/>
        </w:rPr>
        <w:t>1</w:t>
      </w:r>
      <w:r>
        <w:rPr/>
        <w:t>）终止确认部分的账面价值；</w:t>
      </w:r>
    </w:p>
    <w:p>
      <w:pPr>
        <w:pStyle w:val="BodyText"/>
        <w:spacing w:line="345" w:lineRule="auto" w:before="161"/>
        <w:ind w:right="1126" w:firstLine="420"/>
        <w:jc w:val="both"/>
      </w:pPr>
      <w:r>
        <w:rPr>
          <w:spacing w:val="-4"/>
        </w:rPr>
        <w:t>（</w:t>
      </w:r>
      <w:r>
        <w:rPr>
          <w:rFonts w:ascii="Arial" w:hAnsi="Arial" w:cs="Arial" w:eastAsia="Arial" w:hint="default"/>
          <w:spacing w:val="-4"/>
        </w:rPr>
        <w:t>2</w:t>
      </w:r>
      <w:r>
        <w:rPr>
          <w:spacing w:val="-4"/>
        </w:rPr>
        <w:t>）终止确认部分的对价，与原直接计入所有者权益的公允价值变动累计额中对应终止确认部分的金</w:t>
      </w:r>
      <w:r>
        <w:rPr>
          <w:w w:val="100"/>
        </w:rPr>
        <w:t> </w:t>
      </w:r>
      <w:r>
        <w:rPr>
          <w:spacing w:val="-7"/>
          <w:w w:val="100"/>
        </w:rPr>
        <w:t>额（涉及转移的金融资产为以公允价值计量且其变动计入其他综合收益的金融资产（债务工具）、可供出售</w:t>
      </w:r>
      <w:r>
        <w:rPr>
          <w:spacing w:val="-73"/>
          <w:w w:val="100"/>
        </w:rPr>
        <w:t> </w:t>
      </w:r>
      <w:r>
        <w:rPr>
          <w:spacing w:val="-73"/>
          <w:w w:val="100"/>
        </w:rPr>
      </w:r>
      <w:r>
        <w:rPr/>
        <w:t>金融资产的情形）之和。</w:t>
      </w:r>
    </w:p>
    <w:p>
      <w:pPr>
        <w:pStyle w:val="BodyText"/>
        <w:spacing w:line="240" w:lineRule="auto" w:before="81"/>
        <w:ind w:left="573"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340"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 金融负债终止确认条件</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金融负债的现时义务全部或部分已经解除的，则终止确认该金融负债或其一部分；本公司若与债权人</w:t>
      </w:r>
    </w:p>
    <w:p>
      <w:pPr>
        <w:pStyle w:val="BodyText"/>
        <w:spacing w:line="355" w:lineRule="auto" w:before="45"/>
        <w:ind w:right="0"/>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355" w:lineRule="auto" w:before="73"/>
        <w:ind w:right="112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355" w:lineRule="auto" w:before="75"/>
        <w:ind w:right="112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355" w:lineRule="auto" w:before="75"/>
        <w:ind w:right="112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240" w:lineRule="auto" w:before="0"/>
        <w:rPr>
          <w:rFonts w:ascii="宋体" w:hAnsi="宋体" w:cs="宋体" w:eastAsia="宋体" w:hint="default"/>
          <w:sz w:val="20"/>
          <w:szCs w:val="20"/>
        </w:rPr>
      </w:pPr>
    </w:p>
    <w:p>
      <w:pPr>
        <w:spacing w:line="340" w:lineRule="auto" w:before="145"/>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 金融资产和金融负债的公允价值的确定方法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存在活跃市场的金融工具，以活跃市场中的报价确定其公允价值。不存在活跃市场的金融工具，采用</w:t>
      </w:r>
    </w:p>
    <w:p>
      <w:pPr>
        <w:pStyle w:val="BodyText"/>
        <w:spacing w:line="357" w:lineRule="auto" w:before="45"/>
        <w:ind w:right="0"/>
        <w:jc w:val="left"/>
      </w:pPr>
      <w:r>
        <w:rPr>
          <w:spacing w:val="-2"/>
        </w:rPr>
        <w:t>估值技术确定其公允价值。在估值时，本公司采用在当前情况下适用并且有足够可利用数据和其他信息支</w:t>
      </w:r>
      <w:r>
        <w:rPr>
          <w:spacing w:val="-43"/>
        </w:rPr>
        <w:t> </w:t>
      </w:r>
      <w:r>
        <w:rPr>
          <w:spacing w:val="-43"/>
        </w:rPr>
      </w:r>
      <w:r>
        <w:rPr/>
        <w:t>持的估值技术，选择与市场参与者在相关资产或负债的交易中所考虑的资产或负债特征相一致的输入值，</w:t>
      </w:r>
      <w:r>
        <w:rPr>
          <w:spacing w:val="-24"/>
        </w:rPr>
        <w:t> </w:t>
      </w:r>
      <w:r>
        <w:rPr>
          <w:spacing w:val="-24"/>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spacing w:line="240" w:lineRule="auto" w:before="0"/>
        <w:rPr>
          <w:rFonts w:ascii="宋体" w:hAnsi="宋体" w:cs="宋体" w:eastAsia="宋体" w:hint="default"/>
          <w:sz w:val="20"/>
          <w:szCs w:val="20"/>
        </w:rPr>
      </w:pPr>
    </w:p>
    <w:p>
      <w:pPr>
        <w:pStyle w:val="Heading4"/>
        <w:spacing w:line="295" w:lineRule="auto" w:before="143"/>
        <w:ind w:left="575" w:right="6070" w:hanging="3"/>
        <w:jc w:val="left"/>
        <w:rPr>
          <w:b w:val="0"/>
          <w:bCs w:val="0"/>
        </w:rPr>
      </w:pPr>
      <w:r>
        <w:rPr>
          <w:rFonts w:ascii="Times New Roman" w:hAnsi="Times New Roman" w:cs="Times New Roman" w:eastAsia="Times New Roman" w:hint="default"/>
        </w:rPr>
        <w:t>6</w:t>
      </w:r>
      <w:r>
        <w:rPr/>
        <w:t>．</w:t>
      </w:r>
      <w:r>
        <w:rPr>
          <w:spacing w:val="14"/>
        </w:rPr>
        <w:t> </w:t>
      </w:r>
      <w:r>
        <w:rPr/>
        <w:t>金融资产减值的测试方法及会计处理方法</w:t>
      </w:r>
      <w:r>
        <w:rPr>
          <w:w w:val="100"/>
        </w:rPr>
        <w:t> </w:t>
      </w:r>
      <w:r>
        <w:rPr/>
        <w:t>自</w:t>
      </w:r>
      <w:r>
        <w:rPr>
          <w:spacing w:val="-19"/>
        </w:rPr>
        <w:t> </w:t>
      </w:r>
      <w:r>
        <w:rPr>
          <w:rFonts w:ascii="Arial" w:hAnsi="Arial" w:cs="Arial" w:eastAsia="Arial" w:hint="default"/>
        </w:rPr>
        <w:t>2019</w:t>
      </w:r>
      <w:r>
        <w:rPr>
          <w:rFonts w:ascii="Arial" w:hAnsi="Arial" w:cs="Arial" w:eastAsia="Arial" w:hint="default"/>
          <w:spacing w:val="-28"/>
        </w:rPr>
        <w:t> </w:t>
      </w:r>
      <w:r>
        <w:rPr/>
        <w:t>年</w:t>
      </w:r>
      <w:r>
        <w:rPr>
          <w:spacing w:val="-19"/>
        </w:rPr>
        <w:t> </w:t>
      </w:r>
      <w:r>
        <w:rPr>
          <w:rFonts w:ascii="Arial" w:hAnsi="Arial" w:cs="Arial" w:eastAsia="Arial" w:hint="default"/>
        </w:rPr>
        <w:t>1</w:t>
      </w:r>
      <w:r>
        <w:rPr>
          <w:rFonts w:ascii="Arial" w:hAnsi="Arial" w:cs="Arial" w:eastAsia="Arial" w:hint="default"/>
          <w:spacing w:val="-28"/>
        </w:rPr>
        <w:t> </w:t>
      </w:r>
      <w:r>
        <w:rPr/>
        <w:t>月</w:t>
      </w:r>
      <w:r>
        <w:rPr>
          <w:spacing w:val="-19"/>
        </w:rPr>
        <w:t> </w:t>
      </w:r>
      <w:r>
        <w:rPr>
          <w:rFonts w:ascii="Arial" w:hAnsi="Arial" w:cs="Arial" w:eastAsia="Arial" w:hint="default"/>
        </w:rPr>
        <w:t>1</w:t>
      </w:r>
      <w:r>
        <w:rPr>
          <w:rFonts w:ascii="Arial" w:hAnsi="Arial" w:cs="Arial" w:eastAsia="Arial" w:hint="default"/>
          <w:spacing w:val="-28"/>
        </w:rPr>
        <w:t> </w:t>
      </w:r>
      <w:r>
        <w:rPr/>
        <w:t>日起适用的会计政策</w:t>
      </w:r>
      <w:r>
        <w:rPr>
          <w:b w:val="0"/>
          <w:bCs w:val="0"/>
        </w:rPr>
      </w:r>
    </w:p>
    <w:p>
      <w:pPr>
        <w:pStyle w:val="BodyText"/>
        <w:spacing w:line="240" w:lineRule="auto" w:before="86"/>
        <w:ind w:left="573" w:right="0"/>
        <w:jc w:val="left"/>
      </w:pPr>
      <w:r>
        <w:rPr/>
        <w:t>（</w:t>
      </w:r>
      <w:r>
        <w:rPr>
          <w:rFonts w:ascii="Calibri" w:hAnsi="Calibri" w:cs="Calibri" w:eastAsia="Calibri" w:hint="default"/>
        </w:rPr>
        <w:t>1</w:t>
      </w:r>
      <w:r>
        <w:rPr/>
        <w:t>）预期信用损失计量</w:t>
      </w:r>
    </w:p>
    <w:p>
      <w:pPr>
        <w:pStyle w:val="BodyText"/>
        <w:spacing w:line="350" w:lineRule="auto" w:before="149"/>
        <w:ind w:right="1126" w:firstLine="420"/>
        <w:jc w:val="both"/>
      </w:pPr>
      <w:r>
        <w:rPr/>
        <w:t>本公司自</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日首次执行新金融工具准则，对于以摊余成本计量的金融资产（包括融出资</w:t>
      </w:r>
      <w:r>
        <w:rPr>
          <w:w w:val="100"/>
        </w:rPr>
        <w:t> </w:t>
      </w:r>
      <w:r>
        <w:rPr>
          <w:spacing w:val="-2"/>
        </w:rPr>
        <w:t>金、买入返售金融资产、债权投资等）和以公允价值计量且其变动计入其他综合收益计量的金融资产（包</w:t>
      </w:r>
      <w:r>
        <w:rPr>
          <w:spacing w:val="-44"/>
        </w:rPr>
        <w:t> </w:t>
      </w:r>
      <w:r>
        <w:rPr>
          <w:spacing w:val="-44"/>
        </w:rPr>
      </w:r>
      <w:r>
        <w:rPr>
          <w:spacing w:val="-2"/>
          <w:w w:val="100"/>
        </w:rPr>
        <w:t>括其他债权投资），其预期信用损失的计量中使用了模型和假设。这些模型和假设涉及未来的宏观经济情</w:t>
      </w:r>
      <w:r>
        <w:rPr>
          <w:spacing w:val="-94"/>
          <w:w w:val="100"/>
        </w:rPr>
        <w:t> </w:t>
      </w:r>
      <w:r>
        <w:rPr>
          <w:spacing w:val="-94"/>
          <w:w w:val="100"/>
        </w:rPr>
      </w:r>
      <w:r>
        <w:rPr>
          <w:spacing w:val="-5"/>
          <w:w w:val="100"/>
        </w:rPr>
        <w:t>况和客户的信用行为（例如，客户违约的可能性及相应损失）。</w:t>
      </w:r>
    </w:p>
    <w:p>
      <w:pPr>
        <w:spacing w:after="0" w:line="350" w:lineRule="auto"/>
        <w:jc w:val="both"/>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36" w:lineRule="auto" w:before="36"/>
        <w:ind w:right="1126" w:firstLine="420"/>
        <w:jc w:val="both"/>
      </w:pPr>
      <w:r>
        <w:rPr>
          <w:spacing w:val="-2"/>
        </w:rPr>
        <w:t>对纳入预期信用损失计量的金融资产，本公司运用自金融资产初始确认之后信用质量发生</w:t>
      </w:r>
      <w:r>
        <w:rPr>
          <w:rFonts w:ascii="Times New Roman" w:hAnsi="Times New Roman" w:cs="Times New Roman" w:eastAsia="Times New Roman" w:hint="default"/>
          <w:spacing w:val="-2"/>
        </w:rPr>
        <w:t>“</w:t>
      </w:r>
      <w:r>
        <w:rPr>
          <w:spacing w:val="-2"/>
        </w:rPr>
        <w:t>三阶段</w:t>
      </w:r>
      <w:r>
        <w:rPr>
          <w:rFonts w:ascii="Times New Roman" w:hAnsi="Times New Roman" w:cs="Times New Roman" w:eastAsia="Times New Roman" w:hint="default"/>
          <w:spacing w:val="-2"/>
        </w:rPr>
        <w:t>”</w:t>
      </w:r>
      <w:r>
        <w:rPr>
          <w:spacing w:val="-2"/>
        </w:rPr>
        <w:t>变</w:t>
      </w:r>
      <w:r>
        <w:rPr>
          <w:w w:val="100"/>
        </w:rPr>
        <w:t> </w:t>
      </w:r>
      <w:r>
        <w:rPr/>
        <w:t>化的减值模型分别计量预期信用损失，具体包括：</w:t>
      </w:r>
    </w:p>
    <w:p>
      <w:pPr>
        <w:pStyle w:val="BodyText"/>
        <w:spacing w:line="345" w:lineRule="auto" w:before="92"/>
        <w:ind w:right="1126" w:firstLine="420"/>
        <w:jc w:val="both"/>
      </w:pPr>
      <w:r>
        <w:rPr>
          <w:spacing w:val="-2"/>
        </w:rPr>
        <w:t>①第一阶段：在资产负债表日信用风险较低的金融工具，或初始确认后信用风险未显著增加的金融工</w:t>
      </w:r>
      <w:r>
        <w:rPr>
          <w:w w:val="100"/>
        </w:rPr>
        <w:t> </w:t>
      </w:r>
      <w:r>
        <w:rPr/>
        <w:t>具，按照相当于该金融工具未来</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个月内（若预期存续期少于</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个月，则为预期存续期内）预期信用损</w:t>
      </w:r>
      <w:r>
        <w:rPr>
          <w:spacing w:val="-103"/>
        </w:rPr>
        <w:t> </w:t>
      </w:r>
      <w:r>
        <w:rPr>
          <w:spacing w:val="-103"/>
        </w:rPr>
      </w:r>
      <w:r>
        <w:rPr/>
        <w:t>失的金额计量其损失准备；</w:t>
      </w:r>
    </w:p>
    <w:p>
      <w:pPr>
        <w:pStyle w:val="BodyText"/>
        <w:spacing w:line="355" w:lineRule="auto" w:before="81"/>
        <w:ind w:right="1126" w:firstLine="420"/>
        <w:jc w:val="both"/>
      </w:pPr>
      <w:r>
        <w:rPr>
          <w:spacing w:val="-2"/>
        </w:rPr>
        <w:t>②第二阶段：自初始确认后信用风险已显著增加的金融工具，但未发生信用减值，即不存在表明金融</w:t>
      </w:r>
      <w:r>
        <w:rPr>
          <w:w w:val="100"/>
        </w:rPr>
        <w:t> </w:t>
      </w:r>
      <w:r>
        <w:rPr>
          <w:spacing w:val="-2"/>
        </w:rPr>
        <w:t>工具发生信用损失事件的客观证据，按照相当于该金融工具整个存续期内预期信用损失的金额计量其损失</w:t>
      </w:r>
      <w:r>
        <w:rPr>
          <w:spacing w:val="-43"/>
        </w:rPr>
        <w:t> </w:t>
      </w:r>
      <w:r>
        <w:rPr>
          <w:spacing w:val="-43"/>
        </w:rPr>
      </w:r>
      <w:r>
        <w:rPr/>
        <w:t>准备；</w:t>
      </w:r>
    </w:p>
    <w:p>
      <w:pPr>
        <w:pStyle w:val="BodyText"/>
        <w:spacing w:line="355" w:lineRule="auto" w:before="76"/>
        <w:ind w:right="1126" w:firstLine="420"/>
        <w:jc w:val="both"/>
      </w:pPr>
      <w:r>
        <w:rPr>
          <w:spacing w:val="-2"/>
        </w:rPr>
        <w:t>③第三阶段：初始确认后已发生信用减值的金融工具，按照相当于该金融工具整个存续期内预期信用</w:t>
      </w:r>
      <w:r>
        <w:rPr>
          <w:w w:val="100"/>
        </w:rPr>
        <w:t> </w:t>
      </w:r>
      <w:r>
        <w:rPr/>
        <w:t>损失的金额计量其损失准备。</w:t>
      </w:r>
    </w:p>
    <w:p>
      <w:pPr>
        <w:pStyle w:val="BodyText"/>
        <w:spacing w:line="355" w:lineRule="auto" w:before="75"/>
        <w:ind w:right="1126" w:firstLine="420"/>
        <w:jc w:val="both"/>
      </w:pPr>
      <w:r>
        <w:rPr>
          <w:spacing w:val="-2"/>
        </w:rPr>
        <w:t>对于购买或源生的已发生信用减值的金融资产，将自初始确认后整个存续期内预期信用损失的累计变</w:t>
      </w:r>
      <w:r>
        <w:rPr>
          <w:w w:val="100"/>
        </w:rPr>
        <w:t> </w:t>
      </w:r>
      <w:r>
        <w:rPr>
          <w:spacing w:val="-2"/>
        </w:rPr>
        <w:t>动确认为损失准备。对于符合准则规定条件且如适用证券公司已做出相应会计政策选择的应收款项、租赁</w:t>
      </w:r>
      <w:r>
        <w:rPr>
          <w:spacing w:val="-42"/>
        </w:rPr>
        <w:t> </w:t>
      </w:r>
      <w:r>
        <w:rPr>
          <w:spacing w:val="-42"/>
        </w:rPr>
      </w:r>
      <w:r>
        <w:rPr/>
        <w:t>应收款和合同资产，应当始终按照相当于整个存续期内预期信用损失的金额计量其损失准备。</w:t>
      </w:r>
    </w:p>
    <w:p>
      <w:pPr>
        <w:pStyle w:val="BodyText"/>
        <w:spacing w:line="355" w:lineRule="auto" w:before="75"/>
        <w:ind w:right="1126" w:firstLine="420"/>
        <w:jc w:val="both"/>
      </w:pPr>
      <w:r>
        <w:rPr>
          <w:spacing w:val="-2"/>
        </w:rPr>
        <w:t>对于上述金融资产，管理层运用包含违约概率、违约损失率及违约风险敞口等关键参数的风险参数模</w:t>
      </w:r>
      <w:r>
        <w:rPr>
          <w:w w:val="100"/>
        </w:rPr>
        <w:t> </w:t>
      </w:r>
      <w:r>
        <w:rPr/>
        <w:t>型法评估损失准备并均考虑了前瞻性因素。</w:t>
      </w:r>
    </w:p>
    <w:p>
      <w:pPr>
        <w:pStyle w:val="BodyText"/>
        <w:spacing w:line="240" w:lineRule="auto" w:before="73"/>
        <w:ind w:left="573" w:right="0"/>
        <w:jc w:val="left"/>
      </w:pPr>
      <w:r>
        <w:rPr/>
        <w:t>本公司根据会计准则的要求在预期信用损失计量中使用了判断、假设和估计，包括：</w:t>
      </w:r>
    </w:p>
    <w:p>
      <w:pPr>
        <w:pStyle w:val="BodyText"/>
        <w:spacing w:line="240" w:lineRule="auto" w:before="174"/>
        <w:ind w:left="573" w:right="0"/>
        <w:jc w:val="left"/>
      </w:pPr>
      <w:r>
        <w:rPr/>
        <w:t>①判断信用风险显著增加的标准；</w:t>
      </w:r>
    </w:p>
    <w:p>
      <w:pPr>
        <w:pStyle w:val="BodyText"/>
        <w:spacing w:line="240" w:lineRule="auto" w:before="174"/>
        <w:ind w:left="573" w:right="0"/>
        <w:jc w:val="left"/>
      </w:pPr>
      <w:r>
        <w:rPr/>
        <w:t>②选择计量预期信用损失的适当模型和假设；</w:t>
      </w:r>
    </w:p>
    <w:p>
      <w:pPr>
        <w:pStyle w:val="BodyText"/>
        <w:spacing w:line="240" w:lineRule="auto" w:before="174"/>
        <w:ind w:left="573" w:right="0"/>
        <w:jc w:val="left"/>
      </w:pPr>
      <w:r>
        <w:rPr/>
        <w:t>③针对不同类型的产品，在计量预期信用损失时确定需要使用的前瞻性信息和权重。</w:t>
      </w:r>
    </w:p>
    <w:p>
      <w:pPr>
        <w:pStyle w:val="BodyText"/>
        <w:spacing w:line="360" w:lineRule="auto" w:before="174"/>
        <w:ind w:left="573" w:right="1121" w:hanging="137"/>
        <w:jc w:val="left"/>
      </w:pPr>
      <w:r>
        <w:rPr/>
        <w:t>（</w:t>
      </w:r>
      <w:r>
        <w:rPr>
          <w:rFonts w:ascii="Calibri" w:hAnsi="Calibri" w:cs="Calibri" w:eastAsia="Calibri" w:hint="default"/>
        </w:rPr>
        <w:t>2</w:t>
      </w:r>
      <w:r>
        <w:rPr/>
        <w:t>）预期信用损失计量的参数、假设及估计技术</w:t>
      </w:r>
      <w:r>
        <w:rPr>
          <w:w w:val="100"/>
        </w:rPr>
        <w:t> </w:t>
      </w:r>
      <w:r>
        <w:rPr/>
        <w:t>根据信用风险是否显著增加以及是否发生信用减值，本公司对不同的金融资产分别以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个月或整个</w:t>
      </w:r>
    </w:p>
    <w:p>
      <w:pPr>
        <w:pStyle w:val="BodyText"/>
        <w:spacing w:line="393" w:lineRule="auto"/>
        <w:ind w:left="573" w:right="0" w:hanging="421"/>
        <w:jc w:val="left"/>
      </w:pPr>
      <w:r>
        <w:rPr/>
        <w:t>存续期的预期信用损失计量减值准备。在计量预期信用损失时，本公司考虑了前瞻性信息的影响。</w:t>
      </w:r>
      <w:r>
        <w:rPr>
          <w:w w:val="100"/>
        </w:rPr>
        <w:t> </w:t>
      </w:r>
      <w:r>
        <w:rPr>
          <w:spacing w:val="-8"/>
          <w:w w:val="100"/>
        </w:rPr>
        <w:t>金融工具的预期信用损失为考虑了前瞻性影响的违约概率（</w:t>
      </w:r>
      <w:r>
        <w:rPr>
          <w:rFonts w:ascii="Times New Roman" w:hAnsi="Times New Roman" w:cs="Times New Roman" w:eastAsia="Times New Roman" w:hint="default"/>
          <w:spacing w:val="-8"/>
          <w:w w:val="100"/>
        </w:rPr>
        <w:t>PD</w:t>
      </w:r>
      <w:r>
        <w:rPr>
          <w:spacing w:val="-8"/>
          <w:w w:val="100"/>
        </w:rPr>
        <w:t>）、违约风险敞口（</w:t>
      </w:r>
      <w:r>
        <w:rPr>
          <w:rFonts w:ascii="Times New Roman" w:hAnsi="Times New Roman" w:cs="Times New Roman" w:eastAsia="Times New Roman" w:hint="default"/>
          <w:spacing w:val="-8"/>
          <w:w w:val="100"/>
        </w:rPr>
        <w:t>EAD</w:t>
      </w:r>
      <w:r>
        <w:rPr>
          <w:spacing w:val="-8"/>
          <w:w w:val="100"/>
        </w:rPr>
        <w:t>）、违约损失率</w:t>
      </w:r>
    </w:p>
    <w:p>
      <w:pPr>
        <w:pStyle w:val="BodyText"/>
        <w:spacing w:line="257" w:lineRule="exact"/>
        <w:ind w:right="0"/>
        <w:jc w:val="left"/>
      </w:pPr>
      <w:r>
        <w:rPr/>
        <w:t>（</w:t>
      </w:r>
      <w:r>
        <w:rPr>
          <w:rFonts w:ascii="Times New Roman" w:hAnsi="Times New Roman" w:cs="Times New Roman" w:eastAsia="Times New Roman" w:hint="default"/>
        </w:rPr>
        <w:t>LGD</w:t>
      </w:r>
      <w:r>
        <w:rPr/>
        <w:t>）三者乘积作为未来现金流折现至当期的结果：</w:t>
      </w:r>
    </w:p>
    <w:p>
      <w:pPr>
        <w:pStyle w:val="BodyText"/>
        <w:spacing w:line="350" w:lineRule="auto" w:before="160"/>
        <w:ind w:right="1126" w:firstLine="420"/>
        <w:jc w:val="both"/>
      </w:pPr>
      <w:r>
        <w:rPr>
          <w:rFonts w:ascii="Times New Roman" w:hAnsi="Times New Roman" w:cs="Times New Roman" w:eastAsia="Times New Roman" w:hint="default"/>
        </w:rPr>
        <w:t>- </w:t>
      </w:r>
      <w:r>
        <w:rPr/>
        <w:t>违约概率是指借款人在未来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spacing w:val="-5"/>
        </w:rPr>
        <w:t>个月或在整个剩余存续期，无法履行其偿付义务的可能性。违约是指</w:t>
      </w:r>
      <w:r>
        <w:rPr>
          <w:w w:val="100"/>
        </w:rPr>
        <w:t> </w:t>
      </w:r>
      <w:r>
        <w:rPr>
          <w:spacing w:val="-2"/>
        </w:rPr>
        <w:t>未按合同约定偿付债务，或其他违反债务合同且对正常偿还债务产生重大影响的行为。本公司计算违约概</w:t>
      </w:r>
      <w:r>
        <w:rPr>
          <w:spacing w:val="-42"/>
        </w:rPr>
        <w:t> </w:t>
      </w:r>
      <w:r>
        <w:rPr>
          <w:spacing w:val="-42"/>
        </w:rPr>
      </w:r>
      <w:r>
        <w:rPr>
          <w:spacing w:val="-2"/>
        </w:rPr>
        <w:t>率考虑的主要因素有债券投资业务经评估后的信用评级信息，融出资金业务活跃客户的历史穿仓数据及各</w:t>
      </w:r>
      <w:r>
        <w:rPr>
          <w:spacing w:val="-43"/>
        </w:rPr>
        <w:t> </w:t>
      </w:r>
      <w:r>
        <w:rPr>
          <w:spacing w:val="-43"/>
        </w:rPr>
      </w:r>
      <w:r>
        <w:rPr>
          <w:spacing w:val="-2"/>
        </w:rPr>
        <w:t>维持担保比率区间的风险系数调整信息，买入返售金融资产中股票质押式回购及约定购回业务的客户内部</w:t>
      </w:r>
      <w:r>
        <w:rPr>
          <w:spacing w:val="-43"/>
        </w:rPr>
        <w:t> </w:t>
      </w:r>
      <w:r>
        <w:rPr>
          <w:spacing w:val="-43"/>
        </w:rPr>
      </w:r>
      <w:r>
        <w:rPr/>
        <w:t>评分经评估后映射的外部信用评级信息等；</w:t>
      </w:r>
    </w:p>
    <w:p>
      <w:pPr>
        <w:pStyle w:val="BodyText"/>
        <w:spacing w:line="336" w:lineRule="auto" w:before="79"/>
        <w:ind w:right="1129"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违约风险敞口是指对未来某个时点风险敞口的估计，反映违约时点后合同应收的全部现金流按实际</w:t>
      </w:r>
      <w:r>
        <w:rPr>
          <w:w w:val="100"/>
        </w:rPr>
        <w:t> </w:t>
      </w:r>
      <w:r>
        <w:rPr/>
        <w:t>利率折现（如需）到违约时点的现值；</w:t>
      </w:r>
    </w:p>
    <w:p>
      <w:pPr>
        <w:pStyle w:val="BodyText"/>
        <w:spacing w:line="336" w:lineRule="auto" w:before="92"/>
        <w:ind w:right="1126"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违约损失率是指本公司对违约风险敞口发生损失程度作出的预期。本公司债券投资业务使用基于公</w:t>
      </w:r>
      <w:r>
        <w:rPr>
          <w:w w:val="100"/>
        </w:rPr>
        <w:t> </w:t>
      </w:r>
      <w:r>
        <w:rPr>
          <w:spacing w:val="-2"/>
        </w:rPr>
        <w:t>开市场数据中各类债券历史违约清收数据计算的历史损失率并评估其适当性；融出资金业务使用基于维持</w:t>
      </w:r>
    </w:p>
    <w:p>
      <w:pPr>
        <w:spacing w:after="0" w:line="336" w:lineRule="auto"/>
        <w:jc w:val="both"/>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45" w:lineRule="auto" w:before="36"/>
        <w:ind w:right="1128"/>
        <w:jc w:val="both"/>
      </w:pPr>
      <w:r>
        <w:rPr/>
        <w:t>担保比例及 </w:t>
      </w:r>
      <w:r>
        <w:rPr>
          <w:rFonts w:ascii="Times New Roman" w:hAnsi="Times New Roman" w:cs="Times New Roman" w:eastAsia="Times New Roman" w:hint="default"/>
        </w:rPr>
        <w:t>A </w:t>
      </w:r>
      <w:r>
        <w:rPr>
          <w:spacing w:val="-4"/>
        </w:rPr>
        <w:t>股一定期间内的股票连续跌停的数据统计测算的历史损失率并评估其适当性；买入返售金融</w:t>
      </w:r>
      <w:r>
        <w:rPr>
          <w:spacing w:val="-77"/>
        </w:rPr>
        <w:t> </w:t>
      </w:r>
      <w:r>
        <w:rPr>
          <w:spacing w:val="-77"/>
        </w:rPr>
      </w:r>
      <w:r>
        <w:rPr>
          <w:spacing w:val="2"/>
        </w:rPr>
        <w:t>资产中股票质押式回购及约定购回业务使用考虑担保物流通性折扣等因素后抵质押物最小可回收金额计</w:t>
      </w:r>
      <w:r>
        <w:rPr>
          <w:spacing w:val="-21"/>
        </w:rPr>
        <w:t> </w:t>
      </w:r>
      <w:r>
        <w:rPr>
          <w:spacing w:val="-21"/>
        </w:rPr>
      </w:r>
      <w:r>
        <w:rPr/>
        <w:t>算的损失率并评估其适当性。</w:t>
      </w:r>
    </w:p>
    <w:p>
      <w:pPr>
        <w:pStyle w:val="BodyText"/>
        <w:spacing w:line="355" w:lineRule="auto" w:before="84"/>
        <w:ind w:right="0" w:firstLine="420"/>
        <w:jc w:val="left"/>
      </w:pPr>
      <w:r>
        <w:rPr>
          <w:spacing w:val="-2"/>
        </w:rPr>
        <w:t>前瞻性调整是公司在计算预期信用损失时考虑宏观经济因素、行业政策和行业环境对预期信用损失的</w:t>
      </w:r>
      <w:r>
        <w:rPr>
          <w:w w:val="100"/>
        </w:rPr>
        <w:t> </w:t>
      </w:r>
      <w:r>
        <w:rPr/>
        <w:t>影响，公司使用经前瞻性调整后的违约概率计算预期信用损失。</w:t>
      </w:r>
    </w:p>
    <w:p>
      <w:pPr>
        <w:pStyle w:val="BodyText"/>
        <w:spacing w:line="360" w:lineRule="auto" w:before="70"/>
        <w:ind w:left="573" w:right="0" w:hanging="137"/>
        <w:jc w:val="left"/>
      </w:pPr>
      <w:r>
        <w:rPr/>
        <w:t>（</w:t>
      </w:r>
      <w:r>
        <w:rPr>
          <w:rFonts w:ascii="Calibri" w:hAnsi="Calibri" w:cs="Calibri" w:eastAsia="Calibri" w:hint="default"/>
        </w:rPr>
        <w:t>3</w:t>
      </w:r>
      <w:r>
        <w:rPr/>
        <w:t>）信用风险显著增加的判断标准</w:t>
      </w:r>
      <w:r>
        <w:rPr>
          <w:w w:val="100"/>
        </w:rPr>
        <w:t> </w:t>
      </w:r>
      <w:r>
        <w:rPr>
          <w:spacing w:val="-2"/>
        </w:rPr>
        <w:t>本公司在每个资产负债表日评估相关金融工具的信用风险自初始确认后是否已显著增加。本公司在进</w:t>
      </w:r>
    </w:p>
    <w:p>
      <w:pPr>
        <w:pStyle w:val="BodyText"/>
        <w:spacing w:line="355" w:lineRule="auto" w:before="30"/>
        <w:ind w:right="1126"/>
        <w:jc w:val="both"/>
      </w:pPr>
      <w:r>
        <w:rPr>
          <w:spacing w:val="-2"/>
        </w:rPr>
        <w:t>行金融资产损失准备阶段划分时，充分考虑了反映金融工具的信用风险是否发生显著变化的各种合理且有</w:t>
      </w:r>
      <w:r>
        <w:rPr>
          <w:spacing w:val="-43"/>
        </w:rPr>
        <w:t> </w:t>
      </w:r>
      <w:r>
        <w:rPr>
          <w:spacing w:val="-43"/>
        </w:rPr>
      </w:r>
      <w:r>
        <w:rPr>
          <w:spacing w:val="-2"/>
        </w:rPr>
        <w:t>依据的信息，包括前瞻性信息。当触发以下一个或多个定量和定性指标时，本公司认为金融工具的信用风</w:t>
      </w:r>
      <w:r>
        <w:rPr>
          <w:spacing w:val="-43"/>
        </w:rPr>
        <w:t> </w:t>
      </w:r>
      <w:r>
        <w:rPr>
          <w:spacing w:val="-43"/>
        </w:rPr>
      </w:r>
      <w:r>
        <w:rPr/>
        <w:t>险已发生显著增加。</w:t>
      </w:r>
    </w:p>
    <w:p>
      <w:pPr>
        <w:pStyle w:val="BodyText"/>
        <w:spacing w:line="355" w:lineRule="auto" w:before="75"/>
        <w:ind w:right="1018" w:firstLine="420"/>
        <w:jc w:val="left"/>
      </w:pPr>
      <w:r>
        <w:rPr/>
        <w:t>针对融资类业务，公司充分考虑融资主体的信用状况，合同期限，以及担保证券所属板块、流动性、</w:t>
      </w:r>
      <w:r>
        <w:rPr>
          <w:w w:val="100"/>
        </w:rPr>
        <w:t> </w:t>
      </w:r>
      <w:r>
        <w:rPr>
          <w:spacing w:val="-2"/>
        </w:rPr>
        <w:t>限售情况、集中度、波动性、履约保障情况、发行人经营情况等因素，为不同融资主体或合约设置不同的</w:t>
      </w:r>
      <w:r>
        <w:rPr>
          <w:spacing w:val="-43"/>
        </w:rPr>
        <w:t> </w:t>
      </w:r>
      <w:r>
        <w:rPr>
          <w:spacing w:val="-43"/>
        </w:rPr>
      </w:r>
      <w:r>
        <w:rPr>
          <w:spacing w:val="-2"/>
        </w:rPr>
        <w:t>预警线和平仓线。如果融资类业务本金或利息发生逾期，或融出资金业务维持担保比例低于预警线，或买</w:t>
      </w:r>
      <w:r>
        <w:rPr>
          <w:spacing w:val="-44"/>
        </w:rPr>
        <w:t> </w:t>
      </w:r>
      <w:r>
        <w:rPr>
          <w:spacing w:val="-44"/>
        </w:rPr>
      </w:r>
      <w:r>
        <w:rPr>
          <w:spacing w:val="-2"/>
        </w:rPr>
        <w:t>入返售金融资产中股票质押式回购及约定购回业务履约保障比例持续低于平仓线，则表明其信用风险已经</w:t>
      </w:r>
      <w:r>
        <w:rPr>
          <w:spacing w:val="-43"/>
        </w:rPr>
        <w:t> </w:t>
      </w:r>
      <w:r>
        <w:rPr>
          <w:spacing w:val="-43"/>
        </w:rPr>
      </w:r>
      <w:r>
        <w:rPr/>
        <w:t>显著增加。</w:t>
      </w:r>
    </w:p>
    <w:p>
      <w:pPr>
        <w:pStyle w:val="BodyText"/>
        <w:spacing w:line="350" w:lineRule="auto" w:before="75"/>
        <w:ind w:right="1126" w:firstLine="420"/>
        <w:jc w:val="both"/>
      </w:pPr>
      <w:r>
        <w:rPr>
          <w:spacing w:val="-2"/>
        </w:rPr>
        <w:t>针对债券投资业务，如果债券发生逾期，或债券发行人的最新评级较初始确认时点债券发行人下调至</w:t>
      </w:r>
      <w:r>
        <w:rPr>
          <w:w w:val="100"/>
        </w:rPr>
        <w:t> </w:t>
      </w:r>
      <w:r>
        <w:rPr>
          <w:rFonts w:ascii="Times New Roman" w:hAnsi="Times New Roman" w:cs="Times New Roman" w:eastAsia="Times New Roman" w:hint="default"/>
        </w:rPr>
        <w:t>AA</w:t>
      </w:r>
      <w:r>
        <w:rPr>
          <w:rFonts w:ascii="Times New Roman" w:hAnsi="Times New Roman" w:cs="Times New Roman" w:eastAsia="Times New Roman" w:hint="default"/>
          <w:spacing w:val="36"/>
        </w:rPr>
        <w:t> </w:t>
      </w:r>
      <w:r>
        <w:rPr/>
        <w:t>级以下，或债券发行人最新评级在投资级以下，或其他客观信息表明信用风险显著增加的，则认为其</w:t>
      </w:r>
      <w:r>
        <w:rPr>
          <w:w w:val="100"/>
        </w:rPr>
        <w:t> </w:t>
      </w:r>
      <w:r>
        <w:rPr>
          <w:spacing w:val="-2"/>
        </w:rPr>
        <w:t>信用风险显著增加。如果债券发行人有有效担保人，且有效担保人主体评级高于债券发行人，则确认时点</w:t>
      </w:r>
      <w:r>
        <w:rPr>
          <w:spacing w:val="-44"/>
        </w:rPr>
        <w:t> </w:t>
      </w:r>
      <w:r>
        <w:rPr>
          <w:spacing w:val="-44"/>
        </w:rPr>
      </w:r>
      <w:r>
        <w:rPr/>
        <w:t>以担保人评级代替债券发行人评级。</w:t>
      </w:r>
    </w:p>
    <w:p>
      <w:pPr>
        <w:pStyle w:val="BodyText"/>
        <w:spacing w:line="355" w:lineRule="auto" w:before="79"/>
        <w:ind w:right="1126" w:firstLine="420"/>
        <w:jc w:val="both"/>
      </w:pPr>
      <w:r>
        <w:rPr>
          <w:spacing w:val="-2"/>
        </w:rPr>
        <w:t>如果金融资产的违约风险较低，借款人在短期内履行其合同现金流量义务的能力很强，即便较长时期</w:t>
      </w:r>
      <w:r>
        <w:rPr>
          <w:w w:val="100"/>
        </w:rPr>
        <w:t> </w:t>
      </w:r>
      <w:r>
        <w:rPr>
          <w:spacing w:val="-2"/>
        </w:rPr>
        <w:t>内经济形势和经营环境存在不利变化但未必一定降低借款人履行其合同现金流量义务的能力，该金融工具</w:t>
      </w:r>
      <w:r>
        <w:rPr>
          <w:spacing w:val="-43"/>
        </w:rPr>
        <w:t> </w:t>
      </w:r>
      <w:r>
        <w:rPr>
          <w:spacing w:val="-43"/>
        </w:rPr>
      </w:r>
      <w:r>
        <w:rPr/>
        <w:t>被视为具有较低的信用风险。</w:t>
      </w:r>
    </w:p>
    <w:p>
      <w:pPr>
        <w:pStyle w:val="BodyText"/>
        <w:spacing w:line="360" w:lineRule="auto" w:before="70"/>
        <w:ind w:left="573" w:right="0" w:hanging="137"/>
        <w:jc w:val="left"/>
      </w:pPr>
      <w:r>
        <w:rPr/>
        <w:t>（</w:t>
      </w:r>
      <w:r>
        <w:rPr>
          <w:rFonts w:ascii="Calibri" w:hAnsi="Calibri" w:cs="Calibri" w:eastAsia="Calibri" w:hint="default"/>
        </w:rPr>
        <w:t>4</w:t>
      </w:r>
      <w:r>
        <w:rPr/>
        <w:t>）已发生信用减值资产的定义</w:t>
      </w:r>
      <w:r>
        <w:rPr>
          <w:w w:val="100"/>
        </w:rPr>
        <w:t> </w:t>
      </w:r>
      <w:r>
        <w:rPr>
          <w:spacing w:val="-2"/>
        </w:rPr>
        <w:t>根据新金融工具准则判断金融工具是否发生信用减值时，本公司所采用的界定标准，与内部针对相关</w:t>
      </w:r>
    </w:p>
    <w:p>
      <w:pPr>
        <w:pStyle w:val="BodyText"/>
        <w:spacing w:line="355" w:lineRule="auto" w:before="28"/>
        <w:ind w:right="1126"/>
        <w:jc w:val="both"/>
      </w:pPr>
      <w:r>
        <w:rPr>
          <w:spacing w:val="-2"/>
        </w:rPr>
        <w:t>金融工具的信用风险管理目标保持一致，同时考虑定量、定性指标。当金融工具符合以下一项或多项条件</w:t>
      </w:r>
      <w:r>
        <w:rPr>
          <w:spacing w:val="-44"/>
        </w:rPr>
        <w:t> </w:t>
      </w:r>
      <w:r>
        <w:rPr>
          <w:spacing w:val="-44"/>
        </w:rPr>
      </w:r>
      <w:r>
        <w:rPr/>
        <w:t>时，本公司将该金融资产界定为已发生信用减值：</w:t>
      </w:r>
    </w:p>
    <w:p>
      <w:pPr>
        <w:pStyle w:val="BodyText"/>
        <w:spacing w:line="240" w:lineRule="auto" w:before="73"/>
        <w:ind w:left="573" w:right="0"/>
        <w:jc w:val="left"/>
      </w:pPr>
      <w:r>
        <w:rPr/>
        <w:t>①债务人在合同付款日后未按期偿付本金或利息；</w:t>
      </w:r>
    </w:p>
    <w:p>
      <w:pPr>
        <w:pStyle w:val="BodyText"/>
        <w:spacing w:line="240" w:lineRule="auto" w:before="171"/>
        <w:ind w:left="573" w:right="0"/>
        <w:jc w:val="left"/>
      </w:pPr>
      <w:r>
        <w:rPr/>
        <w:t>②融资类金融资产业务采取强制平仓措施、担保物价值已经不能覆盖融资金额；</w:t>
      </w:r>
    </w:p>
    <w:p>
      <w:pPr>
        <w:pStyle w:val="BodyText"/>
        <w:spacing w:line="240" w:lineRule="auto" w:before="174"/>
        <w:ind w:left="573" w:right="0"/>
        <w:jc w:val="left"/>
      </w:pPr>
      <w:r>
        <w:rPr/>
        <w:t>③债券发行人或债券的最新外部评级存在违约级别；</w:t>
      </w:r>
    </w:p>
    <w:p>
      <w:pPr>
        <w:pStyle w:val="BodyText"/>
        <w:spacing w:line="240" w:lineRule="auto" w:before="174"/>
        <w:ind w:left="573" w:right="0"/>
        <w:jc w:val="left"/>
      </w:pPr>
      <w:r>
        <w:rPr/>
        <w:t>④债务人发生重大财务困难或不能履行回售义务；</w:t>
      </w:r>
    </w:p>
    <w:p>
      <w:pPr>
        <w:pStyle w:val="BodyText"/>
        <w:spacing w:line="240" w:lineRule="auto" w:before="174"/>
        <w:ind w:left="573" w:right="0"/>
        <w:jc w:val="left"/>
      </w:pPr>
      <w:r>
        <w:rPr/>
        <w:t>⑤债务人丧失清偿能力、被法院指定管理人或已开始相关的诉讼程序；</w:t>
      </w:r>
    </w:p>
    <w:p>
      <w:pPr>
        <w:pStyle w:val="BodyText"/>
        <w:spacing w:line="240" w:lineRule="auto" w:before="174"/>
        <w:ind w:left="573" w:right="0"/>
        <w:jc w:val="left"/>
      </w:pPr>
      <w:r>
        <w:rPr/>
        <w:t>⑥债权人由于债务人的财务困难作出让步；</w:t>
      </w:r>
    </w:p>
    <w:p>
      <w:pPr>
        <w:pStyle w:val="BodyText"/>
        <w:spacing w:line="240" w:lineRule="auto" w:before="174"/>
        <w:ind w:left="573" w:right="0"/>
        <w:jc w:val="left"/>
      </w:pPr>
      <w:r>
        <w:rPr/>
        <w:t>⑦债务人很可能破产或其他财务重组等</w:t>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6"/>
        <w:ind w:left="573" w:right="0"/>
        <w:jc w:val="left"/>
      </w:pPr>
      <w:r>
        <w:rPr/>
        <w:t>金融资产发生信用减值时，有可能是多个事件的共同作用所致，未必是可单独识别的事件所致。</w:t>
      </w:r>
    </w:p>
    <w:p>
      <w:pPr>
        <w:pStyle w:val="BodyText"/>
        <w:spacing w:line="357" w:lineRule="auto" w:before="174"/>
        <w:ind w:left="573" w:right="3233" w:hanging="137"/>
        <w:jc w:val="left"/>
      </w:pPr>
      <w:r>
        <w:rPr/>
        <w:t>（</w:t>
      </w:r>
      <w:r>
        <w:rPr>
          <w:rFonts w:ascii="Calibri" w:hAnsi="Calibri" w:cs="Calibri" w:eastAsia="Calibri" w:hint="default"/>
        </w:rPr>
        <w:t>5</w:t>
      </w:r>
      <w:r>
        <w:rPr/>
        <w:t>）前瞻性信息</w:t>
      </w:r>
      <w:r>
        <w:rPr>
          <w:w w:val="100"/>
        </w:rPr>
        <w:t> </w:t>
      </w:r>
      <w:r>
        <w:rPr>
          <w:spacing w:val="-2"/>
        </w:rPr>
        <w:t>信用风险显著增加的评估及预期信用损失的计算均涉及前瞻性信息。</w:t>
      </w:r>
    </w:p>
    <w:p>
      <w:pPr>
        <w:pStyle w:val="BodyText"/>
        <w:spacing w:line="345" w:lineRule="auto" w:before="73"/>
        <w:ind w:right="0" w:firstLine="420"/>
        <w:jc w:val="left"/>
      </w:pPr>
      <w:r>
        <w:rPr>
          <w:spacing w:val="-5"/>
        </w:rPr>
        <w:t>对于债券投资，本公司通过进行历史数据分析，识别出影响信用风险及预期信用损失的关键经济指标。</w:t>
      </w:r>
      <w:r>
        <w:rPr>
          <w:w w:val="100"/>
        </w:rPr>
        <w:t> </w:t>
      </w:r>
      <w:r>
        <w:rPr/>
        <w:t>本公司以企业景气指数为</w:t>
      </w:r>
      <w:r>
        <w:rPr>
          <w:spacing w:val="-56"/>
        </w:rPr>
        <w:t> </w:t>
      </w:r>
      <w:r>
        <w:rPr>
          <w:rFonts w:ascii="Times New Roman" w:hAnsi="Times New Roman" w:cs="Times New Roman" w:eastAsia="Times New Roman" w:hint="default"/>
        </w:rPr>
        <w:t>Merton</w:t>
      </w:r>
      <w:r>
        <w:rPr>
          <w:rFonts w:ascii="Times New Roman" w:hAnsi="Times New Roman" w:cs="Times New Roman" w:eastAsia="Times New Roman" w:hint="default"/>
          <w:spacing w:val="-1"/>
        </w:rPr>
        <w:t> </w:t>
      </w:r>
      <w:r>
        <w:rPr/>
        <w:t>模型单因子，并将其影响通过</w:t>
      </w:r>
      <w:r>
        <w:rPr>
          <w:spacing w:val="-56"/>
        </w:rPr>
        <w:t> </w:t>
      </w:r>
      <w:r>
        <w:rPr>
          <w:rFonts w:ascii="Times New Roman" w:hAnsi="Times New Roman" w:cs="Times New Roman" w:eastAsia="Times New Roman" w:hint="default"/>
        </w:rPr>
        <w:t>Merton</w:t>
      </w:r>
      <w:r>
        <w:rPr>
          <w:rFonts w:ascii="Times New Roman" w:hAnsi="Times New Roman" w:cs="Times New Roman" w:eastAsia="Times New Roman" w:hint="default"/>
          <w:spacing w:val="-1"/>
        </w:rPr>
        <w:t> </w:t>
      </w:r>
      <w:r>
        <w:rPr/>
        <w:t>公式传导，预测未来经济指标确定</w:t>
      </w:r>
      <w:r>
        <w:rPr>
          <w:w w:val="100"/>
        </w:rPr>
        <w:t> </w:t>
      </w:r>
      <w:r>
        <w:rPr>
          <w:spacing w:val="-2"/>
        </w:rPr>
        <w:t>预期的违约概率。对于融资类业务，本公司基于对产品特性进行分析，识别出与融资类业务风险相关的经</w:t>
      </w:r>
      <w:r>
        <w:rPr>
          <w:spacing w:val="-44"/>
        </w:rPr>
        <w:t> </w:t>
      </w:r>
      <w:r>
        <w:rPr>
          <w:spacing w:val="-44"/>
        </w:rPr>
      </w:r>
      <w:r>
        <w:rPr/>
        <w:t>济指标，以上证指数的</w:t>
      </w:r>
      <w:r>
        <w:rPr>
          <w:spacing w:val="-57"/>
        </w:rPr>
        <w:t> </w:t>
      </w:r>
      <w:r>
        <w:rPr>
          <w:rFonts w:ascii="Times New Roman" w:hAnsi="Times New Roman" w:cs="Times New Roman" w:eastAsia="Times New Roman" w:hint="default"/>
        </w:rPr>
        <w:t>60</w:t>
      </w:r>
      <w:r>
        <w:rPr>
          <w:rFonts w:ascii="Times New Roman" w:hAnsi="Times New Roman" w:cs="Times New Roman" w:eastAsia="Times New Roman" w:hint="default"/>
          <w:spacing w:val="-5"/>
        </w:rPr>
        <w:t> </w:t>
      </w:r>
      <w:r>
        <w:rPr/>
        <w:t>交易日涨跌比例作为系统性因子，将其影响通过</w:t>
      </w:r>
      <w:r>
        <w:rPr>
          <w:spacing w:val="-57"/>
        </w:rPr>
        <w:t> </w:t>
      </w:r>
      <w:r>
        <w:rPr>
          <w:rFonts w:ascii="Times New Roman" w:hAnsi="Times New Roman" w:cs="Times New Roman" w:eastAsia="Times New Roman" w:hint="default"/>
        </w:rPr>
        <w:t>Merton</w:t>
      </w:r>
      <w:r>
        <w:rPr>
          <w:rFonts w:ascii="Times New Roman" w:hAnsi="Times New Roman" w:cs="Times New Roman" w:eastAsia="Times New Roman" w:hint="default"/>
          <w:spacing w:val="-3"/>
        </w:rPr>
        <w:t> </w:t>
      </w:r>
      <w:r>
        <w:rPr/>
        <w:t>公式传导，对融资类业</w:t>
      </w:r>
      <w:r>
        <w:rPr>
          <w:w w:val="100"/>
        </w:rPr>
        <w:t> </w:t>
      </w:r>
      <w:r>
        <w:rPr/>
        <w:t>务的预期损失进行前瞻性的调整。</w:t>
      </w:r>
    </w:p>
    <w:p>
      <w:pPr>
        <w:pStyle w:val="BodyText"/>
        <w:spacing w:line="355" w:lineRule="auto" w:before="82"/>
        <w:ind w:right="0" w:firstLine="420"/>
        <w:jc w:val="left"/>
      </w:pPr>
      <w:r>
        <w:rPr>
          <w:spacing w:val="-2"/>
        </w:rPr>
        <w:t>除了提供基本经济情景外，本公司的管理层结合其他可能的情景及情景权重，针对各类业务分析、设</w:t>
      </w:r>
      <w:r>
        <w:rPr>
          <w:w w:val="100"/>
        </w:rPr>
        <w:t> </w:t>
      </w:r>
      <w:r>
        <w:rPr/>
        <w:t>定不同的情景，以确保考虑到指标非线性发展特征。</w:t>
      </w:r>
    </w:p>
    <w:p>
      <w:pPr>
        <w:pStyle w:val="BodyText"/>
        <w:spacing w:line="240" w:lineRule="auto" w:before="73"/>
        <w:ind w:left="573" w:right="0"/>
        <w:jc w:val="left"/>
      </w:pPr>
      <w:r>
        <w:rPr>
          <w:spacing w:val="-3"/>
        </w:rPr>
        <w:t>本公司认为，在</w:t>
      </w:r>
      <w:r>
        <w:rPr>
          <w:spacing w:val="-53"/>
        </w:rPr>
        <w:t> </w:t>
      </w:r>
      <w:r>
        <w:rPr>
          <w:rFonts w:ascii="Times New Roman" w:hAnsi="Times New Roman" w:cs="Times New Roman" w:eastAsia="Times New Roman" w:hint="default"/>
        </w:rPr>
        <w:t>2019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日，对于公司的债券以及融资类资产组合，应当</w:t>
      </w:r>
    </w:p>
    <w:p>
      <w:pPr>
        <w:pStyle w:val="BodyText"/>
        <w:spacing w:line="345" w:lineRule="auto" w:before="119"/>
        <w:ind w:right="1126"/>
        <w:jc w:val="both"/>
      </w:pPr>
      <w:r>
        <w:rPr/>
        <w:t>考虑应用</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种不同情景来恰当反映关键经济指标发展的非线性特征。本公司结合统计分析及专家判断来确</w:t>
      </w:r>
      <w:r>
        <w:rPr>
          <w:w w:val="100"/>
        </w:rPr>
        <w:t> </w:t>
      </w:r>
      <w:r>
        <w:rPr>
          <w:spacing w:val="-2"/>
        </w:rPr>
        <w:t>定情景权重，也同时考虑了各情景所代表的可能结果的范围，目前本公司采用的非基准情景权重之和的违</w:t>
      </w:r>
      <w:r>
        <w:rPr>
          <w:spacing w:val="-43"/>
        </w:rPr>
        <w:t> </w:t>
      </w:r>
      <w:r>
        <w:rPr>
          <w:spacing w:val="-43"/>
        </w:rPr>
      </w:r>
      <w:r>
        <w:rPr/>
        <w:t>约概率超过基准情景下违约概率。</w:t>
      </w:r>
    </w:p>
    <w:p>
      <w:pPr>
        <w:pStyle w:val="BodyText"/>
        <w:spacing w:line="336" w:lineRule="auto" w:before="84"/>
        <w:ind w:right="0" w:firstLine="420"/>
        <w:jc w:val="left"/>
      </w:pPr>
      <w:r>
        <w:rPr/>
        <w:t>本公司以加权的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个月预期信用损失（阶段一）或加权的整个存续期预期信用损失（阶段二及阶段</w:t>
      </w:r>
      <w:r>
        <w:rPr>
          <w:w w:val="100"/>
        </w:rPr>
        <w:t> </w:t>
      </w:r>
      <w:r>
        <w:rPr>
          <w:spacing w:val="-5"/>
        </w:rPr>
        <w:t>三）计量相关的损失准备。上述加权的信用损失是由各情景下预期信用损失乘以相应情景的权重计算得出。</w:t>
      </w:r>
    </w:p>
    <w:p>
      <w:pPr>
        <w:pStyle w:val="BodyText"/>
        <w:spacing w:line="355" w:lineRule="auto" w:before="92"/>
        <w:ind w:right="0" w:firstLine="420"/>
        <w:jc w:val="left"/>
      </w:pPr>
      <w:r>
        <w:rPr>
          <w:spacing w:val="-2"/>
        </w:rPr>
        <w:t>与其他经济预测类似，对预计经济指标和发生可能性的估计具有高度的固有不确定性，因此实际结果</w:t>
      </w:r>
      <w:r>
        <w:rPr>
          <w:w w:val="100"/>
        </w:rPr>
        <w:t> </w:t>
      </w:r>
      <w:r>
        <w:rPr/>
        <w:t>可能同预测存在重大差异。本公司认为这些预测体现了公司对可能结果的最佳估计。</w:t>
      </w:r>
    </w:p>
    <w:p>
      <w:pPr>
        <w:spacing w:line="240" w:lineRule="auto" w:before="0"/>
        <w:rPr>
          <w:rFonts w:ascii="宋体" w:hAnsi="宋体" w:cs="宋体" w:eastAsia="宋体" w:hint="default"/>
          <w:sz w:val="20"/>
          <w:szCs w:val="20"/>
        </w:rPr>
      </w:pPr>
    </w:p>
    <w:p>
      <w:pPr>
        <w:spacing w:line="340" w:lineRule="auto" w:before="148"/>
        <w:ind w:left="573" w:right="0" w:firstLine="2"/>
        <w:jc w:val="left"/>
        <w:rPr>
          <w:rFonts w:ascii="宋体" w:hAnsi="宋体" w:cs="宋体" w:eastAsia="宋体" w:hint="default"/>
          <w:sz w:val="21"/>
          <w:szCs w:val="21"/>
        </w:rPr>
      </w:pPr>
      <w:r>
        <w:rPr>
          <w:rFonts w:ascii="Arial" w:hAnsi="Arial" w:cs="Arial" w:eastAsia="Arial" w:hint="default"/>
          <w:b/>
          <w:bCs/>
          <w:sz w:val="21"/>
          <w:szCs w:val="21"/>
        </w:rPr>
        <w:t>2019 </w:t>
      </w:r>
      <w:r>
        <w:rPr>
          <w:rFonts w:ascii="Microsoft JhengHei" w:hAnsi="Microsoft JhengHei" w:cs="Microsoft JhengHei" w:eastAsia="Microsoft JhengHei" w:hint="default"/>
          <w:b/>
          <w:bCs/>
          <w:sz w:val="21"/>
          <w:szCs w:val="21"/>
        </w:rPr>
        <w:t>年 </w:t>
      </w:r>
      <w:r>
        <w:rPr>
          <w:rFonts w:ascii="Arial" w:hAnsi="Arial" w:cs="Arial" w:eastAsia="Arial" w:hint="default"/>
          <w:b/>
          <w:bCs/>
          <w:sz w:val="21"/>
          <w:szCs w:val="21"/>
        </w:rPr>
        <w:t>1 </w:t>
      </w:r>
      <w:r>
        <w:rPr>
          <w:rFonts w:ascii="Microsoft JhengHei" w:hAnsi="Microsoft JhengHei" w:cs="Microsoft JhengHei" w:eastAsia="Microsoft JhengHei" w:hint="default"/>
          <w:b/>
          <w:bCs/>
          <w:sz w:val="21"/>
          <w:szCs w:val="21"/>
        </w:rPr>
        <w:t>月 </w:t>
      </w:r>
      <w:r>
        <w:rPr>
          <w:rFonts w:ascii="Arial" w:hAnsi="Arial" w:cs="Arial" w:eastAsia="Arial" w:hint="default"/>
          <w:b/>
          <w:bCs/>
          <w:sz w:val="21"/>
          <w:szCs w:val="21"/>
        </w:rPr>
        <w:t>1</w:t>
      </w:r>
      <w:r>
        <w:rPr>
          <w:rFonts w:ascii="Arial" w:hAnsi="Arial" w:cs="Arial" w:eastAsia="Arial" w:hint="default"/>
          <w:b/>
          <w:bCs/>
          <w:spacing w:val="-28"/>
          <w:sz w:val="21"/>
          <w:szCs w:val="21"/>
        </w:rPr>
        <w:t> </w:t>
      </w:r>
      <w:r>
        <w:rPr>
          <w:rFonts w:ascii="Microsoft JhengHei" w:hAnsi="Microsoft JhengHei" w:cs="Microsoft JhengHei" w:eastAsia="Microsoft JhengHei" w:hint="default"/>
          <w:b/>
          <w:bCs/>
          <w:sz w:val="21"/>
          <w:szCs w:val="21"/>
        </w:rPr>
        <w:t>日前适用的会计政策</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本公司于资产负债表日对金融资产的账面价值进行检查，有客观证据表明该金融资产发生减值的，计</w:t>
      </w:r>
    </w:p>
    <w:p>
      <w:pPr>
        <w:pStyle w:val="BodyText"/>
        <w:spacing w:line="355" w:lineRule="auto" w:before="45"/>
        <w:ind w:right="1126"/>
        <w:jc w:val="both"/>
      </w:pPr>
      <w:r>
        <w:rPr>
          <w:spacing w:val="-2"/>
        </w:rPr>
        <w:t>提减值准备。表明金融资产发生减值的客观证据，是指金融资产初始确认后实际发生的、对该金融资产的</w:t>
      </w:r>
      <w:r>
        <w:rPr>
          <w:spacing w:val="-42"/>
        </w:rPr>
        <w:t> </w:t>
      </w:r>
      <w:r>
        <w:rPr>
          <w:spacing w:val="-42"/>
        </w:rPr>
      </w:r>
      <w:r>
        <w:rPr/>
        <w:t>预计未来现金流量有影响，且企业能够对该影响进行可靠计量的事项。</w:t>
      </w:r>
    </w:p>
    <w:p>
      <w:pPr>
        <w:pStyle w:val="BodyText"/>
        <w:spacing w:line="374" w:lineRule="auto" w:before="73"/>
        <w:ind w:left="573" w:right="0"/>
        <w:jc w:val="left"/>
      </w:pPr>
      <w:r>
        <w:rPr/>
        <w:t>（</w:t>
      </w:r>
      <w:r>
        <w:rPr>
          <w:rFonts w:ascii="Arial" w:hAnsi="Arial" w:cs="Arial" w:eastAsia="Arial" w:hint="default"/>
        </w:rPr>
        <w:t>1</w:t>
      </w:r>
      <w:r>
        <w:rPr/>
        <w:t>）以摊余成本计量的金融资产</w:t>
      </w:r>
      <w:r>
        <w:rPr>
          <w:w w:val="100"/>
        </w:rPr>
        <w:t> </w:t>
      </w:r>
      <w:r>
        <w:rPr/>
        <w:t>发生减值时，将该金融资产的账面价值减记至预计未来现金流量（不包括尚未发生的未来信用损失）</w:t>
      </w:r>
    </w:p>
    <w:p>
      <w:pPr>
        <w:pStyle w:val="BodyText"/>
        <w:spacing w:line="355" w:lineRule="auto" w:before="15"/>
        <w:ind w:right="1131"/>
        <w:jc w:val="both"/>
      </w:pPr>
      <w:r>
        <w:rPr>
          <w:spacing w:val="-2"/>
        </w:rPr>
        <w:t>现值，减记金额计入当期损益。预计未来现金流量现值，按照该金融资产原实际利率（即初始确认时计算</w:t>
      </w:r>
      <w:r>
        <w:rPr>
          <w:spacing w:val="-50"/>
        </w:rPr>
        <w:t> </w:t>
      </w:r>
      <w:r>
        <w:rPr>
          <w:spacing w:val="-50"/>
        </w:rPr>
      </w:r>
      <w:r>
        <w:rPr/>
        <w:t>确定的或合同规定的现行的实际利率）折现确定，并考虑相关担保物的价值。</w:t>
      </w:r>
    </w:p>
    <w:p>
      <w:pPr>
        <w:pStyle w:val="BodyText"/>
        <w:spacing w:line="355" w:lineRule="auto" w:before="75"/>
        <w:ind w:right="1126" w:firstLine="420"/>
        <w:jc w:val="both"/>
      </w:pPr>
      <w:r>
        <w:rPr>
          <w:spacing w:val="-2"/>
        </w:rPr>
        <w:t>本公司先对单项金额重大的金融资产单独进行减值测试，如有客观证据表明其已发生减值，则确认减</w:t>
      </w:r>
      <w:r>
        <w:rPr>
          <w:w w:val="100"/>
        </w:rPr>
        <w:t> </w:t>
      </w:r>
      <w:r>
        <w:rPr>
          <w:spacing w:val="-2"/>
        </w:rPr>
        <w:t>值损失，计入当期损益。本公司将单项金额不重大的金融资产或单独测试未发生减值的金融资产包括在具</w:t>
      </w:r>
      <w:r>
        <w:rPr>
          <w:spacing w:val="-43"/>
        </w:rPr>
        <w:t> </w:t>
      </w:r>
      <w:r>
        <w:rPr>
          <w:spacing w:val="-43"/>
        </w:rPr>
      </w:r>
      <w:r>
        <w:rPr/>
        <w:t>有类似信用风险特征的金融资产组合中进行减值测试。</w:t>
      </w:r>
    </w:p>
    <w:p>
      <w:pPr>
        <w:pStyle w:val="BodyText"/>
        <w:spacing w:line="357" w:lineRule="auto" w:before="73"/>
        <w:ind w:right="1126" w:firstLine="420"/>
        <w:jc w:val="both"/>
      </w:pPr>
      <w:r>
        <w:rPr>
          <w:spacing w:val="-2"/>
        </w:rPr>
        <w:t>本公司对以摊余成本计量的金融资产确认减值损失后，如有客观证据表明该金融资产价值已恢复，且</w:t>
      </w:r>
      <w:r>
        <w:rPr>
          <w:w w:val="100"/>
        </w:rPr>
        <w:t> </w:t>
      </w:r>
      <w:r>
        <w:rPr>
          <w:spacing w:val="-2"/>
        </w:rPr>
        <w:t>客观上与确认该损失后发生的事项有关，原确认的减值损失予以转回，计入当期损益。但是，该转回后的</w:t>
      </w:r>
      <w:r>
        <w:rPr>
          <w:spacing w:val="-47"/>
        </w:rPr>
        <w:t> </w:t>
      </w:r>
      <w:r>
        <w:rPr>
          <w:spacing w:val="-47"/>
        </w:rPr>
      </w:r>
      <w:r>
        <w:rPr/>
        <w:t>账面价值不超过假定不计提减值准备情况下该金融资产在转回日的摊余成本。</w:t>
      </w:r>
    </w:p>
    <w:p>
      <w:pPr>
        <w:spacing w:after="0" w:line="357" w:lineRule="auto"/>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374" w:lineRule="auto" w:before="36"/>
        <w:ind w:left="573" w:right="0"/>
        <w:jc w:val="left"/>
      </w:pPr>
      <w:r>
        <w:rPr/>
        <w:t>（</w:t>
      </w:r>
      <w:r>
        <w:rPr>
          <w:rFonts w:ascii="Arial" w:hAnsi="Arial" w:cs="Arial" w:eastAsia="Arial" w:hint="default"/>
        </w:rPr>
        <w:t>2</w:t>
      </w:r>
      <w:r>
        <w:rPr/>
        <w:t>）可供出售金融资产</w:t>
      </w:r>
      <w:r>
        <w:rPr>
          <w:w w:val="100"/>
        </w:rPr>
        <w:t> </w:t>
      </w:r>
      <w:r>
        <w:rPr>
          <w:spacing w:val="-2"/>
        </w:rPr>
        <w:t>期末如果可供出售金融资产的公允价值发生严重下降，或在综合考虑各种相关因素后，预期这种下降</w:t>
      </w:r>
    </w:p>
    <w:p>
      <w:pPr>
        <w:pStyle w:val="BodyText"/>
        <w:spacing w:line="355" w:lineRule="auto" w:before="15"/>
        <w:ind w:right="0"/>
        <w:jc w:val="left"/>
      </w:pP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p>
    <w:p>
      <w:pPr>
        <w:pStyle w:val="BodyText"/>
        <w:spacing w:line="355" w:lineRule="auto" w:before="75"/>
        <w:ind w:right="0" w:firstLine="420"/>
        <w:jc w:val="left"/>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393" w:lineRule="auto" w:before="73"/>
        <w:ind w:left="573" w:right="0"/>
        <w:jc w:val="left"/>
      </w:pPr>
      <w:r>
        <w:rPr/>
        <w:t>可供出售权益工具投资发生的减值损失，不通过损益转回。</w:t>
      </w:r>
      <w:r>
        <w:rPr>
          <w:w w:val="100"/>
        </w:rPr>
        <w:t> </w:t>
      </w:r>
      <w:r>
        <w:rPr>
          <w:spacing w:val="-3"/>
        </w:rPr>
        <w:t>对于权益工具投资，本公司判断其公允价值发生</w:t>
      </w:r>
      <w:r>
        <w:rPr>
          <w:rFonts w:ascii="Arial" w:hAnsi="Arial" w:cs="Arial" w:eastAsia="Arial" w:hint="default"/>
          <w:spacing w:val="-3"/>
        </w:rPr>
        <w:t>“</w:t>
      </w:r>
      <w:r>
        <w:rPr>
          <w:spacing w:val="-3"/>
        </w:rPr>
        <w:t>严重</w:t>
      </w:r>
      <w:r>
        <w:rPr>
          <w:rFonts w:ascii="Arial" w:hAnsi="Arial" w:cs="Arial" w:eastAsia="Arial" w:hint="default"/>
          <w:spacing w:val="-3"/>
        </w:rPr>
        <w:t>”</w:t>
      </w:r>
      <w:r>
        <w:rPr>
          <w:spacing w:val="-3"/>
        </w:rPr>
        <w:t>或</w:t>
      </w:r>
      <w:r>
        <w:rPr>
          <w:rFonts w:ascii="Arial" w:hAnsi="Arial" w:cs="Arial" w:eastAsia="Arial" w:hint="default"/>
          <w:spacing w:val="-3"/>
        </w:rPr>
        <w:t>“</w:t>
      </w:r>
      <w:r>
        <w:rPr>
          <w:spacing w:val="-3"/>
        </w:rPr>
        <w:t>非暂时性</w:t>
      </w:r>
      <w:r>
        <w:rPr>
          <w:rFonts w:ascii="Arial" w:hAnsi="Arial" w:cs="Arial" w:eastAsia="Arial" w:hint="default"/>
          <w:spacing w:val="-3"/>
        </w:rPr>
        <w:t>”</w:t>
      </w:r>
      <w:r>
        <w:rPr>
          <w:spacing w:val="-3"/>
        </w:rPr>
        <w:t>下跌的具体量化标准、成本的计算</w:t>
      </w:r>
    </w:p>
    <w:p>
      <w:pPr>
        <w:pStyle w:val="BodyText"/>
        <w:spacing w:line="241" w:lineRule="exact"/>
        <w:ind w:right="0"/>
        <w:jc w:val="left"/>
      </w:pPr>
      <w:r>
        <w:rPr/>
        <w:t>方法、期末公允价值的确定方法，以及持续下跌期间的确定依据为：</w:t>
      </w:r>
    </w:p>
    <w:p>
      <w:pPr>
        <w:spacing w:line="240" w:lineRule="auto" w:before="1"/>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3505"/>
        <w:gridCol w:w="6150"/>
      </w:tblGrid>
      <w:tr>
        <w:trPr>
          <w:trHeight w:val="413" w:hRule="exact"/>
        </w:trPr>
        <w:tc>
          <w:tcPr>
            <w:tcW w:w="3505" w:type="dxa"/>
            <w:tcBorders>
              <w:top w:val="single" w:sz="10" w:space="0" w:color="000000"/>
              <w:left w:val="nil" w:sz="6" w:space="0" w:color="auto"/>
              <w:bottom w:val="dotted" w:sz="2" w:space="0" w:color="000000"/>
              <w:right w:val="dotted" w:sz="2"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公允价值下跌</w:t>
            </w:r>
            <w:r>
              <w:rPr>
                <w:rFonts w:ascii="Arial" w:hAnsi="Arial" w:cs="Arial" w:eastAsia="Arial" w:hint="default"/>
                <w:sz w:val="18"/>
                <w:szCs w:val="18"/>
              </w:rPr>
              <w:t>“</w:t>
            </w:r>
            <w:r>
              <w:rPr>
                <w:rFonts w:ascii="宋体" w:hAnsi="宋体" w:cs="宋体" w:eastAsia="宋体" w:hint="default"/>
                <w:sz w:val="18"/>
                <w:szCs w:val="18"/>
              </w:rPr>
              <w:t>严重</w:t>
            </w:r>
            <w:r>
              <w:rPr>
                <w:rFonts w:ascii="Arial" w:hAnsi="Arial" w:cs="Arial" w:eastAsia="Arial" w:hint="default"/>
                <w:sz w:val="18"/>
                <w:szCs w:val="18"/>
              </w:rPr>
              <w:t>”</w:t>
            </w:r>
            <w:r>
              <w:rPr>
                <w:rFonts w:ascii="宋体" w:hAnsi="宋体" w:cs="宋体" w:eastAsia="宋体" w:hint="default"/>
                <w:sz w:val="18"/>
                <w:szCs w:val="18"/>
              </w:rPr>
              <w:t>的标准</w:t>
            </w:r>
          </w:p>
        </w:tc>
        <w:tc>
          <w:tcPr>
            <w:tcW w:w="6150" w:type="dxa"/>
            <w:tcBorders>
              <w:top w:val="single" w:sz="10" w:space="0" w:color="000000"/>
              <w:left w:val="dotted" w:sz="2" w:space="0" w:color="000000"/>
              <w:bottom w:val="dotted" w:sz="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w w:val="95"/>
                <w:sz w:val="18"/>
                <w:szCs w:val="18"/>
              </w:rPr>
              <w:t>单项可供出售金融资产公允价值跌幅超过成本的 </w:t>
            </w:r>
            <w:r>
              <w:rPr>
                <w:rFonts w:ascii="宋体" w:hAnsi="宋体" w:cs="宋体" w:eastAsia="宋体" w:hint="default"/>
                <w:spacing w:val="31"/>
                <w:w w:val="95"/>
                <w:sz w:val="18"/>
                <w:szCs w:val="18"/>
              </w:rPr>
              <w:t> </w:t>
            </w:r>
            <w:r>
              <w:rPr>
                <w:rFonts w:ascii="Arial" w:hAnsi="Arial" w:cs="Arial" w:eastAsia="Arial" w:hint="default"/>
                <w:w w:val="95"/>
                <w:sz w:val="18"/>
                <w:szCs w:val="18"/>
              </w:rPr>
              <w:t>50%</w:t>
            </w:r>
            <w:r>
              <w:rPr>
                <w:rFonts w:ascii="宋体" w:hAnsi="宋体" w:cs="宋体" w:eastAsia="宋体" w:hint="default"/>
                <w:w w:val="95"/>
                <w:sz w:val="18"/>
                <w:szCs w:val="18"/>
              </w:rPr>
              <w:t>以上</w:t>
            </w:r>
          </w:p>
        </w:tc>
      </w:tr>
      <w:tr>
        <w:trPr>
          <w:trHeight w:val="403" w:hRule="exact"/>
        </w:trPr>
        <w:tc>
          <w:tcPr>
            <w:tcW w:w="3505" w:type="dxa"/>
            <w:tcBorders>
              <w:top w:val="dotted" w:sz="2" w:space="0" w:color="000000"/>
              <w:left w:val="nil" w:sz="6" w:space="0" w:color="auto"/>
              <w:bottom w:val="dotted" w:sz="2" w:space="0" w:color="000000"/>
              <w:right w:val="dotted" w:sz="2"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pacing w:val="-7"/>
                <w:sz w:val="18"/>
                <w:szCs w:val="18"/>
              </w:rPr>
              <w:t>公允价值下跌</w:t>
            </w:r>
            <w:r>
              <w:rPr>
                <w:rFonts w:ascii="Arial" w:hAnsi="Arial" w:cs="Arial" w:eastAsia="Arial" w:hint="default"/>
                <w:spacing w:val="-7"/>
                <w:sz w:val="18"/>
                <w:szCs w:val="18"/>
              </w:rPr>
              <w:t>“</w:t>
            </w:r>
            <w:r>
              <w:rPr>
                <w:rFonts w:ascii="宋体" w:hAnsi="宋体" w:cs="宋体" w:eastAsia="宋体" w:hint="default"/>
                <w:spacing w:val="-7"/>
                <w:sz w:val="18"/>
                <w:szCs w:val="18"/>
              </w:rPr>
              <w:t>非暂时性</w:t>
            </w:r>
            <w:r>
              <w:rPr>
                <w:rFonts w:ascii="Arial" w:hAnsi="Arial" w:cs="Arial" w:eastAsia="Arial" w:hint="default"/>
                <w:spacing w:val="-7"/>
                <w:sz w:val="18"/>
                <w:szCs w:val="18"/>
              </w:rPr>
              <w:t>”</w:t>
            </w:r>
            <w:r>
              <w:rPr>
                <w:rFonts w:ascii="宋体" w:hAnsi="宋体" w:cs="宋体" w:eastAsia="宋体" w:hint="default"/>
                <w:spacing w:val="-7"/>
                <w:sz w:val="18"/>
                <w:szCs w:val="18"/>
              </w:rPr>
              <w:t>的标准</w:t>
            </w:r>
          </w:p>
        </w:tc>
        <w:tc>
          <w:tcPr>
            <w:tcW w:w="6150" w:type="dxa"/>
            <w:tcBorders>
              <w:top w:val="dotted" w:sz="2" w:space="0" w:color="000000"/>
              <w:left w:val="dotted" w:sz="2" w:space="0" w:color="000000"/>
              <w:bottom w:val="dotted" w:sz="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持续下跌时间 </w:t>
            </w:r>
            <w:r>
              <w:rPr>
                <w:rFonts w:ascii="Arial" w:hAnsi="Arial" w:cs="Arial" w:eastAsia="Arial" w:hint="default"/>
                <w:sz w:val="18"/>
                <w:szCs w:val="18"/>
              </w:rPr>
              <w:t>1</w:t>
            </w:r>
            <w:r>
              <w:rPr>
                <w:rFonts w:ascii="Arial" w:hAnsi="Arial" w:cs="Arial" w:eastAsia="Arial" w:hint="default"/>
                <w:spacing w:val="21"/>
                <w:sz w:val="18"/>
                <w:szCs w:val="18"/>
              </w:rPr>
              <w:t> </w:t>
            </w:r>
            <w:r>
              <w:rPr>
                <w:rFonts w:ascii="宋体" w:hAnsi="宋体" w:cs="宋体" w:eastAsia="宋体" w:hint="default"/>
                <w:sz w:val="18"/>
                <w:szCs w:val="18"/>
              </w:rPr>
              <w:t>年以上</w:t>
            </w:r>
          </w:p>
        </w:tc>
      </w:tr>
      <w:tr>
        <w:trPr>
          <w:trHeight w:val="401" w:hRule="exact"/>
        </w:trPr>
        <w:tc>
          <w:tcPr>
            <w:tcW w:w="3505" w:type="dxa"/>
            <w:tcBorders>
              <w:top w:val="dotted" w:sz="2" w:space="0" w:color="000000"/>
              <w:left w:val="nil" w:sz="6" w:space="0" w:color="auto"/>
              <w:bottom w:val="dotted" w:sz="2" w:space="0" w:color="000000"/>
              <w:right w:val="dotted" w:sz="2"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投资成本的计算方法</w:t>
            </w:r>
          </w:p>
        </w:tc>
        <w:tc>
          <w:tcPr>
            <w:tcW w:w="6150" w:type="dxa"/>
            <w:tcBorders>
              <w:top w:val="dotted" w:sz="2" w:space="0" w:color="000000"/>
              <w:left w:val="dotted" w:sz="2" w:space="0" w:color="000000"/>
              <w:bottom w:val="dotted" w:sz="2" w:space="0" w:color="000000"/>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以购入时的成交价</w:t>
            </w:r>
          </w:p>
        </w:tc>
      </w:tr>
      <w:tr>
        <w:trPr>
          <w:trHeight w:val="403" w:hRule="exact"/>
        </w:trPr>
        <w:tc>
          <w:tcPr>
            <w:tcW w:w="3505" w:type="dxa"/>
            <w:tcBorders>
              <w:top w:val="dotted" w:sz="2" w:space="0" w:color="000000"/>
              <w:left w:val="nil" w:sz="6" w:space="0" w:color="auto"/>
              <w:bottom w:val="dotted" w:sz="2" w:space="0" w:color="000000"/>
              <w:right w:val="dotted" w:sz="2"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6150" w:type="dxa"/>
            <w:tcBorders>
              <w:top w:val="dotted" w:sz="2" w:space="0" w:color="000000"/>
              <w:left w:val="dotted" w:sz="2" w:space="0" w:color="000000"/>
              <w:bottom w:val="dotted" w:sz="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按附注四（十）</w:t>
            </w:r>
            <w:r>
              <w:rPr>
                <w:rFonts w:ascii="Arial" w:hAnsi="Arial" w:cs="Arial" w:eastAsia="Arial" w:hint="default"/>
                <w:sz w:val="18"/>
                <w:szCs w:val="18"/>
              </w:rPr>
              <w:t>5</w:t>
            </w:r>
            <w:r>
              <w:rPr>
                <w:rFonts w:ascii="Arial" w:hAnsi="Arial" w:cs="Arial" w:eastAsia="Arial" w:hint="default"/>
                <w:spacing w:val="-23"/>
                <w:sz w:val="18"/>
                <w:szCs w:val="18"/>
              </w:rPr>
              <w:t> </w:t>
            </w:r>
            <w:r>
              <w:rPr>
                <w:rFonts w:ascii="宋体" w:hAnsi="宋体" w:cs="宋体" w:eastAsia="宋体" w:hint="default"/>
                <w:sz w:val="18"/>
                <w:szCs w:val="18"/>
              </w:rPr>
              <w:t>公允价值的确定方法</w:t>
            </w:r>
          </w:p>
        </w:tc>
      </w:tr>
      <w:tr>
        <w:trPr>
          <w:trHeight w:val="562" w:hRule="exact"/>
        </w:trPr>
        <w:tc>
          <w:tcPr>
            <w:tcW w:w="3505" w:type="dxa"/>
            <w:tcBorders>
              <w:top w:val="dotted" w:sz="2" w:space="0" w:color="000000"/>
              <w:left w:val="nil" w:sz="6" w:space="0" w:color="auto"/>
              <w:bottom w:val="single" w:sz="10" w:space="0" w:color="000000"/>
              <w:right w:val="dotted" w:sz="2" w:space="0" w:color="000000"/>
            </w:tcBorders>
          </w:tcPr>
          <w:p>
            <w:pPr>
              <w:pStyle w:val="TableParagraph"/>
              <w:spacing w:line="240" w:lineRule="auto" w:before="123"/>
              <w:ind w:left="14"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6150" w:type="dxa"/>
            <w:tcBorders>
              <w:top w:val="dotted" w:sz="2" w:space="0" w:color="000000"/>
              <w:left w:val="dotted" w:sz="2" w:space="0" w:color="000000"/>
              <w:bottom w:val="single" w:sz="10" w:space="0" w:color="000000"/>
              <w:right w:val="nil" w:sz="6" w:space="0" w:color="auto"/>
            </w:tcBorders>
          </w:tcPr>
          <w:p>
            <w:pPr>
              <w:pStyle w:val="TableParagraph"/>
              <w:spacing w:line="232" w:lineRule="exact" w:before="33"/>
              <w:ind w:right="41"/>
              <w:jc w:val="left"/>
              <w:rPr>
                <w:rFonts w:ascii="宋体" w:hAnsi="宋体" w:cs="宋体" w:eastAsia="宋体" w:hint="default"/>
                <w:sz w:val="18"/>
                <w:szCs w:val="18"/>
              </w:rPr>
            </w:pPr>
            <w:r>
              <w:rPr>
                <w:rFonts w:ascii="宋体" w:hAnsi="宋体" w:cs="宋体" w:eastAsia="宋体" w:hint="default"/>
                <w:spacing w:val="2"/>
                <w:sz w:val="18"/>
                <w:szCs w:val="18"/>
              </w:rPr>
              <w:t>自权益工具投资公允价值跌幅超过成本当月开始计算，持续</w:t>
            </w:r>
            <w:r>
              <w:rPr>
                <w:rFonts w:ascii="宋体" w:hAnsi="宋体" w:cs="宋体" w:eastAsia="宋体" w:hint="default"/>
                <w:spacing w:val="4"/>
                <w:sz w:val="18"/>
                <w:szCs w:val="18"/>
              </w:rPr>
              <w:t> </w:t>
            </w:r>
            <w:r>
              <w:rPr>
                <w:rFonts w:ascii="宋体" w:hAnsi="宋体" w:cs="宋体" w:eastAsia="宋体" w:hint="default"/>
                <w:sz w:val="18"/>
                <w:szCs w:val="18"/>
              </w:rPr>
              <w:t>下跌</w:t>
            </w:r>
            <w:r>
              <w:rPr>
                <w:rFonts w:ascii="宋体" w:hAnsi="宋体" w:cs="宋体" w:eastAsia="宋体" w:hint="default"/>
                <w:spacing w:val="-41"/>
                <w:sz w:val="18"/>
                <w:szCs w:val="18"/>
              </w:rPr>
              <w:t> </w:t>
            </w:r>
            <w:r>
              <w:rPr>
                <w:rFonts w:ascii="Arial" w:hAnsi="Arial" w:cs="Arial" w:eastAsia="Arial" w:hint="default"/>
                <w:spacing w:val="-1"/>
                <w:w w:val="82"/>
                <w:sz w:val="18"/>
                <w:szCs w:val="18"/>
              </w:rPr>
              <w:t>12</w:t>
            </w:r>
            <w:r>
              <w:rPr>
                <w:rFonts w:ascii="Arial" w:hAnsi="Arial" w:cs="Arial" w:eastAsia="Arial" w:hint="default"/>
                <w:spacing w:val="8"/>
                <w:w w:val="82"/>
                <w:sz w:val="18"/>
                <w:szCs w:val="18"/>
              </w:rPr>
              <w:t> </w:t>
            </w:r>
            <w:r>
              <w:rPr>
                <w:rFonts w:ascii="宋体" w:hAnsi="宋体" w:cs="宋体" w:eastAsia="宋体" w:hint="default"/>
                <w:spacing w:val="-20"/>
                <w:sz w:val="18"/>
                <w:szCs w:val="18"/>
              </w:rPr>
              <w:t>个月，如</w:t>
            </w:r>
            <w:r>
              <w:rPr>
                <w:rFonts w:ascii="宋体" w:hAnsi="宋体" w:cs="宋体" w:eastAsia="宋体" w:hint="default"/>
                <w:sz w:val="18"/>
                <w:szCs w:val="18"/>
              </w:rPr>
              <w:t> 果期间公允价值回升且超过成本则终止计算持续下跌期间</w:t>
            </w:r>
          </w:p>
        </w:tc>
      </w:tr>
    </w:tbl>
    <w:p>
      <w:pPr>
        <w:pStyle w:val="BodyText"/>
        <w:spacing w:line="374" w:lineRule="auto" w:before="4"/>
        <w:ind w:left="573" w:right="0"/>
        <w:jc w:val="left"/>
      </w:pPr>
      <w:r>
        <w:rPr/>
        <w:t>（</w:t>
      </w:r>
      <w:r>
        <w:rPr>
          <w:rFonts w:ascii="Arial" w:hAnsi="Arial" w:cs="Arial" w:eastAsia="Arial" w:hint="default"/>
        </w:rPr>
        <w:t>3</w:t>
      </w:r>
      <w:r>
        <w:rPr/>
        <w:t>）以成本计量的金融资产</w:t>
      </w:r>
      <w:r>
        <w:rPr>
          <w:w w:val="100"/>
        </w:rPr>
        <w:t> </w:t>
      </w:r>
      <w:r>
        <w:rPr>
          <w:spacing w:val="-2"/>
        </w:rPr>
        <w:t>如果有客观证据表明该金融资产发生减值，将该金融资产的账面价值，与按照类似金融资产当时市场</w:t>
      </w:r>
    </w:p>
    <w:p>
      <w:pPr>
        <w:pStyle w:val="BodyText"/>
        <w:spacing w:line="355" w:lineRule="auto" w:before="15"/>
        <w:ind w:right="1126"/>
        <w:jc w:val="both"/>
      </w:pPr>
      <w:r>
        <w:rPr>
          <w:spacing w:val="-2"/>
        </w:rPr>
        <w:t>收益率对未来现金流量折现确定的现值之间的差额，确认为减值损失，计入当期损益。发生的减值损失一</w:t>
      </w:r>
      <w:r>
        <w:rPr>
          <w:spacing w:val="-45"/>
        </w:rPr>
        <w:t> </w:t>
      </w:r>
      <w:r>
        <w:rPr>
          <w:spacing w:val="-45"/>
        </w:rPr>
      </w:r>
      <w:r>
        <w:rPr/>
        <w:t>经确认，不再转回。</w:t>
      </w:r>
    </w:p>
    <w:p>
      <w:pPr>
        <w:spacing w:line="240" w:lineRule="auto" w:before="0"/>
        <w:rPr>
          <w:rFonts w:ascii="宋体" w:hAnsi="宋体" w:cs="宋体" w:eastAsia="宋体" w:hint="default"/>
          <w:sz w:val="20"/>
          <w:szCs w:val="20"/>
        </w:rPr>
      </w:pPr>
    </w:p>
    <w:p>
      <w:pPr>
        <w:pStyle w:val="BodyText"/>
        <w:spacing w:line="340" w:lineRule="auto" w:before="145"/>
        <w:ind w:left="573" w:right="0"/>
        <w:jc w:val="left"/>
      </w:pPr>
      <w:r>
        <w:rPr>
          <w:rFonts w:ascii="Times New Roman" w:hAnsi="Times New Roman" w:cs="Times New Roman" w:eastAsia="Times New Roman" w:hint="default"/>
          <w:b/>
          <w:bCs/>
        </w:rPr>
        <w:t>7</w:t>
      </w:r>
      <w:r>
        <w:rPr>
          <w:rFonts w:ascii="Microsoft JhengHei" w:hAnsi="Microsoft JhengHei" w:cs="Microsoft JhengHei" w:eastAsia="Microsoft JhengHei" w:hint="default"/>
          <w:b/>
          <w:bCs/>
        </w:rPr>
        <w:t>． 衍生金融工具</w:t>
      </w:r>
      <w:r>
        <w:rPr>
          <w:rFonts w:ascii="Microsoft JhengHei" w:hAnsi="Microsoft JhengHei" w:cs="Microsoft JhengHei" w:eastAsia="Microsoft JhengHei" w:hint="default"/>
          <w:b/>
          <w:bCs/>
          <w:spacing w:val="-46"/>
        </w:rPr>
        <w:t> </w:t>
      </w:r>
      <w:r>
        <w:rPr>
          <w:rFonts w:ascii="Microsoft JhengHei" w:hAnsi="Microsoft JhengHei" w:cs="Microsoft JhengHei" w:eastAsia="Microsoft JhengHei" w:hint="default"/>
          <w:b/>
          <w:bCs/>
          <w:spacing w:val="-46"/>
        </w:rPr>
      </w:r>
      <w:r>
        <w:rPr>
          <w:spacing w:val="-2"/>
        </w:rPr>
        <w:t>本公司使用远期外汇合约、利率掉期和股指期货合约等衍生金融工具分别规避汇率、利率和证券价格</w:t>
      </w:r>
    </w:p>
    <w:p>
      <w:pPr>
        <w:pStyle w:val="BodyText"/>
        <w:spacing w:line="357" w:lineRule="auto" w:before="45"/>
        <w:ind w:right="1126"/>
        <w:jc w:val="both"/>
      </w:pPr>
      <w:r>
        <w:rPr>
          <w:spacing w:val="-2"/>
        </w:rPr>
        <w:t>变动等风险。衍生金融工具初始以衍生交易合同签订当日的公允价值进行计量，并以其公允价值进行后续</w:t>
      </w:r>
      <w:r>
        <w:rPr>
          <w:spacing w:val="-44"/>
        </w:rPr>
        <w:t> </w:t>
      </w:r>
      <w:r>
        <w:rPr>
          <w:spacing w:val="-44"/>
        </w:rPr>
      </w:r>
      <w:r>
        <w:rPr>
          <w:spacing w:val="-2"/>
        </w:rPr>
        <w:t>计量。公允价值为正数的衍生金融工具确认为一项资产，公允价值为负数的确认为一项负债。公允价值从</w:t>
      </w:r>
      <w:r>
        <w:rPr>
          <w:spacing w:val="-45"/>
        </w:rPr>
        <w:t> </w:t>
      </w:r>
      <w:r>
        <w:rPr>
          <w:spacing w:val="-45"/>
        </w:rPr>
      </w:r>
      <w:r>
        <w:rPr>
          <w:spacing w:val="-7"/>
          <w:w w:val="100"/>
        </w:rPr>
        <w:t>活跃市场上的公开市场报价中取得（包括最近的市场交易价格等），或使用估值技术确定（例如：现金流量</w:t>
      </w:r>
      <w:r>
        <w:rPr>
          <w:spacing w:val="-77"/>
          <w:w w:val="100"/>
        </w:rPr>
        <w:t> </w:t>
      </w:r>
      <w:r>
        <w:rPr>
          <w:spacing w:val="-77"/>
          <w:w w:val="100"/>
        </w:rPr>
      </w:r>
      <w:r>
        <w:rPr>
          <w:spacing w:val="-7"/>
          <w:w w:val="100"/>
        </w:rPr>
        <w:t>折现法、期权定价模型等）。本公司对场外交易的衍生工具作出了信贷估值调整及债务估值调整，以反映交</w:t>
      </w:r>
      <w:r>
        <w:rPr>
          <w:spacing w:val="-73"/>
          <w:w w:val="100"/>
        </w:rPr>
        <w:t> </w:t>
      </w:r>
      <w:r>
        <w:rPr>
          <w:spacing w:val="-73"/>
          <w:w w:val="100"/>
        </w:rPr>
      </w:r>
      <w:r>
        <w:rPr/>
        <w:t>易对手和公司自身的信用风险。</w:t>
      </w:r>
    </w:p>
    <w:p>
      <w:pPr>
        <w:spacing w:line="240" w:lineRule="auto" w:before="0"/>
        <w:rPr>
          <w:rFonts w:ascii="宋体" w:hAnsi="宋体" w:cs="宋体" w:eastAsia="宋体" w:hint="default"/>
          <w:sz w:val="20"/>
          <w:szCs w:val="20"/>
        </w:rPr>
      </w:pPr>
    </w:p>
    <w:p>
      <w:pPr>
        <w:pStyle w:val="BodyText"/>
        <w:spacing w:line="340" w:lineRule="auto" w:before="143"/>
        <w:ind w:left="573" w:right="0"/>
        <w:jc w:val="left"/>
      </w:pPr>
      <w:r>
        <w:rPr>
          <w:rFonts w:ascii="Times New Roman" w:hAnsi="Times New Roman" w:cs="Times New Roman" w:eastAsia="Times New Roman" w:hint="default"/>
          <w:b/>
          <w:bCs/>
        </w:rPr>
        <w:t>8</w:t>
      </w:r>
      <w:r>
        <w:rPr>
          <w:rFonts w:ascii="Microsoft JhengHei" w:hAnsi="Microsoft JhengHei" w:cs="Microsoft JhengHei" w:eastAsia="Microsoft JhengHei" w:hint="default"/>
          <w:b/>
          <w:bCs/>
        </w:rPr>
        <w:t>． 可转换债券</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spacing w:val="-47"/>
        </w:rPr>
      </w:r>
      <w:r>
        <w:rPr>
          <w:spacing w:val="-2"/>
        </w:rPr>
        <w:t>本公司发行可转换债券时依据条款确定其是否同时包含负债和权益成份。发行的可转换债券既包含负</w:t>
      </w:r>
    </w:p>
    <w:p>
      <w:pPr>
        <w:pStyle w:val="BodyText"/>
        <w:spacing w:line="357" w:lineRule="auto" w:before="45"/>
        <w:ind w:right="1126"/>
        <w:jc w:val="both"/>
      </w:pPr>
      <w:r>
        <w:rPr>
          <w:spacing w:val="-2"/>
        </w:rPr>
        <w:t>债也包含权益成份的，在初始确认时将负债和权益成份进行分拆，并分别进行处理。在进行分拆时，先确</w:t>
      </w:r>
      <w:r>
        <w:rPr>
          <w:spacing w:val="-47"/>
        </w:rPr>
        <w:t> </w:t>
      </w:r>
      <w:r>
        <w:rPr>
          <w:spacing w:val="-47"/>
        </w:rPr>
      </w:r>
      <w:r>
        <w:rPr>
          <w:spacing w:val="-2"/>
        </w:rPr>
        <w:t>定负债成份的公允价值并以此作为其初始确认金额，再按照可转换债券整体的发行价格扣除负债成份初始</w:t>
      </w:r>
      <w:r>
        <w:rPr>
          <w:spacing w:val="-43"/>
        </w:rPr>
        <w:t> </w:t>
      </w:r>
      <w:r>
        <w:rPr>
          <w:spacing w:val="-43"/>
        </w:rPr>
      </w:r>
      <w:r>
        <w:rPr>
          <w:spacing w:val="-2"/>
        </w:rPr>
        <w:t>确认金额后的金额确定权益成份的初始确认金额。交易费用在负债成份和权益成份之间按照各自的相对公</w:t>
      </w:r>
      <w:r>
        <w:rPr>
          <w:spacing w:val="-43"/>
        </w:rPr>
        <w:t> </w:t>
      </w:r>
      <w:r>
        <w:rPr>
          <w:spacing w:val="-43"/>
        </w:rPr>
      </w:r>
      <w:r>
        <w:rPr>
          <w:spacing w:val="-2"/>
        </w:rPr>
        <w:t>允价值进行分摊。负债成份作为负债列示，以摊余成本进行后续计量，直至被撤销、转换或赎回。权益成</w:t>
      </w:r>
    </w:p>
    <w:p>
      <w:pPr>
        <w:spacing w:after="0" w:line="357" w:lineRule="auto"/>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6"/>
        <w:ind w:right="0"/>
        <w:jc w:val="left"/>
      </w:pPr>
      <w:r>
        <w:rPr/>
        <w:t>份作为权益列示，不进行后续计量。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340" w:lineRule="auto"/>
        <w:ind w:left="573" w:right="0"/>
        <w:jc w:val="left"/>
      </w:pPr>
      <w:r>
        <w:rPr>
          <w:rFonts w:ascii="Times New Roman" w:hAnsi="Times New Roman" w:cs="Times New Roman" w:eastAsia="Times New Roman" w:hint="default"/>
          <w:b/>
          <w:bCs/>
        </w:rPr>
        <w:t>9</w:t>
      </w:r>
      <w:r>
        <w:rPr>
          <w:rFonts w:ascii="Microsoft JhengHei" w:hAnsi="Microsoft JhengHei" w:cs="Microsoft JhengHei" w:eastAsia="Microsoft JhengHei" w:hint="default"/>
          <w:b/>
          <w:bCs/>
        </w:rPr>
        <w:t>． 金融工具的抵销</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当依法有权抵销债权债务且该法定权利现在是可执行的，同时交易双方准备按净额进行结算，或同时</w:t>
      </w:r>
    </w:p>
    <w:p>
      <w:pPr>
        <w:pStyle w:val="BodyText"/>
        <w:spacing w:line="240" w:lineRule="auto" w:before="42"/>
        <w:ind w:right="0"/>
        <w:jc w:val="left"/>
      </w:pPr>
      <w:r>
        <w:rPr/>
        <w:t>结清资产和负债时，金融资产和负债以抵销后的净额在财务报表中列示。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left="573" w:right="0"/>
        <w:jc w:val="left"/>
        <w:rPr>
          <w:b w:val="0"/>
          <w:bCs w:val="0"/>
        </w:rPr>
      </w:pPr>
      <w:r>
        <w:rPr/>
        <w:t>（十一）应收款项</w:t>
      </w:r>
      <w:r>
        <w:rPr>
          <w:b w:val="0"/>
          <w:bCs w:val="0"/>
        </w:rPr>
      </w:r>
    </w:p>
    <w:p>
      <w:pPr>
        <w:spacing w:line="340" w:lineRule="auto" w:before="83"/>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日起适用的会计政策</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2"/>
          <w:sz w:val="21"/>
          <w:szCs w:val="21"/>
        </w:rPr>
        <w:t>对于应收款项，本公司视情况采取“一般方法”和“简化方法”计量其坏账准备，由此形成的损失准</w:t>
      </w:r>
    </w:p>
    <w:p>
      <w:pPr>
        <w:pStyle w:val="BodyText"/>
        <w:spacing w:line="240" w:lineRule="auto" w:before="42"/>
        <w:ind w:right="0"/>
        <w:jc w:val="left"/>
      </w:pPr>
      <w:r>
        <w:rPr/>
        <w:t>备的增加或转回金额，作为减值损失或利得计入当期损益。</w:t>
      </w:r>
    </w:p>
    <w:p>
      <w:pPr>
        <w:pStyle w:val="BodyText"/>
        <w:spacing w:line="345" w:lineRule="auto" w:before="176"/>
        <w:ind w:right="1126" w:firstLine="420"/>
        <w:jc w:val="both"/>
      </w:pPr>
      <w:r>
        <w:rPr/>
        <w:t>“一般方法”是指考虑应收款项在未来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个月的预期信用损失和整个存续期的预期信用损失。如果</w:t>
      </w:r>
      <w:r>
        <w:rPr>
          <w:w w:val="100"/>
        </w:rPr>
        <w:t> </w:t>
      </w:r>
      <w:r>
        <w:rPr>
          <w:spacing w:val="-2"/>
        </w:rPr>
        <w:t>应收款项的信用风险自初始确认后已显著增加，本公司按照相当于应收款项整个存续期内预期信用损失的</w:t>
      </w:r>
      <w:r>
        <w:rPr>
          <w:spacing w:val="-43"/>
        </w:rPr>
        <w:t> </w:t>
      </w:r>
      <w:r>
        <w:rPr>
          <w:spacing w:val="-43"/>
        </w:rPr>
      </w:r>
      <w:r>
        <w:rPr>
          <w:spacing w:val="-2"/>
        </w:rPr>
        <w:t>金额计量其损失准备；如果应收款项的信用风险自初始确认后并未显著增加，本公司按照相当于该应收款</w:t>
      </w:r>
      <w:r>
        <w:rPr>
          <w:spacing w:val="-44"/>
        </w:rPr>
        <w:t> </w:t>
      </w:r>
      <w:r>
        <w:rPr>
          <w:spacing w:val="-44"/>
        </w:rPr>
      </w:r>
      <w:r>
        <w:rPr/>
        <w:t>项未来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个月内预期信用损失的金额计量其损失准备。单项计提坏账准备的应收款项本公司采用“一般</w:t>
      </w:r>
      <w:r>
        <w:rPr>
          <w:w w:val="100"/>
        </w:rPr>
        <w:t> </w:t>
      </w:r>
      <w:r>
        <w:rPr/>
        <w:t>方法”计量坏账准备。</w:t>
      </w:r>
    </w:p>
    <w:p>
      <w:pPr>
        <w:spacing w:line="240" w:lineRule="auto" w:before="12"/>
        <w:rPr>
          <w:rFonts w:ascii="宋体" w:hAnsi="宋体" w:cs="宋体" w:eastAsia="宋体" w:hint="default"/>
          <w:sz w:val="13"/>
          <w:szCs w:val="13"/>
        </w:rPr>
      </w:pPr>
    </w:p>
    <w:p>
      <w:pPr>
        <w:pStyle w:val="BodyText"/>
        <w:spacing w:line="408" w:lineRule="auto"/>
        <w:ind w:right="0" w:firstLine="420"/>
        <w:jc w:val="left"/>
      </w:pPr>
      <w:r>
        <w:rPr>
          <w:spacing w:val="-2"/>
        </w:rPr>
        <w:t>对于按信用风险特征组合计提坏账准备应收款项，本公司按“简化方法”计量坏账准备，即始终按照</w:t>
      </w:r>
      <w:r>
        <w:rPr>
          <w:w w:val="100"/>
        </w:rPr>
        <w:t> </w:t>
      </w:r>
      <w:r>
        <w:rPr/>
        <w:t>应收款项整个存续期内预期信用损失的金额计量其坏账准备。</w:t>
      </w:r>
    </w:p>
    <w:p>
      <w:pPr>
        <w:pStyle w:val="Heading4"/>
        <w:spacing w:line="240" w:lineRule="auto" w:before="20"/>
        <w:ind w:left="573" w:right="0"/>
        <w:jc w:val="left"/>
        <w:rPr>
          <w:b w:val="0"/>
          <w:bCs w:val="0"/>
        </w:rPr>
      </w:pPr>
      <w:r>
        <w:rPr>
          <w:rFonts w:ascii="Trebuchet MS" w:hAnsi="Trebuchet MS" w:cs="Trebuchet MS" w:eastAsia="Trebuchet MS" w:hint="default"/>
        </w:rPr>
        <w:t>1</w:t>
      </w:r>
      <w:r>
        <w:rPr/>
        <w:t>．</w:t>
      </w:r>
      <w:r>
        <w:rPr>
          <w:spacing w:val="45"/>
        </w:rPr>
        <w:t> </w:t>
      </w:r>
      <w:r>
        <w:rPr/>
        <w:t>单项计提坏账准备的应收款项：</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left="573" w:right="0"/>
        <w:jc w:val="left"/>
      </w:pPr>
      <w:r>
        <w:rPr/>
        <w:t>本公司</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年度对应收款项坏账准备的确认标准和计提方法如下：</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pict>
          <v:shape style="position:absolute;margin-left:267.359985pt;margin-top:28.273668pt;width:.721668pt;height:25.5pt;mso-position-horizontal-relative:page;mso-position-vertical-relative:paragraph;z-index:-1329712" type="#_x0000_t75" stroked="false">
            <v:imagedata r:id="rId41" o:title=""/>
          </v:shape>
        </w:pict>
      </w:r>
      <w:r>
        <w:rPr/>
        <w:t>（</w:t>
      </w:r>
      <w:r>
        <w:rPr>
          <w:rFonts w:ascii="Calibri" w:hAnsi="Calibri" w:cs="Calibri" w:eastAsia="Calibri" w:hint="default"/>
        </w:rPr>
        <w:t>1</w:t>
      </w:r>
      <w:r>
        <w:rPr/>
        <w:t>）单项金额重大并单独计提坏账准备的应收款项：</w:t>
      </w:r>
    </w:p>
    <w:p>
      <w:pPr>
        <w:spacing w:line="240" w:lineRule="auto" w:before="12"/>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128"/>
        <w:gridCol w:w="6527"/>
      </w:tblGrid>
      <w:tr>
        <w:trPr>
          <w:trHeight w:val="823" w:hRule="exact"/>
        </w:trPr>
        <w:tc>
          <w:tcPr>
            <w:tcW w:w="31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527" w:type="dxa"/>
            <w:tcBorders>
              <w:top w:val="dotted" w:sz="4" w:space="0" w:color="000000"/>
              <w:left w:val="dotted" w:sz="4" w:space="0" w:color="000000"/>
              <w:bottom w:val="dotted" w:sz="4" w:space="0" w:color="000000"/>
              <w:right w:val="nil" w:sz="6" w:space="0" w:color="auto"/>
            </w:tcBorders>
          </w:tcPr>
          <w:p>
            <w:pPr>
              <w:pStyle w:val="TableParagraph"/>
              <w:spacing w:line="300" w:lineRule="auto" w:before="111"/>
              <w:ind w:left="11" w:right="7"/>
              <w:jc w:val="left"/>
              <w:rPr>
                <w:rFonts w:ascii="宋体" w:hAnsi="宋体" w:cs="宋体" w:eastAsia="宋体" w:hint="default"/>
                <w:sz w:val="18"/>
                <w:szCs w:val="18"/>
              </w:rPr>
            </w:pPr>
            <w:r>
              <w:rPr>
                <w:rFonts w:ascii="宋体" w:hAnsi="宋体" w:cs="宋体" w:eastAsia="宋体" w:hint="default"/>
                <w:sz w:val="18"/>
                <w:szCs w:val="18"/>
              </w:rPr>
              <w:t>应收款项账面余额前五名或占应收账款余额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％以上且在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万以上的款项（非</w:t>
            </w:r>
            <w:r>
              <w:rPr>
                <w:rFonts w:ascii="宋体" w:hAnsi="宋体" w:cs="宋体" w:eastAsia="宋体" w:hint="default"/>
                <w:sz w:val="18"/>
                <w:szCs w:val="18"/>
              </w:rPr>
              <w:t> 证券业务）</w:t>
            </w:r>
          </w:p>
        </w:tc>
      </w:tr>
      <w:tr>
        <w:trPr>
          <w:trHeight w:val="826" w:hRule="exact"/>
        </w:trPr>
        <w:tc>
          <w:tcPr>
            <w:tcW w:w="31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5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应收款项账面余额在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万以上的款项（证券业务）</w:t>
            </w:r>
          </w:p>
        </w:tc>
      </w:tr>
      <w:tr>
        <w:trPr>
          <w:trHeight w:val="835" w:hRule="exact"/>
        </w:trPr>
        <w:tc>
          <w:tcPr>
            <w:tcW w:w="3128" w:type="dxa"/>
            <w:tcBorders>
              <w:top w:val="dotted" w:sz="4" w:space="0" w:color="000000"/>
              <w:left w:val="nil" w:sz="6" w:space="0" w:color="auto"/>
              <w:bottom w:val="single" w:sz="12" w:space="0" w:color="000000"/>
              <w:right w:val="dotted" w:sz="4" w:space="0" w:color="000000"/>
            </w:tcBorders>
          </w:tcPr>
          <w:p>
            <w:pPr>
              <w:pStyle w:val="TableParagraph"/>
              <w:spacing w:line="314" w:lineRule="auto" w:before="113"/>
              <w:ind w:left="31" w:right="6"/>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提方法</w:t>
            </w:r>
          </w:p>
        </w:tc>
        <w:tc>
          <w:tcPr>
            <w:tcW w:w="65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pStyle w:val="BodyText"/>
        <w:spacing w:line="326" w:lineRule="auto" w:before="105"/>
        <w:ind w:left="573" w:right="0"/>
        <w:jc w:val="left"/>
      </w:pPr>
      <w:r>
        <w:rPr/>
        <w:t>（</w:t>
      </w:r>
      <w:r>
        <w:rPr>
          <w:rFonts w:ascii="Calibri" w:hAnsi="Calibri" w:cs="Calibri" w:eastAsia="Calibri" w:hint="default"/>
        </w:rPr>
        <w:t>2</w:t>
      </w:r>
      <w:r>
        <w:rPr/>
        <w:t>）单项金额不重大但单独计提坏账准备的应收款项：</w:t>
      </w:r>
      <w:r>
        <w:rPr>
          <w:w w:val="100"/>
        </w:rPr>
        <w:t> </w:t>
      </w:r>
      <w:r>
        <w:rPr/>
        <w:t>对单项金额虽不重大，但已有客观证据表明其发生了减值的应收款项，按账龄分析法计提的坏账</w:t>
      </w:r>
    </w:p>
    <w:p>
      <w:pPr>
        <w:pStyle w:val="BodyText"/>
        <w:spacing w:line="240" w:lineRule="auto" w:before="55"/>
        <w:ind w:right="0"/>
        <w:jc w:val="left"/>
      </w:pPr>
      <w:r>
        <w:rPr/>
        <w:t>准备不能反映实际情况，本公司单独进行减值测试，结合现时情况分析法确定坏账准备计提的比例。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4"/>
        <w:spacing w:line="240" w:lineRule="auto"/>
        <w:ind w:left="573" w:right="0"/>
        <w:jc w:val="left"/>
        <w:rPr>
          <w:b w:val="0"/>
          <w:bCs w:val="0"/>
        </w:rPr>
      </w:pPr>
      <w:r>
        <w:rPr>
          <w:rFonts w:ascii="Trebuchet MS" w:hAnsi="Trebuchet MS" w:cs="Trebuchet MS" w:eastAsia="Trebuchet MS" w:hint="default"/>
        </w:rPr>
        <w:t>2</w:t>
      </w:r>
      <w:r>
        <w:rPr/>
        <w:t>．</w:t>
      </w:r>
      <w:r>
        <w:rPr>
          <w:spacing w:val="50"/>
        </w:rPr>
        <w:t> </w:t>
      </w:r>
      <w:r>
        <w:rPr/>
        <w:t>按信用风险特征组合计提坏账准备的应收款项：</w:t>
      </w:r>
      <w:r>
        <w:rPr>
          <w:b w:val="0"/>
          <w:bCs w:val="0"/>
        </w:rPr>
      </w:r>
    </w:p>
    <w:p>
      <w:pPr>
        <w:spacing w:after="0" w:line="240" w:lineRule="auto"/>
        <w:jc w:val="left"/>
        <w:sectPr>
          <w:footerReference w:type="default" r:id="rId40"/>
          <w:pgSz w:w="11910" w:h="16840"/>
          <w:pgMar w:footer="979" w:header="877" w:top="1100" w:bottom="1160" w:left="980" w:right="0"/>
          <w:pgNumType w:start="129"/>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2"/>
          <w:szCs w:val="12"/>
        </w:rPr>
      </w:pPr>
    </w:p>
    <w:p>
      <w:pPr>
        <w:spacing w:line="28" w:lineRule="exact"/>
        <w:ind w:left="13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83.5pt;height:1.45pt;mso-position-horizontal-relative:char;mso-position-vertical-relative:line" coordorigin="0,0" coordsize="9670,29">
            <v:group style="position:absolute;left:14;top:14;width:9641;height:2" coordorigin="14,14" coordsize="9641,2">
              <v:shape style="position:absolute;left:14;top:14;width:9641;height:2" coordorigin="14,14" coordsize="9641,0" path="m14,14l9655,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before="72"/>
        <w:ind w:left="162" w:right="0" w:firstLine="0"/>
        <w:jc w:val="left"/>
        <w:rPr>
          <w:rFonts w:ascii="宋体" w:hAnsi="宋体" w:cs="宋体" w:eastAsia="宋体" w:hint="default"/>
          <w:sz w:val="20"/>
          <w:szCs w:val="20"/>
        </w:rPr>
      </w:pPr>
      <w:r>
        <w:rPr>
          <w:rFonts w:ascii="宋体" w:hAnsi="宋体" w:cs="宋体" w:eastAsia="宋体" w:hint="default"/>
          <w:sz w:val="20"/>
          <w:szCs w:val="20"/>
        </w:rPr>
        <w:t>确定组合的依据</w:t>
      </w:r>
    </w:p>
    <w:p>
      <w:pPr>
        <w:spacing w:line="240" w:lineRule="auto" w:before="1"/>
        <w:rPr>
          <w:rFonts w:ascii="宋体" w:hAnsi="宋体" w:cs="宋体" w:eastAsia="宋体" w:hint="default"/>
          <w:sz w:val="9"/>
          <w:szCs w:val="9"/>
        </w:rPr>
      </w:pPr>
    </w:p>
    <w:tbl>
      <w:tblPr>
        <w:tblW w:w="0" w:type="auto"/>
        <w:jc w:val="left"/>
        <w:tblInd w:w="140" w:type="dxa"/>
        <w:tblLayout w:type="fixed"/>
        <w:tblCellMar>
          <w:top w:w="0" w:type="dxa"/>
          <w:left w:w="0" w:type="dxa"/>
          <w:bottom w:w="0" w:type="dxa"/>
          <w:right w:w="0" w:type="dxa"/>
        </w:tblCellMar>
        <w:tblLook w:val="01E0"/>
      </w:tblPr>
      <w:tblGrid>
        <w:gridCol w:w="1138"/>
        <w:gridCol w:w="8502"/>
      </w:tblGrid>
      <w:tr>
        <w:trPr>
          <w:trHeight w:val="666" w:hRule="exact"/>
        </w:trPr>
        <w:tc>
          <w:tcPr>
            <w:tcW w:w="1138" w:type="dxa"/>
            <w:tcBorders>
              <w:top w:val="dotted" w:sz="4" w:space="0" w:color="000000"/>
              <w:left w:val="nil" w:sz="6" w:space="0" w:color="auto"/>
              <w:bottom w:val="nil" w:sz="6" w:space="0" w:color="auto"/>
              <w:right w:val="dotted" w:sz="4" w:space="0" w:color="000000"/>
            </w:tcBorders>
          </w:tcPr>
          <w:p>
            <w:pPr/>
          </w:p>
        </w:tc>
        <w:tc>
          <w:tcPr>
            <w:tcW w:w="8502" w:type="dxa"/>
            <w:tcBorders>
              <w:top w:val="dotted" w:sz="4" w:space="0" w:color="000000"/>
              <w:left w:val="dotted"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1" w:right="0"/>
              <w:jc w:val="left"/>
              <w:rPr>
                <w:rFonts w:ascii="宋体" w:hAnsi="宋体" w:cs="宋体" w:eastAsia="宋体" w:hint="default"/>
                <w:sz w:val="20"/>
                <w:szCs w:val="20"/>
              </w:rPr>
            </w:pPr>
            <w:r>
              <w:rPr>
                <w:rFonts w:ascii="宋体" w:hAnsi="宋体" w:cs="宋体" w:eastAsia="宋体" w:hint="default"/>
                <w:spacing w:val="2"/>
                <w:w w:val="95"/>
                <w:sz w:val="20"/>
                <w:szCs w:val="20"/>
              </w:rPr>
              <w:t>除已单独计提减值准备的应收款项外，公司根据以前年度与之相同或相类似的、具有类似信用风</w:t>
            </w:r>
            <w:r>
              <w:rPr>
                <w:rFonts w:ascii="宋体" w:hAnsi="宋体" w:cs="宋体" w:eastAsia="宋体" w:hint="default"/>
                <w:spacing w:val="2"/>
                <w:sz w:val="20"/>
                <w:szCs w:val="20"/>
              </w:rPr>
            </w:r>
          </w:p>
        </w:tc>
      </w:tr>
      <w:tr>
        <w:trPr>
          <w:trHeight w:val="314" w:hRule="exact"/>
        </w:trPr>
        <w:tc>
          <w:tcPr>
            <w:tcW w:w="1138" w:type="dxa"/>
            <w:tcBorders>
              <w:top w:val="nil" w:sz="6" w:space="0" w:color="auto"/>
              <w:left w:val="nil" w:sz="6" w:space="0" w:color="auto"/>
              <w:bottom w:val="nil" w:sz="6" w:space="0" w:color="auto"/>
              <w:right w:val="dotted" w:sz="4" w:space="0" w:color="000000"/>
            </w:tcBorders>
          </w:tcPr>
          <w:p>
            <w:pPr>
              <w:pStyle w:val="TableParagraph"/>
              <w:spacing w:line="262" w:lineRule="exact"/>
              <w:ind w:left="1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组合</w:t>
            </w:r>
            <w:r>
              <w:rPr>
                <w:rFonts w:ascii="宋体" w:hAnsi="宋体" w:cs="宋体" w:eastAsia="宋体" w:hint="default"/>
                <w:spacing w:val="-52"/>
                <w:sz w:val="20"/>
                <w:szCs w:val="20"/>
              </w:rPr>
              <w:t> </w:t>
            </w:r>
            <w:r>
              <w:rPr>
                <w:rFonts w:ascii="Times New Roman" w:hAnsi="Times New Roman" w:cs="Times New Roman" w:eastAsia="Times New Roman" w:hint="default"/>
                <w:position w:val="1"/>
                <w:sz w:val="20"/>
                <w:szCs w:val="20"/>
              </w:rPr>
              <w:t>1</w:t>
            </w:r>
            <w:r>
              <w:rPr>
                <w:rFonts w:ascii="Times New Roman" w:hAnsi="Times New Roman" w:cs="Times New Roman" w:eastAsia="Times New Roman" w:hint="default"/>
                <w:sz w:val="20"/>
                <w:szCs w:val="20"/>
              </w:rPr>
            </w:r>
          </w:p>
        </w:tc>
        <w:tc>
          <w:tcPr>
            <w:tcW w:w="8502" w:type="dxa"/>
            <w:tcBorders>
              <w:top w:val="nil" w:sz="6" w:space="0" w:color="auto"/>
              <w:left w:val="dotted" w:sz="4" w:space="0" w:color="000000"/>
              <w:bottom w:val="nil" w:sz="6" w:space="0" w:color="auto"/>
              <w:right w:val="nil" w:sz="6" w:space="0" w:color="auto"/>
            </w:tcBorders>
          </w:tcPr>
          <w:p>
            <w:pPr>
              <w:pStyle w:val="TableParagraph"/>
              <w:spacing w:line="255" w:lineRule="exact"/>
              <w:ind w:left="11" w:right="0"/>
              <w:jc w:val="left"/>
              <w:rPr>
                <w:rFonts w:ascii="宋体" w:hAnsi="宋体" w:cs="宋体" w:eastAsia="宋体" w:hint="default"/>
                <w:sz w:val="20"/>
                <w:szCs w:val="20"/>
              </w:rPr>
            </w:pPr>
            <w:r>
              <w:rPr>
                <w:rFonts w:ascii="宋体" w:hAnsi="宋体" w:cs="宋体" w:eastAsia="宋体" w:hint="default"/>
                <w:spacing w:val="2"/>
                <w:w w:val="95"/>
                <w:sz w:val="20"/>
                <w:szCs w:val="20"/>
              </w:rPr>
              <w:t>险特征的应收款项组合的实际损失率为基础，结合现时情况确定本期各项组合计提坏账准备的比</w:t>
            </w:r>
            <w:r>
              <w:rPr>
                <w:rFonts w:ascii="宋体" w:hAnsi="宋体" w:cs="宋体" w:eastAsia="宋体" w:hint="default"/>
                <w:spacing w:val="2"/>
                <w:sz w:val="20"/>
                <w:szCs w:val="20"/>
              </w:rPr>
            </w:r>
          </w:p>
        </w:tc>
      </w:tr>
      <w:tr>
        <w:trPr>
          <w:trHeight w:val="654" w:hRule="exact"/>
        </w:trPr>
        <w:tc>
          <w:tcPr>
            <w:tcW w:w="1138" w:type="dxa"/>
            <w:tcBorders>
              <w:top w:val="nil" w:sz="6" w:space="0" w:color="auto"/>
              <w:left w:val="nil" w:sz="6" w:space="0" w:color="auto"/>
              <w:bottom w:val="dotted" w:sz="4" w:space="0" w:color="000000"/>
              <w:right w:val="dotted" w:sz="4" w:space="0" w:color="000000"/>
            </w:tcBorders>
          </w:tcPr>
          <w:p>
            <w:pPr/>
          </w:p>
        </w:tc>
        <w:tc>
          <w:tcPr>
            <w:tcW w:w="8502" w:type="dxa"/>
            <w:tcBorders>
              <w:top w:val="nil" w:sz="6" w:space="0" w:color="auto"/>
              <w:left w:val="dotted" w:sz="4" w:space="0" w:color="000000"/>
              <w:bottom w:val="dotted" w:sz="4" w:space="0" w:color="000000"/>
              <w:right w:val="nil" w:sz="6" w:space="0" w:color="auto"/>
            </w:tcBorders>
          </w:tcPr>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例；集团公司内部往来形成的应收账款和其他应收款不计提减值准备。（非证券业务）</w:t>
            </w:r>
          </w:p>
        </w:tc>
      </w:tr>
      <w:tr>
        <w:trPr>
          <w:trHeight w:val="668" w:hRule="exact"/>
        </w:trPr>
        <w:tc>
          <w:tcPr>
            <w:tcW w:w="1138" w:type="dxa"/>
            <w:tcBorders>
              <w:top w:val="dotted" w:sz="4" w:space="0" w:color="000000"/>
              <w:left w:val="nil" w:sz="6" w:space="0" w:color="auto"/>
              <w:bottom w:val="nil" w:sz="6" w:space="0" w:color="auto"/>
              <w:right w:val="dotted" w:sz="4" w:space="0" w:color="000000"/>
            </w:tcBorders>
          </w:tcPr>
          <w:p>
            <w:pPr/>
          </w:p>
        </w:tc>
        <w:tc>
          <w:tcPr>
            <w:tcW w:w="8502" w:type="dxa"/>
            <w:tcBorders>
              <w:top w:val="dotted" w:sz="4" w:space="0" w:color="000000"/>
              <w:left w:val="dotted"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1" w:right="0"/>
              <w:jc w:val="left"/>
              <w:rPr>
                <w:rFonts w:ascii="宋体" w:hAnsi="宋体" w:cs="宋体" w:eastAsia="宋体" w:hint="default"/>
                <w:sz w:val="20"/>
                <w:szCs w:val="20"/>
              </w:rPr>
            </w:pPr>
            <w:r>
              <w:rPr>
                <w:rFonts w:ascii="宋体" w:hAnsi="宋体" w:cs="宋体" w:eastAsia="宋体" w:hint="default"/>
                <w:spacing w:val="2"/>
                <w:w w:val="95"/>
                <w:sz w:val="20"/>
                <w:szCs w:val="20"/>
              </w:rPr>
              <w:t>除已单独计提减值准备的应收款项外，公司根据以前年度与之相同或相类似的、具有类似信用风</w:t>
            </w:r>
            <w:r>
              <w:rPr>
                <w:rFonts w:ascii="宋体" w:hAnsi="宋体" w:cs="宋体" w:eastAsia="宋体" w:hint="default"/>
                <w:spacing w:val="2"/>
                <w:sz w:val="20"/>
                <w:szCs w:val="20"/>
              </w:rPr>
            </w:r>
          </w:p>
        </w:tc>
      </w:tr>
      <w:tr>
        <w:trPr>
          <w:trHeight w:val="312" w:hRule="exact"/>
        </w:trPr>
        <w:tc>
          <w:tcPr>
            <w:tcW w:w="1138" w:type="dxa"/>
            <w:tcBorders>
              <w:top w:val="nil" w:sz="6" w:space="0" w:color="auto"/>
              <w:left w:val="nil" w:sz="6" w:space="0" w:color="auto"/>
              <w:bottom w:val="nil" w:sz="6" w:space="0" w:color="auto"/>
              <w:right w:val="dotted" w:sz="4" w:space="0" w:color="000000"/>
            </w:tcBorders>
          </w:tcPr>
          <w:p>
            <w:pPr>
              <w:pStyle w:val="TableParagraph"/>
              <w:spacing w:line="256" w:lineRule="exact"/>
              <w:ind w:left="16"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8502" w:type="dxa"/>
            <w:tcBorders>
              <w:top w:val="nil" w:sz="6" w:space="0" w:color="auto"/>
              <w:left w:val="dotted" w:sz="4" w:space="0" w:color="000000"/>
              <w:bottom w:val="nil" w:sz="6" w:space="0" w:color="auto"/>
              <w:right w:val="nil" w:sz="6" w:space="0" w:color="auto"/>
            </w:tcBorders>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pacing w:val="2"/>
                <w:w w:val="95"/>
                <w:sz w:val="20"/>
                <w:szCs w:val="20"/>
              </w:rPr>
              <w:t>险特征的应收款项组合的实际损失率为基础，结合现时情况确定本期各项组合计提坏账准备的比</w:t>
            </w:r>
            <w:r>
              <w:rPr>
                <w:rFonts w:ascii="宋体" w:hAnsi="宋体" w:cs="宋体" w:eastAsia="宋体" w:hint="default"/>
                <w:spacing w:val="2"/>
                <w:sz w:val="20"/>
                <w:szCs w:val="20"/>
              </w:rPr>
            </w:r>
          </w:p>
        </w:tc>
      </w:tr>
      <w:tr>
        <w:trPr>
          <w:trHeight w:val="655" w:hRule="exact"/>
        </w:trPr>
        <w:tc>
          <w:tcPr>
            <w:tcW w:w="1138" w:type="dxa"/>
            <w:tcBorders>
              <w:top w:val="nil" w:sz="6" w:space="0" w:color="auto"/>
              <w:left w:val="nil" w:sz="6" w:space="0" w:color="auto"/>
              <w:bottom w:val="dotted" w:sz="4" w:space="0" w:color="000000"/>
              <w:right w:val="dotted" w:sz="4" w:space="0" w:color="000000"/>
            </w:tcBorders>
          </w:tcPr>
          <w:p>
            <w:pPr/>
          </w:p>
        </w:tc>
        <w:tc>
          <w:tcPr>
            <w:tcW w:w="8502" w:type="dxa"/>
            <w:tcBorders>
              <w:top w:val="nil" w:sz="6" w:space="0" w:color="auto"/>
              <w:left w:val="dotted" w:sz="4" w:space="0" w:color="000000"/>
              <w:bottom w:val="dotted" w:sz="4" w:space="0" w:color="000000"/>
              <w:right w:val="nil" w:sz="6" w:space="0" w:color="auto"/>
            </w:tcBorders>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z w:val="20"/>
                <w:szCs w:val="20"/>
              </w:rPr>
              <w:t>例；集团公司内部往来形成的应收账款和其他应收款不计提减值准备。（证券业务）</w:t>
            </w:r>
          </w:p>
        </w:tc>
      </w:tr>
      <w:tr>
        <w:trPr>
          <w:trHeight w:val="1322" w:hRule="exact"/>
        </w:trPr>
        <w:tc>
          <w:tcPr>
            <w:tcW w:w="113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pacing w:val="-52"/>
                <w:sz w:val="20"/>
                <w:szCs w:val="20"/>
              </w:rPr>
              <w:t> </w:t>
            </w:r>
            <w:r>
              <w:rPr>
                <w:rFonts w:ascii="宋体" w:hAnsi="宋体" w:cs="宋体" w:eastAsia="宋体" w:hint="default"/>
                <w:sz w:val="20"/>
                <w:szCs w:val="20"/>
              </w:rPr>
              <w:t>3</w:t>
            </w:r>
          </w:p>
        </w:tc>
        <w:tc>
          <w:tcPr>
            <w:tcW w:w="85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11" w:right="14"/>
              <w:jc w:val="left"/>
              <w:rPr>
                <w:rFonts w:ascii="宋体" w:hAnsi="宋体" w:cs="宋体" w:eastAsia="宋体" w:hint="default"/>
                <w:sz w:val="20"/>
                <w:szCs w:val="20"/>
              </w:rPr>
            </w:pPr>
            <w:r>
              <w:rPr>
                <w:rFonts w:ascii="宋体" w:hAnsi="宋体" w:cs="宋体" w:eastAsia="宋体" w:hint="default"/>
                <w:spacing w:val="2"/>
                <w:w w:val="95"/>
                <w:sz w:val="20"/>
                <w:szCs w:val="20"/>
              </w:rPr>
              <w:t>特定款项组合包括应收款项中与证券交易结算相关的款项、与场外期权交易相关的款项、垫付出 </w:t>
            </w:r>
            <w:r>
              <w:rPr>
                <w:rFonts w:ascii="宋体" w:hAnsi="宋体" w:cs="宋体" w:eastAsia="宋体" w:hint="default"/>
                <w:sz w:val="20"/>
                <w:szCs w:val="20"/>
              </w:rPr>
              <w:t>租席位的保证金、垫付理财产品的保证金、资产管理及银行理财产品形成的款项。</w:t>
            </w:r>
          </w:p>
        </w:tc>
      </w:tr>
    </w:tbl>
    <w:p>
      <w:pPr>
        <w:spacing w:before="49"/>
        <w:ind w:left="162" w:right="0" w:firstLine="0"/>
        <w:jc w:val="left"/>
        <w:rPr>
          <w:rFonts w:ascii="宋体" w:hAnsi="宋体" w:cs="宋体" w:eastAsia="宋体" w:hint="default"/>
          <w:sz w:val="20"/>
          <w:szCs w:val="20"/>
        </w:rPr>
      </w:pPr>
      <w:r>
        <w:rPr>
          <w:rFonts w:ascii="宋体" w:hAnsi="宋体" w:cs="宋体" w:eastAsia="宋体" w:hint="default"/>
          <w:sz w:val="20"/>
          <w:szCs w:val="20"/>
        </w:rPr>
        <w:t>按组合计提坏账准备的计提方法</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152"/>
        <w:gridCol w:w="8502"/>
      </w:tblGrid>
      <w:tr>
        <w:trPr>
          <w:trHeight w:val="418" w:hRule="exact"/>
        </w:trPr>
        <w:tc>
          <w:tcPr>
            <w:tcW w:w="11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31"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pacing w:val="-52"/>
                <w:sz w:val="20"/>
                <w:szCs w:val="20"/>
              </w:rPr>
              <w:t> </w:t>
            </w:r>
            <w:r>
              <w:rPr>
                <w:rFonts w:ascii="宋体" w:hAnsi="宋体" w:cs="宋体" w:eastAsia="宋体" w:hint="default"/>
                <w:sz w:val="20"/>
                <w:szCs w:val="20"/>
              </w:rPr>
              <w:t>1</w:t>
            </w:r>
          </w:p>
        </w:tc>
        <w:tc>
          <w:tcPr>
            <w:tcW w:w="85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left="11" w:right="0"/>
              <w:jc w:val="left"/>
              <w:rPr>
                <w:rFonts w:ascii="宋体" w:hAnsi="宋体" w:cs="宋体" w:eastAsia="宋体" w:hint="default"/>
                <w:sz w:val="20"/>
                <w:szCs w:val="20"/>
              </w:rPr>
            </w:pPr>
            <w:r>
              <w:rPr>
                <w:rFonts w:ascii="宋体" w:hAnsi="宋体" w:cs="宋体" w:eastAsia="宋体" w:hint="default"/>
                <w:sz w:val="20"/>
                <w:szCs w:val="20"/>
              </w:rPr>
              <w:t>账龄分析法</w:t>
            </w:r>
          </w:p>
        </w:tc>
      </w:tr>
      <w:tr>
        <w:trPr>
          <w:trHeight w:val="418" w:hRule="exact"/>
        </w:trPr>
        <w:tc>
          <w:tcPr>
            <w:tcW w:w="11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31"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85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left="11" w:right="0"/>
              <w:jc w:val="left"/>
              <w:rPr>
                <w:rFonts w:ascii="宋体" w:hAnsi="宋体" w:cs="宋体" w:eastAsia="宋体" w:hint="default"/>
                <w:sz w:val="20"/>
                <w:szCs w:val="20"/>
              </w:rPr>
            </w:pPr>
            <w:r>
              <w:rPr>
                <w:rFonts w:ascii="宋体" w:hAnsi="宋体" w:cs="宋体" w:eastAsia="宋体" w:hint="default"/>
                <w:sz w:val="20"/>
                <w:szCs w:val="20"/>
              </w:rPr>
              <w:t>账龄分析法</w:t>
            </w:r>
          </w:p>
        </w:tc>
      </w:tr>
      <w:tr>
        <w:trPr>
          <w:trHeight w:val="506" w:hRule="exact"/>
        </w:trPr>
        <w:tc>
          <w:tcPr>
            <w:tcW w:w="11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5"/>
              <w:ind w:left="31"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pacing w:val="-52"/>
                <w:sz w:val="20"/>
                <w:szCs w:val="20"/>
              </w:rPr>
              <w:t> </w:t>
            </w:r>
            <w:r>
              <w:rPr>
                <w:rFonts w:ascii="宋体" w:hAnsi="宋体" w:cs="宋体" w:eastAsia="宋体" w:hint="default"/>
                <w:sz w:val="20"/>
                <w:szCs w:val="20"/>
              </w:rPr>
              <w:t>3</w:t>
            </w:r>
          </w:p>
        </w:tc>
        <w:tc>
          <w:tcPr>
            <w:tcW w:w="85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5"/>
              <w:ind w:left="11" w:right="0"/>
              <w:jc w:val="left"/>
              <w:rPr>
                <w:rFonts w:ascii="宋体" w:hAnsi="宋体" w:cs="宋体" w:eastAsia="宋体" w:hint="default"/>
                <w:sz w:val="20"/>
                <w:szCs w:val="20"/>
              </w:rPr>
            </w:pPr>
            <w:r>
              <w:rPr>
                <w:rFonts w:ascii="宋体" w:hAnsi="宋体" w:cs="宋体" w:eastAsia="宋体" w:hint="default"/>
                <w:sz w:val="20"/>
                <w:szCs w:val="20"/>
              </w:rPr>
              <w:t>根据其风险特征不存在减值风险，不计提坏账准备</w:t>
            </w:r>
          </w:p>
        </w:tc>
      </w:tr>
    </w:tbl>
    <w:p>
      <w:pPr>
        <w:pStyle w:val="BodyText"/>
        <w:spacing w:line="240" w:lineRule="auto" w:before="64"/>
        <w:ind w:left="573" w:right="0"/>
        <w:jc w:val="left"/>
      </w:pPr>
      <w:r>
        <w:rPr>
          <w:w w:val="100"/>
        </w:rPr>
        <w:t>组合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中</w:t>
      </w:r>
      <w:r>
        <w:rPr>
          <w:spacing w:val="-3"/>
          <w:w w:val="100"/>
        </w:rPr>
        <w:t>，</w:t>
      </w:r>
      <w:r>
        <w:rPr>
          <w:w w:val="100"/>
        </w:rPr>
        <w:t>采</w:t>
      </w:r>
      <w:r>
        <w:rPr>
          <w:spacing w:val="-3"/>
          <w:w w:val="100"/>
        </w:rPr>
        <w:t>用</w:t>
      </w:r>
      <w:r>
        <w:rPr>
          <w:w w:val="100"/>
        </w:rPr>
        <w:t>账</w:t>
      </w:r>
      <w:r>
        <w:rPr>
          <w:spacing w:val="-3"/>
          <w:w w:val="100"/>
        </w:rPr>
        <w:t>龄</w:t>
      </w:r>
      <w:r>
        <w:rPr>
          <w:w w:val="100"/>
        </w:rPr>
        <w:t>分</w:t>
      </w:r>
      <w:r>
        <w:rPr>
          <w:spacing w:val="-3"/>
          <w:w w:val="100"/>
        </w:rPr>
        <w:t>析</w:t>
      </w:r>
      <w:r>
        <w:rPr>
          <w:w w:val="100"/>
        </w:rPr>
        <w:t>法计</w:t>
      </w:r>
      <w:r>
        <w:rPr>
          <w:spacing w:val="-3"/>
          <w:w w:val="100"/>
        </w:rPr>
        <w:t>提</w:t>
      </w:r>
      <w:r>
        <w:rPr>
          <w:w w:val="100"/>
        </w:rPr>
        <w:t>坏</w:t>
      </w:r>
      <w:r>
        <w:rPr>
          <w:spacing w:val="-3"/>
          <w:w w:val="100"/>
        </w:rPr>
        <w:t>账</w:t>
      </w:r>
      <w:r>
        <w:rPr>
          <w:w w:val="100"/>
        </w:rPr>
        <w:t>准</w:t>
      </w:r>
      <w:r>
        <w:rPr>
          <w:spacing w:val="-3"/>
          <w:w w:val="100"/>
        </w:rPr>
        <w:t>备</w:t>
      </w:r>
      <w:r>
        <w:rPr>
          <w:w w:val="100"/>
        </w:rPr>
        <w:t>的</w:t>
      </w:r>
      <w:r>
        <w:rPr>
          <w:spacing w:val="-3"/>
          <w:w w:val="100"/>
        </w:rPr>
        <w:t>情</w:t>
      </w:r>
      <w:r>
        <w:rPr>
          <w:w w:val="100"/>
        </w:rPr>
        <w:t>况</w:t>
      </w:r>
      <w:r>
        <w:rPr>
          <w:spacing w:val="-3"/>
          <w:w w:val="100"/>
        </w:rPr>
        <w:t>（</w:t>
      </w:r>
      <w:r>
        <w:rPr>
          <w:w w:val="100"/>
        </w:rPr>
        <w:t>非证</w:t>
      </w:r>
      <w:r>
        <w:rPr>
          <w:spacing w:val="-3"/>
          <w:w w:val="100"/>
        </w:rPr>
        <w:t>券</w:t>
      </w:r>
      <w:r>
        <w:rPr>
          <w:w w:val="100"/>
        </w:rPr>
        <w:t>业</w:t>
      </w:r>
      <w:r>
        <w:rPr>
          <w:spacing w:val="-3"/>
          <w:w w:val="100"/>
        </w:rPr>
        <w:t>务</w:t>
      </w:r>
      <w:r>
        <w:rPr>
          <w:spacing w:val="-106"/>
          <w:w w:val="100"/>
        </w:rPr>
        <w:t>）</w:t>
      </w:r>
      <w:r>
        <w:rPr>
          <w:w w:val="100"/>
        </w:rPr>
        <w:t>：</w:t>
      </w: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4566"/>
        <w:gridCol w:w="2542"/>
        <w:gridCol w:w="2542"/>
      </w:tblGrid>
      <w:tr>
        <w:trPr>
          <w:trHeight w:val="516" w:hRule="exact"/>
        </w:trPr>
        <w:tc>
          <w:tcPr>
            <w:tcW w:w="45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2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宋体" w:hAnsi="宋体" w:cs="宋体" w:eastAsia="宋体" w:hint="default"/>
                <w:position w:val="1"/>
                <w:sz w:val="18"/>
                <w:szCs w:val="18"/>
              </w:rPr>
              <w:t>应收账款计提比例</w:t>
            </w:r>
            <w:r>
              <w:rPr>
                <w:rFonts w:ascii="Times New Roman" w:hAnsi="Times New Roman" w:cs="Times New Roman" w:eastAsia="Times New Roman" w:hint="default"/>
                <w:sz w:val="18"/>
                <w:szCs w:val="18"/>
              </w:rPr>
              <w:t>(%)</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其他应收款计提比例</w:t>
            </w:r>
            <w:r>
              <w:rPr>
                <w:rFonts w:ascii="Times New Roman" w:hAnsi="Times New Roman" w:cs="Times New Roman" w:eastAsia="Times New Roman" w:hint="default"/>
                <w:sz w:val="18"/>
                <w:szCs w:val="18"/>
              </w:rPr>
              <w:t>(%)</w:t>
            </w:r>
          </w:p>
        </w:tc>
      </w:tr>
      <w:tr>
        <w:trPr>
          <w:trHeight w:val="418" w:hRule="exact"/>
        </w:trPr>
        <w:tc>
          <w:tcPr>
            <w:tcW w:w="4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年以内（含</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
        </w:tc>
        <w:tc>
          <w:tcPr>
            <w:tcW w:w="2542" w:type="dxa"/>
            <w:tcBorders>
              <w:top w:val="dotted" w:sz="4" w:space="0" w:color="000000"/>
              <w:left w:val="dotted" w:sz="4" w:space="0" w:color="000000"/>
              <w:bottom w:val="dotted" w:sz="4" w:space="0" w:color="000000"/>
              <w:right w:val="dotted" w:sz="4" w:space="0" w:color="000000"/>
            </w:tcBorders>
          </w:tcPr>
          <w:p>
            <w:pPr/>
          </w:p>
        </w:tc>
      </w:tr>
      <w:tr>
        <w:trPr>
          <w:trHeight w:val="418" w:hRule="exact"/>
        </w:trPr>
        <w:tc>
          <w:tcPr>
            <w:tcW w:w="4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31" w:right="0"/>
              <w:jc w:val="left"/>
              <w:rPr>
                <w:rFonts w:ascii="宋体" w:hAnsi="宋体" w:cs="宋体" w:eastAsia="宋体" w:hint="default"/>
                <w:sz w:val="18"/>
                <w:szCs w:val="18"/>
              </w:rPr>
            </w:pPr>
            <w:r>
              <w:rPr>
                <w:rFonts w:ascii="宋体" w:hAnsi="宋体" w:cs="宋体" w:eastAsia="宋体" w:hint="default"/>
                <w:position w:val="1"/>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个月以内（含</w:t>
            </w:r>
            <w:r>
              <w:rPr>
                <w:rFonts w:ascii="宋体" w:hAnsi="宋体" w:cs="宋体" w:eastAsia="宋体" w:hint="default"/>
                <w:spacing w:val="-48"/>
                <w:position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个月）</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4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个月至</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个月（含</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个月）</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18" w:hRule="exact"/>
        </w:trPr>
        <w:tc>
          <w:tcPr>
            <w:tcW w:w="4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个月至</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年（含</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sz w:val="18"/>
              </w:rPr>
              <w:t>50</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8"/>
                <w:szCs w:val="18"/>
              </w:rPr>
            </w:pPr>
            <w:r>
              <w:rPr>
                <w:rFonts w:ascii="Times New Roman"/>
                <w:sz w:val="18"/>
              </w:rPr>
              <w:t>5</w:t>
            </w:r>
          </w:p>
        </w:tc>
      </w:tr>
      <w:tr>
        <w:trPr>
          <w:trHeight w:val="418" w:hRule="exact"/>
        </w:trPr>
        <w:tc>
          <w:tcPr>
            <w:tcW w:w="4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年至</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年（含</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sz w:val="18"/>
              </w:rPr>
              <w:t>100</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418" w:hRule="exact"/>
        </w:trPr>
        <w:tc>
          <w:tcPr>
            <w:tcW w:w="4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年至</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年（含</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100</w:t>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50</w:t>
            </w:r>
          </w:p>
        </w:tc>
      </w:tr>
      <w:tr>
        <w:trPr>
          <w:trHeight w:val="427" w:hRule="exact"/>
        </w:trPr>
        <w:tc>
          <w:tcPr>
            <w:tcW w:w="4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年以上</w:t>
            </w:r>
            <w:r>
              <w:rPr>
                <w:rFonts w:ascii="宋体" w:hAnsi="宋体" w:cs="宋体" w:eastAsia="宋体" w:hint="default"/>
                <w:sz w:val="18"/>
                <w:szCs w:val="18"/>
              </w:rPr>
            </w:r>
          </w:p>
        </w:tc>
        <w:tc>
          <w:tcPr>
            <w:tcW w:w="25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100</w:t>
            </w:r>
          </w:p>
        </w:tc>
        <w:tc>
          <w:tcPr>
            <w:tcW w:w="25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22"/>
          <w:szCs w:val="22"/>
        </w:rPr>
      </w:pPr>
    </w:p>
    <w:p>
      <w:pPr>
        <w:pStyle w:val="BodyText"/>
        <w:spacing w:line="240" w:lineRule="auto" w:before="36"/>
        <w:ind w:left="573" w:right="0"/>
        <w:jc w:val="left"/>
      </w:pPr>
      <w:r>
        <w:rPr>
          <w:w w:val="100"/>
        </w:rPr>
        <w:t>组合</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中</w:t>
      </w:r>
      <w:r>
        <w:rPr>
          <w:spacing w:val="-3"/>
          <w:w w:val="100"/>
        </w:rPr>
        <w:t>，</w:t>
      </w:r>
      <w:r>
        <w:rPr>
          <w:w w:val="100"/>
        </w:rPr>
        <w:t>采</w:t>
      </w:r>
      <w:r>
        <w:rPr>
          <w:spacing w:val="-3"/>
          <w:w w:val="100"/>
        </w:rPr>
        <w:t>用</w:t>
      </w:r>
      <w:r>
        <w:rPr>
          <w:w w:val="100"/>
        </w:rPr>
        <w:t>账</w:t>
      </w:r>
      <w:r>
        <w:rPr>
          <w:spacing w:val="-3"/>
          <w:w w:val="100"/>
        </w:rPr>
        <w:t>龄</w:t>
      </w:r>
      <w:r>
        <w:rPr>
          <w:w w:val="100"/>
        </w:rPr>
        <w:t>分</w:t>
      </w:r>
      <w:r>
        <w:rPr>
          <w:spacing w:val="-3"/>
          <w:w w:val="100"/>
        </w:rPr>
        <w:t>析</w:t>
      </w:r>
      <w:r>
        <w:rPr>
          <w:w w:val="100"/>
        </w:rPr>
        <w:t>法计</w:t>
      </w:r>
      <w:r>
        <w:rPr>
          <w:spacing w:val="-3"/>
          <w:w w:val="100"/>
        </w:rPr>
        <w:t>提</w:t>
      </w:r>
      <w:r>
        <w:rPr>
          <w:w w:val="100"/>
        </w:rPr>
        <w:t>坏</w:t>
      </w:r>
      <w:r>
        <w:rPr>
          <w:spacing w:val="-3"/>
          <w:w w:val="100"/>
        </w:rPr>
        <w:t>账</w:t>
      </w:r>
      <w:r>
        <w:rPr>
          <w:w w:val="100"/>
        </w:rPr>
        <w:t>准</w:t>
      </w:r>
      <w:r>
        <w:rPr>
          <w:spacing w:val="-3"/>
          <w:w w:val="100"/>
        </w:rPr>
        <w:t>备</w:t>
      </w:r>
      <w:r>
        <w:rPr>
          <w:w w:val="100"/>
        </w:rPr>
        <w:t>的</w:t>
      </w:r>
      <w:r>
        <w:rPr>
          <w:spacing w:val="-3"/>
          <w:w w:val="100"/>
        </w:rPr>
        <w:t>情</w:t>
      </w:r>
      <w:r>
        <w:rPr>
          <w:w w:val="100"/>
        </w:rPr>
        <w:t>况</w:t>
      </w:r>
      <w:r>
        <w:rPr>
          <w:spacing w:val="-3"/>
          <w:w w:val="100"/>
        </w:rPr>
        <w:t>（</w:t>
      </w:r>
      <w:r>
        <w:rPr>
          <w:w w:val="100"/>
        </w:rPr>
        <w:t>证券</w:t>
      </w:r>
      <w:r>
        <w:rPr>
          <w:spacing w:val="-3"/>
          <w:w w:val="100"/>
        </w:rPr>
        <w:t>业</w:t>
      </w:r>
      <w:r>
        <w:rPr>
          <w:w w:val="100"/>
        </w:rPr>
        <w:t>务</w:t>
      </w:r>
      <w:r>
        <w:rPr>
          <w:spacing w:val="-108"/>
          <w:w w:val="100"/>
        </w:rPr>
        <w:t>）</w:t>
      </w:r>
      <w:r>
        <w:rPr>
          <w:w w:val="100"/>
        </w:rPr>
        <w:t>：</w:t>
      </w: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4571"/>
        <w:gridCol w:w="2542"/>
        <w:gridCol w:w="2542"/>
      </w:tblGrid>
      <w:tr>
        <w:trPr>
          <w:trHeight w:val="516" w:hRule="exact"/>
        </w:trPr>
        <w:tc>
          <w:tcPr>
            <w:tcW w:w="457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position w:val="1"/>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宋体" w:hAnsi="宋体" w:cs="宋体" w:eastAsia="宋体" w:hint="default"/>
                <w:sz w:val="18"/>
                <w:szCs w:val="18"/>
              </w:rPr>
            </w:r>
          </w:p>
        </w:tc>
        <w:tc>
          <w:tcPr>
            <w:tcW w:w="25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7"/>
              <w:jc w:val="center"/>
              <w:rPr>
                <w:rFonts w:ascii="宋体" w:hAnsi="宋体" w:cs="宋体" w:eastAsia="宋体" w:hint="default"/>
                <w:sz w:val="18"/>
                <w:szCs w:val="18"/>
              </w:rPr>
            </w:pPr>
            <w:r>
              <w:rPr>
                <w:rFonts w:ascii="宋体" w:hAnsi="宋体" w:cs="宋体" w:eastAsia="宋体" w:hint="default"/>
                <w:position w:val="1"/>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宋体" w:hAnsi="宋体" w:cs="宋体" w:eastAsia="宋体" w:hint="default"/>
                <w:sz w:val="18"/>
                <w:szCs w:val="18"/>
              </w:rPr>
            </w:r>
          </w:p>
        </w:tc>
      </w:tr>
      <w:tr>
        <w:trPr>
          <w:trHeight w:val="418" w:hRule="exact"/>
        </w:trPr>
        <w:tc>
          <w:tcPr>
            <w:tcW w:w="4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年以内（含</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z w:val="18"/>
              </w:rPr>
              <w:t>0.5</w:t>
            </w:r>
          </w:p>
        </w:tc>
      </w:tr>
      <w:tr>
        <w:trPr>
          <w:trHeight w:val="416" w:hRule="exact"/>
        </w:trPr>
        <w:tc>
          <w:tcPr>
            <w:tcW w:w="4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至</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1</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5"/>
              <w:jc w:val="center"/>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4571"/>
        <w:gridCol w:w="2542"/>
        <w:gridCol w:w="2542"/>
      </w:tblGrid>
      <w:tr>
        <w:trPr>
          <w:trHeight w:val="418" w:hRule="exact"/>
        </w:trPr>
        <w:tc>
          <w:tcPr>
            <w:tcW w:w="4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至</w:t>
            </w:r>
            <w:r>
              <w:rPr>
                <w:rFonts w:ascii="宋体" w:hAnsi="宋体" w:cs="宋体" w:eastAsia="宋体" w:hint="default"/>
                <w:spacing w:val="-47"/>
                <w:position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position w:val="1"/>
                <w:sz w:val="18"/>
                <w:szCs w:val="18"/>
              </w:rPr>
              <w:t>年</w:t>
            </w:r>
            <w:r>
              <w:rPr>
                <w:rFonts w:ascii="宋体" w:hAnsi="宋体" w:cs="宋体" w:eastAsia="宋体" w:hint="default"/>
                <w:sz w:val="18"/>
                <w:szCs w:val="18"/>
              </w:rPr>
            </w:r>
          </w:p>
        </w:tc>
        <w:tc>
          <w:tcPr>
            <w:tcW w:w="25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5</w:t>
            </w:r>
          </w:p>
        </w:tc>
        <w:tc>
          <w:tcPr>
            <w:tcW w:w="25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1219" w:right="0"/>
              <w:jc w:val="left"/>
              <w:rPr>
                <w:rFonts w:ascii="Times New Roman" w:hAnsi="Times New Roman" w:cs="Times New Roman" w:eastAsia="Times New Roman" w:hint="default"/>
                <w:sz w:val="18"/>
                <w:szCs w:val="18"/>
              </w:rPr>
            </w:pPr>
            <w:r>
              <w:rPr>
                <w:rFonts w:ascii="Times New Roman"/>
                <w:sz w:val="18"/>
              </w:rPr>
              <w:t>5</w:t>
            </w:r>
          </w:p>
        </w:tc>
      </w:tr>
      <w:tr>
        <w:trPr>
          <w:trHeight w:val="427" w:hRule="exact"/>
        </w:trPr>
        <w:tc>
          <w:tcPr>
            <w:tcW w:w="45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position w:val="1"/>
                <w:sz w:val="18"/>
                <w:szCs w:val="18"/>
              </w:rPr>
              <w:t>年以上</w:t>
            </w:r>
            <w:r>
              <w:rPr>
                <w:rFonts w:ascii="宋体" w:hAnsi="宋体" w:cs="宋体" w:eastAsia="宋体" w:hint="default"/>
                <w:sz w:val="18"/>
                <w:szCs w:val="18"/>
              </w:rPr>
            </w:r>
          </w:p>
        </w:tc>
        <w:tc>
          <w:tcPr>
            <w:tcW w:w="25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10</w:t>
            </w:r>
          </w:p>
        </w:tc>
        <w:tc>
          <w:tcPr>
            <w:tcW w:w="25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left="1176" w:right="0"/>
              <w:jc w:val="left"/>
              <w:rPr>
                <w:rFonts w:ascii="Times New Roman" w:hAnsi="Times New Roman" w:cs="Times New Roman" w:eastAsia="Times New Roman" w:hint="default"/>
                <w:sz w:val="18"/>
                <w:szCs w:val="18"/>
              </w:rPr>
            </w:pPr>
            <w:r>
              <w:rPr>
                <w:rFonts w:ascii="Times New Roman"/>
                <w:sz w:val="18"/>
              </w:rPr>
              <w:t>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335" w:lineRule="exact"/>
        <w:ind w:left="575" w:right="0"/>
        <w:jc w:val="left"/>
        <w:rPr>
          <w:b w:val="0"/>
          <w:bCs w:val="0"/>
        </w:rPr>
      </w:pPr>
      <w:r>
        <w:rPr>
          <w:rFonts w:ascii="Arial" w:hAnsi="Arial" w:cs="Arial" w:eastAsia="Arial" w:hint="default"/>
        </w:rPr>
        <w:t>2019</w:t>
      </w:r>
      <w:r>
        <w:rPr>
          <w:rFonts w:ascii="Arial" w:hAnsi="Arial" w:cs="Arial" w:eastAsia="Arial" w:hint="default"/>
          <w:spacing w:val="-32"/>
        </w:rPr>
        <w:t> </w:t>
      </w:r>
      <w:r>
        <w:rPr/>
        <w:t>年</w:t>
      </w:r>
      <w:r>
        <w:rPr>
          <w:spacing w:val="-23"/>
        </w:rPr>
        <w:t> </w:t>
      </w:r>
      <w:r>
        <w:rPr>
          <w:rFonts w:ascii="Arial" w:hAnsi="Arial" w:cs="Arial" w:eastAsia="Arial" w:hint="default"/>
        </w:rPr>
        <w:t>1</w:t>
      </w:r>
      <w:r>
        <w:rPr>
          <w:rFonts w:ascii="Arial" w:hAnsi="Arial" w:cs="Arial" w:eastAsia="Arial" w:hint="default"/>
          <w:spacing w:val="-32"/>
        </w:rPr>
        <w:t> </w:t>
      </w:r>
      <w:r>
        <w:rPr/>
        <w:t>月</w:t>
      </w:r>
      <w:r>
        <w:rPr>
          <w:spacing w:val="-23"/>
        </w:rPr>
        <w:t> </w:t>
      </w:r>
      <w:r>
        <w:rPr>
          <w:rFonts w:ascii="Arial" w:hAnsi="Arial" w:cs="Arial" w:eastAsia="Arial" w:hint="default"/>
        </w:rPr>
        <w:t>1</w:t>
      </w:r>
      <w:r>
        <w:rPr>
          <w:rFonts w:ascii="Arial" w:hAnsi="Arial" w:cs="Arial" w:eastAsia="Arial" w:hint="default"/>
          <w:spacing w:val="-32"/>
        </w:rPr>
        <w:t> </w:t>
      </w:r>
      <w:r>
        <w:rPr/>
        <w:t>日前适用的会计政策</w:t>
      </w:r>
      <w:r>
        <w:rPr>
          <w:b w:val="0"/>
          <w:bCs w:val="0"/>
        </w:rPr>
      </w:r>
    </w:p>
    <w:p>
      <w:pPr>
        <w:pStyle w:val="Heading4"/>
        <w:spacing w:line="240" w:lineRule="auto" w:before="83"/>
        <w:ind w:left="575" w:right="0"/>
        <w:jc w:val="left"/>
        <w:rPr>
          <w:b w:val="0"/>
          <w:bCs w:val="0"/>
        </w:rPr>
      </w:pPr>
      <w:r>
        <w:rPr>
          <w:rFonts w:ascii="Times New Roman" w:hAnsi="Times New Roman" w:cs="Times New Roman" w:eastAsia="Times New Roman" w:hint="default"/>
        </w:rPr>
        <w:t>1</w:t>
      </w:r>
      <w:r>
        <w:rPr/>
        <w:t>、 </w:t>
      </w:r>
      <w:r>
        <w:rPr>
          <w:spacing w:val="13"/>
        </w:rPr>
        <w:t> </w:t>
      </w:r>
      <w:r>
        <w:rPr/>
        <w:t>单项金额重大并单独计提坏账准备的应收款项：</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4417"/>
        <w:gridCol w:w="5238"/>
      </w:tblGrid>
      <w:tr>
        <w:trPr>
          <w:trHeight w:val="900" w:hRule="exact"/>
        </w:trPr>
        <w:tc>
          <w:tcPr>
            <w:tcW w:w="44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38" w:type="dxa"/>
            <w:tcBorders>
              <w:top w:val="single" w:sz="12" w:space="0" w:color="000000"/>
              <w:left w:val="dotted" w:sz="4" w:space="0" w:color="000000"/>
              <w:bottom w:val="dotted" w:sz="4" w:space="0" w:color="000000"/>
              <w:right w:val="nil" w:sz="6" w:space="0" w:color="auto"/>
            </w:tcBorders>
          </w:tcPr>
          <w:p>
            <w:pPr>
              <w:pStyle w:val="TableParagraph"/>
              <w:spacing w:line="400" w:lineRule="exact" w:before="40"/>
              <w:ind w:left="103" w:right="107"/>
              <w:jc w:val="left"/>
              <w:rPr>
                <w:rFonts w:ascii="宋体" w:hAnsi="宋体" w:cs="宋体" w:eastAsia="宋体" w:hint="default"/>
                <w:sz w:val="18"/>
                <w:szCs w:val="18"/>
              </w:rPr>
            </w:pPr>
            <w:r>
              <w:rPr>
                <w:rFonts w:ascii="宋体" w:hAnsi="宋体" w:cs="宋体" w:eastAsia="宋体" w:hint="default"/>
                <w:spacing w:val="16"/>
                <w:sz w:val="18"/>
                <w:szCs w:val="18"/>
              </w:rPr>
              <w:t>应收款项账面余额前五名或占应收账款余额 </w:t>
            </w:r>
            <w:r>
              <w:rPr>
                <w:rFonts w:ascii="Times New Roman" w:hAnsi="Times New Roman" w:cs="Times New Roman" w:eastAsia="Times New Roman" w:hint="default"/>
                <w:sz w:val="18"/>
                <w:szCs w:val="18"/>
              </w:rPr>
              <w:t>10 </w:t>
            </w:r>
            <w:r>
              <w:rPr>
                <w:rFonts w:ascii="宋体" w:hAnsi="宋体" w:cs="宋体" w:eastAsia="宋体" w:hint="default"/>
                <w:sz w:val="18"/>
                <w:szCs w:val="18"/>
              </w:rPr>
              <w:t>％</w:t>
            </w:r>
            <w:r>
              <w:rPr>
                <w:rFonts w:ascii="宋体" w:hAnsi="宋体" w:cs="宋体" w:eastAsia="宋体" w:hint="default"/>
                <w:spacing w:val="-82"/>
                <w:sz w:val="18"/>
                <w:szCs w:val="18"/>
              </w:rPr>
              <w:t> </w:t>
            </w:r>
            <w:r>
              <w:rPr>
                <w:rFonts w:ascii="宋体" w:hAnsi="宋体" w:cs="宋体" w:eastAsia="宋体" w:hint="default"/>
                <w:spacing w:val="12"/>
                <w:sz w:val="18"/>
                <w:szCs w:val="18"/>
              </w:rPr>
              <w:t>以上且在</w:t>
            </w:r>
            <w:r>
              <w:rPr>
                <w:rFonts w:ascii="宋体" w:hAnsi="宋体" w:cs="宋体" w:eastAsia="宋体" w:hint="default"/>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万以上的款项（非证券业务）</w:t>
            </w:r>
          </w:p>
        </w:tc>
      </w:tr>
      <w:tr>
        <w:trPr>
          <w:trHeight w:val="490" w:hRule="exact"/>
        </w:trPr>
        <w:tc>
          <w:tcPr>
            <w:tcW w:w="44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sz w:val="18"/>
                <w:szCs w:val="18"/>
              </w:rPr>
              <w:t>应收款项账面余额在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万以上的款项（证券业务）</w:t>
            </w:r>
          </w:p>
        </w:tc>
      </w:tr>
      <w:tr>
        <w:trPr>
          <w:trHeight w:val="502" w:hRule="exact"/>
        </w:trPr>
        <w:tc>
          <w:tcPr>
            <w:tcW w:w="44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2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15"/>
        <w:rPr>
          <w:rFonts w:ascii="Microsoft JhengHei" w:hAnsi="Microsoft JhengHei" w:cs="Microsoft JhengHei" w:eastAsia="Microsoft JhengHei" w:hint="default"/>
          <w:b/>
          <w:bCs/>
          <w:sz w:val="18"/>
          <w:szCs w:val="18"/>
        </w:rPr>
      </w:pPr>
    </w:p>
    <w:p>
      <w:pPr>
        <w:pStyle w:val="Heading4"/>
        <w:spacing w:line="335" w:lineRule="exact"/>
        <w:ind w:left="575" w:right="0"/>
        <w:jc w:val="left"/>
        <w:rPr>
          <w:b w:val="0"/>
          <w:bCs w:val="0"/>
        </w:rPr>
      </w:pPr>
      <w:r>
        <w:rPr>
          <w:rFonts w:ascii="Times New Roman" w:hAnsi="Times New Roman" w:cs="Times New Roman" w:eastAsia="Times New Roman" w:hint="default"/>
        </w:rPr>
        <w:t>2</w:t>
      </w:r>
      <w:r>
        <w:rPr/>
        <w:t>、 </w:t>
      </w:r>
      <w:r>
        <w:rPr>
          <w:spacing w:val="14"/>
        </w:rPr>
        <w:t> </w:t>
      </w:r>
      <w:r>
        <w:rPr/>
        <w:t>按信用风险特征组合计提坏账准备应收款项：</w:t>
      </w:r>
      <w:r>
        <w:rPr>
          <w:b w:val="0"/>
          <w:bCs w:val="0"/>
        </w:rPr>
      </w:r>
    </w:p>
    <w:p>
      <w:pPr>
        <w:spacing w:line="240" w:lineRule="auto" w:before="7"/>
        <w:rPr>
          <w:rFonts w:ascii="Microsoft JhengHei" w:hAnsi="Microsoft JhengHei" w:cs="Microsoft JhengHei" w:eastAsia="Microsoft JhengHei" w:hint="default"/>
          <w:b/>
          <w:bCs/>
          <w:sz w:val="8"/>
          <w:szCs w:val="8"/>
        </w:rPr>
      </w:pPr>
    </w:p>
    <w:p>
      <w:pPr>
        <w:spacing w:line="28" w:lineRule="exact"/>
        <w:ind w:left="13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83.5pt;height:1.45pt;mso-position-horizontal-relative:char;mso-position-vertical-relative:line" coordorigin="0,0" coordsize="9670,29">
            <v:group style="position:absolute;left:14;top:14;width:9641;height:2" coordorigin="14,14" coordsize="9641,2">
              <v:shape style="position:absolute;left:14;top:14;width:9641;height:2" coordorigin="14,14" coordsize="9641,0" path="m14,14l9655,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before="150"/>
        <w:ind w:left="272" w:right="0" w:firstLine="0"/>
        <w:jc w:val="left"/>
        <w:rPr>
          <w:rFonts w:ascii="宋体" w:hAnsi="宋体" w:cs="宋体" w:eastAsia="宋体" w:hint="default"/>
          <w:sz w:val="18"/>
          <w:szCs w:val="18"/>
        </w:rPr>
      </w:pPr>
      <w:r>
        <w:rPr>
          <w:rFonts w:ascii="宋体" w:hAnsi="宋体" w:cs="宋体" w:eastAsia="宋体" w:hint="default"/>
          <w:sz w:val="18"/>
          <w:szCs w:val="18"/>
        </w:rPr>
        <w:t>确定组合的依据</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54"/>
        <w:gridCol w:w="8286"/>
      </w:tblGrid>
      <w:tr>
        <w:trPr>
          <w:trHeight w:val="1292" w:hRule="exact"/>
        </w:trPr>
        <w:tc>
          <w:tcPr>
            <w:tcW w:w="135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8286" w:type="dxa"/>
            <w:tcBorders>
              <w:top w:val="dotted" w:sz="4" w:space="0" w:color="000000"/>
              <w:left w:val="dotted" w:sz="4" w:space="0" w:color="000000"/>
              <w:bottom w:val="dotted" w:sz="4" w:space="0" w:color="000000"/>
              <w:right w:val="nil" w:sz="6" w:space="0" w:color="auto"/>
            </w:tcBorders>
          </w:tcPr>
          <w:p>
            <w:pPr>
              <w:pStyle w:val="TableParagraph"/>
              <w:spacing w:line="408" w:lineRule="auto" w:before="149"/>
              <w:ind w:left="120" w:right="105" w:hanging="17"/>
              <w:jc w:val="both"/>
              <w:rPr>
                <w:rFonts w:ascii="宋体" w:hAnsi="宋体" w:cs="宋体" w:eastAsia="宋体" w:hint="default"/>
                <w:sz w:val="18"/>
                <w:szCs w:val="18"/>
              </w:rPr>
            </w:pPr>
            <w:r>
              <w:rPr>
                <w:rFonts w:ascii="宋体" w:hAnsi="宋体" w:cs="宋体" w:eastAsia="宋体" w:hint="default"/>
                <w:spacing w:val="-1"/>
                <w:sz w:val="18"/>
                <w:szCs w:val="18"/>
              </w:rPr>
              <w:t>除已单独计提减值准备的应收款项外，公司根据以前年度与之相同或相类似的、具有类似信用风险特征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的应收款项组合的实际损失率为基础，结合现时情况确定本期各项组合计提坏账准备的比例；集团公司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内部往来形成的应收账款和其他应收款不计提减值准备。（非证券业务）</w:t>
            </w:r>
          </w:p>
        </w:tc>
      </w:tr>
      <w:tr>
        <w:trPr>
          <w:trHeight w:val="1289" w:hRule="exact"/>
        </w:trPr>
        <w:tc>
          <w:tcPr>
            <w:tcW w:w="135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8286" w:type="dxa"/>
            <w:tcBorders>
              <w:top w:val="dotted" w:sz="4" w:space="0" w:color="000000"/>
              <w:left w:val="dotted" w:sz="4" w:space="0" w:color="000000"/>
              <w:bottom w:val="dotted" w:sz="4" w:space="0" w:color="000000"/>
              <w:right w:val="nil" w:sz="6" w:space="0" w:color="auto"/>
            </w:tcBorders>
          </w:tcPr>
          <w:p>
            <w:pPr>
              <w:pStyle w:val="TableParagraph"/>
              <w:spacing w:line="408" w:lineRule="auto" w:before="149"/>
              <w:ind w:left="120" w:right="105" w:hanging="17"/>
              <w:jc w:val="both"/>
              <w:rPr>
                <w:rFonts w:ascii="宋体" w:hAnsi="宋体" w:cs="宋体" w:eastAsia="宋体" w:hint="default"/>
                <w:sz w:val="18"/>
                <w:szCs w:val="18"/>
              </w:rPr>
            </w:pPr>
            <w:r>
              <w:rPr>
                <w:rFonts w:ascii="宋体" w:hAnsi="宋体" w:cs="宋体" w:eastAsia="宋体" w:hint="default"/>
                <w:spacing w:val="-1"/>
                <w:sz w:val="18"/>
                <w:szCs w:val="18"/>
              </w:rPr>
              <w:t>除已单独计提减值准备的应收款项外，公司根据以前年度与之相同或相类似的、具有类似信用风险特征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的应收款项组合的实际损失率为基础，结合现时情况确定本期各项组合计提坏账准备的比例；集团公司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内部往来形成的应收账款和其他应收款不计提减值准备。（证券业务）</w:t>
            </w:r>
          </w:p>
        </w:tc>
      </w:tr>
      <w:tr>
        <w:trPr>
          <w:trHeight w:val="890" w:hRule="exact"/>
        </w:trPr>
        <w:tc>
          <w:tcPr>
            <w:tcW w:w="13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8286" w:type="dxa"/>
            <w:tcBorders>
              <w:top w:val="dotted" w:sz="4" w:space="0" w:color="000000"/>
              <w:left w:val="dotted" w:sz="4" w:space="0" w:color="000000"/>
              <w:bottom w:val="dotted" w:sz="4" w:space="0" w:color="000000"/>
              <w:right w:val="nil" w:sz="6" w:space="0" w:color="auto"/>
            </w:tcBorders>
          </w:tcPr>
          <w:p>
            <w:pPr>
              <w:pStyle w:val="TableParagraph"/>
              <w:spacing w:line="400" w:lineRule="exact" w:before="40"/>
              <w:ind w:left="120" w:right="105" w:hanging="17"/>
              <w:jc w:val="left"/>
              <w:rPr>
                <w:rFonts w:ascii="宋体" w:hAnsi="宋体" w:cs="宋体" w:eastAsia="宋体" w:hint="default"/>
                <w:sz w:val="18"/>
                <w:szCs w:val="18"/>
              </w:rPr>
            </w:pPr>
            <w:r>
              <w:rPr>
                <w:rFonts w:ascii="宋体" w:hAnsi="宋体" w:cs="宋体" w:eastAsia="宋体" w:hint="default"/>
                <w:spacing w:val="-1"/>
                <w:sz w:val="18"/>
                <w:szCs w:val="18"/>
              </w:rPr>
              <w:t>特定款项组合包括应收款项中与证券交易结算相关的款项、与场外期权交易相关的款项、垫付出租席位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的保证金、垫付理财产品的保证金、资产管理及银行理财产品形成的款项。</w:t>
            </w:r>
          </w:p>
        </w:tc>
      </w:tr>
    </w:tbl>
    <w:p>
      <w:pPr>
        <w:spacing w:line="240" w:lineRule="auto" w:before="1"/>
        <w:rPr>
          <w:rFonts w:ascii="宋体" w:hAnsi="宋体" w:cs="宋体" w:eastAsia="宋体" w:hint="default"/>
          <w:sz w:val="8"/>
          <w:szCs w:val="8"/>
        </w:rPr>
      </w:pPr>
    </w:p>
    <w:p>
      <w:pPr>
        <w:spacing w:before="44"/>
        <w:ind w:left="27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p>
      <w:pPr>
        <w:spacing w:line="240" w:lineRule="auto" w:before="3"/>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368"/>
        <w:gridCol w:w="8286"/>
      </w:tblGrid>
      <w:tr>
        <w:trPr>
          <w:trHeight w:val="490" w:hRule="exact"/>
        </w:trPr>
        <w:tc>
          <w:tcPr>
            <w:tcW w:w="13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8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90" w:hRule="exact"/>
        </w:trPr>
        <w:tc>
          <w:tcPr>
            <w:tcW w:w="13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8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02" w:hRule="exact"/>
        </w:trPr>
        <w:tc>
          <w:tcPr>
            <w:tcW w:w="13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2"/>
              <w:ind w:left="1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82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根据其风险特征不存在减值风险，不计提坏账准备</w:t>
            </w:r>
          </w:p>
        </w:tc>
      </w:tr>
    </w:tbl>
    <w:p>
      <w:pPr>
        <w:spacing w:line="240" w:lineRule="auto" w:before="3"/>
        <w:rPr>
          <w:rFonts w:ascii="宋体" w:hAnsi="宋体" w:cs="宋体" w:eastAsia="宋体" w:hint="default"/>
          <w:sz w:val="25"/>
          <w:szCs w:val="25"/>
        </w:rPr>
      </w:pPr>
    </w:p>
    <w:p>
      <w:pPr>
        <w:pStyle w:val="BodyText"/>
        <w:spacing w:line="240" w:lineRule="auto" w:before="36"/>
        <w:ind w:left="573" w:right="0"/>
        <w:jc w:val="left"/>
      </w:pPr>
      <w:r>
        <w:rPr/>
        <w:t>组合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中，采用账龄分析法计提坏账准备的情况（非证券业务）：</w:t>
      </w: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3899"/>
        <w:gridCol w:w="2909"/>
        <w:gridCol w:w="2847"/>
      </w:tblGrid>
      <w:tr>
        <w:trPr>
          <w:trHeight w:val="499" w:hRule="exact"/>
        </w:trPr>
        <w:tc>
          <w:tcPr>
            <w:tcW w:w="389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8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92" w:hRule="exact"/>
        </w:trPr>
        <w:tc>
          <w:tcPr>
            <w:tcW w:w="38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09" w:type="dxa"/>
            <w:tcBorders>
              <w:top w:val="dotted" w:sz="4" w:space="0" w:color="000000"/>
              <w:left w:val="dotted" w:sz="4" w:space="0" w:color="000000"/>
              <w:bottom w:val="dotted" w:sz="4" w:space="0" w:color="000000"/>
              <w:right w:val="dotted" w:sz="4" w:space="0" w:color="000000"/>
            </w:tcBorders>
          </w:tcPr>
          <w:p>
            <w:pPr/>
          </w:p>
        </w:tc>
        <w:tc>
          <w:tcPr>
            <w:tcW w:w="284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8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9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28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r>
      <w:tr>
        <w:trPr>
          <w:trHeight w:val="499" w:hRule="exact"/>
        </w:trPr>
        <w:tc>
          <w:tcPr>
            <w:tcW w:w="38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9"/>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9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8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899"/>
        <w:gridCol w:w="2909"/>
        <w:gridCol w:w="2847"/>
      </w:tblGrid>
      <w:tr>
        <w:trPr>
          <w:trHeight w:val="502" w:hRule="exact"/>
        </w:trPr>
        <w:tc>
          <w:tcPr>
            <w:tcW w:w="389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84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2"/>
              <w:ind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90" w:hRule="exact"/>
        </w:trPr>
        <w:tc>
          <w:tcPr>
            <w:tcW w:w="38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28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r>
      <w:tr>
        <w:trPr>
          <w:trHeight w:val="490" w:hRule="exact"/>
        </w:trPr>
        <w:tc>
          <w:tcPr>
            <w:tcW w:w="38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8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r>
      <w:tr>
        <w:trPr>
          <w:trHeight w:val="490" w:hRule="exact"/>
        </w:trPr>
        <w:tc>
          <w:tcPr>
            <w:tcW w:w="38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8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r>
      <w:tr>
        <w:trPr>
          <w:trHeight w:val="502" w:hRule="exact"/>
        </w:trPr>
        <w:tc>
          <w:tcPr>
            <w:tcW w:w="38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8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24"/>
          <w:szCs w:val="24"/>
        </w:rPr>
      </w:pPr>
    </w:p>
    <w:p>
      <w:pPr>
        <w:pStyle w:val="BodyText"/>
        <w:spacing w:line="240" w:lineRule="auto" w:before="36"/>
        <w:ind w:left="573" w:right="0"/>
        <w:jc w:val="left"/>
      </w:pPr>
      <w:r>
        <w:rPr/>
        <w:t>组合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中，采用账龄分析法计提坏账准备的情况（证券业务）：</w:t>
      </w:r>
    </w:p>
    <w:p>
      <w:pPr>
        <w:spacing w:line="240" w:lineRule="auto" w:before="11"/>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3944"/>
        <w:gridCol w:w="2969"/>
        <w:gridCol w:w="2741"/>
      </w:tblGrid>
      <w:tr>
        <w:trPr>
          <w:trHeight w:val="500" w:hRule="exact"/>
        </w:trPr>
        <w:tc>
          <w:tcPr>
            <w:tcW w:w="394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0"/>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0"/>
              <w:ind w:left="2"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0"/>
              <w:ind w:right="5"/>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2" w:hRule="exact"/>
        </w:trPr>
        <w:tc>
          <w:tcPr>
            <w:tcW w:w="39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0.50</w:t>
            </w:r>
          </w:p>
        </w:tc>
        <w:tc>
          <w:tcPr>
            <w:tcW w:w="27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0.50</w:t>
            </w:r>
          </w:p>
        </w:tc>
      </w:tr>
      <w:tr>
        <w:trPr>
          <w:trHeight w:val="490" w:hRule="exact"/>
        </w:trPr>
        <w:tc>
          <w:tcPr>
            <w:tcW w:w="39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w:t>
            </w:r>
          </w:p>
        </w:tc>
        <w:tc>
          <w:tcPr>
            <w:tcW w:w="27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w:t>
            </w:r>
          </w:p>
        </w:tc>
      </w:tr>
      <w:tr>
        <w:trPr>
          <w:trHeight w:val="490" w:hRule="exact"/>
        </w:trPr>
        <w:tc>
          <w:tcPr>
            <w:tcW w:w="39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5.00</w:t>
            </w:r>
          </w:p>
        </w:tc>
        <w:tc>
          <w:tcPr>
            <w:tcW w:w="27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5.00</w:t>
            </w:r>
          </w:p>
        </w:tc>
      </w:tr>
      <w:tr>
        <w:trPr>
          <w:trHeight w:val="502" w:hRule="exact"/>
        </w:trPr>
        <w:tc>
          <w:tcPr>
            <w:tcW w:w="39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w:t>
            </w:r>
          </w:p>
        </w:tc>
        <w:tc>
          <w:tcPr>
            <w:tcW w:w="27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w:t>
            </w:r>
          </w:p>
        </w:tc>
      </w:tr>
    </w:tbl>
    <w:p>
      <w:pPr>
        <w:spacing w:line="240" w:lineRule="auto" w:before="11"/>
        <w:rPr>
          <w:rFonts w:ascii="宋体" w:hAnsi="宋体" w:cs="宋体" w:eastAsia="宋体" w:hint="default"/>
          <w:sz w:val="29"/>
          <w:szCs w:val="29"/>
        </w:rPr>
      </w:pPr>
    </w:p>
    <w:p>
      <w:pPr>
        <w:pStyle w:val="Heading4"/>
        <w:spacing w:line="335" w:lineRule="exact"/>
        <w:ind w:left="575" w:right="0"/>
        <w:jc w:val="left"/>
        <w:rPr>
          <w:b w:val="0"/>
          <w:bCs w:val="0"/>
        </w:rPr>
      </w:pPr>
      <w:r>
        <w:rPr>
          <w:rFonts w:ascii="Times New Roman" w:hAnsi="Times New Roman" w:cs="Times New Roman" w:eastAsia="Times New Roman" w:hint="default"/>
        </w:rPr>
        <w:t>3</w:t>
      </w:r>
      <w:r>
        <w:rPr/>
        <w:t>、 </w:t>
      </w:r>
      <w:r>
        <w:rPr>
          <w:spacing w:val="14"/>
        </w:rPr>
        <w:t> </w:t>
      </w:r>
      <w:r>
        <w:rPr/>
        <w:t>单项金额不重大但单独计提坏账准备的应收款项：</w:t>
      </w:r>
      <w:r>
        <w:rPr>
          <w:b w:val="0"/>
          <w:bCs w:val="0"/>
        </w:rPr>
      </w:r>
    </w:p>
    <w:p>
      <w:pPr>
        <w:pStyle w:val="BodyText"/>
        <w:spacing w:line="355" w:lineRule="auto" w:before="153"/>
        <w:ind w:right="0" w:firstLine="420"/>
        <w:jc w:val="left"/>
      </w:pPr>
      <w:r>
        <w:rPr>
          <w:spacing w:val="-2"/>
        </w:rPr>
        <w:t>对单项金额虽不重大，但已有客观证据表明其发生了减值的应收款项，按账龄分析法计提的坏账准备</w:t>
      </w:r>
      <w:r>
        <w:rPr>
          <w:w w:val="100"/>
        </w:rPr>
        <w:t> </w:t>
      </w:r>
      <w:r>
        <w:rPr/>
        <w:t>不能反映实际情况，本公司单独进行减值测试，结合现时情况分析法确定坏账准备计提的比例。</w:t>
      </w:r>
    </w:p>
    <w:p>
      <w:pPr>
        <w:pStyle w:val="BodyText"/>
        <w:spacing w:line="355" w:lineRule="auto" w:before="75"/>
        <w:ind w:right="0" w:firstLine="420"/>
        <w:jc w:val="left"/>
      </w:pPr>
      <w:r>
        <w:rPr/>
        <w:t>本公司自</w:t>
      </w:r>
      <w:r>
        <w:rPr>
          <w:spacing w:val="-41"/>
        </w:rPr>
        <w:t> </w:t>
      </w:r>
      <w:r>
        <w:rPr>
          <w:rFonts w:ascii="宋体" w:hAnsi="宋体" w:cs="宋体" w:eastAsia="宋体" w:hint="default"/>
        </w:rPr>
        <w:t>2019</w:t>
      </w:r>
      <w:r>
        <w:rPr>
          <w:rFonts w:ascii="宋体" w:hAnsi="宋体" w:cs="宋体" w:eastAsia="宋体" w:hint="default"/>
          <w:spacing w:val="-41"/>
        </w:rPr>
        <w:t> </w:t>
      </w:r>
      <w:r>
        <w:rPr/>
        <w:t>年</w:t>
      </w:r>
      <w:r>
        <w:rPr>
          <w:spacing w:val="-38"/>
        </w:rPr>
        <w:t> </w:t>
      </w:r>
      <w:r>
        <w:rPr>
          <w:rFonts w:ascii="宋体" w:hAnsi="宋体" w:cs="宋体" w:eastAsia="宋体" w:hint="default"/>
        </w:rPr>
        <w:t>1</w:t>
      </w:r>
      <w:r>
        <w:rPr>
          <w:rFonts w:ascii="宋体" w:hAnsi="宋体" w:cs="宋体" w:eastAsia="宋体" w:hint="default"/>
          <w:spacing w:val="-41"/>
        </w:rPr>
        <w:t> </w:t>
      </w:r>
      <w:r>
        <w:rPr/>
        <w:t>月</w:t>
      </w:r>
      <w:r>
        <w:rPr>
          <w:spacing w:val="-41"/>
        </w:rPr>
        <w:t> </w:t>
      </w:r>
      <w:r>
        <w:rPr>
          <w:rFonts w:ascii="宋体" w:hAnsi="宋体" w:cs="宋体" w:eastAsia="宋体" w:hint="default"/>
        </w:rPr>
        <w:t>1</w:t>
      </w:r>
      <w:r>
        <w:rPr>
          <w:rFonts w:ascii="宋体" w:hAnsi="宋体" w:cs="宋体" w:eastAsia="宋体" w:hint="default"/>
          <w:spacing w:val="-40"/>
        </w:rPr>
        <w:t> </w:t>
      </w:r>
      <w:r>
        <w:rPr/>
        <w:t>日对单项计提坏账准备的应收款项按照预期信用损失模型计提减值准备。详</w:t>
      </w:r>
      <w:r>
        <w:rPr>
          <w:w w:val="100"/>
        </w:rPr>
        <w:t> </w:t>
      </w:r>
      <w:r>
        <w:rPr>
          <w:spacing w:val="-10"/>
          <w:w w:val="100"/>
        </w:rPr>
        <w:t>见本附注四、“（十）金融工具”之“</w:t>
      </w:r>
      <w:r>
        <w:rPr>
          <w:rFonts w:ascii="宋体" w:hAnsi="宋体" w:cs="宋体" w:eastAsia="宋体" w:hint="default"/>
          <w:spacing w:val="-10"/>
          <w:w w:val="100"/>
        </w:rPr>
        <w:t>6</w:t>
      </w:r>
      <w:r>
        <w:rPr>
          <w:spacing w:val="-10"/>
          <w:w w:val="100"/>
        </w:rPr>
        <w:t>、金融资产减值的测试方法及会计处理方法”。</w:t>
      </w:r>
    </w:p>
    <w:p>
      <w:pPr>
        <w:pStyle w:val="Heading4"/>
        <w:spacing w:line="240" w:lineRule="auto" w:before="6"/>
        <w:ind w:left="573" w:right="0"/>
        <w:jc w:val="left"/>
        <w:rPr>
          <w:b w:val="0"/>
          <w:bCs w:val="0"/>
        </w:rPr>
      </w:pPr>
      <w:r>
        <w:rPr/>
        <w:t>（十二）存货</w:t>
      </w:r>
      <w:r>
        <w:rPr>
          <w:b w:val="0"/>
          <w:bCs w:val="0"/>
        </w:rPr>
      </w:r>
    </w:p>
    <w:p>
      <w:pPr>
        <w:pStyle w:val="BodyText"/>
        <w:spacing w:line="338" w:lineRule="auto" w:before="83"/>
        <w:ind w:left="573" w:right="1416" w:firstLine="2"/>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rPr>
        <w:t>存货的分类</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spacing w:val="-47"/>
        </w:rPr>
      </w:r>
      <w:r>
        <w:rPr>
          <w:spacing w:val="-2"/>
        </w:rPr>
        <w:t>存货分类为：原材料、周转材料、库存商品、在产品、发出商品、委托加工物资等。</w:t>
      </w:r>
      <w:r>
        <w:rPr/>
      </w:r>
    </w:p>
    <w:p>
      <w:pPr>
        <w:spacing w:line="240" w:lineRule="auto" w:before="0"/>
        <w:rPr>
          <w:rFonts w:ascii="宋体" w:hAnsi="宋体" w:cs="宋体" w:eastAsia="宋体" w:hint="default"/>
          <w:sz w:val="20"/>
          <w:szCs w:val="20"/>
        </w:rPr>
      </w:pPr>
    </w:p>
    <w:p>
      <w:pPr>
        <w:spacing w:line="338" w:lineRule="auto" w:before="160"/>
        <w:ind w:left="573" w:right="640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 存货的计价方法</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宋体" w:hAnsi="宋体" w:cs="宋体" w:eastAsia="宋体" w:hint="default"/>
          <w:spacing w:val="-2"/>
          <w:sz w:val="21"/>
          <w:szCs w:val="21"/>
        </w:rPr>
        <w:t>存货发出时按加权平均法计价。</w:t>
      </w:r>
    </w:p>
    <w:p>
      <w:pPr>
        <w:spacing w:line="240" w:lineRule="auto" w:before="0"/>
        <w:rPr>
          <w:rFonts w:ascii="宋体" w:hAnsi="宋体" w:cs="宋体" w:eastAsia="宋体" w:hint="default"/>
          <w:sz w:val="20"/>
          <w:szCs w:val="20"/>
        </w:rPr>
      </w:pPr>
    </w:p>
    <w:p>
      <w:pPr>
        <w:spacing w:line="340" w:lineRule="auto" w:before="16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 存货可变现净值的确定依据及存货跌价准备的计提方法</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产成品、库存商品和用于出售的材料等直接用于出售的商品存货，在正常生产经营过程中，以该存货</w:t>
      </w:r>
    </w:p>
    <w:p>
      <w:pPr>
        <w:pStyle w:val="BodyText"/>
        <w:spacing w:line="357" w:lineRule="auto" w:before="47"/>
        <w:ind w:right="1126"/>
        <w:jc w:val="both"/>
      </w:pPr>
      <w:r>
        <w:rPr>
          <w:spacing w:val="-2"/>
        </w:rPr>
        <w:t>的估计售价减去估计的销售费用和相关税费后的金额，确定其可变现净值；需要经过加工的材料存货，在</w:t>
      </w:r>
      <w:r>
        <w:rPr>
          <w:spacing w:val="-42"/>
        </w:rPr>
        <w:t> </w:t>
      </w:r>
      <w:r>
        <w:rPr>
          <w:spacing w:val="-42"/>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p>
    <w:p>
      <w:pPr>
        <w:spacing w:after="0" w:line="357" w:lineRule="auto"/>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393" w:lineRule="auto" w:before="36"/>
        <w:ind w:left="573" w:right="0" w:hanging="421"/>
        <w:jc w:val="left"/>
      </w:pPr>
      <w:r>
        <w:rPr/>
        <w:t>销售价格为基础计算。</w:t>
      </w:r>
      <w:r>
        <w:rPr>
          <w:w w:val="100"/>
        </w:rPr>
        <w:t> </w:t>
      </w:r>
      <w:r>
        <w:rPr>
          <w:spacing w:val="-2"/>
        </w:rPr>
        <w:t>期末按照单个存货项目计提存货跌价准备；但对于数量繁多、单价较低的存货，按照存货类别计提存</w:t>
      </w:r>
    </w:p>
    <w:p>
      <w:pPr>
        <w:pStyle w:val="BodyText"/>
        <w:spacing w:line="355" w:lineRule="auto"/>
        <w:ind w:right="0"/>
        <w:jc w:val="left"/>
      </w:pPr>
      <w:r>
        <w:rPr>
          <w:spacing w:val="-2"/>
        </w:rPr>
        <w:t>货跌价准备；与在同一地区生产和销售的产品系列相关、具有相同或类似最终用途或目的，且难以与其他</w:t>
      </w:r>
      <w:r>
        <w:rPr>
          <w:spacing w:val="-47"/>
        </w:rPr>
        <w:t> </w:t>
      </w:r>
      <w:r>
        <w:rPr>
          <w:spacing w:val="-47"/>
        </w:rPr>
      </w:r>
      <w:r>
        <w:rPr/>
        <w:t>项目分开计量的存货，则合并计提存货跌价准备。</w:t>
      </w:r>
    </w:p>
    <w:p>
      <w:pPr>
        <w:pStyle w:val="BodyText"/>
        <w:spacing w:line="355" w:lineRule="auto" w:before="75"/>
        <w:ind w:right="1150" w:firstLine="420"/>
        <w:jc w:val="left"/>
      </w:pPr>
      <w:r>
        <w:rPr>
          <w:spacing w:val="-2"/>
        </w:rPr>
        <w:t>除有明确证据表明资产负债表日市场价格异常外，存货项目的可变现净值以资产负债表日市场价格为</w:t>
      </w:r>
      <w:r>
        <w:rPr>
          <w:w w:val="100"/>
        </w:rPr>
        <w:t> </w:t>
      </w:r>
      <w:r>
        <w:rPr/>
        <w:t>基础确定。</w:t>
      </w:r>
    </w:p>
    <w:p>
      <w:pPr>
        <w:pStyle w:val="BodyText"/>
        <w:spacing w:line="240" w:lineRule="auto" w:before="73"/>
        <w:ind w:left="573" w:right="0"/>
        <w:jc w:val="left"/>
      </w:pPr>
      <w:r>
        <w:rPr/>
        <w:t>本期期末存货项目的可变现净值以资产负债表日市场价格为基础确定。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338" w:lineRule="auto" w:before="0"/>
        <w:ind w:left="573" w:right="770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4"/>
          <w:sz w:val="21"/>
          <w:szCs w:val="21"/>
        </w:rPr>
        <w:t> </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采用永续盘存制</w:t>
      </w:r>
    </w:p>
    <w:p>
      <w:pPr>
        <w:spacing w:line="240" w:lineRule="auto" w:before="0"/>
        <w:rPr>
          <w:rFonts w:ascii="宋体" w:hAnsi="宋体" w:cs="宋体" w:eastAsia="宋体" w:hint="default"/>
          <w:sz w:val="20"/>
          <w:szCs w:val="20"/>
        </w:rPr>
      </w:pPr>
    </w:p>
    <w:p>
      <w:pPr>
        <w:pStyle w:val="Heading4"/>
        <w:spacing w:line="240" w:lineRule="auto" w:before="160"/>
        <w:ind w:left="575" w:right="0"/>
        <w:jc w:val="left"/>
        <w:rPr>
          <w:b w:val="0"/>
          <w:bCs w:val="0"/>
        </w:rPr>
      </w:pPr>
      <w:r>
        <w:rPr>
          <w:rFonts w:ascii="Times New Roman" w:hAnsi="Times New Roman" w:cs="Times New Roman" w:eastAsia="Times New Roman" w:hint="default"/>
        </w:rPr>
        <w:t>5</w:t>
      </w:r>
      <w:r>
        <w:rPr/>
        <w:t>． </w:t>
      </w:r>
      <w:r>
        <w:rPr>
          <w:spacing w:val="7"/>
        </w:rPr>
        <w:t> </w:t>
      </w:r>
      <w:r>
        <w:rPr/>
        <w:t>低值易耗品和包装物的摊销方法</w:t>
      </w:r>
      <w:r>
        <w:rPr>
          <w:b w:val="0"/>
          <w:bCs w:val="0"/>
        </w:rPr>
      </w:r>
    </w:p>
    <w:p>
      <w:pPr>
        <w:pStyle w:val="BodyText"/>
        <w:spacing w:line="240" w:lineRule="auto" w:before="150"/>
        <w:ind w:left="573"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58"/>
        <w:ind w:left="573"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5"/>
          <w:szCs w:val="15"/>
        </w:rPr>
      </w:pPr>
    </w:p>
    <w:p>
      <w:pPr>
        <w:spacing w:line="338" w:lineRule="auto" w:before="0"/>
        <w:ind w:left="573" w:right="323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（十三）持有待售</w:t>
      </w:r>
      <w:r>
        <w:rPr>
          <w:rFonts w:ascii="Microsoft JhengHei" w:hAnsi="Microsoft JhengHei" w:cs="Microsoft JhengHei" w:eastAsia="Microsoft JhengHei" w:hint="default"/>
          <w:b/>
          <w:bCs/>
          <w:spacing w:val="-43"/>
          <w:sz w:val="21"/>
          <w:szCs w:val="21"/>
        </w:rPr>
        <w:t> </w:t>
      </w:r>
      <w:r>
        <w:rPr>
          <w:rFonts w:ascii="宋体" w:hAnsi="宋体" w:cs="宋体" w:eastAsia="宋体" w:hint="default"/>
          <w:spacing w:val="-2"/>
          <w:sz w:val="21"/>
          <w:szCs w:val="21"/>
        </w:rPr>
        <w:t>本公司将同时满足下列条件的非流动资产或处置组确认为持有待售组成部分：</w:t>
      </w:r>
    </w:p>
    <w:p>
      <w:pPr>
        <w:pStyle w:val="BodyText"/>
        <w:spacing w:line="240" w:lineRule="auto" w:before="85"/>
        <w:ind w:left="573"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36" w:lineRule="auto" w:before="160"/>
        <w:ind w:right="0" w:firstLine="420"/>
        <w:jc w:val="left"/>
      </w:pPr>
      <w:r>
        <w:rPr>
          <w:spacing w:val="-5"/>
        </w:rPr>
        <w:t>（</w:t>
      </w:r>
      <w:r>
        <w:rPr>
          <w:rFonts w:ascii="Times New Roman" w:hAnsi="Times New Roman" w:cs="Times New Roman" w:eastAsia="Times New Roman" w:hint="default"/>
          <w:spacing w:val="-5"/>
        </w:rPr>
        <w:t>2</w:t>
      </w:r>
      <w:r>
        <w:rPr>
          <w:spacing w:val="-5"/>
        </w:rPr>
        <w:t>）出售极可能发生，即本公司已经就一项出售计划作出决议且获得确定的购买承诺，预计出售将在</w:t>
      </w:r>
      <w:r>
        <w:rPr>
          <w:w w:val="100"/>
        </w:rPr>
        <w:t> </w:t>
      </w:r>
      <w:r>
        <w:rPr/>
        <w:t>一年内完成。有关规定要求本公司相关权力机构或者监管部门批准后方可出售的，已经获得批准。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pStyle w:val="Heading4"/>
        <w:spacing w:line="240" w:lineRule="auto" w:before="162"/>
        <w:ind w:left="573" w:right="0"/>
        <w:jc w:val="left"/>
        <w:rPr>
          <w:b w:val="0"/>
          <w:bCs w:val="0"/>
        </w:rPr>
      </w:pPr>
      <w:r>
        <w:rPr/>
        <w:t>（十四）长期股权投资</w:t>
      </w:r>
      <w:r>
        <w:rPr>
          <w:b w:val="0"/>
          <w:bCs w:val="0"/>
        </w:rPr>
      </w:r>
    </w:p>
    <w:p>
      <w:pPr>
        <w:spacing w:line="240" w:lineRule="auto" w:before="10"/>
        <w:rPr>
          <w:rFonts w:ascii="Microsoft JhengHei" w:hAnsi="Microsoft JhengHei" w:cs="Microsoft JhengHei" w:eastAsia="Microsoft JhengHei" w:hint="default"/>
          <w:b/>
          <w:bCs/>
          <w:sz w:val="10"/>
          <w:szCs w:val="10"/>
        </w:rPr>
      </w:pPr>
    </w:p>
    <w:p>
      <w:pPr>
        <w:spacing w:line="314"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 共同控制、重大影响的判断标准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共同控制，是指按照相关约定对某项安排所共有的控制，并且该安排的相关活动必须经过分享控</w:t>
      </w:r>
    </w:p>
    <w:p>
      <w:pPr>
        <w:pStyle w:val="BodyText"/>
        <w:spacing w:line="355" w:lineRule="auto" w:before="68"/>
        <w:ind w:right="0"/>
        <w:jc w:val="left"/>
      </w:pPr>
      <w:r>
        <w:rPr/>
        <w:t>制权的参与方一致同意后才能决策。本公司与其他合营方一同对被投资单位实施共同控制且对被投资</w:t>
      </w:r>
      <w:r>
        <w:rPr>
          <w:spacing w:val="-29"/>
        </w:rPr>
        <w:t> </w:t>
      </w:r>
      <w:r>
        <w:rPr>
          <w:spacing w:val="-29"/>
        </w:rPr>
      </w:r>
      <w:r>
        <w:rPr/>
        <w:t>单位净资产享有权利的，被投资单位为本公司的合营企业。</w:t>
      </w:r>
    </w:p>
    <w:p>
      <w:pPr>
        <w:pStyle w:val="BodyText"/>
        <w:spacing w:line="355" w:lineRule="auto" w:before="75"/>
        <w:ind w:right="1442" w:firstLine="420"/>
        <w:jc w:val="both"/>
      </w:pPr>
      <w:r>
        <w:rPr>
          <w:spacing w:val="-5"/>
        </w:rPr>
        <w:t>重大影响，是指对一个企业的财务和经营决策有参与决策的权力，但并不能够控制或者与其他方一</w:t>
      </w:r>
      <w:r>
        <w:rPr>
          <w:w w:val="100"/>
        </w:rPr>
        <w:t> </w:t>
      </w:r>
      <w:r>
        <w:rPr/>
        <w:t>起共同控制这些政策的制定。本公司能够对被投资单位施加重大影响的，被投资单位为本公司联营企</w:t>
      </w:r>
      <w:r>
        <w:rPr>
          <w:spacing w:val="-23"/>
        </w:rPr>
        <w:t> </w:t>
      </w:r>
      <w:r>
        <w:rPr>
          <w:spacing w:val="-23"/>
        </w:rPr>
      </w:r>
      <w:r>
        <w:rPr/>
        <w:t>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ind w:left="573" w:right="0"/>
        <w:jc w:val="left"/>
        <w:rPr>
          <w:b w:val="0"/>
          <w:bCs w:val="0"/>
        </w:rPr>
      </w:pPr>
      <w:r>
        <w:rPr>
          <w:rFonts w:ascii="Times New Roman" w:hAnsi="Times New Roman" w:cs="Times New Roman" w:eastAsia="Times New Roman" w:hint="default"/>
        </w:rPr>
        <w:t>2</w:t>
      </w:r>
      <w:r>
        <w:rPr/>
        <w:t>． </w:t>
      </w:r>
      <w:r>
        <w:rPr>
          <w:spacing w:val="10"/>
        </w:rPr>
        <w:t> </w:t>
      </w:r>
      <w:r>
        <w:rPr/>
        <w:t>初始投资成本的确定</w:t>
      </w:r>
      <w:r>
        <w:rPr>
          <w:b w:val="0"/>
          <w:bCs w:val="0"/>
        </w:rPr>
      </w:r>
    </w:p>
    <w:p>
      <w:pPr>
        <w:spacing w:line="240" w:lineRule="auto" w:before="1"/>
        <w:rPr>
          <w:rFonts w:ascii="Microsoft JhengHei" w:hAnsi="Microsoft JhengHei" w:cs="Microsoft JhengHei" w:eastAsia="Microsoft JhengHei" w:hint="default"/>
          <w:b/>
          <w:bCs/>
          <w:sz w:val="12"/>
          <w:szCs w:val="12"/>
        </w:rPr>
      </w:pPr>
    </w:p>
    <w:p>
      <w:pPr>
        <w:pStyle w:val="BodyText"/>
        <w:spacing w:line="240" w:lineRule="auto"/>
        <w:ind w:left="573" w:right="0"/>
        <w:jc w:val="left"/>
      </w:pPr>
      <w:r>
        <w:rPr/>
        <w:t>（</w:t>
      </w:r>
      <w:r>
        <w:rPr>
          <w:rFonts w:ascii="Times New Roman" w:hAnsi="Times New Roman" w:cs="Times New Roman" w:eastAsia="Times New Roman" w:hint="default"/>
        </w:rPr>
        <w:t>1</w:t>
      </w:r>
      <w:r>
        <w:rPr/>
        <w:t>）企业合并形成的长期股权投资</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26" w:firstLine="420"/>
        <w:jc w:val="both"/>
      </w:pPr>
      <w:r>
        <w:rPr>
          <w:spacing w:val="-2"/>
        </w:rPr>
        <w:t>同一控制下的企业合并：公司以支付现金、转让非现金资产或承担债务方式以及以发行权益性证券作</w:t>
      </w:r>
      <w:r>
        <w:rPr>
          <w:w w:val="100"/>
        </w:rPr>
        <w:t> </w:t>
      </w: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BodyText"/>
        <w:spacing w:line="408" w:lineRule="auto" w:before="87"/>
        <w:ind w:right="112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434" w:lineRule="auto" w:before="84"/>
        <w:ind w:left="573" w:right="0"/>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BodyText"/>
        <w:spacing w:line="408" w:lineRule="auto" w:before="23"/>
        <w:ind w:right="1126"/>
        <w:jc w:val="both"/>
      </w:pPr>
      <w:r>
        <w:rPr>
          <w:spacing w:val="-2"/>
        </w:rPr>
        <w:t>性资产交换换入的长期股权投资以换出资产的公允价值和应支付的相关税费确定其初始投资成本，除非有</w:t>
      </w:r>
      <w:r>
        <w:rPr>
          <w:spacing w:val="-43"/>
        </w:rPr>
        <w:t> </w:t>
      </w:r>
      <w:r>
        <w:rPr>
          <w:spacing w:val="-43"/>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BodyText"/>
        <w:spacing w:line="240" w:lineRule="auto" w:before="87"/>
        <w:ind w:left="573"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0"/>
        <w:ind w:left="573" w:right="0"/>
        <w:jc w:val="left"/>
        <w:rPr>
          <w:b w:val="0"/>
          <w:bCs w:val="0"/>
        </w:rPr>
      </w:pPr>
      <w:r>
        <w:rPr>
          <w:rFonts w:ascii="Times New Roman" w:hAnsi="Times New Roman" w:cs="Times New Roman" w:eastAsia="Times New Roman" w:hint="default"/>
        </w:rPr>
        <w:t>3</w:t>
      </w:r>
      <w:r>
        <w:rPr/>
        <w:t>． </w:t>
      </w:r>
      <w:r>
        <w:rPr>
          <w:spacing w:val="10"/>
        </w:rPr>
        <w:t> </w:t>
      </w:r>
      <w:r>
        <w:rPr/>
        <w:t>后续计量及损益确认方法</w:t>
      </w:r>
      <w:r>
        <w:rPr>
          <w:b w:val="0"/>
          <w:bCs w:val="0"/>
        </w:rPr>
      </w:r>
    </w:p>
    <w:p>
      <w:pPr>
        <w:spacing w:line="240" w:lineRule="auto" w:before="2"/>
        <w:rPr>
          <w:rFonts w:ascii="Microsoft JhengHei" w:hAnsi="Microsoft JhengHei" w:cs="Microsoft JhengHei" w:eastAsia="Microsoft JhengHei" w:hint="default"/>
          <w:b/>
          <w:bCs/>
          <w:sz w:val="12"/>
          <w:szCs w:val="12"/>
        </w:rPr>
      </w:pPr>
    </w:p>
    <w:p>
      <w:pPr>
        <w:pStyle w:val="BodyText"/>
        <w:spacing w:line="338" w:lineRule="auto"/>
        <w:ind w:left="573" w:right="0"/>
        <w:jc w:val="left"/>
      </w:pPr>
      <w:r>
        <w:rPr/>
        <w:t>（</w:t>
      </w:r>
      <w:r>
        <w:rPr>
          <w:rFonts w:ascii="Times New Roman" w:hAnsi="Times New Roman" w:cs="Times New Roman" w:eastAsia="Times New Roman" w:hint="default"/>
        </w:rPr>
        <w:t>1</w:t>
      </w:r>
      <w:r>
        <w:rPr/>
        <w:t>）成本法核算的长期股权投资</w:t>
      </w:r>
      <w:r>
        <w:rPr>
          <w:w w:val="100"/>
        </w:rPr>
        <w:t> </w:t>
      </w:r>
      <w:r>
        <w:rPr/>
        <w:t>公司对子公司的长期股权投资，采用成本法核算。除取得投资时实际支付的价款或对价中包含的</w:t>
      </w:r>
    </w:p>
    <w:p>
      <w:pPr>
        <w:pStyle w:val="BodyText"/>
        <w:spacing w:line="355" w:lineRule="auto" w:before="47"/>
        <w:ind w:right="1150"/>
        <w:jc w:val="left"/>
      </w:pPr>
      <w:r>
        <w:rPr/>
        <w:t>已宣告但尚未发放的现金股利或利润外，公司按照享有被投资单位宣告发放的现金股利或利润确认当</w:t>
      </w:r>
      <w:r>
        <w:rPr>
          <w:spacing w:val="-35"/>
        </w:rPr>
        <w:t> </w:t>
      </w:r>
      <w:r>
        <w:rPr>
          <w:spacing w:val="-35"/>
        </w:rPr>
      </w:r>
      <w:r>
        <w:rPr/>
        <w:t>期投资收益。</w:t>
      </w:r>
    </w:p>
    <w:p>
      <w:pPr>
        <w:pStyle w:val="BodyText"/>
        <w:spacing w:line="338" w:lineRule="auto" w:before="174"/>
        <w:ind w:left="573" w:right="0"/>
        <w:jc w:val="left"/>
      </w:pPr>
      <w:r>
        <w:rPr/>
        <w:t>（</w:t>
      </w:r>
      <w:r>
        <w:rPr>
          <w:rFonts w:ascii="Times New Roman" w:hAnsi="Times New Roman" w:cs="Times New Roman" w:eastAsia="Times New Roman" w:hint="default"/>
        </w:rPr>
        <w:t>2</w:t>
      </w:r>
      <w:r>
        <w:rPr/>
        <w:t>）权益法核算的长期股权投资</w:t>
      </w:r>
      <w:r>
        <w:rPr>
          <w:w w:val="100"/>
        </w:rPr>
        <w:t> </w:t>
      </w:r>
      <w:r>
        <w:rPr/>
        <w:t>对联营企业和合营企业的长期股权投资，采用权益法核算。初始投资成本大于投资时应享有被投</w:t>
      </w:r>
    </w:p>
    <w:p>
      <w:pPr>
        <w:pStyle w:val="BodyText"/>
        <w:spacing w:line="355" w:lineRule="auto" w:before="47"/>
        <w:ind w:right="0"/>
        <w:jc w:val="left"/>
      </w:pPr>
      <w:r>
        <w:rPr/>
        <w:t>资单位可辨认净资产公允价值份额的差额，不调整长期股权投资的初始投资成本；初始投资成本小于</w:t>
      </w:r>
      <w:r>
        <w:rPr>
          <w:spacing w:val="-43"/>
        </w:rPr>
        <w:t> </w:t>
      </w:r>
      <w:r>
        <w:rPr>
          <w:spacing w:val="-43"/>
        </w:rPr>
      </w:r>
      <w:r>
        <w:rPr/>
        <w:t>投资时应享有被投资单位可辨认净资产公允价值份额的差额，计入当期损益。</w:t>
      </w:r>
    </w:p>
    <w:p>
      <w:pPr>
        <w:pStyle w:val="BodyText"/>
        <w:spacing w:line="355" w:lineRule="auto" w:before="76"/>
        <w:ind w:right="0" w:firstLine="420"/>
        <w:jc w:val="left"/>
      </w:pPr>
      <w:r>
        <w:rPr/>
        <w:t>公司按照应享有或应分担的被投资单位实现的净损益和其他综合收益的份额，分别确认投资收益</w:t>
      </w:r>
      <w:r>
        <w:rPr>
          <w:w w:val="100"/>
        </w:rPr>
        <w:t> </w:t>
      </w:r>
      <w:r>
        <w:rPr>
          <w:spacing w:val="-4"/>
        </w:rPr>
        <w:t>和其他综合收益，同时调整长期股权投资的账面价值；按照被投资单位宣告分派的利润或现金股利计算</w:t>
      </w:r>
    </w:p>
    <w:p>
      <w:pPr>
        <w:spacing w:after="0" w:line="355" w:lineRule="auto"/>
        <w:jc w:val="left"/>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0"/>
        <w:jc w:val="left"/>
      </w:pPr>
      <w:r>
        <w:rPr>
          <w:spacing w:val="-5"/>
        </w:rPr>
        <w:t>应享有的部分，相应减少长期股权投资的账面价值；对于被投资单位除净损益、其他综合收益和利润分</w:t>
      </w:r>
      <w:r>
        <w:rPr>
          <w:spacing w:val="-11"/>
        </w:rPr>
        <w:t> </w:t>
      </w:r>
      <w:r>
        <w:rPr>
          <w:spacing w:val="-11"/>
        </w:rPr>
      </w:r>
      <w:r>
        <w:rPr/>
        <w:t>配以外所有者权益的其他变动，调整长期股权投资的账面价值并计入所有者权益。</w:t>
      </w:r>
    </w:p>
    <w:p>
      <w:pPr>
        <w:pStyle w:val="BodyText"/>
        <w:spacing w:line="355" w:lineRule="auto" w:before="75"/>
        <w:ind w:right="1313" w:firstLine="420"/>
        <w:jc w:val="both"/>
      </w:pPr>
      <w:r>
        <w:rPr>
          <w:spacing w:val="-2"/>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w:t>
      </w:r>
      <w:r>
        <w:rPr>
          <w:spacing w:val="-21"/>
        </w:rPr>
        <w:t> </w:t>
      </w:r>
      <w:r>
        <w:rPr>
          <w:spacing w:val="-21"/>
        </w:rPr>
      </w:r>
      <w:r>
        <w:rPr>
          <w:spacing w:val="-2"/>
        </w:rPr>
        <w:t>投资单位编制合并财务报表的，以合并财务报表中的净利润、其他综合收益和其他所有者权益变动中归</w:t>
      </w:r>
      <w:r>
        <w:rPr>
          <w:spacing w:val="-21"/>
        </w:rPr>
        <w:t> </w:t>
      </w:r>
      <w:r>
        <w:rPr>
          <w:spacing w:val="-21"/>
        </w:rPr>
      </w:r>
      <w:r>
        <w:rPr/>
        <w:t>属于被投资单位的金额为基础进行核算。</w:t>
      </w:r>
    </w:p>
    <w:p>
      <w:pPr>
        <w:pStyle w:val="BodyText"/>
        <w:spacing w:line="355" w:lineRule="auto" w:before="75"/>
        <w:ind w:right="1313" w:firstLine="420"/>
        <w:jc w:val="both"/>
      </w:pPr>
      <w:r>
        <w:rPr>
          <w:spacing w:val="-2"/>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w:t>
      </w:r>
      <w:r>
        <w:rPr>
          <w:spacing w:val="-20"/>
        </w:rPr>
        <w:t> </w:t>
      </w:r>
      <w:r>
        <w:rPr>
          <w:spacing w:val="-20"/>
        </w:rPr>
      </w:r>
      <w:r>
        <w:rPr/>
        <w:t>失的，全额确认。</w:t>
      </w:r>
    </w:p>
    <w:p>
      <w:pPr>
        <w:pStyle w:val="BodyText"/>
        <w:spacing w:line="355" w:lineRule="auto" w:before="75"/>
        <w:ind w:right="1428" w:firstLine="420"/>
        <w:jc w:val="both"/>
      </w:pPr>
      <w:r>
        <w:rPr>
          <w:spacing w:val="-4"/>
        </w:rPr>
        <w:t>在公司确认应分担被投资单位发生的亏损时，按照以下顺序进行处理：首先，冲减长期股权投资的</w:t>
      </w:r>
      <w:r>
        <w:rPr>
          <w:w w:val="100"/>
        </w:rPr>
        <w:t> </w:t>
      </w:r>
      <w:r>
        <w:rPr>
          <w:spacing w:val="-4"/>
        </w:rPr>
        <w:t>账面价值。其次，长期股权投资的账面价值不足以冲减的，以其他实质上构成对被投资单位净投资的长</w:t>
      </w:r>
      <w:r>
        <w:rPr>
          <w:spacing w:val="-46"/>
        </w:rPr>
        <w:t> </w:t>
      </w:r>
      <w:r>
        <w:rPr>
          <w:spacing w:val="-46"/>
        </w:rPr>
      </w:r>
      <w:r>
        <w:rPr>
          <w:spacing w:val="-4"/>
        </w:rPr>
        <w:t>期权益账面价值为限继续确认投资损失，冲减长期应收项目等的账面价值。最后，经过上述处理，按照</w:t>
      </w:r>
      <w:r>
        <w:rPr>
          <w:spacing w:val="-50"/>
        </w:rPr>
        <w:t> </w:t>
      </w:r>
      <w:r>
        <w:rPr>
          <w:spacing w:val="-50"/>
        </w:rPr>
      </w:r>
      <w:r>
        <w:rPr/>
        <w:t>投资合同或协议约定企业仍承担额外义务的，按预计承担的义务确认预计负债，计入当期投资损失。</w:t>
      </w:r>
    </w:p>
    <w:p>
      <w:pPr>
        <w:pStyle w:val="BodyText"/>
        <w:spacing w:line="393" w:lineRule="auto" w:before="70"/>
        <w:ind w:left="573" w:right="1313"/>
        <w:jc w:val="left"/>
      </w:pPr>
      <w:r>
        <w:rPr/>
        <w:t>（</w:t>
      </w:r>
      <w:r>
        <w:rPr>
          <w:rFonts w:ascii="宋体" w:hAnsi="宋体" w:cs="宋体" w:eastAsia="宋体" w:hint="default"/>
        </w:rPr>
        <w:t>3</w:t>
      </w:r>
      <w:r>
        <w:rPr/>
        <w:t>）长期股权投资的处置</w:t>
      </w:r>
      <w:r>
        <w:rPr>
          <w:w w:val="100"/>
        </w:rPr>
        <w:t> </w:t>
      </w:r>
      <w:r>
        <w:rPr/>
        <w:t>处置长期股权投资，其账面价值与实际取得价款的差额，计入当期损益。</w:t>
      </w:r>
      <w:r>
        <w:rPr>
          <w:w w:val="100"/>
        </w:rPr>
        <w:t> </w:t>
      </w:r>
      <w:r>
        <w:rPr>
          <w:spacing w:val="-2"/>
        </w:rPr>
        <w:t>采用权益法核算的长期股权投资，在处置该项投资时，采用与被投资单位直接处置相关资产或负债</w:t>
      </w:r>
    </w:p>
    <w:p>
      <w:pPr>
        <w:pStyle w:val="BodyText"/>
        <w:spacing w:line="355" w:lineRule="auto"/>
        <w:ind w:right="1314"/>
        <w:jc w:val="both"/>
      </w:pPr>
      <w:r>
        <w:rPr>
          <w:spacing w:val="-2"/>
        </w:rPr>
        <w:t>相同的基础，按相应比例对原计入其他综合收益的部分进行会计处理。因被投资单位除净损益、其他综</w:t>
      </w:r>
      <w:r>
        <w:rPr>
          <w:spacing w:val="-21"/>
        </w:rPr>
        <w:t> </w:t>
      </w:r>
      <w:r>
        <w:rPr>
          <w:spacing w:val="-21"/>
        </w:rPr>
      </w:r>
      <w:r>
        <w:rPr>
          <w:spacing w:val="-2"/>
        </w:rPr>
        <w:t>合收益和利润分配以外的其他所有者权益变动而确认的所有者权益，按比例结转入当期损益，由于被投</w:t>
      </w:r>
      <w:r>
        <w:rPr>
          <w:spacing w:val="-21"/>
        </w:rPr>
        <w:t> </w:t>
      </w:r>
      <w:r>
        <w:rPr>
          <w:spacing w:val="-21"/>
        </w:rPr>
      </w:r>
      <w:r>
        <w:rPr/>
        <w:t>资方重新计量设定受益计划净负债或净资产变动而产生的其他综合收益除外。</w:t>
      </w:r>
    </w:p>
    <w:p>
      <w:pPr>
        <w:pStyle w:val="BodyText"/>
        <w:spacing w:line="355" w:lineRule="auto" w:before="75"/>
        <w:ind w:right="1313" w:firstLine="420"/>
        <w:jc w:val="right"/>
      </w:pPr>
      <w:r>
        <w:rPr>
          <w:spacing w:val="-2"/>
        </w:rPr>
        <w:t>因处置部分股权投资等原因丧失了对被投资单位的共同控制或重大影响的，处置后的剩余股权改按</w:t>
      </w:r>
      <w:r>
        <w:rPr>
          <w:w w:val="100"/>
        </w:rPr>
        <w:t> </w:t>
      </w:r>
      <w:r>
        <w:rPr>
          <w:spacing w:val="-2"/>
        </w:rPr>
        <w:t>金融工具确认和计量准则核算，其在丧失共同控制或重大影响之日的公允价值与账面价值之间的差额计</w:t>
      </w:r>
      <w:r>
        <w:rPr>
          <w:spacing w:val="-42"/>
        </w:rPr>
        <w:t> </w:t>
      </w:r>
      <w:r>
        <w:rPr>
          <w:spacing w:val="-42"/>
        </w:rPr>
      </w:r>
      <w:r>
        <w:rPr>
          <w:spacing w:val="-2"/>
        </w:rPr>
        <w:t>入当期损益。原股权投资因采用权益法核算而确认的其他综合收益，在终止采用权益法核算时采用与被</w:t>
      </w:r>
      <w:r>
        <w:rPr>
          <w:spacing w:val="-42"/>
        </w:rPr>
        <w:t> </w:t>
      </w:r>
      <w:r>
        <w:rPr>
          <w:spacing w:val="-42"/>
        </w:rPr>
      </w:r>
      <w:r>
        <w:rPr>
          <w:spacing w:val="-2"/>
        </w:rPr>
        <w:t>投资单位直接处置相关资产或负债相同的基础进行会计处理。因被投资方除净损益、其他综合收益和利</w:t>
      </w:r>
      <w:r>
        <w:rPr>
          <w:spacing w:val="-42"/>
        </w:rPr>
        <w:t> </w:t>
      </w:r>
      <w:r>
        <w:rPr>
          <w:spacing w:val="-42"/>
        </w:rPr>
      </w:r>
      <w:r>
        <w:rPr>
          <w:spacing w:val="-2"/>
        </w:rPr>
        <w:t>润分配以外的其他所有者权益变动而确认的所有者权益，在终止采用权益法核算时全部转入当期损益。</w:t>
      </w:r>
    </w:p>
    <w:p>
      <w:pPr>
        <w:pStyle w:val="BodyText"/>
        <w:spacing w:line="355" w:lineRule="auto" w:before="73"/>
        <w:ind w:right="1313" w:firstLine="420"/>
        <w:jc w:val="both"/>
      </w:pPr>
      <w:r>
        <w:rPr>
          <w:spacing w:val="-2"/>
        </w:rPr>
        <w:t>因处置部分股权投资、因其他投资方对子公司增资而导致本公司持股比例下降等原因丧失了对被投</w:t>
      </w:r>
      <w:r>
        <w:rPr>
          <w:w w:val="100"/>
        </w:rPr>
        <w:t> </w:t>
      </w:r>
      <w:r>
        <w:rPr>
          <w:spacing w:val="-2"/>
        </w:rPr>
        <w:t>资单位控制权的，在编制个别财务报表时，剩余股权能够对被投资单位实施共同控制或重大影响的，改</w:t>
      </w:r>
      <w:r>
        <w:rPr>
          <w:spacing w:val="-21"/>
        </w:rPr>
        <w:t> </w:t>
      </w:r>
      <w:r>
        <w:rPr>
          <w:spacing w:val="-21"/>
        </w:rPr>
      </w:r>
      <w:r>
        <w:rPr>
          <w:spacing w:val="-2"/>
        </w:rPr>
        <w:t>按权益法核算，并对该剩余股权视同自取得时即采用权益法核算进行调整；剩余股权不能对被投资单位</w:t>
      </w:r>
      <w:r>
        <w:rPr>
          <w:spacing w:val="-21"/>
        </w:rPr>
        <w:t> </w:t>
      </w:r>
      <w:r>
        <w:rPr>
          <w:spacing w:val="-21"/>
        </w:rPr>
      </w:r>
      <w:r>
        <w:rPr>
          <w:spacing w:val="-2"/>
        </w:rPr>
        <w:t>实施共同控制或施加重大影响的，改按金融工具确认和计量准则的有关规定进行会计处理，其在丧失控</w:t>
      </w:r>
      <w:r>
        <w:rPr>
          <w:spacing w:val="-21"/>
        </w:rPr>
        <w:t> </w:t>
      </w:r>
      <w:r>
        <w:rPr>
          <w:spacing w:val="-21"/>
        </w:rPr>
      </w:r>
      <w:r>
        <w:rPr/>
        <w:t>制之日的公允价值与账面价值间的差额计入当期损益。</w:t>
      </w:r>
    </w:p>
    <w:p>
      <w:pPr>
        <w:pStyle w:val="BodyText"/>
        <w:spacing w:line="357" w:lineRule="auto" w:before="75"/>
        <w:ind w:right="1313" w:firstLine="420"/>
        <w:jc w:val="both"/>
      </w:pPr>
      <w:r>
        <w:rPr>
          <w:spacing w:val="-2"/>
        </w:rPr>
        <w:t>处置的股权是因追加投资等原因通过企业合并取得的，在编制个别财务报表时，处置后的剩余股权</w:t>
      </w:r>
      <w:r>
        <w:rPr>
          <w:w w:val="100"/>
        </w:rPr>
        <w:t> </w:t>
      </w:r>
      <w:r>
        <w:rPr>
          <w:spacing w:val="-2"/>
        </w:rPr>
        <w:t>采用成本法或权益法核算的，购买日之前持有的股权投资因采用权益法核算而确认的其他综合收益和其</w:t>
      </w:r>
      <w:r>
        <w:rPr>
          <w:spacing w:val="-21"/>
        </w:rPr>
        <w:t> </w:t>
      </w:r>
      <w:r>
        <w:rPr>
          <w:spacing w:val="-21"/>
        </w:rPr>
      </w:r>
      <w:r>
        <w:rPr>
          <w:spacing w:val="-2"/>
        </w:rPr>
        <w:t>他所有者权益按比例结转；处置后的剩余股权改按金融工具确认和计量准则进行会计处理的，其他综合</w:t>
      </w:r>
      <w:r>
        <w:rPr>
          <w:spacing w:val="-21"/>
        </w:rPr>
        <w:t> </w:t>
      </w:r>
      <w:r>
        <w:rPr>
          <w:spacing w:val="-21"/>
        </w:rPr>
      </w:r>
      <w:r>
        <w:rPr/>
        <w:t>收益和其他所有者权益全部结转。</w:t>
      </w:r>
    </w:p>
    <w:p>
      <w:pPr>
        <w:spacing w:after="0" w:line="357"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40" w:lineRule="auto" w:before="144"/>
        <w:ind w:left="573"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（十五）投资性房地产</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投资性房地产是指为赚取租金或资本增值，或两者兼有而持有的房地产，包括已出租的土地使用</w:t>
      </w:r>
    </w:p>
    <w:p>
      <w:pPr>
        <w:pStyle w:val="BodyText"/>
        <w:spacing w:line="355" w:lineRule="auto" w:before="45"/>
        <w:ind w:right="0"/>
        <w:jc w:val="left"/>
      </w:pPr>
      <w:r>
        <w:rPr>
          <w:spacing w:val="-2"/>
        </w:rPr>
        <w:t>权、持有并准备增值后转让的土地使用权、已出租的建筑物（含自行建造或开发活动完成后用于出租的</w:t>
      </w:r>
      <w:r>
        <w:rPr>
          <w:spacing w:val="-21"/>
        </w:rPr>
        <w:t> </w:t>
      </w:r>
      <w:r>
        <w:rPr>
          <w:spacing w:val="-21"/>
        </w:rPr>
      </w:r>
      <w:r>
        <w:rPr>
          <w:spacing w:val="-6"/>
          <w:w w:val="100"/>
        </w:rPr>
        <w:t>建筑物以及正在建造或开发过程中将来用于出租的建筑物）。</w:t>
      </w:r>
    </w:p>
    <w:p>
      <w:pPr>
        <w:pStyle w:val="BodyText"/>
        <w:spacing w:line="355" w:lineRule="auto" w:before="75"/>
        <w:ind w:right="0" w:firstLine="420"/>
        <w:jc w:val="left"/>
      </w:pPr>
      <w:r>
        <w:rPr>
          <w:spacing w:val="-2"/>
        </w:rPr>
        <w:t>公司对现有投资性房地产采用成本模式计量。对按照成本模式计量的投资性房地产－出租用建筑物</w:t>
      </w:r>
      <w:r>
        <w:rPr>
          <w:w w:val="100"/>
        </w:rPr>
        <w:t> </w:t>
      </w:r>
      <w:r>
        <w:rPr/>
        <w:t>采用与本公司固定资产相同的折旧政策，出租用土地使用权按与无形资产相同的摊销政策执行。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ind w:left="573" w:right="0"/>
        <w:jc w:val="left"/>
        <w:rPr>
          <w:b w:val="0"/>
          <w:bCs w:val="0"/>
        </w:rPr>
      </w:pPr>
      <w:r>
        <w:rPr/>
        <w:t>（十六）固定资产</w:t>
      </w:r>
      <w:r>
        <w:rPr>
          <w:b w:val="0"/>
          <w:bCs w:val="0"/>
        </w:rPr>
      </w:r>
    </w:p>
    <w:p>
      <w:pPr>
        <w:spacing w:line="340" w:lineRule="auto" w:before="83"/>
        <w:ind w:left="573" w:right="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8"/>
          <w:sz w:val="21"/>
          <w:szCs w:val="21"/>
        </w:rPr>
        <w:t> </w:t>
      </w:r>
      <w:r>
        <w:rPr>
          <w:rFonts w:ascii="Microsoft JhengHei" w:hAnsi="Microsoft JhengHei" w:cs="Microsoft JhengHei" w:eastAsia="Microsoft JhengHei" w:hint="default"/>
          <w:b/>
          <w:bCs/>
          <w:sz w:val="21"/>
          <w:szCs w:val="21"/>
        </w:rPr>
        <w:t>固定资产确认条件</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固定资产指为生产商品、提供劳务、出租或经营管理而持有，并且使用寿命超过一个会计年度的有形</w:t>
      </w:r>
    </w:p>
    <w:p>
      <w:pPr>
        <w:pStyle w:val="BodyText"/>
        <w:spacing w:line="240" w:lineRule="auto" w:before="42"/>
        <w:ind w:right="0"/>
        <w:jc w:val="left"/>
      </w:pPr>
      <w:r>
        <w:rPr/>
        <w:t>资产。固定资产在同时满足下列条件时予以确认：</w:t>
      </w:r>
    </w:p>
    <w:p>
      <w:pPr>
        <w:pStyle w:val="BodyText"/>
        <w:spacing w:line="240" w:lineRule="auto" w:before="174"/>
        <w:ind w:left="573" w:right="0"/>
        <w:jc w:val="left"/>
      </w:pPr>
      <w:r>
        <w:rPr/>
        <w:t>（</w:t>
      </w:r>
      <w:r>
        <w:rPr>
          <w:rFonts w:ascii="宋体" w:hAnsi="宋体" w:cs="宋体" w:eastAsia="宋体" w:hint="default"/>
        </w:rPr>
        <w:t>1</w:t>
      </w:r>
      <w:r>
        <w:rPr/>
        <w:t>）与该固定资产有关的经济利益很可能流入企业；</w:t>
      </w:r>
    </w:p>
    <w:p>
      <w:pPr>
        <w:pStyle w:val="BodyText"/>
        <w:spacing w:line="240" w:lineRule="auto" w:before="174"/>
        <w:ind w:left="573" w:right="0"/>
        <w:jc w:val="left"/>
      </w:pPr>
      <w:r>
        <w:rPr/>
        <w:t>（</w:t>
      </w: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336" w:lineRule="auto" w:before="0"/>
        <w:ind w:left="573" w:right="6408"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8"/>
          <w:sz w:val="21"/>
          <w:szCs w:val="21"/>
        </w:rPr>
        <w:t> </w:t>
      </w:r>
      <w:r>
        <w:rPr>
          <w:rFonts w:ascii="Microsoft JhengHei" w:hAnsi="Microsoft JhengHei" w:cs="Microsoft JhengHei" w:eastAsia="Microsoft JhengHei" w:hint="default"/>
          <w:b/>
          <w:bCs/>
          <w:sz w:val="21"/>
          <w:szCs w:val="21"/>
        </w:rPr>
        <w:t>固定资产初始计量</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本公司固定资产按成本进行初始计量。</w:t>
      </w:r>
    </w:p>
    <w:p>
      <w:pPr>
        <w:pStyle w:val="BodyText"/>
        <w:spacing w:line="355" w:lineRule="auto" w:before="92"/>
        <w:ind w:right="0" w:firstLine="420"/>
        <w:jc w:val="left"/>
      </w:pPr>
      <w:r>
        <w:rPr>
          <w:spacing w:val="-5"/>
        </w:rPr>
        <w:t>（</w:t>
      </w:r>
      <w:r>
        <w:rPr>
          <w:rFonts w:ascii="宋体" w:hAnsi="宋体" w:cs="宋体" w:eastAsia="宋体" w:hint="default"/>
          <w:spacing w:val="-5"/>
        </w:rPr>
        <w:t>1</w:t>
      </w:r>
      <w:r>
        <w:rPr>
          <w:spacing w:val="-5"/>
        </w:rPr>
        <w:t>）外购的固定资产的成本包括买价、进口关税等相关税费，以及为使固定资产达到预定可使用状态</w:t>
      </w:r>
      <w:r>
        <w:rPr>
          <w:w w:val="100"/>
        </w:rPr>
        <w:t> </w:t>
      </w:r>
      <w:r>
        <w:rPr/>
        <w:t>前所发生的可直接归属于该资产的其他支出。</w:t>
      </w:r>
    </w:p>
    <w:p>
      <w:pPr>
        <w:pStyle w:val="BodyText"/>
        <w:spacing w:line="240" w:lineRule="auto" w:before="70"/>
        <w:ind w:left="573" w:right="0"/>
        <w:jc w:val="left"/>
      </w:pPr>
      <w:r>
        <w:rPr/>
        <w:t>（</w:t>
      </w:r>
      <w:r>
        <w:rPr>
          <w:rFonts w:ascii="宋体" w:hAnsi="宋体" w:cs="宋体" w:eastAsia="宋体" w:hint="default"/>
        </w:rPr>
        <w:t>2</w:t>
      </w:r>
      <w:r>
        <w:rPr/>
        <w:t>）自行建造固定资产的成本，由建造该项资产达到预定可使用状态前所发生的必要支出构成。</w:t>
      </w:r>
    </w:p>
    <w:p>
      <w:pPr>
        <w:pStyle w:val="BodyText"/>
        <w:spacing w:line="355" w:lineRule="auto" w:before="176"/>
        <w:ind w:right="0" w:firstLine="420"/>
        <w:jc w:val="left"/>
      </w:pPr>
      <w:r>
        <w:rPr>
          <w:spacing w:val="-5"/>
        </w:rPr>
        <w:t>（</w:t>
      </w:r>
      <w:r>
        <w:rPr>
          <w:rFonts w:ascii="宋体" w:hAnsi="宋体" w:cs="宋体" w:eastAsia="宋体" w:hint="default"/>
          <w:spacing w:val="-5"/>
        </w:rPr>
        <w:t>3</w:t>
      </w:r>
      <w:r>
        <w:rPr>
          <w:spacing w:val="-5"/>
        </w:rPr>
        <w:t>）投资者投入的固定资产，按投资合同或协议约定的价值作为入账价值，但合同或协议约定价值不</w:t>
      </w:r>
      <w:r>
        <w:rPr>
          <w:w w:val="100"/>
        </w:rPr>
        <w:t> </w:t>
      </w:r>
      <w:r>
        <w:rPr/>
        <w:t>公允的按公允价值入账。</w:t>
      </w:r>
    </w:p>
    <w:p>
      <w:pPr>
        <w:pStyle w:val="BodyText"/>
        <w:spacing w:line="357" w:lineRule="auto" w:before="73"/>
        <w:ind w:right="1126" w:firstLine="420"/>
        <w:jc w:val="both"/>
      </w:pPr>
      <w:r>
        <w:rPr>
          <w:spacing w:val="-5"/>
        </w:rPr>
        <w:t>（</w:t>
      </w:r>
      <w:r>
        <w:rPr>
          <w:rFonts w:ascii="宋体" w:hAnsi="宋体" w:cs="宋体" w:eastAsia="宋体" w:hint="default"/>
          <w:spacing w:val="-5"/>
        </w:rPr>
        <w:t>4</w:t>
      </w:r>
      <w:r>
        <w:rPr>
          <w:spacing w:val="-5"/>
        </w:rPr>
        <w:t>）购买固定资产的价款超过正常信用条件延期支付，实质上具有融资性质的，固定资产的成本以购</w:t>
      </w:r>
      <w:r>
        <w:rPr>
          <w:w w:val="100"/>
        </w:rPr>
        <w:t> </w:t>
      </w:r>
      <w:r>
        <w:rPr>
          <w:spacing w:val="-2"/>
        </w:rPr>
        <w:t>买价款的现值为基础确定。实际支付的价款与购买价款的现值之间的差额，除应予资本化的以外，在信用</w:t>
      </w:r>
      <w:r>
        <w:rPr>
          <w:spacing w:val="-44"/>
        </w:rPr>
        <w:t> </w:t>
      </w:r>
      <w:r>
        <w:rPr>
          <w:spacing w:val="-44"/>
        </w:rPr>
      </w:r>
      <w:r>
        <w:rPr/>
        <w:t>期间内计入当期损益。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left="573" w:right="0"/>
        <w:jc w:val="left"/>
        <w:rPr>
          <w:b w:val="0"/>
          <w:bCs w:val="0"/>
        </w:rPr>
      </w:pPr>
      <w:r>
        <w:rPr>
          <w:rFonts w:ascii="Trebuchet MS" w:hAnsi="Trebuchet MS" w:cs="Trebuchet MS" w:eastAsia="Trebuchet MS" w:hint="default"/>
        </w:rPr>
        <w:t>3</w:t>
      </w:r>
      <w:r>
        <w:rPr/>
        <w:t>．</w:t>
      </w:r>
      <w:r>
        <w:rPr>
          <w:spacing w:val="-15"/>
        </w:rPr>
        <w:t> </w:t>
      </w:r>
      <w:r>
        <w:rPr/>
        <w:t>固定资产后续计量</w:t>
      </w:r>
      <w:r>
        <w:rPr>
          <w:b w:val="0"/>
          <w:bCs w:val="0"/>
        </w:rPr>
      </w:r>
    </w:p>
    <w:p>
      <w:pPr>
        <w:pStyle w:val="BodyText"/>
        <w:spacing w:line="393" w:lineRule="auto" w:before="147"/>
        <w:ind w:left="573" w:right="0"/>
        <w:jc w:val="left"/>
      </w:pPr>
      <w:r>
        <w:rPr/>
        <w:t>（</w:t>
      </w:r>
      <w:r>
        <w:rPr>
          <w:rFonts w:ascii="宋体" w:hAnsi="宋体" w:cs="宋体" w:eastAsia="宋体" w:hint="default"/>
        </w:rPr>
        <w:t>1</w:t>
      </w:r>
      <w:r>
        <w:rPr/>
        <w:t>）固定资产折旧</w:t>
      </w:r>
      <w:r>
        <w:rPr>
          <w:w w:val="100"/>
        </w:rPr>
        <w:t> </w:t>
      </w:r>
      <w:r>
        <w:rPr>
          <w:spacing w:val="-2"/>
        </w:rPr>
        <w:t>固定资产折旧采用年限平均法分类计提，根据固定资产类别、预计使用寿命和预计净残值率确定折旧</w:t>
      </w:r>
    </w:p>
    <w:p>
      <w:pPr>
        <w:pStyle w:val="BodyText"/>
        <w:spacing w:line="355" w:lineRule="auto" w:before="1"/>
        <w:ind w:right="0"/>
        <w:jc w:val="left"/>
      </w:pPr>
      <w:r>
        <w:rPr>
          <w:spacing w:val="-2"/>
        </w:rPr>
        <w:t>率。如固定资产各组成部分的使用寿命不同或者以不同方式为企业提供经济利益，则选择不同折旧率或折</w:t>
      </w:r>
      <w:r>
        <w:rPr>
          <w:spacing w:val="-43"/>
        </w:rPr>
        <w:t> </w:t>
      </w:r>
      <w:r>
        <w:rPr>
          <w:spacing w:val="-43"/>
        </w:rPr>
      </w:r>
      <w:r>
        <w:rPr/>
        <w:t>旧方法，分别计提折旧。</w:t>
      </w:r>
    </w:p>
    <w:p>
      <w:pPr>
        <w:pStyle w:val="BodyText"/>
        <w:spacing w:line="240" w:lineRule="auto" w:before="75"/>
        <w:ind w:left="573" w:right="0"/>
        <w:jc w:val="left"/>
      </w:pPr>
      <w:r>
        <w:rPr/>
        <w:t>融资租赁方式租入的固定资产，能合理确定租赁期届满时将会取得租赁资产所有权的，在租赁资产尚</w:t>
      </w:r>
    </w:p>
    <w:p>
      <w:pPr>
        <w:spacing w:after="0" w:line="240" w:lineRule="auto"/>
        <w:jc w:val="left"/>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0"/>
        <w:jc w:val="left"/>
      </w:pP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pStyle w:val="BodyText"/>
        <w:spacing w:line="240" w:lineRule="auto" w:before="73"/>
        <w:ind w:left="573" w:right="0"/>
        <w:jc w:val="left"/>
      </w:pPr>
      <w:r>
        <w:rPr/>
        <w:t>各类固定资产折旧方法、折旧年限、残值率和年折旧率如下：</w:t>
      </w:r>
    </w:p>
    <w:p>
      <w:pPr>
        <w:spacing w:line="240" w:lineRule="auto" w:before="1"/>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2326"/>
        <w:gridCol w:w="2444"/>
        <w:gridCol w:w="2441"/>
        <w:gridCol w:w="2444"/>
      </w:tblGrid>
      <w:tr>
        <w:trPr>
          <w:trHeight w:val="370" w:hRule="exact"/>
        </w:trPr>
        <w:tc>
          <w:tcPr>
            <w:tcW w:w="23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7"/>
              <w:ind w:right="86"/>
              <w:jc w:val="center"/>
              <w:rPr>
                <w:rFonts w:ascii="宋体" w:hAnsi="宋体" w:cs="宋体" w:eastAsia="宋体" w:hint="default"/>
                <w:sz w:val="18"/>
                <w:szCs w:val="18"/>
              </w:rPr>
            </w:pPr>
            <w:r>
              <w:rPr>
                <w:rFonts w:ascii="宋体" w:hAnsi="宋体" w:cs="宋体" w:eastAsia="宋体" w:hint="default"/>
                <w:sz w:val="18"/>
                <w:szCs w:val="18"/>
              </w:rPr>
              <w:t>类别</w:t>
            </w:r>
          </w:p>
        </w:tc>
        <w:tc>
          <w:tcPr>
            <w:tcW w:w="24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right="95"/>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4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right="98"/>
              <w:jc w:val="center"/>
              <w:rPr>
                <w:rFonts w:ascii="宋体" w:hAnsi="宋体" w:cs="宋体" w:eastAsia="宋体" w:hint="default"/>
                <w:sz w:val="18"/>
                <w:szCs w:val="18"/>
              </w:rPr>
            </w:pPr>
            <w:r>
              <w:rPr>
                <w:rFonts w:ascii="宋体" w:hAnsi="宋体" w:cs="宋体" w:eastAsia="宋体" w:hint="default"/>
                <w:sz w:val="18"/>
                <w:szCs w:val="18"/>
              </w:rPr>
              <w:t>残值率（</w:t>
            </w:r>
            <w:r>
              <w:rPr>
                <w:rFonts w:ascii="Arial" w:hAnsi="Arial" w:cs="Arial" w:eastAsia="Arial" w:hint="default"/>
                <w:sz w:val="18"/>
                <w:szCs w:val="18"/>
              </w:rPr>
              <w:t>%</w:t>
            </w:r>
            <w:r>
              <w:rPr>
                <w:rFonts w:ascii="宋体" w:hAnsi="宋体" w:cs="宋体" w:eastAsia="宋体" w:hint="default"/>
                <w:sz w:val="18"/>
                <w:szCs w:val="18"/>
              </w:rPr>
              <w:t>）</w:t>
            </w:r>
          </w:p>
        </w:tc>
        <w:tc>
          <w:tcPr>
            <w:tcW w:w="244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right="104"/>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Arial" w:hAnsi="Arial" w:cs="Arial" w:eastAsia="Arial" w:hint="default"/>
                <w:sz w:val="18"/>
                <w:szCs w:val="18"/>
              </w:rPr>
              <w:t>%</w:t>
            </w:r>
            <w:r>
              <w:rPr>
                <w:rFonts w:ascii="宋体" w:hAnsi="宋体" w:cs="宋体" w:eastAsia="宋体" w:hint="default"/>
                <w:sz w:val="18"/>
                <w:szCs w:val="18"/>
              </w:rPr>
              <w:t>）</w:t>
            </w:r>
          </w:p>
        </w:tc>
      </w:tr>
      <w:tr>
        <w:trPr>
          <w:trHeight w:val="401"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3"/>
              <w:jc w:val="center"/>
              <w:rPr>
                <w:rFonts w:ascii="Times New Roman" w:hAnsi="Times New Roman" w:cs="Times New Roman" w:eastAsia="Times New Roman" w:hint="default"/>
                <w:sz w:val="18"/>
                <w:szCs w:val="18"/>
              </w:rPr>
            </w:pPr>
            <w:r>
              <w:rPr>
                <w:rFonts w:ascii="Times New Roman"/>
                <w:sz w:val="18"/>
              </w:rPr>
              <w:t>20-40</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center"/>
              <w:rPr>
                <w:rFonts w:ascii="Times New Roman" w:hAnsi="Times New Roman" w:cs="Times New Roman" w:eastAsia="Times New Roman" w:hint="default"/>
                <w:sz w:val="18"/>
                <w:szCs w:val="18"/>
              </w:rPr>
            </w:pPr>
            <w:r>
              <w:rPr>
                <w:rFonts w:ascii="Times New Roman"/>
                <w:sz w:val="18"/>
              </w:rPr>
              <w:t>3-10</w:t>
            </w:r>
          </w:p>
        </w:tc>
        <w:tc>
          <w:tcPr>
            <w:tcW w:w="24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3"/>
              <w:jc w:val="center"/>
              <w:rPr>
                <w:rFonts w:ascii="Times New Roman" w:hAnsi="Times New Roman" w:cs="Times New Roman" w:eastAsia="Times New Roman" w:hint="default"/>
                <w:sz w:val="18"/>
                <w:szCs w:val="18"/>
              </w:rPr>
            </w:pPr>
            <w:r>
              <w:rPr>
                <w:rFonts w:ascii="Times New Roman"/>
                <w:sz w:val="18"/>
              </w:rPr>
              <w:t>2.25-4.85</w:t>
            </w:r>
          </w:p>
        </w:tc>
      </w:tr>
      <w:tr>
        <w:trPr>
          <w:trHeight w:val="403"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2"/>
              <w:jc w:val="center"/>
              <w:rPr>
                <w:rFonts w:ascii="Times New Roman" w:hAnsi="Times New Roman" w:cs="Times New Roman" w:eastAsia="Times New Roman" w:hint="default"/>
                <w:sz w:val="18"/>
                <w:szCs w:val="18"/>
              </w:rPr>
            </w:pPr>
            <w:r>
              <w:rPr>
                <w:rFonts w:ascii="Times New Roman"/>
                <w:sz w:val="18"/>
              </w:rPr>
              <w:t>5-8</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center"/>
              <w:rPr>
                <w:rFonts w:ascii="Times New Roman" w:hAnsi="Times New Roman" w:cs="Times New Roman" w:eastAsia="Times New Roman" w:hint="default"/>
                <w:sz w:val="18"/>
                <w:szCs w:val="18"/>
              </w:rPr>
            </w:pPr>
            <w:r>
              <w:rPr>
                <w:rFonts w:ascii="Times New Roman"/>
                <w:sz w:val="18"/>
              </w:rPr>
              <w:t>3-10</w:t>
            </w:r>
          </w:p>
        </w:tc>
        <w:tc>
          <w:tcPr>
            <w:tcW w:w="24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3"/>
              <w:jc w:val="center"/>
              <w:rPr>
                <w:rFonts w:ascii="Times New Roman" w:hAnsi="Times New Roman" w:cs="Times New Roman" w:eastAsia="Times New Roman" w:hint="default"/>
                <w:sz w:val="18"/>
                <w:szCs w:val="18"/>
              </w:rPr>
            </w:pPr>
            <w:r>
              <w:rPr>
                <w:rFonts w:ascii="Times New Roman"/>
                <w:sz w:val="18"/>
              </w:rPr>
              <w:t>11.25-19.40</w:t>
            </w:r>
          </w:p>
        </w:tc>
      </w:tr>
      <w:tr>
        <w:trPr>
          <w:trHeight w:val="401"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电子及机器设备</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5"/>
              <w:jc w:val="center"/>
              <w:rPr>
                <w:rFonts w:ascii="Times New Roman" w:hAnsi="Times New Roman" w:cs="Times New Roman" w:eastAsia="Times New Roman" w:hint="default"/>
                <w:sz w:val="18"/>
                <w:szCs w:val="18"/>
              </w:rPr>
            </w:pPr>
            <w:r>
              <w:rPr>
                <w:rFonts w:ascii="Times New Roman"/>
                <w:sz w:val="18"/>
              </w:rPr>
              <w:t>3-10</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8"/>
              <w:jc w:val="center"/>
              <w:rPr>
                <w:rFonts w:ascii="Times New Roman" w:hAnsi="Times New Roman" w:cs="Times New Roman" w:eastAsia="Times New Roman" w:hint="default"/>
                <w:sz w:val="18"/>
                <w:szCs w:val="18"/>
              </w:rPr>
            </w:pPr>
            <w:r>
              <w:rPr>
                <w:rFonts w:ascii="Times New Roman"/>
                <w:sz w:val="18"/>
              </w:rPr>
              <w:t>3-10</w:t>
            </w:r>
          </w:p>
        </w:tc>
        <w:tc>
          <w:tcPr>
            <w:tcW w:w="24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9-32.33</w:t>
            </w:r>
          </w:p>
        </w:tc>
      </w:tr>
      <w:tr>
        <w:trPr>
          <w:trHeight w:val="403"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检测设备</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4"/>
              <w:jc w:val="center"/>
              <w:rPr>
                <w:rFonts w:ascii="Times New Roman" w:hAnsi="Times New Roman" w:cs="Times New Roman" w:eastAsia="Times New Roman" w:hint="default"/>
                <w:sz w:val="18"/>
                <w:szCs w:val="18"/>
              </w:rPr>
            </w:pPr>
            <w:r>
              <w:rPr>
                <w:rFonts w:ascii="Times New Roman"/>
                <w:sz w:val="18"/>
              </w:rPr>
              <w:t>5</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97"/>
              <w:jc w:val="center"/>
              <w:rPr>
                <w:rFonts w:ascii="Times New Roman" w:hAnsi="Times New Roman" w:cs="Times New Roman" w:eastAsia="Times New Roman" w:hint="default"/>
                <w:sz w:val="18"/>
                <w:szCs w:val="18"/>
              </w:rPr>
            </w:pPr>
            <w:r>
              <w:rPr>
                <w:rFonts w:ascii="Times New Roman"/>
                <w:sz w:val="18"/>
              </w:rPr>
              <w:t>10</w:t>
            </w:r>
          </w:p>
        </w:tc>
        <w:tc>
          <w:tcPr>
            <w:tcW w:w="24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95"/>
              <w:jc w:val="center"/>
              <w:rPr>
                <w:rFonts w:ascii="Times New Roman" w:hAnsi="Times New Roman" w:cs="Times New Roman" w:eastAsia="Times New Roman" w:hint="default"/>
                <w:sz w:val="18"/>
                <w:szCs w:val="18"/>
              </w:rPr>
            </w:pPr>
            <w:r>
              <w:rPr>
                <w:rFonts w:ascii="Times New Roman"/>
                <w:sz w:val="18"/>
              </w:rPr>
              <w:t>5-12</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98"/>
              <w:jc w:val="center"/>
              <w:rPr>
                <w:rFonts w:ascii="Times New Roman" w:hAnsi="Times New Roman" w:cs="Times New Roman" w:eastAsia="Times New Roman" w:hint="default"/>
                <w:sz w:val="18"/>
                <w:szCs w:val="18"/>
              </w:rPr>
            </w:pPr>
            <w:r>
              <w:rPr>
                <w:rFonts w:ascii="Times New Roman"/>
                <w:sz w:val="18"/>
              </w:rPr>
              <w:t>3-10</w:t>
            </w:r>
          </w:p>
        </w:tc>
        <w:tc>
          <w:tcPr>
            <w:tcW w:w="24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13"/>
              <w:jc w:val="center"/>
              <w:rPr>
                <w:rFonts w:ascii="Times New Roman" w:hAnsi="Times New Roman" w:cs="Times New Roman" w:eastAsia="Times New Roman" w:hint="default"/>
                <w:sz w:val="18"/>
                <w:szCs w:val="18"/>
              </w:rPr>
            </w:pPr>
            <w:r>
              <w:rPr>
                <w:rFonts w:ascii="Times New Roman"/>
                <w:sz w:val="18"/>
              </w:rPr>
              <w:t>7.50-19.40</w:t>
            </w:r>
          </w:p>
        </w:tc>
      </w:tr>
      <w:tr>
        <w:trPr>
          <w:trHeight w:val="413" w:hRule="exact"/>
        </w:trPr>
        <w:tc>
          <w:tcPr>
            <w:tcW w:w="23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工装模具</w:t>
            </w:r>
          </w:p>
        </w:tc>
        <w:tc>
          <w:tcPr>
            <w:tcW w:w="24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94"/>
              <w:jc w:val="center"/>
              <w:rPr>
                <w:rFonts w:ascii="Times New Roman" w:hAnsi="Times New Roman" w:cs="Times New Roman" w:eastAsia="Times New Roman" w:hint="default"/>
                <w:sz w:val="18"/>
                <w:szCs w:val="18"/>
              </w:rPr>
            </w:pPr>
            <w:r>
              <w:rPr>
                <w:rFonts w:ascii="Times New Roman"/>
                <w:sz w:val="18"/>
              </w:rPr>
              <w:t>5</w:t>
            </w:r>
          </w:p>
        </w:tc>
        <w:tc>
          <w:tcPr>
            <w:tcW w:w="24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97"/>
              <w:jc w:val="center"/>
              <w:rPr>
                <w:rFonts w:ascii="Times New Roman" w:hAnsi="Times New Roman" w:cs="Times New Roman" w:eastAsia="Times New Roman" w:hint="default"/>
                <w:sz w:val="18"/>
                <w:szCs w:val="18"/>
              </w:rPr>
            </w:pPr>
            <w:r>
              <w:rPr>
                <w:rFonts w:ascii="Times New Roman"/>
                <w:sz w:val="18"/>
              </w:rPr>
              <w:t>10</w:t>
            </w:r>
          </w:p>
        </w:tc>
        <w:tc>
          <w:tcPr>
            <w:tcW w:w="24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3"/>
              <w:ind w:right="8"/>
              <w:jc w:val="center"/>
              <w:rPr>
                <w:rFonts w:ascii="Times New Roman" w:hAnsi="Times New Roman" w:cs="Times New Roman" w:eastAsia="Times New Roman" w:hint="default"/>
                <w:sz w:val="18"/>
                <w:szCs w:val="18"/>
              </w:rPr>
            </w:pPr>
            <w:r>
              <w:rPr>
                <w:rFonts w:ascii="Times New Roman"/>
                <w:sz w:val="18"/>
              </w:rPr>
              <w:t>18</w:t>
            </w:r>
          </w:p>
        </w:tc>
      </w:tr>
    </w:tbl>
    <w:p>
      <w:pPr>
        <w:spacing w:line="240" w:lineRule="auto" w:before="5"/>
        <w:rPr>
          <w:rFonts w:ascii="宋体" w:hAnsi="宋体" w:cs="宋体" w:eastAsia="宋体" w:hint="default"/>
          <w:sz w:val="28"/>
          <w:szCs w:val="28"/>
        </w:rPr>
      </w:pPr>
    </w:p>
    <w:p>
      <w:pPr>
        <w:pStyle w:val="Heading4"/>
        <w:spacing w:line="335" w:lineRule="exact"/>
        <w:ind w:left="573" w:right="0"/>
        <w:jc w:val="left"/>
        <w:rPr>
          <w:b w:val="0"/>
          <w:bCs w:val="0"/>
        </w:rPr>
      </w:pPr>
      <w:r>
        <w:rPr>
          <w:rFonts w:ascii="Times New Roman" w:hAnsi="Times New Roman" w:cs="Times New Roman" w:eastAsia="Times New Roman" w:hint="default"/>
        </w:rPr>
        <w:t>4</w:t>
      </w:r>
      <w:r>
        <w:rPr/>
        <w:t>．</w:t>
      </w:r>
      <w:r>
        <w:rPr>
          <w:spacing w:val="11"/>
        </w:rPr>
        <w:t> </w:t>
      </w:r>
      <w:r>
        <w:rPr/>
        <w:t>融资租入固定资产的认定依据、计价和折旧方法</w:t>
      </w:r>
      <w:r>
        <w:rPr>
          <w:b w:val="0"/>
          <w:bCs w:val="0"/>
        </w:rPr>
      </w:r>
    </w:p>
    <w:p>
      <w:pPr>
        <w:pStyle w:val="BodyText"/>
        <w:spacing w:line="240" w:lineRule="auto" w:before="150"/>
        <w:ind w:left="573" w:right="0"/>
        <w:jc w:val="left"/>
      </w:pPr>
      <w:r>
        <w:rPr/>
        <w:t>当本公司租入的固定资产符合下列一项或数项标准时，确认为融资租入固定资产：</w:t>
      </w:r>
    </w:p>
    <w:p>
      <w:pPr>
        <w:pStyle w:val="BodyText"/>
        <w:spacing w:line="240" w:lineRule="auto" w:before="171"/>
        <w:ind w:left="573" w:right="0"/>
        <w:jc w:val="left"/>
      </w:pPr>
      <w:r>
        <w:rPr/>
        <w:t>（</w:t>
      </w:r>
      <w:r>
        <w:rPr>
          <w:rFonts w:ascii="宋体" w:hAnsi="宋体" w:cs="宋体" w:eastAsia="宋体" w:hint="default"/>
        </w:rPr>
        <w:t>1</w:t>
      </w:r>
      <w:r>
        <w:rPr/>
        <w:t>）在租赁期届满时，租赁资产的所有权转移给本公司。</w:t>
      </w:r>
    </w:p>
    <w:p>
      <w:pPr>
        <w:pStyle w:val="BodyText"/>
        <w:spacing w:line="355" w:lineRule="auto" w:before="176"/>
        <w:ind w:right="0" w:firstLine="420"/>
        <w:jc w:val="left"/>
      </w:pPr>
      <w:r>
        <w:rPr/>
        <w:t>（</w:t>
      </w:r>
      <w:r>
        <w:rPr>
          <w:rFonts w:ascii="宋体" w:hAnsi="宋体" w:cs="宋体" w:eastAsia="宋体" w:hint="default"/>
        </w:rPr>
        <w:t>2</w:t>
      </w:r>
      <w:r>
        <w:rPr/>
        <w:t>）本公司有购买租赁资产的选择权，所订立的购买价款预计将远低于行使选择权时租赁资产的公</w:t>
      </w:r>
      <w:r>
        <w:rPr>
          <w:w w:val="100"/>
        </w:rPr>
        <w:t> </w:t>
      </w:r>
      <w:r>
        <w:rPr/>
        <w:t>允价值，因而在租赁开始日就可以合理确定本公司将会行使这种选择权。</w:t>
      </w:r>
    </w:p>
    <w:p>
      <w:pPr>
        <w:pStyle w:val="BodyText"/>
        <w:spacing w:line="240" w:lineRule="auto" w:before="71"/>
        <w:ind w:left="573" w:right="0"/>
        <w:jc w:val="left"/>
      </w:pPr>
      <w:r>
        <w:rPr/>
        <w:t>（</w:t>
      </w:r>
      <w:r>
        <w:rPr>
          <w:rFonts w:ascii="宋体" w:hAnsi="宋体" w:cs="宋体" w:eastAsia="宋体" w:hint="default"/>
        </w:rPr>
        <w:t>3</w:t>
      </w:r>
      <w:r>
        <w:rPr/>
        <w:t>）即使资产的所有权不转移，但租赁期占租赁资产使用寿命的大部分。</w:t>
      </w:r>
    </w:p>
    <w:p>
      <w:pPr>
        <w:pStyle w:val="BodyText"/>
        <w:spacing w:line="393" w:lineRule="auto" w:before="174"/>
        <w:ind w:left="573" w:right="0"/>
        <w:jc w:val="left"/>
      </w:pPr>
      <w:r>
        <w:rPr/>
        <w:t>（</w:t>
      </w:r>
      <w:r>
        <w:rPr>
          <w:rFonts w:ascii="宋体" w:hAnsi="宋体" w:cs="宋体" w:eastAsia="宋体" w:hint="default"/>
        </w:rPr>
        <w:t>4</w:t>
      </w:r>
      <w:r>
        <w:rPr/>
        <w:t>）本公司在租赁开始日的最低租赁付款额现值，几乎相当于租赁开始日租赁资产公允价值。</w:t>
      </w:r>
      <w:r>
        <w:rPr>
          <w:w w:val="100"/>
        </w:rPr>
        <w:t> </w:t>
      </w:r>
      <w:r>
        <w:rPr>
          <w:spacing w:val="-2"/>
        </w:rPr>
        <w:t>公司在承租开始日，将租赁资产公允价值与最低租赁付款额现值两者中较低者作为租入资产的入账价</w:t>
      </w:r>
    </w:p>
    <w:p>
      <w:pPr>
        <w:pStyle w:val="BodyText"/>
        <w:spacing w:line="271" w:lineRule="exact"/>
        <w:ind w:right="0"/>
        <w:jc w:val="left"/>
      </w:pPr>
      <w:r>
        <w:rPr/>
        <w:t>值，将最低租赁付款额作为长期应付款的入账价值，其差额作为未确认的融资费。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40" w:lineRule="auto"/>
        <w:ind w:left="573" w:right="0"/>
        <w:jc w:val="left"/>
      </w:pPr>
      <w:r>
        <w:rPr>
          <w:rFonts w:ascii="Microsoft JhengHei" w:hAnsi="Microsoft JhengHei" w:cs="Microsoft JhengHei" w:eastAsia="Microsoft JhengHei" w:hint="default"/>
          <w:b/>
          <w:bCs/>
        </w:rPr>
        <w:t>（十七）在建工程</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t>在建工程项目按建造该项资产达到预定可使用状态前所发生的必要支出，作为固定资产的入账价值。</w:t>
      </w:r>
    </w:p>
    <w:p>
      <w:pPr>
        <w:pStyle w:val="BodyText"/>
        <w:spacing w:line="355" w:lineRule="auto" w:before="45"/>
        <w:ind w:right="0"/>
        <w:jc w:val="left"/>
      </w:pPr>
      <w:r>
        <w:rPr>
          <w:spacing w:val="-5"/>
        </w:rPr>
        <w:t>所建造的固定资产在工程已达到预定可使用状态，但尚未办理竣工决算的，自达到预定可使用状态之日起，</w:t>
      </w:r>
      <w:r>
        <w:rPr>
          <w:spacing w:val="-4"/>
        </w:rPr>
        <w:t> </w:t>
      </w:r>
      <w:r>
        <w:rPr>
          <w:spacing w:val="-4"/>
        </w:rPr>
      </w:r>
      <w:r>
        <w:rPr>
          <w:spacing w:val="-2"/>
        </w:rPr>
        <w:t>根据工程预算、造价或者工程实际成本等，按估计的价值转入固定资产，并按本公司固定资产折旧政策计</w:t>
      </w:r>
      <w:r>
        <w:rPr>
          <w:spacing w:val="-45"/>
        </w:rPr>
        <w:t> </w:t>
      </w:r>
      <w:r>
        <w:rPr>
          <w:spacing w:val="-45"/>
        </w:rPr>
      </w:r>
      <w:r>
        <w:rPr>
          <w:spacing w:val="-7"/>
        </w:rPr>
        <w:t>提固定资产的折旧，待办理竣工决算后，再按实际成本调整原来的暂估价值，但不调整原已计提的折旧额。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left="573" w:right="0"/>
        <w:jc w:val="left"/>
        <w:rPr>
          <w:b w:val="0"/>
          <w:bCs w:val="0"/>
        </w:rPr>
      </w:pPr>
      <w:r>
        <w:rPr/>
        <w:t>（十八）借款费用</w:t>
      </w:r>
      <w:r>
        <w:rPr>
          <w:b w:val="0"/>
          <w:bCs w:val="0"/>
        </w:rPr>
      </w:r>
    </w:p>
    <w:p>
      <w:pPr>
        <w:spacing w:line="340" w:lineRule="auto" w:before="83"/>
        <w:ind w:left="573" w:right="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8"/>
          <w:sz w:val="21"/>
          <w:szCs w:val="21"/>
        </w:rPr>
        <w:t> </w:t>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本公司发生的借款费用，可直接归属于符合资本化条件的资产的购建或者生产的，予以资本化，计入</w:t>
      </w:r>
    </w:p>
    <w:p>
      <w:pPr>
        <w:pStyle w:val="BodyText"/>
        <w:spacing w:line="393" w:lineRule="auto" w:before="42"/>
        <w:ind w:left="573" w:right="0" w:hanging="421"/>
        <w:jc w:val="left"/>
      </w:pPr>
      <w:r>
        <w:rPr/>
        <w:t>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spacing w:after="0" w:line="393"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391" w:lineRule="auto" w:before="36"/>
        <w:ind w:left="573" w:right="3233"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355" w:lineRule="auto" w:before="44"/>
        <w:ind w:right="0" w:firstLine="420"/>
        <w:jc w:val="left"/>
      </w:pPr>
      <w:r>
        <w:rPr>
          <w:spacing w:val="-5"/>
        </w:rPr>
        <w:t>（</w:t>
      </w:r>
      <w:r>
        <w:rPr>
          <w:rFonts w:ascii="宋体" w:hAnsi="宋体" w:cs="宋体" w:eastAsia="宋体" w:hint="default"/>
          <w:spacing w:val="-5"/>
        </w:rPr>
        <w:t>1</w:t>
      </w:r>
      <w:r>
        <w:rPr>
          <w:spacing w:val="-5"/>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before="73"/>
        <w:ind w:left="573" w:right="0"/>
        <w:jc w:val="left"/>
      </w:pPr>
      <w:r>
        <w:rPr/>
        <w:t>（</w:t>
      </w:r>
      <w:r>
        <w:rPr>
          <w:rFonts w:ascii="宋体" w:hAnsi="宋体" w:cs="宋体" w:eastAsia="宋体" w:hint="default"/>
        </w:rPr>
        <w:t>2</w:t>
      </w:r>
      <w:r>
        <w:rPr/>
        <w:t>）借款费用已经发生；</w:t>
      </w:r>
    </w:p>
    <w:p>
      <w:pPr>
        <w:pStyle w:val="BodyText"/>
        <w:spacing w:line="240" w:lineRule="auto" w:before="174"/>
        <w:ind w:left="573" w:right="0"/>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38" w:lineRule="auto" w:before="0"/>
        <w:ind w:left="573" w:right="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8"/>
          <w:sz w:val="21"/>
          <w:szCs w:val="21"/>
        </w:rPr>
        <w:t> </w:t>
      </w:r>
      <w:r>
        <w:rPr>
          <w:rFonts w:ascii="Microsoft JhengHei" w:hAnsi="Microsoft JhengHei" w:cs="Microsoft JhengHei" w:eastAsia="Microsoft JhengHei" w:hint="default"/>
          <w:b/>
          <w:bCs/>
          <w:sz w:val="21"/>
          <w:szCs w:val="21"/>
        </w:rPr>
        <w:t>借款费用资本化期间</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240" w:lineRule="auto" w:before="47"/>
        <w:ind w:right="0"/>
        <w:jc w:val="both"/>
      </w:pPr>
      <w:r>
        <w:rPr/>
        <w:t>包括在内。</w:t>
      </w:r>
    </w:p>
    <w:p>
      <w:pPr>
        <w:pStyle w:val="BodyText"/>
        <w:spacing w:line="393" w:lineRule="auto" w:before="171"/>
        <w:ind w:left="573" w:right="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74" w:lineRule="exact"/>
        <w:ind w:right="0"/>
        <w:jc w:val="both"/>
      </w:pPr>
      <w:r>
        <w:rPr/>
        <w:t>止资本化。</w:t>
      </w:r>
    </w:p>
    <w:p>
      <w:pPr>
        <w:pStyle w:val="BodyText"/>
        <w:spacing w:line="355" w:lineRule="auto" w:before="174"/>
        <w:ind w:right="0"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340" w:lineRule="auto"/>
        <w:ind w:left="573" w:right="1123"/>
        <w:jc w:val="left"/>
      </w:pPr>
      <w:r>
        <w:rPr>
          <w:rFonts w:ascii="Trebuchet MS" w:hAnsi="Trebuchet MS" w:cs="Trebuchet MS" w:eastAsia="Trebuchet MS" w:hint="default"/>
          <w:b/>
          <w:bCs/>
        </w:rPr>
        <w:t>3</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b/>
          <w:bCs/>
          <w:spacing w:val="-8"/>
        </w:rPr>
        <w:t> </w:t>
      </w:r>
      <w:r>
        <w:rPr>
          <w:rFonts w:ascii="Microsoft JhengHei" w:hAnsi="Microsoft JhengHei" w:cs="Microsoft JhengHei" w:eastAsia="Microsoft JhengHei" w:hint="default"/>
          <w:b/>
          <w:bCs/>
        </w:rPr>
        <w:t>暂停资本化期间</w:t>
      </w:r>
      <w:r>
        <w:rPr>
          <w:rFonts w:ascii="Microsoft JhengHei" w:hAnsi="Microsoft JhengHei" w:cs="Microsoft JhengHei" w:eastAsia="Microsoft JhengHei" w:hint="default"/>
          <w:b/>
          <w:bCs/>
          <w:w w:val="100"/>
        </w:rPr>
        <w:t> </w:t>
      </w:r>
      <w:r>
        <w:rPr/>
        <w:t>符合资本化条件的资产在购建或生产过程中发生的非正常中断、且中断时间连续超过</w:t>
      </w:r>
      <w:r>
        <w:rPr>
          <w:spacing w:val="-54"/>
        </w:rPr>
        <w:t> </w:t>
      </w:r>
      <w:r>
        <w:rPr>
          <w:rFonts w:ascii="宋体" w:hAnsi="宋体" w:cs="宋体" w:eastAsia="宋体" w:hint="default"/>
        </w:rPr>
        <w:t>3</w:t>
      </w:r>
      <w:r>
        <w:rPr>
          <w:rFonts w:ascii="宋体" w:hAnsi="宋体" w:cs="宋体" w:eastAsia="宋体" w:hint="default"/>
          <w:spacing w:val="-57"/>
        </w:rPr>
        <w:t> </w:t>
      </w:r>
      <w:r>
        <w:rPr>
          <w:spacing w:val="-4"/>
        </w:rPr>
        <w:t>个月的，则借</w:t>
      </w:r>
    </w:p>
    <w:p>
      <w:pPr>
        <w:pStyle w:val="BodyText"/>
        <w:spacing w:line="355" w:lineRule="auto" w:before="47"/>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340" w:lineRule="auto" w:before="0"/>
        <w:ind w:left="573" w:right="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4</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8"/>
          <w:sz w:val="21"/>
          <w:szCs w:val="21"/>
        </w:rPr>
        <w:t> </w:t>
      </w:r>
      <w:r>
        <w:rPr>
          <w:rFonts w:ascii="Microsoft JhengHei" w:hAnsi="Microsoft JhengHei" w:cs="Microsoft JhengHei" w:eastAsia="Microsoft JhengHei" w:hint="default"/>
          <w:b/>
          <w:bCs/>
          <w:sz w:val="21"/>
          <w:szCs w:val="21"/>
        </w:rPr>
        <w:t>借款费用资本化金额的计算方法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对于为购建或者生产符合资本化条件的资产而借入的专门借款，以专门借款当期实际发生的借款费用，</w:t>
      </w:r>
    </w:p>
    <w:p>
      <w:pPr>
        <w:pStyle w:val="BodyText"/>
        <w:spacing w:line="355" w:lineRule="auto" w:before="45"/>
        <w:ind w:right="1126"/>
        <w:jc w:val="both"/>
      </w:pPr>
      <w:r>
        <w:rPr>
          <w:spacing w:val="-2"/>
        </w:rPr>
        <w:t>减去尚未动用的借款资金存入银行取得的利息收入或进行暂时性投资取得的投资收益后的金额，来确定借</w:t>
      </w:r>
      <w:r>
        <w:rPr>
          <w:spacing w:val="-43"/>
        </w:rPr>
        <w:t> </w:t>
      </w:r>
      <w:r>
        <w:rPr>
          <w:spacing w:val="-43"/>
        </w:rPr>
      </w:r>
      <w:r>
        <w:rPr/>
        <w:t>款费用的资本化金额。</w:t>
      </w:r>
    </w:p>
    <w:p>
      <w:pPr>
        <w:pStyle w:val="BodyText"/>
        <w:spacing w:line="355" w:lineRule="auto" w:before="75"/>
        <w:ind w:right="0" w:firstLine="420"/>
        <w:jc w:val="left"/>
      </w:pPr>
      <w:r>
        <w:rPr>
          <w:spacing w:val="-2"/>
        </w:rPr>
        <w:t>对于为购建或者生产符合资本化条件的资产而占用的一般借款，根据累计资产支出超过专门借款部分</w:t>
      </w:r>
      <w:r>
        <w:rPr>
          <w:w w:val="100"/>
        </w:rPr>
        <w:t> </w:t>
      </w:r>
      <w:r>
        <w:rPr/>
        <w:t>的资产支出加权平均数乘以所占用一般借款的资本化率，计算确定一般借款应予资本化的借款费用金额。</w:t>
      </w:r>
      <w:r>
        <w:rPr>
          <w:spacing w:val="-24"/>
        </w:rPr>
        <w:t> </w:t>
      </w:r>
      <w:r>
        <w:rPr>
          <w:spacing w:val="-24"/>
        </w:rPr>
      </w:r>
      <w:r>
        <w:rPr/>
        <w:t>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95" w:lineRule="auto"/>
        <w:ind w:left="575" w:right="7324" w:hanging="3"/>
        <w:jc w:val="left"/>
        <w:rPr>
          <w:b w:val="0"/>
          <w:bCs w:val="0"/>
        </w:rPr>
      </w:pPr>
      <w:r>
        <w:rPr>
          <w:spacing w:val="-1"/>
        </w:rPr>
        <w:t>（十九）无形资产与开发支出</w:t>
      </w:r>
      <w:r>
        <w:rPr>
          <w:spacing w:val="-31"/>
        </w:rPr>
        <w:t> </w:t>
      </w:r>
      <w:r>
        <w:rPr>
          <w:spacing w:val="-31"/>
        </w:rPr>
      </w:r>
      <w:r>
        <w:rPr>
          <w:rFonts w:ascii="Trebuchet MS" w:hAnsi="Trebuchet MS" w:cs="Trebuchet MS" w:eastAsia="Trebuchet MS" w:hint="default"/>
        </w:rPr>
        <w:t>1</w:t>
      </w:r>
      <w:r>
        <w:rPr/>
        <w:t>．</w:t>
      </w:r>
      <w:r>
        <w:rPr>
          <w:spacing w:val="41"/>
        </w:rPr>
        <w:t> </w:t>
      </w:r>
      <w:r>
        <w:rPr/>
        <w:t>无形资产的初始计量</w:t>
      </w:r>
      <w:r>
        <w:rPr>
          <w:b w:val="0"/>
          <w:bCs w:val="0"/>
        </w:rPr>
      </w:r>
    </w:p>
    <w:p>
      <w:pPr>
        <w:spacing w:after="0" w:line="295" w:lineRule="auto"/>
        <w:jc w:val="left"/>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4"/>
          <w:szCs w:val="14"/>
        </w:rPr>
      </w:pPr>
    </w:p>
    <w:p>
      <w:pPr>
        <w:pStyle w:val="BodyText"/>
        <w:spacing w:line="355" w:lineRule="auto" w:before="36"/>
        <w:ind w:right="1126" w:firstLine="420"/>
        <w:jc w:val="both"/>
      </w:pPr>
      <w:r>
        <w:rPr>
          <w:spacing w:val="-2"/>
        </w:rPr>
        <w:t>外购无形资产的成本，包括购买价款、相关税费以及直接归属于使该项资产达到预定用途所发生的其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355" w:lineRule="auto" w:before="75"/>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357" w:lineRule="auto" w:before="73"/>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355" w:lineRule="auto" w:before="73"/>
        <w:ind w:right="112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355" w:lineRule="auto" w:before="75"/>
        <w:ind w:right="112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338" w:lineRule="auto" w:before="0"/>
        <w:ind w:left="573" w:right="0" w:firstLine="2"/>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无形资产的后续计量</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本公司在取得无形资产时分析判断其使用寿命，划分为使用寿命有限和使用寿命不确定的无形资产。</w:t>
      </w:r>
    </w:p>
    <w:p>
      <w:pPr>
        <w:pStyle w:val="BodyText"/>
        <w:spacing w:line="393" w:lineRule="auto" w:before="88"/>
        <w:ind w:left="573" w:right="0"/>
        <w:jc w:val="left"/>
      </w:pPr>
      <w:r>
        <w:rPr/>
        <w:t>（</w:t>
      </w:r>
      <w:r>
        <w:rPr>
          <w:rFonts w:ascii="宋体" w:hAnsi="宋体" w:cs="宋体" w:eastAsia="宋体"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BodyText"/>
        <w:spacing w:line="271" w:lineRule="exact"/>
        <w:ind w:right="0"/>
        <w:jc w:val="left"/>
      </w:pPr>
      <w:r>
        <w:rPr/>
        <w:t>资产预计寿命及依据如下：</w:t>
      </w:r>
    </w:p>
    <w:p>
      <w:pPr>
        <w:spacing w:line="240" w:lineRule="auto" w:before="1"/>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3227"/>
        <w:gridCol w:w="2144"/>
        <w:gridCol w:w="4285"/>
      </w:tblGrid>
      <w:tr>
        <w:trPr>
          <w:trHeight w:val="365" w:hRule="exact"/>
        </w:trPr>
        <w:tc>
          <w:tcPr>
            <w:tcW w:w="32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right="89"/>
              <w:jc w:val="center"/>
              <w:rPr>
                <w:rFonts w:ascii="宋体" w:hAnsi="宋体" w:cs="宋体" w:eastAsia="宋体" w:hint="default"/>
                <w:sz w:val="18"/>
                <w:szCs w:val="18"/>
              </w:rPr>
            </w:pPr>
            <w:r>
              <w:rPr>
                <w:rFonts w:ascii="宋体" w:hAnsi="宋体" w:cs="宋体" w:eastAsia="宋体" w:hint="default"/>
                <w:sz w:val="18"/>
                <w:szCs w:val="18"/>
              </w:rPr>
              <w:t>项目</w:t>
            </w:r>
          </w:p>
        </w:tc>
        <w:tc>
          <w:tcPr>
            <w:tcW w:w="21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93"/>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2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98"/>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1"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1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right="93"/>
              <w:jc w:val="center"/>
              <w:rPr>
                <w:rFonts w:ascii="宋体" w:hAnsi="宋体" w:cs="宋体" w:eastAsia="宋体" w:hint="default"/>
                <w:sz w:val="20"/>
                <w:szCs w:val="20"/>
              </w:rPr>
            </w:pPr>
            <w:r>
              <w:rPr>
                <w:rFonts w:ascii="宋体" w:hAnsi="宋体" w:cs="宋体" w:eastAsia="宋体" w:hint="default"/>
                <w:sz w:val="20"/>
                <w:szCs w:val="20"/>
              </w:rPr>
              <w:t>50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2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0"/>
              <w:jc w:val="center"/>
              <w:rPr>
                <w:rFonts w:ascii="宋体" w:hAnsi="宋体" w:cs="宋体" w:eastAsia="宋体" w:hint="default"/>
                <w:sz w:val="20"/>
                <w:szCs w:val="20"/>
              </w:rPr>
            </w:pPr>
            <w:r>
              <w:rPr>
                <w:rFonts w:ascii="宋体" w:hAnsi="宋体" w:cs="宋体" w:eastAsia="宋体" w:hint="default"/>
                <w:sz w:val="20"/>
                <w:szCs w:val="20"/>
              </w:rPr>
              <w:t>土地使用权证规定的使用年限</w:t>
            </w:r>
          </w:p>
        </w:tc>
      </w:tr>
      <w:tr>
        <w:trPr>
          <w:trHeight w:val="403"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14" w:right="0"/>
              <w:jc w:val="left"/>
              <w:rPr>
                <w:rFonts w:ascii="宋体" w:hAnsi="宋体" w:cs="宋体" w:eastAsia="宋体" w:hint="default"/>
                <w:sz w:val="20"/>
                <w:szCs w:val="20"/>
              </w:rPr>
            </w:pPr>
            <w:r>
              <w:rPr>
                <w:rFonts w:ascii="宋体" w:hAnsi="宋体" w:cs="宋体" w:eastAsia="宋体" w:hint="default"/>
                <w:sz w:val="20"/>
                <w:szCs w:val="20"/>
              </w:rPr>
              <w:t>商标注册费</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right="93"/>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2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1"/>
              <w:jc w:val="center"/>
              <w:rPr>
                <w:rFonts w:ascii="宋体" w:hAnsi="宋体" w:cs="宋体" w:eastAsia="宋体" w:hint="default"/>
                <w:sz w:val="20"/>
                <w:szCs w:val="20"/>
              </w:rPr>
            </w:pPr>
            <w:r>
              <w:rPr>
                <w:rFonts w:ascii="宋体" w:hAnsi="宋体" w:cs="宋体" w:eastAsia="宋体" w:hint="default"/>
                <w:sz w:val="20"/>
                <w:szCs w:val="20"/>
              </w:rPr>
              <w:t>合同</w:t>
            </w:r>
          </w:p>
        </w:tc>
      </w:tr>
      <w:tr>
        <w:trPr>
          <w:trHeight w:val="401"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14"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right="93"/>
              <w:jc w:val="center"/>
              <w:rPr>
                <w:rFonts w:ascii="宋体" w:hAnsi="宋体" w:cs="宋体" w:eastAsia="宋体" w:hint="default"/>
                <w:sz w:val="20"/>
                <w:szCs w:val="20"/>
              </w:rPr>
            </w:pPr>
            <w:r>
              <w:rPr>
                <w:rFonts w:ascii="宋体" w:hAnsi="宋体" w:cs="宋体" w:eastAsia="宋体" w:hint="default"/>
                <w:sz w:val="20"/>
                <w:szCs w:val="20"/>
              </w:rPr>
              <w:t>3-5</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42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2"/>
              <w:jc w:val="center"/>
              <w:rPr>
                <w:rFonts w:ascii="宋体" w:hAnsi="宋体" w:cs="宋体" w:eastAsia="宋体" w:hint="default"/>
                <w:sz w:val="20"/>
                <w:szCs w:val="20"/>
              </w:rPr>
            </w:pPr>
            <w:r>
              <w:rPr>
                <w:rFonts w:ascii="宋体" w:hAnsi="宋体" w:cs="宋体" w:eastAsia="宋体" w:hint="default"/>
                <w:sz w:val="20"/>
                <w:szCs w:val="20"/>
              </w:rPr>
              <w:t>合同、行业情况及企业历史经验</w:t>
            </w:r>
          </w:p>
        </w:tc>
      </w:tr>
      <w:tr>
        <w:trPr>
          <w:trHeight w:val="403"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3"/>
              <w:ind w:left="14" w:right="0"/>
              <w:jc w:val="left"/>
              <w:rPr>
                <w:rFonts w:ascii="宋体" w:hAnsi="宋体" w:cs="宋体" w:eastAsia="宋体" w:hint="default"/>
                <w:sz w:val="20"/>
                <w:szCs w:val="20"/>
              </w:rPr>
            </w:pPr>
            <w:r>
              <w:rPr>
                <w:rFonts w:ascii="宋体" w:hAnsi="宋体" w:cs="宋体" w:eastAsia="宋体" w:hint="default"/>
                <w:sz w:val="20"/>
                <w:szCs w:val="20"/>
              </w:rPr>
              <w:t>特许经营权</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right="93"/>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2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1"/>
              <w:jc w:val="center"/>
              <w:rPr>
                <w:rFonts w:ascii="宋体" w:hAnsi="宋体" w:cs="宋体" w:eastAsia="宋体" w:hint="default"/>
                <w:sz w:val="20"/>
                <w:szCs w:val="20"/>
              </w:rPr>
            </w:pPr>
            <w:r>
              <w:rPr>
                <w:rFonts w:ascii="宋体" w:hAnsi="宋体" w:cs="宋体" w:eastAsia="宋体" w:hint="default"/>
                <w:sz w:val="20"/>
                <w:szCs w:val="20"/>
              </w:rPr>
              <w:t>合同</w:t>
            </w:r>
          </w:p>
        </w:tc>
      </w:tr>
      <w:tr>
        <w:trPr>
          <w:trHeight w:val="413" w:hRule="exact"/>
        </w:trPr>
        <w:tc>
          <w:tcPr>
            <w:tcW w:w="32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3"/>
              <w:ind w:left="1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3"/>
              <w:ind w:right="93"/>
              <w:jc w:val="center"/>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42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3"/>
              <w:ind w:right="101"/>
              <w:jc w:val="center"/>
              <w:rPr>
                <w:rFonts w:ascii="宋体" w:hAnsi="宋体" w:cs="宋体" w:eastAsia="宋体" w:hint="default"/>
                <w:sz w:val="20"/>
                <w:szCs w:val="20"/>
              </w:rPr>
            </w:pPr>
            <w:r>
              <w:rPr>
                <w:rFonts w:ascii="宋体" w:hAnsi="宋体" w:cs="宋体" w:eastAsia="宋体" w:hint="default"/>
                <w:sz w:val="20"/>
                <w:szCs w:val="20"/>
              </w:rPr>
              <w:t>合同</w:t>
            </w:r>
          </w:p>
        </w:tc>
      </w:tr>
    </w:tbl>
    <w:p>
      <w:pPr>
        <w:pStyle w:val="BodyText"/>
        <w:spacing w:line="241" w:lineRule="exact"/>
        <w:ind w:left="573" w:right="0"/>
        <w:jc w:val="left"/>
      </w:pPr>
      <w:r>
        <w:rPr/>
        <w:t>每年度终了，对使用寿命有限的无形资产的使用寿命及摊销方法进行复核。经复核，本年期末无形资</w:t>
      </w:r>
    </w:p>
    <w:p>
      <w:pPr>
        <w:pStyle w:val="BodyText"/>
        <w:spacing w:line="240" w:lineRule="auto" w:before="133"/>
        <w:ind w:right="0"/>
        <w:jc w:val="left"/>
      </w:pPr>
      <w:r>
        <w:rPr/>
        <w:t>产的使用寿命及摊销方法与以前估计未有不同。</w:t>
      </w:r>
    </w:p>
    <w:p>
      <w:pPr>
        <w:pStyle w:val="BodyText"/>
        <w:spacing w:line="355" w:lineRule="auto" w:before="133"/>
        <w:ind w:left="573" w:right="3233"/>
        <w:jc w:val="left"/>
      </w:pPr>
      <w:r>
        <w:rPr/>
        <w:t>（</w:t>
      </w:r>
      <w:r>
        <w:rPr>
          <w:rFonts w:ascii="宋体" w:hAnsi="宋体" w:cs="宋体" w:eastAsia="宋体" w:hint="default"/>
        </w:rPr>
        <w:t>2</w:t>
      </w:r>
      <w:r>
        <w:rPr/>
        <w:t>）使用寿命不确定的无形资产</w:t>
      </w:r>
      <w:r>
        <w:rPr>
          <w:w w:val="100"/>
        </w:rPr>
        <w:t> </w:t>
      </w:r>
      <w:r>
        <w:rPr>
          <w:spacing w:val="-2"/>
        </w:rPr>
        <w:t>每期末，对使用寿命不确定的无形资产的使用寿命进行复核。</w:t>
      </w:r>
    </w:p>
    <w:p>
      <w:pPr>
        <w:pStyle w:val="BodyText"/>
        <w:spacing w:line="355" w:lineRule="auto" w:before="34"/>
        <w:ind w:right="1150" w:firstLine="420"/>
        <w:jc w:val="left"/>
      </w:pPr>
      <w:r>
        <w:rPr>
          <w:spacing w:val="-2"/>
        </w:rPr>
        <w:t>经复核，该类无形资产的使用寿命仍为不确定，则在下一会计期间继续作为使用寿命不确定的无形资</w:t>
      </w:r>
      <w:r>
        <w:rPr>
          <w:w w:val="100"/>
        </w:rPr>
        <w:t> </w:t>
      </w:r>
      <w:r>
        <w:rPr/>
        <w:t>产核算。</w:t>
      </w:r>
    </w:p>
    <w:p>
      <w:pPr>
        <w:spacing w:after="0" w:line="355" w:lineRule="auto"/>
        <w:jc w:val="lef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628"/>
        <w:gridCol w:w="7026"/>
      </w:tblGrid>
      <w:tr>
        <w:trPr>
          <w:trHeight w:val="365" w:hRule="exact"/>
        </w:trPr>
        <w:tc>
          <w:tcPr>
            <w:tcW w:w="262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right="86"/>
              <w:jc w:val="center"/>
              <w:rPr>
                <w:rFonts w:ascii="宋体" w:hAnsi="宋体" w:cs="宋体" w:eastAsia="宋体" w:hint="default"/>
                <w:sz w:val="18"/>
                <w:szCs w:val="18"/>
              </w:rPr>
            </w:pPr>
            <w:r>
              <w:rPr>
                <w:rFonts w:ascii="宋体" w:hAnsi="宋体" w:cs="宋体" w:eastAsia="宋体" w:hint="default"/>
                <w:sz w:val="18"/>
                <w:szCs w:val="18"/>
              </w:rPr>
              <w:t>项目</w:t>
            </w:r>
          </w:p>
        </w:tc>
        <w:tc>
          <w:tcPr>
            <w:tcW w:w="70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101"/>
              <w:jc w:val="center"/>
              <w:rPr>
                <w:rFonts w:ascii="宋体" w:hAnsi="宋体" w:cs="宋体" w:eastAsia="宋体" w:hint="default"/>
                <w:sz w:val="18"/>
                <w:szCs w:val="18"/>
              </w:rPr>
            </w:pPr>
            <w:r>
              <w:rPr>
                <w:rFonts w:ascii="宋体" w:hAnsi="宋体" w:cs="宋体" w:eastAsia="宋体" w:hint="default"/>
                <w:sz w:val="18"/>
                <w:szCs w:val="18"/>
              </w:rPr>
              <w:t>使用寿命不确定的依据</w:t>
            </w:r>
          </w:p>
        </w:tc>
      </w:tr>
      <w:tr>
        <w:trPr>
          <w:trHeight w:val="401" w:hRule="exact"/>
        </w:trPr>
        <w:tc>
          <w:tcPr>
            <w:tcW w:w="26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交易席位费</w:t>
            </w:r>
          </w:p>
        </w:tc>
        <w:tc>
          <w:tcPr>
            <w:tcW w:w="70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0"/>
              <w:jc w:val="left"/>
              <w:rPr>
                <w:rFonts w:ascii="宋体" w:hAnsi="宋体" w:cs="宋体" w:eastAsia="宋体" w:hint="default"/>
                <w:sz w:val="20"/>
                <w:szCs w:val="20"/>
              </w:rPr>
            </w:pPr>
            <w:r>
              <w:rPr>
                <w:rFonts w:ascii="宋体" w:hAnsi="宋体" w:cs="宋体" w:eastAsia="宋体" w:hint="default"/>
                <w:sz w:val="20"/>
                <w:szCs w:val="20"/>
              </w:rPr>
              <w:t>席位使用无期限的限制</w:t>
            </w:r>
          </w:p>
        </w:tc>
      </w:tr>
      <w:tr>
        <w:trPr>
          <w:trHeight w:val="413" w:hRule="exact"/>
        </w:trPr>
        <w:tc>
          <w:tcPr>
            <w:tcW w:w="26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期货会员资格</w:t>
            </w:r>
          </w:p>
        </w:tc>
        <w:tc>
          <w:tcPr>
            <w:tcW w:w="70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3"/>
              <w:ind w:right="0"/>
              <w:jc w:val="left"/>
              <w:rPr>
                <w:rFonts w:ascii="宋体" w:hAnsi="宋体" w:cs="宋体" w:eastAsia="宋体" w:hint="default"/>
                <w:sz w:val="20"/>
                <w:szCs w:val="20"/>
              </w:rPr>
            </w:pPr>
            <w:r>
              <w:rPr>
                <w:rFonts w:ascii="宋体" w:hAnsi="宋体" w:cs="宋体" w:eastAsia="宋体" w:hint="default"/>
                <w:sz w:val="20"/>
                <w:szCs w:val="20"/>
              </w:rPr>
              <w:t>会员资格使用无期限的限制</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tabs>
          <w:tab w:pos="933" w:val="left" w:leader="none"/>
        </w:tabs>
        <w:spacing w:line="335" w:lineRule="exact"/>
        <w:ind w:left="573" w:right="0"/>
        <w:jc w:val="left"/>
        <w:rPr>
          <w:b w:val="0"/>
          <w:bCs w:val="0"/>
        </w:rPr>
      </w:pPr>
      <w:r>
        <w:rPr>
          <w:rFonts w:ascii="Times New Roman" w:hAnsi="Times New Roman" w:cs="Times New Roman" w:eastAsia="Times New Roman" w:hint="default"/>
        </w:rPr>
        <w:t>3.</w:t>
        <w:tab/>
      </w:r>
      <w:r>
        <w:rPr/>
        <w:t>划分公司内部研究开发项目的研究阶段和开发阶段具体标准</w:t>
      </w:r>
      <w:r>
        <w:rPr>
          <w:b w:val="0"/>
          <w:bCs w:val="0"/>
        </w:rPr>
      </w:r>
    </w:p>
    <w:p>
      <w:pPr>
        <w:pStyle w:val="BodyText"/>
        <w:spacing w:line="393" w:lineRule="auto" w:before="147"/>
        <w:ind w:left="573" w:right="0"/>
        <w:jc w:val="left"/>
      </w:pP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72" w:lineRule="exact"/>
        <w:ind w:right="0"/>
        <w:jc w:val="both"/>
      </w:pPr>
      <w:r>
        <w:rPr/>
        <w:t>的或具有实质性改进的材料、装置、产品等活动的阶段。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tabs>
          <w:tab w:pos="933" w:val="left" w:leader="none"/>
        </w:tabs>
        <w:spacing w:line="338" w:lineRule="auto" w:before="0"/>
        <w:ind w:left="573" w:right="34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tab/>
      </w:r>
      <w:r>
        <w:rPr>
          <w:rFonts w:ascii="Microsoft JhengHei" w:hAnsi="Microsoft JhengHei" w:cs="Microsoft JhengHei" w:eastAsia="Microsoft JhengHei" w:hint="default"/>
          <w:b/>
          <w:bCs/>
          <w:sz w:val="21"/>
          <w:szCs w:val="21"/>
        </w:rPr>
        <w:t>开发阶段支出符合资本化的具体标准</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88"/>
        <w:ind w:left="57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58"/>
        <w:ind w:left="57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6" w:lineRule="auto" w:before="160"/>
        <w:ind w:right="0"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336" w:lineRule="auto" w:before="92"/>
        <w:ind w:right="1150" w:firstLine="420"/>
        <w:jc w:val="left"/>
      </w:pPr>
      <w:r>
        <w:rPr>
          <w:spacing w:val="-5"/>
        </w:rPr>
        <w:t>（</w:t>
      </w:r>
      <w:r>
        <w:rPr>
          <w:rFonts w:ascii="Times New Roman" w:hAnsi="Times New Roman" w:cs="Times New Roman" w:eastAsia="Times New Roman" w:hint="default"/>
          <w:spacing w:val="-5"/>
        </w:rPr>
        <w:t>4</w:t>
      </w:r>
      <w:r>
        <w:rPr>
          <w:spacing w:val="-5"/>
        </w:rPr>
        <w:t>）有足够的技术、财务资源和其他资源支持，以完成该无形资产的开发，并有能力使用或出售该无</w:t>
      </w:r>
      <w:r>
        <w:rPr>
          <w:w w:val="100"/>
        </w:rPr>
        <w:t> </w:t>
      </w:r>
      <w:r>
        <w:rPr/>
        <w:t>形资产；</w:t>
      </w:r>
    </w:p>
    <w:p>
      <w:pPr>
        <w:pStyle w:val="BodyText"/>
        <w:spacing w:line="372" w:lineRule="auto" w:before="90"/>
        <w:ind w:left="573"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3"/>
        </w:rPr>
        <w:t>开发阶段的支出，若不满足上列条件的，于发生时计入当期损益。研究阶段的支出，在发生时计入当</w:t>
      </w:r>
    </w:p>
    <w:p>
      <w:pPr>
        <w:pStyle w:val="BodyText"/>
        <w:spacing w:line="240" w:lineRule="auto" w:before="15"/>
        <w:ind w:right="0"/>
        <w:jc w:val="both"/>
      </w:pPr>
      <w:r>
        <w:rPr/>
        <w:t>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340" w:lineRule="auto"/>
        <w:ind w:left="573" w:right="0" w:firstLine="2"/>
        <w:jc w:val="left"/>
      </w:pPr>
      <w:r>
        <w:rPr>
          <w:rFonts w:ascii="Microsoft JhengHei" w:hAnsi="Microsoft JhengHei" w:cs="Microsoft JhengHei" w:eastAsia="Microsoft JhengHei" w:hint="default"/>
          <w:b/>
          <w:bCs/>
        </w:rPr>
        <w:t>（二十）长期资产减值</w:t>
      </w:r>
      <w:r>
        <w:rPr>
          <w:rFonts w:ascii="Microsoft JhengHei" w:hAnsi="Microsoft JhengHei" w:cs="Microsoft JhengHei" w:eastAsia="Microsoft JhengHei" w:hint="default"/>
          <w:b/>
          <w:bCs/>
          <w:spacing w:val="-46"/>
        </w:rPr>
        <w:t> </w:t>
      </w:r>
      <w:r>
        <w:rPr>
          <w:rFonts w:ascii="Microsoft JhengHei" w:hAnsi="Microsoft JhengHei" w:cs="Microsoft JhengHei" w:eastAsia="Microsoft JhengHei" w:hint="default"/>
          <w:b/>
          <w:bCs/>
          <w:spacing w:val="-46"/>
        </w:rPr>
      </w:r>
      <w:r>
        <w:rPr>
          <w:spacing w:val="-2"/>
        </w:rPr>
        <w:t>股权投资、固定资产、在建工程、使用寿命有限的无形资产等长期资产，于资产负债表日存在减值迹</w:t>
      </w:r>
    </w:p>
    <w:p>
      <w:pPr>
        <w:pStyle w:val="BodyText"/>
        <w:spacing w:line="355" w:lineRule="auto" w:before="45"/>
        <w:ind w:right="1028"/>
        <w:jc w:val="both"/>
      </w:pPr>
      <w:r>
        <w:rPr>
          <w:spacing w:val="-2"/>
        </w:rPr>
        <w:t>象的，进行减值测试。减值测试结果表明资产的可收回金额低于其账面价值的，按其差额计提减值准备并</w:t>
      </w:r>
      <w:r>
        <w:rPr>
          <w:spacing w:val="-43"/>
        </w:rPr>
        <w:t> </w:t>
      </w:r>
      <w:r>
        <w:rPr>
          <w:spacing w:val="-43"/>
        </w:rPr>
      </w:r>
      <w:r>
        <w:rPr>
          <w:spacing w:val="-2"/>
        </w:rPr>
        <w:t>计入减值损失。可收回金额为资产的公允价值减去处置费用后的净额与资产预计未来现金流量的现值两者</w:t>
      </w:r>
      <w:r>
        <w:rPr>
          <w:spacing w:val="-43"/>
        </w:rPr>
        <w:t> </w:t>
      </w:r>
      <w:r>
        <w:rPr>
          <w:spacing w:val="-43"/>
        </w:rPr>
      </w:r>
      <w:r>
        <w:rPr>
          <w:spacing w:val="-2"/>
        </w:rPr>
        <w:t>之间的较高者。资产减值准备按单项资产为基础计算并确认，如果难以对单项资产的可收回金额进行估计</w:t>
      </w:r>
      <w:r>
        <w:rPr>
          <w:spacing w:val="-42"/>
        </w:rPr>
        <w:t> </w:t>
      </w:r>
      <w:r>
        <w:rPr>
          <w:spacing w:val="-42"/>
        </w:rPr>
      </w:r>
      <w:r>
        <w:rPr/>
        <w:t>的，以该资产所属的资产组确定资产组的可收回金额。资产组是能够独立产生现金流入的最小资产组合。</w:t>
      </w:r>
    </w:p>
    <w:p>
      <w:pPr>
        <w:pStyle w:val="BodyText"/>
        <w:spacing w:line="393" w:lineRule="auto" w:before="70"/>
        <w:ind w:left="573" w:right="0"/>
        <w:jc w:val="left"/>
      </w:pP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本公司进行商誉减值测试，对于因企业合并形成的商誉的账面价值，自购买日起按照合理的方法分摊</w:t>
      </w:r>
    </w:p>
    <w:p>
      <w:pPr>
        <w:pStyle w:val="BodyText"/>
        <w:spacing w:line="357" w:lineRule="auto" w:before="1"/>
        <w:ind w:right="112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p>
    <w:p>
      <w:pPr>
        <w:spacing w:after="0" w:line="357" w:lineRule="auto"/>
        <w:jc w:val="both"/>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0"/>
        <w:jc w:val="left"/>
      </w:pP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BodyText"/>
        <w:spacing w:line="355" w:lineRule="auto" w:before="75"/>
        <w:ind w:right="1126" w:firstLine="420"/>
        <w:jc w:val="both"/>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p>
    <w:p>
      <w:pPr>
        <w:pStyle w:val="BodyText"/>
        <w:spacing w:line="240" w:lineRule="auto" w:before="73"/>
        <w:ind w:left="573" w:right="0"/>
        <w:jc w:val="left"/>
      </w:pPr>
      <w:r>
        <w:rPr/>
        <w:t>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336" w:lineRule="auto" w:before="0"/>
        <w:ind w:left="573" w:right="198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（二十一）长期待摊费用</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长期待摊费用为已经发生但应由本期和以后各期负担的分摊期限在一年以上的各项费用。</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摊销方法</w:t>
      </w:r>
      <w:r>
        <w:rPr>
          <w:rFonts w:ascii="Microsoft JhengHei" w:hAnsi="Microsoft JhengHei" w:cs="Microsoft JhengHei" w:eastAsia="Microsoft JhengHei" w:hint="default"/>
          <w:sz w:val="21"/>
          <w:szCs w:val="21"/>
        </w:rPr>
      </w:r>
    </w:p>
    <w:p>
      <w:pPr>
        <w:spacing w:line="333" w:lineRule="auto" w:before="38"/>
        <w:ind w:left="573" w:right="6919"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长期待摊费用在受益期内平均摊销。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摊销年限</w:t>
      </w:r>
      <w:r>
        <w:rPr>
          <w:rFonts w:ascii="Microsoft JhengHei" w:hAnsi="Microsoft JhengHei" w:cs="Microsoft JhengHei" w:eastAsia="Microsoft JhengHei" w:hint="default"/>
          <w:sz w:val="21"/>
          <w:szCs w:val="21"/>
        </w:rPr>
      </w:r>
    </w:p>
    <w:p>
      <w:pPr>
        <w:pStyle w:val="BodyText"/>
        <w:spacing w:line="355" w:lineRule="auto" w:before="43"/>
        <w:ind w:right="1126" w:firstLine="420"/>
        <w:jc w:val="both"/>
      </w:pPr>
      <w:r>
        <w:rPr/>
        <w:t>长期待摊费用摊销年限为 </w:t>
      </w:r>
      <w:r>
        <w:rPr>
          <w:rFonts w:ascii="宋体" w:hAnsi="宋体" w:cs="宋体" w:eastAsia="宋体" w:hint="default"/>
        </w:rPr>
        <w:t>3-10</w:t>
      </w:r>
      <w:r>
        <w:rPr>
          <w:rFonts w:ascii="宋体" w:hAnsi="宋体" w:cs="宋体" w:eastAsia="宋体" w:hint="default"/>
          <w:spacing w:val="-28"/>
        </w:rPr>
        <w:t> </w:t>
      </w:r>
      <w:r>
        <w:rPr/>
        <w:t>年，对不能使以后会计期间受益的长期待摊费用项目，其摊余价值全</w:t>
      </w:r>
      <w:r>
        <w:rPr>
          <w:w w:val="100"/>
        </w:rPr>
        <w:t> </w:t>
      </w:r>
      <w:r>
        <w:rPr/>
        <w:t>部计入当期损益。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ind w:left="573" w:right="0"/>
        <w:jc w:val="left"/>
        <w:rPr>
          <w:b w:val="0"/>
          <w:bCs w:val="0"/>
        </w:rPr>
      </w:pPr>
      <w:r>
        <w:rPr/>
        <w:t>（二十二）职工薪酬</w:t>
      </w:r>
      <w:r>
        <w:rPr>
          <w:b w:val="0"/>
          <w:bCs w:val="0"/>
        </w:rPr>
      </w:r>
    </w:p>
    <w:p>
      <w:pPr>
        <w:spacing w:line="240" w:lineRule="auto" w:before="10"/>
        <w:rPr>
          <w:rFonts w:ascii="Microsoft JhengHei" w:hAnsi="Microsoft JhengHei" w:cs="Microsoft JhengHei" w:eastAsia="Microsoft JhengHei" w:hint="default"/>
          <w:b/>
          <w:bCs/>
          <w:sz w:val="10"/>
          <w:szCs w:val="10"/>
        </w:rPr>
      </w:pPr>
    </w:p>
    <w:p>
      <w:pPr>
        <w:spacing w:line="314" w:lineRule="auto" w:before="0"/>
        <w:ind w:left="573" w:right="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4"/>
          <w:sz w:val="21"/>
          <w:szCs w:val="21"/>
        </w:rPr>
        <w:t>本公司在职工为本公司提供服务的会计期间，将实际发生的短期薪酬确认为负债，并计入当期损益</w:t>
      </w:r>
    </w:p>
    <w:p>
      <w:pPr>
        <w:pStyle w:val="BodyText"/>
        <w:spacing w:line="393" w:lineRule="auto" w:before="65"/>
        <w:ind w:left="573" w:right="0" w:hanging="421"/>
        <w:jc w:val="left"/>
      </w:pPr>
      <w:r>
        <w:rPr/>
        <w:t>或相关资产成本。</w:t>
      </w:r>
      <w:r>
        <w:rPr>
          <w:w w:val="100"/>
        </w:rPr>
        <w:t> </w:t>
      </w:r>
      <w:r>
        <w:rPr>
          <w:spacing w:val="-2"/>
        </w:rPr>
        <w:t>本公司为职工缴纳的社会保险费和住房公积金，以及按规定提取的工会经费和职工教育经费，在职工</w:t>
      </w:r>
    </w:p>
    <w:p>
      <w:pPr>
        <w:pStyle w:val="BodyText"/>
        <w:spacing w:line="355" w:lineRule="auto"/>
        <w:ind w:right="0"/>
        <w:jc w:val="left"/>
      </w:pPr>
      <w:r>
        <w:rPr>
          <w:spacing w:val="-2"/>
        </w:rPr>
        <w:t>为本公司提供服务的会计期间，根据规定的计提基础和计提比例计算确定相应的职工薪酬金额。职工福利</w:t>
      </w:r>
      <w:r>
        <w:rPr>
          <w:spacing w:val="-42"/>
        </w:rPr>
        <w:t> </w:t>
      </w:r>
      <w:r>
        <w:rPr>
          <w:spacing w:val="-42"/>
        </w:rPr>
      </w:r>
      <w:r>
        <w:rPr/>
        <w:t>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573" w:right="0"/>
        <w:jc w:val="left"/>
        <w:rPr>
          <w:b w:val="0"/>
          <w:bCs w:val="0"/>
        </w:rPr>
      </w:pPr>
      <w:r>
        <w:rPr>
          <w:rFonts w:ascii="Trebuchet MS" w:hAnsi="Trebuchet MS" w:cs="Trebuchet MS" w:eastAsia="Trebuchet MS" w:hint="default"/>
        </w:rPr>
        <w:t>2</w:t>
      </w:r>
      <w:r>
        <w:rPr/>
        <w:t>．</w:t>
      </w:r>
      <w:r>
        <w:rPr>
          <w:spacing w:val="42"/>
        </w:rPr>
        <w:t> </w:t>
      </w:r>
      <w:r>
        <w:rPr/>
        <w:t>离职后福利的会计处理方法</w:t>
      </w:r>
      <w:r>
        <w:rPr>
          <w:b w:val="0"/>
          <w:bCs w:val="0"/>
        </w:rPr>
      </w:r>
    </w:p>
    <w:p>
      <w:pPr>
        <w:pStyle w:val="BodyText"/>
        <w:spacing w:line="393" w:lineRule="auto" w:before="107"/>
        <w:ind w:left="573" w:right="0"/>
        <w:jc w:val="left"/>
      </w:pPr>
      <w:r>
        <w:rPr/>
        <w:t>（</w:t>
      </w:r>
      <w:r>
        <w:rPr>
          <w:rFonts w:ascii="宋体" w:hAnsi="宋体" w:cs="宋体" w:eastAsia="宋体" w:hint="default"/>
        </w:rPr>
        <w:t>1</w:t>
      </w:r>
      <w:r>
        <w:rPr/>
        <w:t>）设定提存计划</w:t>
      </w:r>
      <w:r>
        <w:rPr>
          <w:w w:val="100"/>
        </w:rPr>
        <w:t> </w:t>
      </w:r>
      <w:r>
        <w:rPr>
          <w:spacing w:val="-2"/>
        </w:rPr>
        <w:t>本公司按当地政府的相关规定为职工缴纳基本养老保险和失业保险，在职工为本公司提供服务的会计</w:t>
      </w:r>
    </w:p>
    <w:p>
      <w:pPr>
        <w:pStyle w:val="BodyText"/>
        <w:spacing w:line="391" w:lineRule="auto"/>
        <w:ind w:left="573" w:right="0" w:hanging="421"/>
        <w:jc w:val="left"/>
      </w:pPr>
      <w:r>
        <w:rPr/>
        <w:t>期间，按以当地规定的缴纳基数和比例计算应缴纳金额，确认为负债，并计入当期损益或相关资产成本。</w:t>
      </w:r>
      <w:r>
        <w:rPr>
          <w:spacing w:val="-24"/>
        </w:rPr>
        <w:t> </w:t>
      </w:r>
      <w:r>
        <w:rPr>
          <w:spacing w:val="-24"/>
        </w:rPr>
      </w:r>
      <w:r>
        <w:rPr>
          <w:spacing w:val="-2"/>
          <w:w w:val="100"/>
        </w:rPr>
        <w:t>除基本养老保险外，本公司还依据国家企业年金制度的相关政策建立了企业年金缴费制度。（补充养</w:t>
      </w:r>
    </w:p>
    <w:p>
      <w:pPr>
        <w:pStyle w:val="BodyText"/>
        <w:spacing w:line="355" w:lineRule="auto" w:before="3"/>
        <w:ind w:right="0"/>
        <w:jc w:val="left"/>
      </w:pPr>
      <w:r>
        <w:rPr>
          <w:spacing w:val="-2"/>
        </w:rPr>
        <w:t>老保险）</w:t>
      </w:r>
      <w:r>
        <w:rPr>
          <w:rFonts w:ascii="宋体" w:hAnsi="宋体" w:cs="宋体" w:eastAsia="宋体" w:hint="default"/>
          <w:spacing w:val="-2"/>
        </w:rPr>
        <w:t>/</w:t>
      </w:r>
      <w:r>
        <w:rPr>
          <w:spacing w:val="-2"/>
        </w:rPr>
        <w:t>企业年金计划。本公司按职工工资总额的一定比例向当地社会保险机构缴费</w:t>
      </w:r>
      <w:r>
        <w:rPr>
          <w:rFonts w:ascii="宋体" w:hAnsi="宋体" w:cs="宋体" w:eastAsia="宋体" w:hint="default"/>
          <w:spacing w:val="-2"/>
        </w:rPr>
        <w:t>/</w:t>
      </w:r>
      <w:r>
        <w:rPr>
          <w:spacing w:val="-2"/>
        </w:rPr>
        <w:t>年金计划缴费，相</w:t>
      </w:r>
      <w:r>
        <w:rPr>
          <w:spacing w:val="-43"/>
        </w:rPr>
        <w:t> </w:t>
      </w:r>
      <w:r>
        <w:rPr>
          <w:spacing w:val="-43"/>
        </w:rPr>
      </w:r>
      <w:r>
        <w:rPr/>
        <w:t>应支出计入当期损益或相关资产成本。</w:t>
      </w:r>
    </w:p>
    <w:p>
      <w:pPr>
        <w:spacing w:after="0" w:line="355"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393" w:lineRule="auto" w:before="36"/>
        <w:ind w:left="573" w:right="0"/>
        <w:jc w:val="left"/>
      </w:pPr>
      <w:r>
        <w:rPr/>
        <w:t>（</w:t>
      </w:r>
      <w:r>
        <w:rPr>
          <w:rFonts w:ascii="宋体" w:hAnsi="宋体" w:cs="宋体" w:eastAsia="宋体" w:hint="default"/>
        </w:rPr>
        <w:t>2</w:t>
      </w:r>
      <w:r>
        <w:rPr/>
        <w:t>）设定受益计划</w:t>
      </w:r>
      <w:r>
        <w:rPr>
          <w:w w:val="100"/>
        </w:rPr>
        <w:t> </w:t>
      </w:r>
      <w:r>
        <w:rPr>
          <w:spacing w:val="2"/>
        </w:rPr>
        <w:t>本公司根据预期累计福利单位法确定的公式将设定受益计划产生的福利义务归属于职工提供服务的</w:t>
      </w:r>
    </w:p>
    <w:p>
      <w:pPr>
        <w:pStyle w:val="BodyText"/>
        <w:spacing w:line="393" w:lineRule="auto"/>
        <w:ind w:left="573" w:right="0" w:hanging="421"/>
        <w:jc w:val="left"/>
      </w:pPr>
      <w:r>
        <w:rPr/>
        <w:t>期间，并计入当期损益或相关资产成本。</w:t>
      </w:r>
      <w:r>
        <w:rPr>
          <w:w w:val="100"/>
        </w:rPr>
        <w:t> </w:t>
      </w:r>
      <w:r>
        <w:rPr>
          <w:spacing w:val="2"/>
        </w:rPr>
        <w:t>设定受益计划义务现值减去设定受益计划资产公允价值所形成的赤字或盈余确认为一项设定受益计</w:t>
      </w:r>
    </w:p>
    <w:p>
      <w:pPr>
        <w:pStyle w:val="BodyText"/>
        <w:spacing w:line="355" w:lineRule="auto"/>
        <w:ind w:right="0"/>
        <w:jc w:val="left"/>
      </w:pPr>
      <w:r>
        <w:rPr>
          <w:spacing w:val="-2"/>
        </w:rPr>
        <w:t>划净负债或净资产。设定受益计划存在盈余的，本公司以设定受益计划的盈余和资产上限两项的孰低者计</w:t>
      </w:r>
      <w:r>
        <w:rPr>
          <w:spacing w:val="-43"/>
        </w:rPr>
        <w:t> </w:t>
      </w:r>
      <w:r>
        <w:rPr>
          <w:spacing w:val="-43"/>
        </w:rPr>
      </w:r>
      <w:r>
        <w:rPr/>
        <w:t>量设定受益计划净资产。</w:t>
      </w:r>
    </w:p>
    <w:p>
      <w:pPr>
        <w:pStyle w:val="BodyText"/>
        <w:spacing w:line="357" w:lineRule="auto" w:before="75"/>
        <w:ind w:right="0" w:firstLine="420"/>
        <w:jc w:val="left"/>
      </w:pPr>
      <w:r>
        <w:rPr/>
        <w:t>所有设定受益计划义务，包括预期在职工提供服务的年度报告期间结束后的十二个月内支付的义务，</w:t>
      </w:r>
      <w:r>
        <w:rPr>
          <w:w w:val="100"/>
        </w:rPr>
        <w:t> </w:t>
      </w:r>
      <w:r>
        <w:rPr>
          <w:spacing w:val="2"/>
        </w:rPr>
        <w:t>根据资产负债表日与设定受益计划义务期限和币种相匹配的国债或活跃市场上的高质量公司债券的市场</w:t>
      </w:r>
      <w:r>
        <w:rPr>
          <w:spacing w:val="-30"/>
        </w:rPr>
        <w:t> </w:t>
      </w:r>
      <w:r>
        <w:rPr>
          <w:spacing w:val="-30"/>
        </w:rPr>
      </w:r>
      <w:r>
        <w:rPr/>
        <w:t>收益率予以折现。</w:t>
      </w:r>
    </w:p>
    <w:p>
      <w:pPr>
        <w:pStyle w:val="BodyText"/>
        <w:spacing w:line="355" w:lineRule="auto" w:before="73"/>
        <w:ind w:right="1028" w:firstLine="420"/>
        <w:jc w:val="both"/>
      </w:pPr>
      <w:r>
        <w:rPr>
          <w:spacing w:val="2"/>
        </w:rPr>
        <w:t>设定受益计划产生的服务成本和设定受益计划净负债或净资产的利息净额计入当期损益或相关资产</w:t>
      </w:r>
      <w:r>
        <w:rPr>
          <w:w w:val="100"/>
        </w:rPr>
        <w:t> </w:t>
      </w:r>
      <w:r>
        <w:rPr>
          <w:spacing w:val="-2"/>
        </w:rPr>
        <w:t>成本；重新计量设定受益计划净负债或净资产所产生的变动计入其他综合收益，并且在后续会计期间不转</w:t>
      </w:r>
      <w:r>
        <w:rPr>
          <w:spacing w:val="-42"/>
        </w:rPr>
        <w:t> </w:t>
      </w:r>
      <w:r>
        <w:rPr>
          <w:spacing w:val="-42"/>
        </w:rPr>
      </w:r>
      <w:r>
        <w:rPr/>
        <w:t>回至损益，在原设定受益计划终止时在权益范围内将原计入其他综合收益的部分全部结转至未分配利润。</w:t>
      </w:r>
    </w:p>
    <w:p>
      <w:pPr>
        <w:pStyle w:val="BodyText"/>
        <w:spacing w:line="355" w:lineRule="auto" w:before="75"/>
        <w:ind w:right="0" w:firstLine="420"/>
        <w:jc w:val="left"/>
      </w:pPr>
      <w:r>
        <w:rPr>
          <w:spacing w:val="-2"/>
        </w:rPr>
        <w:t>在设定受益计划结算时，按在结算日确定的设定受益计划义务现值和结算价格两者的差额，确认结算</w:t>
      </w:r>
      <w:r>
        <w:rPr>
          <w:w w:val="100"/>
        </w:rPr>
        <w:t> </w:t>
      </w:r>
      <w:r>
        <w:rPr/>
        <w:t>利得或损失。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14" w:lineRule="auto" w:before="0"/>
        <w:ind w:left="573" w:right="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3</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本公司在不能单方面撤回因解除劳动关系计划或裁减建议所提供的辞退福利时，或确认与涉及支付</w:t>
      </w:r>
    </w:p>
    <w:p>
      <w:pPr>
        <w:pStyle w:val="BodyText"/>
        <w:spacing w:line="355" w:lineRule="auto" w:before="68"/>
        <w:ind w:right="1150"/>
        <w:jc w:val="left"/>
      </w:pPr>
      <w:r>
        <w:rPr>
          <w:spacing w:val="-4"/>
          <w:w w:val="100"/>
        </w:rPr>
        <w:t>辞退福利的重组相关的成本或费用时（两者孰早），确认辞退福利产生的职工薪酬负债，并计入当期损</w:t>
      </w:r>
      <w:r>
        <w:rPr>
          <w:spacing w:val="-91"/>
          <w:w w:val="100"/>
        </w:rPr>
        <w:t> </w:t>
      </w:r>
      <w:r>
        <w:rPr>
          <w:spacing w:val="-91"/>
          <w:w w:val="100"/>
        </w:rPr>
      </w:r>
      <w:r>
        <w:rPr/>
        <w:t>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ind w:left="575" w:right="0"/>
        <w:jc w:val="left"/>
        <w:rPr>
          <w:b w:val="0"/>
          <w:bCs w:val="0"/>
        </w:rPr>
      </w:pPr>
      <w:r>
        <w:rPr/>
        <w:t>（二十三）预计负债</w:t>
      </w:r>
      <w:r>
        <w:rPr>
          <w:b w:val="0"/>
          <w:bCs w:val="0"/>
        </w:rPr>
      </w:r>
    </w:p>
    <w:p>
      <w:pPr>
        <w:pStyle w:val="Heading4"/>
        <w:spacing w:line="240" w:lineRule="auto" w:before="83"/>
        <w:ind w:left="575" w:right="0"/>
        <w:jc w:val="left"/>
        <w:rPr>
          <w:b w:val="0"/>
          <w:bCs w:val="0"/>
        </w:rPr>
      </w:pPr>
      <w:r>
        <w:rPr>
          <w:rFonts w:ascii="Trebuchet MS" w:hAnsi="Trebuchet MS" w:cs="Trebuchet MS" w:eastAsia="Trebuchet MS" w:hint="default"/>
        </w:rPr>
        <w:t>1</w:t>
      </w:r>
      <w:r>
        <w:rPr/>
        <w:t>．</w:t>
      </w:r>
      <w:r>
        <w:rPr>
          <w:spacing w:val="-16"/>
        </w:rPr>
        <w:t> </w:t>
      </w:r>
      <w:r>
        <w:rPr/>
        <w:t>预计负债的确认标准</w:t>
      </w:r>
      <w:r>
        <w:rPr>
          <w:b w:val="0"/>
          <w:bCs w:val="0"/>
        </w:rPr>
      </w:r>
    </w:p>
    <w:p>
      <w:pPr>
        <w:pStyle w:val="BodyText"/>
        <w:spacing w:line="391" w:lineRule="auto" w:before="150"/>
        <w:ind w:left="573" w:right="3233"/>
        <w:jc w:val="left"/>
      </w:pP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spacing w:line="240" w:lineRule="auto" w:before="0"/>
        <w:rPr>
          <w:rFonts w:ascii="宋体" w:hAnsi="宋体" w:cs="宋体" w:eastAsia="宋体" w:hint="default"/>
          <w:sz w:val="20"/>
          <w:szCs w:val="20"/>
        </w:rPr>
      </w:pPr>
    </w:p>
    <w:p>
      <w:pPr>
        <w:spacing w:line="338" w:lineRule="auto" w:before="162"/>
        <w:ind w:left="573" w:right="1150" w:firstLine="2"/>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1"/>
          <w:sz w:val="21"/>
          <w:szCs w:val="21"/>
        </w:rPr>
        <w:t> </w:t>
      </w:r>
      <w:r>
        <w:rPr>
          <w:rFonts w:ascii="Microsoft JhengHei" w:hAnsi="Microsoft JhengHei" w:cs="Microsoft JhengHei" w:eastAsia="Microsoft JhengHei" w:hint="default"/>
          <w:b/>
          <w:bCs/>
          <w:sz w:val="21"/>
          <w:szCs w:val="21"/>
        </w:rPr>
        <w:t>预计负债的计量方法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本公司预计负债按履行相关现时义务所需的支出的最佳估计数进行初始计量。</w:t>
      </w:r>
    </w:p>
    <w:p>
      <w:pPr>
        <w:pStyle w:val="BodyText"/>
        <w:spacing w:line="355" w:lineRule="auto" w:before="90"/>
        <w:ind w:right="0" w:firstLine="420"/>
        <w:jc w:val="left"/>
      </w:pPr>
      <w:r>
        <w:rPr>
          <w:spacing w:val="-2"/>
        </w:rPr>
        <w:t>本公司在确定最佳估计数时，综合考虑与或有事项有关的风险、不确定性和货币时间价值等因素。对</w:t>
      </w:r>
      <w:r>
        <w:rPr>
          <w:w w:val="100"/>
        </w:rPr>
        <w:t> </w:t>
      </w:r>
      <w:r>
        <w:rPr/>
        <w:t>于货币时间价值影响重大的，通过对相关未来现金流出进行折现后确定最佳估计数。</w:t>
      </w:r>
    </w:p>
    <w:p>
      <w:pPr>
        <w:pStyle w:val="BodyText"/>
        <w:spacing w:line="240" w:lineRule="auto" w:before="73"/>
        <w:ind w:left="573" w:right="0"/>
        <w:jc w:val="left"/>
      </w:pPr>
      <w:r>
        <w:rPr/>
        <w:t>最佳估计数分别以下情况处理：</w:t>
      </w:r>
    </w:p>
    <w:p>
      <w:pPr>
        <w:spacing w:after="0" w:line="240" w:lineRule="auto"/>
        <w:jc w:val="left"/>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1126" w:firstLine="420"/>
        <w:jc w:val="both"/>
      </w:pPr>
      <w:r>
        <w:rPr>
          <w:spacing w:val="-7"/>
          <w:w w:val="100"/>
        </w:rPr>
        <w:t>所需支出存在一个连续范围（或区间），且该范围内各种结果发生的可能性相同的，则最佳估计数按照</w:t>
      </w:r>
      <w:r>
        <w:rPr>
          <w:w w:val="100"/>
        </w:rPr>
        <w:t> </w:t>
      </w:r>
      <w:r>
        <w:rPr/>
        <w:t>该范围的中间值即上下限金额的平均数确定。</w:t>
      </w:r>
    </w:p>
    <w:p>
      <w:pPr>
        <w:pStyle w:val="BodyText"/>
        <w:spacing w:line="355" w:lineRule="auto" w:before="75"/>
        <w:ind w:right="1126" w:firstLine="420"/>
        <w:jc w:val="both"/>
      </w:pPr>
      <w:r>
        <w:rPr>
          <w:spacing w:val="-2"/>
          <w:w w:val="100"/>
        </w:rPr>
        <w:t>所需支出不存在一个连续范围（或区间），或虽然存在一个连续范围但该范围内各种结果发生的可能</w:t>
      </w:r>
      <w:r>
        <w:rPr>
          <w:w w:val="100"/>
        </w:rPr>
        <w:t> </w:t>
      </w: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355" w:lineRule="auto" w:before="73"/>
        <w:ind w:right="1126" w:firstLine="420"/>
        <w:jc w:val="both"/>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95" w:lineRule="auto"/>
        <w:ind w:left="575" w:right="8436"/>
        <w:jc w:val="left"/>
        <w:rPr>
          <w:b w:val="0"/>
          <w:bCs w:val="0"/>
        </w:rPr>
      </w:pPr>
      <w:r>
        <w:rPr/>
        <w:t>（二十四）股份支付</w:t>
      </w:r>
      <w:r>
        <w:rPr>
          <w:spacing w:val="-43"/>
        </w:rPr>
        <w:t> </w:t>
      </w:r>
      <w:r>
        <w:rPr>
          <w:spacing w:val="-43"/>
        </w:rPr>
      </w:r>
      <w:r>
        <w:rPr>
          <w:rFonts w:ascii="Trebuchet MS" w:hAnsi="Trebuchet MS" w:cs="Trebuchet MS" w:eastAsia="Trebuchet MS" w:hint="default"/>
        </w:rPr>
        <w:t>1</w:t>
      </w:r>
      <w:r>
        <w:rPr/>
        <w:t>．</w:t>
      </w:r>
      <w:r>
        <w:rPr>
          <w:spacing w:val="39"/>
        </w:rPr>
        <w:t> </w:t>
      </w:r>
      <w:r>
        <w:rPr/>
        <w:t>股份支付的种类</w:t>
      </w:r>
      <w:r>
        <w:rPr>
          <w:b w:val="0"/>
          <w:bCs w:val="0"/>
        </w:rPr>
      </w:r>
    </w:p>
    <w:p>
      <w:pPr>
        <w:pStyle w:val="BodyText"/>
        <w:spacing w:line="240" w:lineRule="auto" w:before="86"/>
        <w:ind w:left="573" w:right="0"/>
        <w:jc w:val="left"/>
      </w:pPr>
      <w:r>
        <w:rPr/>
        <w:t>本公司的股份支付分为以权益结算的股份支付和以现金结算的股份支付。</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40" w:lineRule="auto" w:before="0"/>
        <w:ind w:left="573" w:right="0" w:firstLine="2"/>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以权益结算的股份支付及权益工具</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以权益结算的股份支付换取职工提供服务的，以授予职工权益工具的公允价值计量。本公司以限制性</w:t>
      </w:r>
    </w:p>
    <w:p>
      <w:pPr>
        <w:pStyle w:val="BodyText"/>
        <w:spacing w:line="357" w:lineRule="auto" w:before="45"/>
        <w:ind w:right="0"/>
        <w:jc w:val="left"/>
      </w:pPr>
      <w:r>
        <w:rPr>
          <w:spacing w:val="-2"/>
        </w:rPr>
        <w:t>股票进行股份支付的，职工出资认购股票，股票在达到解锁条件并解锁前不得上市流通或转让；如果最终</w:t>
      </w:r>
      <w:r>
        <w:rPr>
          <w:spacing w:val="-44"/>
        </w:rPr>
        <w:t> </w:t>
      </w:r>
      <w:r>
        <w:rPr>
          <w:spacing w:val="-44"/>
        </w:rPr>
      </w:r>
      <w:r>
        <w:rPr>
          <w:spacing w:val="-2"/>
        </w:rPr>
        <w:t>股权激励计划规定的解锁条件未能达到，则本公司按照事先约定的价格回购股票。本公司取得职工认购限</w:t>
      </w:r>
      <w:r>
        <w:rPr>
          <w:spacing w:val="-42"/>
        </w:rPr>
        <w:t> </w:t>
      </w:r>
      <w:r>
        <w:rPr>
          <w:spacing w:val="-42"/>
        </w:rPr>
      </w:r>
      <w:r>
        <w:rPr>
          <w:spacing w:val="-7"/>
          <w:w w:val="100"/>
        </w:rPr>
        <w:t>制性股票支付的款项时，按照取得的认股款确认股本和资本公积（股本溢价），同时就回购义务全额确认一</w:t>
      </w:r>
      <w:r>
        <w:rPr>
          <w:spacing w:val="-73"/>
          <w:w w:val="100"/>
        </w:rPr>
        <w:t> </w:t>
      </w:r>
      <w:r>
        <w:rPr>
          <w:spacing w:val="-73"/>
          <w:w w:val="100"/>
        </w:rPr>
      </w:r>
      <w:r>
        <w:rPr>
          <w:spacing w:val="-2"/>
        </w:rPr>
        <w:t>项负债并确认库存股。在等待期内每个资产负债表日，本公司根据最新取得的可行权职工人数变动、是否</w:t>
      </w:r>
      <w:r>
        <w:rPr>
          <w:spacing w:val="-43"/>
        </w:rPr>
        <w:t> </w:t>
      </w:r>
      <w:r>
        <w:rPr>
          <w:spacing w:val="-43"/>
        </w:rPr>
      </w:r>
      <w:r>
        <w:rPr>
          <w:spacing w:val="-5"/>
        </w:rPr>
        <w:t>达到规定业绩条件等后续信息对可行权权益工具数量作出最佳估计，以此为基础，按照授予日的公允价值， </w:t>
      </w:r>
      <w:r>
        <w:rPr>
          <w:spacing w:val="-5"/>
        </w:rPr>
      </w:r>
      <w:r>
        <w:rPr>
          <w:spacing w:val="-2"/>
        </w:rPr>
        <w:t>将当期取得的服务计入相关成本或费用，相应增加资本公积。在可行权日之后不再对已确认的相关成本或</w:t>
      </w:r>
      <w:r>
        <w:rPr>
          <w:spacing w:val="-42"/>
        </w:rPr>
        <w:t> </w:t>
      </w:r>
      <w:r>
        <w:rPr>
          <w:spacing w:val="-42"/>
        </w:rPr>
      </w:r>
      <w:r>
        <w:rPr/>
        <w:t>费用和所有者权益总额进行调整。但授予后立即可行权的，在授予日按照公允价值计入相关成本或费用，</w:t>
      </w:r>
      <w:r>
        <w:rPr>
          <w:spacing w:val="-24"/>
        </w:rPr>
        <w:t> </w:t>
      </w:r>
      <w:r>
        <w:rPr>
          <w:spacing w:val="-24"/>
        </w:rPr>
      </w:r>
      <w:r>
        <w:rPr/>
        <w:t>相应增加资本公积。</w:t>
      </w:r>
    </w:p>
    <w:p>
      <w:pPr>
        <w:pStyle w:val="BodyText"/>
        <w:spacing w:line="374" w:lineRule="auto" w:before="71"/>
        <w:ind w:right="1313" w:firstLine="420"/>
        <w:jc w:val="right"/>
      </w:pPr>
      <w:r>
        <w:rPr>
          <w:spacing w:val="-2"/>
        </w:rPr>
        <w:t>对于最终未能行权的股份支付，不确认成本或费用，除非行权条件是市场条件或非可行权条件，此</w:t>
      </w:r>
      <w:r>
        <w:rPr>
          <w:w w:val="100"/>
        </w:rPr>
        <w:t> </w:t>
      </w:r>
      <w:r>
        <w:rPr>
          <w:spacing w:val="-2"/>
        </w:rPr>
        <w:t>时无论是否满足市场条件或非可行权条件，只要满足所有可行权条件中的非市场条件，即视为可行权。</w:t>
      </w:r>
      <w:r>
        <w:rPr>
          <w:spacing w:val="-42"/>
        </w:rPr>
        <w:t> </w:t>
      </w:r>
      <w:r>
        <w:rPr>
          <w:spacing w:val="-42"/>
        </w:rPr>
      </w:r>
      <w:r>
        <w:rPr>
          <w:spacing w:val="-2"/>
        </w:rPr>
        <w:t>如果修改了以权益结算的股份支付的条款，至少按照未修改条款的情况确认取得的服务。此外，任</w:t>
      </w:r>
    </w:p>
    <w:p>
      <w:pPr>
        <w:pStyle w:val="BodyText"/>
        <w:spacing w:line="393" w:lineRule="auto" w:before="15"/>
        <w:ind w:left="573" w:right="0" w:hanging="421"/>
        <w:jc w:val="left"/>
      </w:pPr>
      <w:r>
        <w:rPr/>
        <w:t>何增加所授予权益工具公允价值的修改，或在修改日对职工有利的变更，均确认取得服务的增加。</w:t>
      </w:r>
      <w:r>
        <w:rPr>
          <w:w w:val="100"/>
        </w:rPr>
        <w:t> </w:t>
      </w:r>
      <w:r>
        <w:rPr>
          <w:spacing w:val="-2"/>
        </w:rPr>
        <w:t>如果取消了以权益结算的股份支付，则于取消日作为加速行权处理，立即确认尚未确认的金额。职</w:t>
      </w:r>
    </w:p>
    <w:p>
      <w:pPr>
        <w:pStyle w:val="BodyText"/>
        <w:spacing w:line="355" w:lineRule="auto"/>
        <w:ind w:right="1314"/>
        <w:jc w:val="both"/>
      </w:pPr>
      <w:r>
        <w:rPr>
          <w:spacing w:val="-2"/>
        </w:rPr>
        <w:t>工或其他方能够选择满足非可行权条件但在等待期内未满足的，作为取消以权益结算的股份支付处理。</w:t>
      </w:r>
      <w:r>
        <w:rPr>
          <w:spacing w:val="-21"/>
        </w:rPr>
        <w:t> </w:t>
      </w:r>
      <w:r>
        <w:rPr>
          <w:spacing w:val="-21"/>
        </w:rPr>
      </w:r>
      <w:r>
        <w:rPr>
          <w:spacing w:val="-2"/>
        </w:rPr>
        <w:t>但是，如果授予新的权益工具，并在新权益工具授予日认定所授予的新权益工具是用于替代被取消的权</w:t>
      </w:r>
      <w:r>
        <w:rPr>
          <w:spacing w:val="-21"/>
        </w:rPr>
        <w:t> </w:t>
      </w:r>
      <w:r>
        <w:rPr>
          <w:spacing w:val="-21"/>
        </w:rPr>
      </w:r>
      <w:r>
        <w:rPr/>
        <w:t>益工具的，则以与处理原权益工具条款和条件修改相同的方式，对所授予的替代权益工具进行处理。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40" w:lineRule="auto" w:before="0"/>
        <w:ind w:left="566" w:right="0" w:firstLine="9"/>
        <w:jc w:val="left"/>
        <w:rPr>
          <w:rFonts w:ascii="宋体" w:hAnsi="宋体" w:cs="宋体" w:eastAsia="宋体" w:hint="default"/>
          <w:sz w:val="21"/>
          <w:szCs w:val="21"/>
        </w:rPr>
      </w:pPr>
      <w:r>
        <w:rPr>
          <w:rFonts w:ascii="Trebuchet MS" w:hAnsi="Trebuchet MS" w:cs="Trebuchet MS" w:eastAsia="Trebuchet MS" w:hint="default"/>
          <w:b/>
          <w:bCs/>
          <w:sz w:val="21"/>
          <w:szCs w:val="21"/>
        </w:rPr>
        <w:t>3</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以现金结算的股份支付及权益工具</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7"/>
          <w:sz w:val="21"/>
          <w:szCs w:val="21"/>
        </w:rPr>
        <w:t>以现金结算的股份支付，按照本公司承担的以股份或其他权益工具为基础计算确定的负债的公允价值计</w:t>
      </w:r>
    </w:p>
    <w:p>
      <w:pPr>
        <w:spacing w:after="0" w:line="3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1118"/>
        <w:jc w:val="both"/>
      </w:pPr>
      <w:r>
        <w:rPr>
          <w:spacing w:val="-12"/>
        </w:rPr>
        <w:t>量。授予后立即可行权的，在授予日以承担负债的公允价值计入成本或费用，相应增加负债；完成等待期内的</w:t>
      </w:r>
      <w:r>
        <w:rPr>
          <w:spacing w:val="-6"/>
        </w:rPr>
        <w:t> </w:t>
      </w:r>
      <w:r>
        <w:rPr>
          <w:spacing w:val="-6"/>
        </w:rPr>
      </w:r>
      <w:r>
        <w:rPr>
          <w:spacing w:val="-11"/>
        </w:rPr>
        <w:t>服务或达到规定业绩条件才可行权的，在等待期内以对可行权情况的最佳估计为基础，按照承担负债的公允价</w:t>
      </w:r>
      <w:r>
        <w:rPr>
          <w:spacing w:val="-35"/>
        </w:rPr>
        <w:t> </w:t>
      </w:r>
      <w:r>
        <w:rPr>
          <w:spacing w:val="-35"/>
        </w:rPr>
      </w:r>
      <w:r>
        <w:rPr>
          <w:spacing w:val="-11"/>
        </w:rPr>
        <w:t>值，将当期取得的服务计入相关成本或费用，增加相应负债。在相关负债结算前的每个资产负债表日以及结算</w:t>
      </w:r>
      <w:r>
        <w:rPr>
          <w:spacing w:val="-35"/>
        </w:rPr>
        <w:t> </w:t>
      </w:r>
      <w:r>
        <w:rPr>
          <w:spacing w:val="-35"/>
        </w:rPr>
      </w:r>
      <w:r>
        <w:rPr>
          <w:spacing w:val="-12"/>
        </w:rPr>
        <w:t>日，对负债的公允价值重新计量，其变动计入当期损益。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left="573" w:right="0"/>
        <w:jc w:val="left"/>
        <w:rPr>
          <w:b w:val="0"/>
          <w:bCs w:val="0"/>
        </w:rPr>
      </w:pPr>
      <w:r>
        <w:rPr/>
        <w:t>（二十五）收入</w:t>
      </w:r>
      <w:r>
        <w:rPr>
          <w:b w:val="0"/>
          <w:bCs w:val="0"/>
        </w:rPr>
      </w:r>
    </w:p>
    <w:p>
      <w:pPr>
        <w:spacing w:line="240" w:lineRule="auto" w:before="10"/>
        <w:rPr>
          <w:rFonts w:ascii="Microsoft JhengHei" w:hAnsi="Microsoft JhengHei" w:cs="Microsoft JhengHei" w:eastAsia="Microsoft JhengHei" w:hint="default"/>
          <w:b/>
          <w:bCs/>
          <w:sz w:val="10"/>
          <w:szCs w:val="10"/>
        </w:rPr>
      </w:pPr>
    </w:p>
    <w:p>
      <w:pPr>
        <w:pStyle w:val="Heading4"/>
        <w:spacing w:line="240" w:lineRule="auto"/>
        <w:ind w:left="575" w:right="0"/>
        <w:jc w:val="left"/>
        <w:rPr>
          <w:b w:val="0"/>
          <w:bCs w:val="0"/>
        </w:rPr>
      </w:pPr>
      <w:r>
        <w:rPr>
          <w:rFonts w:ascii="Trebuchet MS" w:hAnsi="Trebuchet MS" w:cs="Trebuchet MS" w:eastAsia="Trebuchet MS" w:hint="default"/>
        </w:rPr>
        <w:t>1</w:t>
      </w:r>
      <w:r>
        <w:rPr/>
        <w:t>．</w:t>
      </w:r>
      <w:r>
        <w:rPr>
          <w:spacing w:val="-16"/>
        </w:rPr>
        <w:t> </w:t>
      </w:r>
      <w:r>
        <w:rPr/>
        <w:t>销售商品收入确认的一般原则：</w:t>
      </w:r>
      <w:r>
        <w:rPr>
          <w:b w:val="0"/>
          <w:bCs w:val="0"/>
        </w:rPr>
      </w:r>
    </w:p>
    <w:p>
      <w:pPr>
        <w:pStyle w:val="BodyText"/>
        <w:spacing w:line="240" w:lineRule="auto" w:before="109"/>
        <w:ind w:left="566" w:right="0"/>
        <w:jc w:val="left"/>
      </w:pPr>
      <w:r>
        <w:rPr>
          <w:spacing w:val="-6"/>
        </w:rPr>
        <w:t>（</w:t>
      </w:r>
      <w:r>
        <w:rPr>
          <w:rFonts w:ascii="宋体" w:hAnsi="宋体" w:cs="宋体" w:eastAsia="宋体" w:hint="default"/>
          <w:spacing w:val="-6"/>
        </w:rPr>
        <w:t>1</w:t>
      </w:r>
      <w:r>
        <w:rPr>
          <w:spacing w:val="-6"/>
        </w:rPr>
        <w:t>）本公司已将商品所有权上的主要风险和报酬转移给购货方；</w:t>
      </w:r>
    </w:p>
    <w:p>
      <w:pPr>
        <w:pStyle w:val="BodyText"/>
        <w:spacing w:line="240" w:lineRule="auto" w:before="174"/>
        <w:ind w:left="566" w:right="0"/>
        <w:jc w:val="left"/>
      </w:pPr>
      <w:r>
        <w:rPr>
          <w:spacing w:val="-6"/>
        </w:rPr>
        <w:t>（</w:t>
      </w:r>
      <w:r>
        <w:rPr>
          <w:rFonts w:ascii="宋体" w:hAnsi="宋体" w:cs="宋体" w:eastAsia="宋体" w:hint="default"/>
          <w:spacing w:val="-6"/>
        </w:rPr>
        <w:t>2</w:t>
      </w:r>
      <w:r>
        <w:rPr>
          <w:spacing w:val="-6"/>
        </w:rPr>
        <w:t>）本公司既没有保留通常与所有权相联系的继续管理权，也没有对已售出的商品实施有效控制；</w:t>
      </w:r>
    </w:p>
    <w:p>
      <w:pPr>
        <w:pStyle w:val="BodyText"/>
        <w:spacing w:line="240" w:lineRule="auto" w:before="174"/>
        <w:ind w:left="566" w:right="0"/>
        <w:jc w:val="left"/>
      </w:pPr>
      <w:r>
        <w:rPr>
          <w:spacing w:val="-5"/>
        </w:rPr>
        <w:t>（</w:t>
      </w:r>
      <w:r>
        <w:rPr>
          <w:rFonts w:ascii="宋体" w:hAnsi="宋体" w:cs="宋体" w:eastAsia="宋体" w:hint="default"/>
          <w:spacing w:val="-5"/>
        </w:rPr>
        <w:t>3</w:t>
      </w:r>
      <w:r>
        <w:rPr>
          <w:spacing w:val="-5"/>
        </w:rPr>
        <w:t>）收入的金额能够可靠地计量；</w:t>
      </w:r>
    </w:p>
    <w:p>
      <w:pPr>
        <w:pStyle w:val="BodyText"/>
        <w:spacing w:line="240" w:lineRule="auto" w:before="174"/>
        <w:ind w:left="566" w:right="0"/>
        <w:jc w:val="left"/>
      </w:pPr>
      <w:r>
        <w:rPr>
          <w:spacing w:val="-5"/>
        </w:rPr>
        <w:t>（</w:t>
      </w:r>
      <w:r>
        <w:rPr>
          <w:rFonts w:ascii="宋体" w:hAnsi="宋体" w:cs="宋体" w:eastAsia="宋体" w:hint="default"/>
          <w:spacing w:val="-5"/>
        </w:rPr>
        <w:t>4</w:t>
      </w:r>
      <w:r>
        <w:rPr>
          <w:spacing w:val="-5"/>
        </w:rPr>
        <w:t>）相关的经济利益很可能流入本公司；</w:t>
      </w:r>
    </w:p>
    <w:p>
      <w:pPr>
        <w:pStyle w:val="BodyText"/>
        <w:spacing w:line="393" w:lineRule="auto" w:before="171"/>
        <w:ind w:left="566" w:right="0"/>
        <w:jc w:val="left"/>
      </w:pPr>
      <w:r>
        <w:rPr>
          <w:spacing w:val="-6"/>
        </w:rPr>
        <w:t>（</w:t>
      </w:r>
      <w:r>
        <w:rPr>
          <w:rFonts w:ascii="宋体" w:hAnsi="宋体" w:cs="宋体" w:eastAsia="宋体" w:hint="default"/>
          <w:spacing w:val="-6"/>
        </w:rPr>
        <w:t>5</w:t>
      </w:r>
      <w:r>
        <w:rPr>
          <w:spacing w:val="-6"/>
        </w:rPr>
        <w:t>）相关的、已发生或将发生的成本能够可靠地计量。</w:t>
      </w:r>
      <w:r>
        <w:rPr>
          <w:spacing w:val="-56"/>
        </w:rPr>
        <w:t> </w:t>
      </w:r>
      <w:r>
        <w:rPr>
          <w:spacing w:val="-56"/>
        </w:rPr>
      </w:r>
      <w:r>
        <w:rPr>
          <w:spacing w:val="-7"/>
        </w:rPr>
        <w:t>内销：公司产品运往客户指定地点，交付客户并取得客户验收确认，价格已经确定，取得货款或索取货</w:t>
      </w:r>
    </w:p>
    <w:p>
      <w:pPr>
        <w:pStyle w:val="BodyText"/>
        <w:spacing w:line="274" w:lineRule="exact"/>
        <w:ind w:right="0"/>
        <w:jc w:val="both"/>
      </w:pPr>
      <w:r>
        <w:rPr>
          <w:spacing w:val="-5"/>
        </w:rPr>
        <w:t>款的依据。</w:t>
      </w:r>
      <w:r>
        <w:rPr/>
      </w:r>
    </w:p>
    <w:p>
      <w:pPr>
        <w:pStyle w:val="BodyText"/>
        <w:spacing w:line="374" w:lineRule="auto" w:before="174"/>
        <w:ind w:right="1122" w:firstLine="413"/>
        <w:jc w:val="right"/>
      </w:pPr>
      <w:r>
        <w:rPr>
          <w:spacing w:val="-11"/>
        </w:rPr>
        <w:t>自营出口：出口专用发票已开出；已收款或取得索取货款的依据；已完成报关手续；海关已在相关的《出</w:t>
      </w:r>
      <w:r>
        <w:rPr>
          <w:w w:val="100"/>
        </w:rPr>
        <w:t> </w:t>
      </w:r>
      <w:r>
        <w:rPr>
          <w:spacing w:val="-19"/>
          <w:w w:val="100"/>
        </w:rPr>
        <w:t>口货物报关单》、《出口收汇核销单》上盖章确认；指定港船上交货，货物越过船舷（合同约定按离岸价成交）。</w:t>
      </w:r>
      <w:r>
        <w:rPr>
          <w:w w:val="100"/>
        </w:rPr>
        <w:t> </w:t>
      </w:r>
      <w:r>
        <w:rPr>
          <w:spacing w:val="-4"/>
        </w:rPr>
        <w:t>本公司按照从购货方已收或应收的合同或协议价款确定销售商品收入金额，</w:t>
      </w:r>
      <w:r>
        <w:rPr>
          <w:spacing w:val="50"/>
        </w:rPr>
        <w:t> </w:t>
      </w:r>
      <w:r>
        <w:rPr>
          <w:spacing w:val="-4"/>
        </w:rPr>
        <w:t>但已收或应收的合同或协</w:t>
      </w:r>
    </w:p>
    <w:p>
      <w:pPr>
        <w:pStyle w:val="BodyText"/>
        <w:spacing w:line="393" w:lineRule="auto" w:before="13"/>
        <w:ind w:left="566" w:right="0" w:hanging="414"/>
        <w:jc w:val="left"/>
      </w:pPr>
      <w:r>
        <w:rPr>
          <w:spacing w:val="-5"/>
        </w:rPr>
        <w:t>议价款不公允的除外。</w:t>
      </w:r>
      <w:r>
        <w:rPr>
          <w:spacing w:val="-91"/>
        </w:rPr>
        <w:t> </w:t>
      </w:r>
      <w:r>
        <w:rPr>
          <w:spacing w:val="-91"/>
        </w:rPr>
      </w:r>
      <w:r>
        <w:rPr>
          <w:spacing w:val="-7"/>
        </w:rPr>
        <w:t>合同或协议价款的收取采用递延方式，实质上具有融资性质的，应当按照应收的合同或协议价款的公允</w:t>
      </w:r>
    </w:p>
    <w:p>
      <w:pPr>
        <w:pStyle w:val="BodyText"/>
        <w:spacing w:line="355" w:lineRule="auto"/>
        <w:ind w:right="1127"/>
        <w:jc w:val="both"/>
      </w:pPr>
      <w:r>
        <w:rPr>
          <w:spacing w:val="-7"/>
        </w:rPr>
        <w:t>价值确定销售商品收入金额。应收的合同或协议价款与其公允价值之间的差额，应当在合同或协议期间内采</w:t>
      </w:r>
      <w:r>
        <w:rPr>
          <w:spacing w:val="-17"/>
        </w:rPr>
        <w:t> </w:t>
      </w:r>
      <w:r>
        <w:rPr>
          <w:spacing w:val="-17"/>
        </w:rPr>
      </w:r>
      <w:r>
        <w:rPr>
          <w:spacing w:val="-6"/>
        </w:rPr>
        <w:t>用实际利率法进行摊销，计入当期损益。</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12" w:lineRule="auto" w:before="0"/>
        <w:ind w:left="566" w:right="3233" w:firstLine="9"/>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1"/>
          <w:sz w:val="21"/>
          <w:szCs w:val="21"/>
        </w:rPr>
        <w:t> </w:t>
      </w:r>
      <w:r>
        <w:rPr>
          <w:rFonts w:ascii="Microsoft JhengHei" w:hAnsi="Microsoft JhengHei" w:cs="Microsoft JhengHei" w:eastAsia="Microsoft JhengHei" w:hint="default"/>
          <w:b/>
          <w:bCs/>
          <w:sz w:val="21"/>
          <w:szCs w:val="21"/>
        </w:rPr>
        <w:t>提供服务收入确认和计量原则</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6"/>
          <w:sz w:val="21"/>
          <w:szCs w:val="21"/>
        </w:rPr>
        <w:t>各项收入同时满足下列条件的，才能予以确认：</w:t>
      </w:r>
    </w:p>
    <w:p>
      <w:pPr>
        <w:pStyle w:val="BodyText"/>
        <w:spacing w:line="240" w:lineRule="auto" w:before="108"/>
        <w:ind w:left="566" w:right="0"/>
        <w:jc w:val="left"/>
      </w:pPr>
      <w:r>
        <w:rPr>
          <w:spacing w:val="-6"/>
        </w:rPr>
        <w:t>提供的相关服务完成；收入的金额能够可靠地计量；相关的经济利益很可能流入企业。具体如下：</w:t>
      </w:r>
    </w:p>
    <w:p>
      <w:pPr>
        <w:pStyle w:val="BodyText"/>
        <w:spacing w:line="391" w:lineRule="auto" w:before="174"/>
        <w:ind w:left="566" w:right="3233"/>
        <w:jc w:val="left"/>
      </w:pPr>
      <w:r>
        <w:rPr>
          <w:spacing w:val="-5"/>
        </w:rPr>
        <w:t>（</w:t>
      </w:r>
      <w:r>
        <w:rPr>
          <w:rFonts w:ascii="宋体" w:hAnsi="宋体" w:cs="宋体" w:eastAsia="宋体" w:hint="default"/>
          <w:spacing w:val="-5"/>
        </w:rPr>
        <w:t>1</w:t>
      </w:r>
      <w:r>
        <w:rPr>
          <w:spacing w:val="-5"/>
        </w:rPr>
        <w:t>）经纪业务手续费收入</w:t>
      </w:r>
      <w:r>
        <w:rPr>
          <w:spacing w:val="-88"/>
        </w:rPr>
        <w:t> </w:t>
      </w:r>
      <w:r>
        <w:rPr>
          <w:spacing w:val="-88"/>
        </w:rPr>
      </w:r>
      <w:r>
        <w:rPr>
          <w:spacing w:val="-6"/>
        </w:rPr>
        <w:t>代理买卖证券手续费收入：于代理买卖证券交易日予以确认。</w:t>
      </w:r>
      <w:r>
        <w:rPr/>
      </w:r>
    </w:p>
    <w:p>
      <w:pPr>
        <w:pStyle w:val="BodyText"/>
        <w:spacing w:line="240" w:lineRule="auto" w:before="41"/>
        <w:ind w:left="566" w:right="0"/>
        <w:jc w:val="left"/>
      </w:pPr>
      <w:r>
        <w:rPr>
          <w:spacing w:val="-6"/>
        </w:rPr>
        <w:t>代理兑付债券手续费收入：于代理兑付证券业务完成且实际收讫价款或取得收款证据时予以确认。</w:t>
      </w:r>
    </w:p>
    <w:p>
      <w:pPr>
        <w:pStyle w:val="BodyText"/>
        <w:spacing w:line="393" w:lineRule="auto" w:before="174"/>
        <w:ind w:left="566" w:right="0" w:firstLine="7"/>
        <w:jc w:val="left"/>
      </w:pPr>
      <w:r>
        <w:rPr/>
        <w:t>（</w:t>
      </w:r>
      <w:r>
        <w:rPr>
          <w:rFonts w:ascii="宋体" w:hAnsi="宋体" w:cs="宋体" w:eastAsia="宋体" w:hint="default"/>
        </w:rPr>
        <w:t>2</w:t>
      </w:r>
      <w:r>
        <w:rPr/>
        <w:t>）投资银行业务手续费收入</w:t>
      </w:r>
      <w:r>
        <w:rPr>
          <w:w w:val="100"/>
        </w:rPr>
        <w:t> </w:t>
      </w:r>
      <w:r>
        <w:rPr>
          <w:spacing w:val="-7"/>
        </w:rPr>
        <w:t>证券承销收入：以全额承购包销方式出售代发行的证券在将证券转售给投资者时，按发行价格抵减承购</w:t>
      </w:r>
    </w:p>
    <w:p>
      <w:pPr>
        <w:pStyle w:val="BodyText"/>
        <w:spacing w:line="355" w:lineRule="auto"/>
        <w:ind w:right="1023"/>
        <w:jc w:val="both"/>
      </w:pPr>
      <w:r>
        <w:rPr>
          <w:spacing w:val="-5"/>
        </w:rPr>
        <w:t>价及相关发行费用后确认为证券承销收入；以余额承购包销或代销方式进行承销业务的证券于发行结束后，</w:t>
      </w:r>
      <w:r>
        <w:rPr>
          <w:spacing w:val="-8"/>
        </w:rPr>
        <w:t> </w:t>
      </w:r>
      <w:r>
        <w:rPr>
          <w:spacing w:val="-8"/>
        </w:rPr>
      </w:r>
      <w:r>
        <w:rPr>
          <w:spacing w:val="-6"/>
        </w:rPr>
        <w:t>与发行人结算发行价款时，按约定收取的手续费抵减相关发行费用后确认。</w:t>
      </w:r>
      <w:r>
        <w:rPr/>
      </w:r>
    </w:p>
    <w:p>
      <w:pPr>
        <w:spacing w:after="0" w:line="355" w:lineRule="auto"/>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6"/>
        <w:ind w:left="566" w:right="0"/>
        <w:jc w:val="left"/>
      </w:pPr>
      <w:r>
        <w:rPr>
          <w:spacing w:val="-6"/>
        </w:rPr>
        <w:t>证券保荐业务收入和财务顾问收入：于各项业务提供的相关服务完成时确认收入。</w:t>
      </w:r>
      <w:r>
        <w:rPr/>
      </w:r>
    </w:p>
    <w:p>
      <w:pPr>
        <w:pStyle w:val="BodyText"/>
        <w:spacing w:line="391" w:lineRule="auto" w:before="174"/>
        <w:ind w:left="566" w:right="0" w:firstLine="7"/>
        <w:jc w:val="left"/>
      </w:pPr>
      <w:r>
        <w:rPr/>
        <w:t>（</w:t>
      </w:r>
      <w:r>
        <w:rPr>
          <w:rFonts w:ascii="宋体" w:hAnsi="宋体" w:cs="宋体" w:eastAsia="宋体" w:hint="default"/>
        </w:rPr>
        <w:t>3</w:t>
      </w:r>
      <w:r>
        <w:rPr/>
        <w:t>）资产管理业务手续费收入</w:t>
      </w:r>
      <w:r>
        <w:rPr>
          <w:w w:val="100"/>
        </w:rPr>
        <w:t> </w:t>
      </w:r>
      <w:r>
        <w:rPr>
          <w:spacing w:val="-6"/>
        </w:rPr>
        <w:t>受托客户资产管理业务收入在相关服务提供后，按合同约定方式确认当期收入或损失。</w:t>
      </w:r>
      <w:r>
        <w:rPr/>
      </w:r>
    </w:p>
    <w:p>
      <w:pPr>
        <w:pStyle w:val="BodyText"/>
        <w:spacing w:line="391" w:lineRule="auto" w:before="41"/>
        <w:ind w:left="566" w:right="0" w:firstLine="7"/>
        <w:jc w:val="left"/>
      </w:pPr>
      <w:r>
        <w:rPr/>
        <w:t>（</w:t>
      </w:r>
      <w:r>
        <w:rPr>
          <w:rFonts w:ascii="宋体" w:hAnsi="宋体" w:cs="宋体" w:eastAsia="宋体" w:hint="default"/>
        </w:rPr>
        <w:t>4</w:t>
      </w:r>
      <w:r>
        <w:rPr/>
        <w:t>）投资咨询业务收入</w:t>
      </w:r>
      <w:r>
        <w:rPr>
          <w:w w:val="100"/>
        </w:rPr>
        <w:t> </w:t>
      </w:r>
      <w:r>
        <w:rPr>
          <w:spacing w:val="-9"/>
        </w:rPr>
        <w:t>在与交易相关的经济利益能够流入企业，收入的金额能够可靠地计量时，按合同或协议规定确认为收入。</w:t>
      </w:r>
      <w:r>
        <w:rPr/>
      </w:r>
    </w:p>
    <w:p>
      <w:pPr>
        <w:pStyle w:val="BodyText"/>
        <w:spacing w:line="393" w:lineRule="auto" w:before="39"/>
        <w:ind w:left="566" w:right="0" w:firstLine="7"/>
        <w:jc w:val="left"/>
      </w:pPr>
      <w:r>
        <w:rPr/>
        <w:t>（</w:t>
      </w:r>
      <w:r>
        <w:rPr>
          <w:rFonts w:ascii="宋体" w:hAnsi="宋体" w:cs="宋体" w:eastAsia="宋体" w:hint="default"/>
        </w:rPr>
        <w:t>5</w:t>
      </w:r>
      <w:r>
        <w:rPr/>
        <w:t>）推介信托业务咨询服务收入</w:t>
      </w:r>
      <w:r>
        <w:rPr>
          <w:w w:val="100"/>
        </w:rPr>
        <w:t> </w:t>
      </w:r>
      <w:r>
        <w:rPr>
          <w:spacing w:val="-7"/>
        </w:rPr>
        <w:t>已按推介信托业务合同内容提供推介服务，收入的金额能够可靠地计量，相关的经济利益能够流入企业</w:t>
      </w:r>
    </w:p>
    <w:p>
      <w:pPr>
        <w:pStyle w:val="BodyText"/>
        <w:spacing w:line="274" w:lineRule="exact"/>
        <w:ind w:right="0"/>
        <w:jc w:val="left"/>
      </w:pPr>
      <w:r>
        <w:rPr>
          <w:spacing w:val="-5"/>
        </w:rPr>
        <w:t>时确认为收入。</w:t>
      </w:r>
      <w:r>
        <w:rPr/>
      </w:r>
    </w:p>
    <w:p>
      <w:pPr>
        <w:pStyle w:val="BodyText"/>
        <w:spacing w:line="393" w:lineRule="auto" w:before="172"/>
        <w:ind w:left="566" w:right="0" w:firstLine="7"/>
        <w:jc w:val="left"/>
      </w:pPr>
      <w:r>
        <w:rPr/>
        <w:t>（</w:t>
      </w:r>
      <w:r>
        <w:rPr>
          <w:rFonts w:ascii="宋体" w:hAnsi="宋体" w:cs="宋体" w:eastAsia="宋体" w:hint="default"/>
        </w:rPr>
        <w:t>6</w:t>
      </w:r>
      <w:r>
        <w:rPr/>
        <w:t>）利息收入</w:t>
      </w:r>
      <w:r>
        <w:rPr>
          <w:w w:val="100"/>
        </w:rPr>
        <w:t> </w:t>
      </w:r>
      <w:r>
        <w:rPr>
          <w:spacing w:val="-7"/>
        </w:rPr>
        <w:t>在与交易相关的经济利益能够流入企业，收入的金额能够可靠地计量时，按资金使用时间和实际利率确</w:t>
      </w:r>
    </w:p>
    <w:p>
      <w:pPr>
        <w:pStyle w:val="BodyText"/>
        <w:spacing w:line="355" w:lineRule="auto"/>
        <w:ind w:right="0"/>
        <w:jc w:val="left"/>
      </w:pPr>
      <w:r>
        <w:rPr>
          <w:spacing w:val="-7"/>
        </w:rPr>
        <w:t>认利息收入；融资融券业务根据与客户合约的约定，按出借资金或证券的时间和约定利率确认收入；买入返</w:t>
      </w:r>
      <w:r>
        <w:rPr>
          <w:spacing w:val="-15"/>
        </w:rPr>
        <w:t> </w:t>
      </w:r>
      <w:r>
        <w:rPr>
          <w:spacing w:val="-15"/>
        </w:rPr>
      </w:r>
      <w:r>
        <w:rPr>
          <w:spacing w:val="-9"/>
        </w:rPr>
        <w:t>售证券收入在当期到期返售的，按返售价格与买入成本之间的实际差额确认为当期收入，在当期没有到期的，</w:t>
      </w:r>
      <w:r>
        <w:rPr>
          <w:spacing w:val="-30"/>
        </w:rPr>
        <w:t> </w:t>
      </w:r>
      <w:r>
        <w:rPr>
          <w:spacing w:val="-30"/>
        </w:rPr>
      </w:r>
      <w:r>
        <w:rPr>
          <w:spacing w:val="-6"/>
        </w:rPr>
        <w:t>期末按权责发生制原则计提利息，确认为当期收入。</w:t>
      </w:r>
    </w:p>
    <w:p>
      <w:pPr>
        <w:pStyle w:val="BodyText"/>
        <w:spacing w:line="391" w:lineRule="auto" w:before="73"/>
        <w:ind w:left="566" w:right="4679" w:firstLine="7"/>
        <w:jc w:val="left"/>
      </w:pPr>
      <w:r>
        <w:rPr/>
        <w:t>（</w:t>
      </w:r>
      <w:r>
        <w:rPr>
          <w:rFonts w:ascii="宋体" w:hAnsi="宋体" w:cs="宋体" w:eastAsia="宋体" w:hint="default"/>
        </w:rPr>
        <w:t>7</w:t>
      </w:r>
      <w:r>
        <w:rPr/>
        <w:t>）其他业务收入</w:t>
      </w:r>
      <w:r>
        <w:rPr>
          <w:w w:val="100"/>
        </w:rPr>
        <w:t> </w:t>
      </w:r>
      <w:r>
        <w:rPr>
          <w:spacing w:val="-6"/>
        </w:rPr>
        <w:t>其他业务收入以合同到期结算时或提供服务时确认为收入。</w:t>
      </w:r>
      <w:r>
        <w:rPr/>
      </w:r>
    </w:p>
    <w:p>
      <w:pPr>
        <w:pStyle w:val="BodyText"/>
        <w:spacing w:line="391" w:lineRule="auto" w:before="42"/>
        <w:ind w:left="566" w:right="0" w:firstLine="7"/>
        <w:jc w:val="left"/>
      </w:pPr>
      <w:r>
        <w:rPr/>
        <w:t>（</w:t>
      </w:r>
      <w:r>
        <w:rPr>
          <w:rFonts w:ascii="宋体" w:hAnsi="宋体" w:cs="宋体" w:eastAsia="宋体" w:hint="default"/>
        </w:rPr>
        <w:t>8</w:t>
      </w:r>
      <w:r>
        <w:rPr/>
        <w:t>）投资收益</w:t>
      </w:r>
      <w:r>
        <w:rPr>
          <w:w w:val="100"/>
        </w:rPr>
        <w:t> </w:t>
      </w:r>
      <w:r>
        <w:rPr>
          <w:spacing w:val="-7"/>
        </w:rPr>
        <w:t>公司持有金融资产期间取得的红利、股息或现金股利等，计入当期损益；处置金融资产时，按取得的价</w:t>
      </w:r>
      <w:r>
        <w:rPr/>
      </w:r>
    </w:p>
    <w:p>
      <w:pPr>
        <w:pStyle w:val="BodyText"/>
        <w:spacing w:line="355" w:lineRule="auto" w:before="3"/>
        <w:ind w:right="1127"/>
        <w:jc w:val="both"/>
      </w:pPr>
      <w:r>
        <w:rPr>
          <w:spacing w:val="-7"/>
        </w:rPr>
        <w:t>款与账面价值之间的差额，计入当期损益，同时，调整公允价值变动损益或将原直接计入其他综合收益的公</w:t>
      </w:r>
      <w:r>
        <w:rPr>
          <w:spacing w:val="-23"/>
        </w:rPr>
        <w:t> </w:t>
      </w:r>
      <w:r>
        <w:rPr>
          <w:spacing w:val="-23"/>
        </w:rPr>
      </w:r>
      <w:r>
        <w:rPr>
          <w:spacing w:val="-7"/>
        </w:rPr>
        <w:t>允价值变动累计额对应处置部分的金额转出，计入投资损益；采用成本法核算长期股权投资的，按被投资单</w:t>
      </w:r>
      <w:r>
        <w:rPr>
          <w:spacing w:val="-24"/>
        </w:rPr>
        <w:t> </w:t>
      </w:r>
      <w:r>
        <w:rPr>
          <w:spacing w:val="-24"/>
        </w:rPr>
      </w:r>
      <w:r>
        <w:rPr>
          <w:spacing w:val="-7"/>
        </w:rPr>
        <w:t>位宣告发放的现金股利或利润中属于公司的部分确认当期损益；采用权益法核算长期股权投资的，按被投资</w:t>
      </w:r>
      <w:r>
        <w:rPr>
          <w:spacing w:val="-18"/>
        </w:rPr>
        <w:t> </w:t>
      </w:r>
      <w:r>
        <w:rPr>
          <w:spacing w:val="-18"/>
        </w:rPr>
      </w:r>
      <w:r>
        <w:rPr>
          <w:spacing w:val="-6"/>
        </w:rPr>
        <w:t>单位实现的净利润或经调整的净利润计算应享有的份额确认当期损益。</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95" w:lineRule="auto"/>
        <w:ind w:left="575" w:right="8441"/>
        <w:jc w:val="left"/>
        <w:rPr>
          <w:b w:val="0"/>
          <w:bCs w:val="0"/>
        </w:rPr>
      </w:pPr>
      <w:r>
        <w:rPr/>
        <w:t>（二十六）政府补助</w:t>
      </w:r>
      <w:r>
        <w:rPr>
          <w:spacing w:val="-43"/>
        </w:rPr>
        <w:t> </w:t>
      </w:r>
      <w:r>
        <w:rPr>
          <w:spacing w:val="-43"/>
        </w:rPr>
      </w:r>
      <w:r>
        <w:rPr>
          <w:rFonts w:ascii="Trebuchet MS" w:hAnsi="Trebuchet MS" w:cs="Trebuchet MS" w:eastAsia="Trebuchet MS" w:hint="default"/>
        </w:rPr>
        <w:t>1</w:t>
      </w:r>
      <w:r>
        <w:rPr/>
        <w:t>．</w:t>
      </w:r>
      <w:r>
        <w:rPr>
          <w:spacing w:val="-24"/>
        </w:rPr>
        <w:t> </w:t>
      </w:r>
      <w:r>
        <w:rPr/>
        <w:t>类型</w:t>
      </w:r>
      <w:r>
        <w:rPr>
          <w:b w:val="0"/>
          <w:bCs w:val="0"/>
        </w:rPr>
      </w:r>
    </w:p>
    <w:p>
      <w:pPr>
        <w:pStyle w:val="BodyText"/>
        <w:spacing w:line="355" w:lineRule="auto" w:before="88"/>
        <w:ind w:right="0" w:firstLine="420"/>
        <w:jc w:val="left"/>
      </w:pPr>
      <w:r>
        <w:rPr>
          <w:spacing w:val="-2"/>
        </w:rPr>
        <w:t>政府补助，是本公司从政府无偿取得的货币性资产与非货币性资产，分为与资产相关的政府补助和与</w:t>
      </w:r>
      <w:r>
        <w:rPr>
          <w:w w:val="100"/>
        </w:rPr>
        <w:t> </w:t>
      </w:r>
      <w:r>
        <w:rPr/>
        <w:t>收益相关的政府补助。</w:t>
      </w:r>
    </w:p>
    <w:p>
      <w:pPr>
        <w:pStyle w:val="BodyText"/>
        <w:spacing w:line="355" w:lineRule="auto" w:before="75"/>
        <w:ind w:right="0" w:firstLine="420"/>
        <w:jc w:val="left"/>
      </w:pPr>
      <w:r>
        <w:rPr>
          <w:spacing w:val="-2"/>
        </w:rPr>
        <w:t>与资产相关的政府补助，是指本公司取得的、用于购建或以其他方式形成长期资产的政府补助。与收</w:t>
      </w:r>
      <w:r>
        <w:rPr>
          <w:w w:val="100"/>
        </w:rPr>
        <w:t> </w:t>
      </w:r>
      <w:r>
        <w:rPr/>
        <w:t>益相关的政府补助，是指除与资产相关的政府补助之外的政府补助。</w:t>
      </w:r>
    </w:p>
    <w:p>
      <w:pPr>
        <w:pStyle w:val="BodyText"/>
        <w:spacing w:line="355" w:lineRule="auto" w:before="75"/>
        <w:ind w:right="0" w:firstLine="420"/>
        <w:jc w:val="left"/>
      </w:pPr>
      <w:r>
        <w:rPr>
          <w:spacing w:val="-2"/>
        </w:rPr>
        <w:t>本公司将政府补助划分为与资产相关的具体标准为：企业取得的，用于购建或以其他方式形成长期资</w:t>
      </w:r>
      <w:r>
        <w:rPr>
          <w:w w:val="100"/>
        </w:rPr>
        <w:t> </w:t>
      </w:r>
      <w:r>
        <w:rPr/>
        <w:t>产的政府补助；</w:t>
      </w:r>
    </w:p>
    <w:p>
      <w:pPr>
        <w:pStyle w:val="BodyText"/>
        <w:spacing w:line="393" w:lineRule="auto" w:before="73"/>
        <w:ind w:left="573" w:right="0"/>
        <w:jc w:val="left"/>
      </w:pPr>
      <w:r>
        <w:rPr/>
        <w:t>本公司将政府补助划分为与收益相关的具体标准为：除与资产相关的政府补助之外的政府补助；</w:t>
      </w:r>
      <w:r>
        <w:rPr>
          <w:w w:val="100"/>
        </w:rPr>
        <w:t> </w:t>
      </w:r>
      <w:r>
        <w:rPr>
          <w:spacing w:val="-2"/>
        </w:rPr>
        <w:t>对于政府文件未明确规定补助对象的，本公司将该政府补助划分为与资产相关或与收益相关的判断依</w:t>
      </w:r>
    </w:p>
    <w:p>
      <w:pPr>
        <w:spacing w:after="0" w:line="393"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240" w:lineRule="auto" w:before="36"/>
        <w:ind w:right="0"/>
        <w:jc w:val="left"/>
      </w:pPr>
      <w:r>
        <w:rPr/>
        <w:t>据为：是否用于购建或以其他方式形成长期资产。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38" w:lineRule="auto" w:before="0"/>
        <w:ind w:left="573" w:right="4679" w:firstLine="2"/>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1"/>
          <w:sz w:val="21"/>
          <w:szCs w:val="21"/>
        </w:rPr>
        <w:t> </w:t>
      </w:r>
      <w:r>
        <w:rPr>
          <w:rFonts w:ascii="Microsoft JhengHei" w:hAnsi="Microsoft JhengHei" w:cs="Microsoft JhengHei" w:eastAsia="Microsoft JhengHei" w:hint="default"/>
          <w:b/>
          <w:bCs/>
          <w:sz w:val="21"/>
          <w:szCs w:val="21"/>
        </w:rPr>
        <w:t>政府补助的确认</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企业实际取得政府补助款项作为确认时点。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340" w:lineRule="auto"/>
        <w:ind w:left="573" w:right="0" w:firstLine="2"/>
        <w:jc w:val="left"/>
      </w:pPr>
      <w:r>
        <w:rPr>
          <w:rFonts w:ascii="Trebuchet MS" w:hAnsi="Trebuchet MS" w:cs="Trebuchet MS" w:eastAsia="Trebuchet MS" w:hint="default"/>
          <w:b/>
          <w:bCs/>
        </w:rPr>
        <w:t>3</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b/>
          <w:bCs/>
          <w:spacing w:val="-11"/>
        </w:rPr>
        <w:t> </w:t>
      </w:r>
      <w:r>
        <w:rPr>
          <w:rFonts w:ascii="Microsoft JhengHei" w:hAnsi="Microsoft JhengHei" w:cs="Microsoft JhengHei" w:eastAsia="Microsoft JhengHei" w:hint="default"/>
          <w:b/>
          <w:bCs/>
        </w:rPr>
        <w:t>会计处理方法</w:t>
      </w:r>
      <w:r>
        <w:rPr>
          <w:rFonts w:ascii="Microsoft JhengHei" w:hAnsi="Microsoft JhengHei" w:cs="Microsoft JhengHei" w:eastAsia="Microsoft JhengHei" w:hint="default"/>
          <w:b/>
          <w:bCs/>
          <w:w w:val="100"/>
        </w:rPr>
        <w:t> </w:t>
      </w:r>
      <w:r>
        <w:rPr>
          <w:spacing w:val="-2"/>
        </w:rPr>
        <w:t>与资产相关的政府补助，冲减相关资产账面价值或确认为递延收益。确认为递延收益的，在相关资产</w:t>
      </w:r>
    </w:p>
    <w:p>
      <w:pPr>
        <w:pStyle w:val="BodyText"/>
        <w:spacing w:line="355" w:lineRule="auto" w:before="47"/>
        <w:ind w:right="1129"/>
        <w:jc w:val="both"/>
      </w:pPr>
      <w:r>
        <w:rPr>
          <w:spacing w:val="-2"/>
        </w:rPr>
        <w:t>使用寿命内按照合理、系统的方法分期计入当期损益（与本公司日常活动相关的，计入其他收益；与本公</w:t>
      </w:r>
      <w:r>
        <w:rPr>
          <w:spacing w:val="-47"/>
        </w:rPr>
        <w:t> </w:t>
      </w:r>
      <w:r>
        <w:rPr>
          <w:spacing w:val="-47"/>
        </w:rPr>
      </w:r>
      <w:r>
        <w:rPr>
          <w:spacing w:val="-7"/>
          <w:w w:val="100"/>
        </w:rPr>
        <w:t>司日常活动无关的，计入营业外收入）；</w:t>
      </w:r>
    </w:p>
    <w:p>
      <w:pPr>
        <w:pStyle w:val="BodyText"/>
        <w:spacing w:line="355" w:lineRule="auto" w:before="75"/>
        <w:ind w:right="1126" w:firstLine="420"/>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pStyle w:val="BodyText"/>
        <w:spacing w:line="240" w:lineRule="auto" w:before="73"/>
        <w:ind w:left="573" w:right="0"/>
        <w:jc w:val="left"/>
      </w:pPr>
      <w:r>
        <w:rPr/>
        <w:t>本公司取得的政策性优惠贷款贴息，区分以下两种情况，分别进行会计处理：</w:t>
      </w:r>
    </w:p>
    <w:p>
      <w:pPr>
        <w:pStyle w:val="BodyText"/>
        <w:spacing w:line="355" w:lineRule="auto" w:before="176"/>
        <w:ind w:right="1210" w:firstLine="420"/>
        <w:jc w:val="both"/>
      </w:pPr>
      <w:r>
        <w:rPr>
          <w:spacing w:val="-2"/>
        </w:rPr>
        <w:t>（</w:t>
      </w:r>
      <w:r>
        <w:rPr>
          <w:rFonts w:ascii="宋体" w:hAnsi="宋体" w:cs="宋体" w:eastAsia="宋体" w:hint="default"/>
          <w:spacing w:val="-2"/>
        </w:rPr>
        <w:t>1</w:t>
      </w:r>
      <w:r>
        <w:rPr>
          <w:spacing w:val="-2"/>
        </w:rPr>
        <w:t>）财政将贴息资金拨付给贷款银行，由贷款银行以政策性优惠利率向本公司提供贷款的，本公司</w:t>
      </w:r>
      <w:r>
        <w:rPr>
          <w:w w:val="100"/>
        </w:rPr>
        <w:t> </w:t>
      </w:r>
      <w:r>
        <w:rPr/>
        <w:t>以实际收到的借款金额作为借款的入账价值，按照借款本金和该政策性优惠利率计算相关借款费用。</w:t>
      </w:r>
    </w:p>
    <w:p>
      <w:pPr>
        <w:pStyle w:val="BodyText"/>
        <w:spacing w:line="240" w:lineRule="auto" w:before="73"/>
        <w:ind w:left="573" w:right="0"/>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40" w:lineRule="auto" w:before="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（二十七）递延所得税资产和递延所得税负债</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对于可抵扣暂时性差异确认递延所得税资产，以未来期间很可能取得的用来抵扣可抵扣暂时性差异的</w:t>
      </w:r>
    </w:p>
    <w:p>
      <w:pPr>
        <w:pStyle w:val="BodyText"/>
        <w:spacing w:line="355" w:lineRule="auto" w:before="45"/>
        <w:ind w:right="1126"/>
        <w:jc w:val="both"/>
      </w:pP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BodyText"/>
        <w:spacing w:line="393" w:lineRule="auto" w:before="73"/>
        <w:ind w:left="573" w:right="0"/>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393" w:lineRule="auto"/>
        <w:ind w:left="573" w:right="0" w:hanging="421"/>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BodyText"/>
        <w:spacing w:line="393" w:lineRule="auto"/>
        <w:ind w:left="573" w:right="0" w:hanging="421"/>
        <w:jc w:val="left"/>
      </w:pPr>
      <w:r>
        <w:rPr/>
        <w:t>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BodyText"/>
        <w:spacing w:line="355" w:lineRule="auto" w:before="1"/>
        <w:ind w:right="1126"/>
        <w:jc w:val="both"/>
      </w:pPr>
      <w:r>
        <w:rPr>
          <w:spacing w:val="-2"/>
        </w:rPr>
        <w:t>债是与同一税收征管部门对同一纳税主体征收的所得税相关或者是对不同的纳税主体相关，但在未来每一</w:t>
      </w:r>
      <w:r>
        <w:rPr>
          <w:spacing w:val="-42"/>
        </w:rPr>
        <w:t> </w:t>
      </w:r>
      <w:r>
        <w:rPr>
          <w:spacing w:val="-42"/>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after="0" w:line="355"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40" w:lineRule="auto" w:before="144"/>
        <w:ind w:left="573" w:right="0" w:firstLine="2"/>
        <w:jc w:val="left"/>
      </w:pPr>
      <w:r>
        <w:rPr>
          <w:rFonts w:ascii="Microsoft JhengHei" w:hAnsi="Microsoft JhengHei" w:cs="Microsoft JhengHei" w:eastAsia="Microsoft JhengHei" w:hint="default"/>
          <w:b/>
          <w:bCs/>
        </w:rPr>
        <w:t>（二十八）租赁</w:t>
      </w:r>
      <w:r>
        <w:rPr>
          <w:rFonts w:ascii="Microsoft JhengHei" w:hAnsi="Microsoft JhengHei" w:cs="Microsoft JhengHei" w:eastAsia="Microsoft JhengHei" w:hint="default"/>
          <w:b/>
          <w:bCs/>
          <w:spacing w:val="-48"/>
        </w:rPr>
        <w:t> </w:t>
      </w:r>
      <w:r>
        <w:rPr>
          <w:rFonts w:ascii="Microsoft JhengHei" w:hAnsi="Microsoft JhengHei" w:cs="Microsoft JhengHei" w:eastAsia="Microsoft JhengHei" w:hint="default"/>
          <w:b/>
          <w:bCs/>
          <w:spacing w:val="-48"/>
        </w:rPr>
      </w:r>
      <w:r>
        <w:rPr>
          <w:spacing w:val="-2"/>
        </w:rPr>
        <w:t>如果租赁条款在实质上将与租赁资产所有权有关的全部风险和报酬转移给承租人，该租赁为融资租赁，</w:t>
      </w:r>
    </w:p>
    <w:p>
      <w:pPr>
        <w:spacing w:line="333" w:lineRule="auto" w:before="42"/>
        <w:ind w:left="575" w:right="8282" w:hanging="423"/>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其他租赁则为经营租赁。</w:t>
      </w:r>
      <w:r>
        <w:rPr>
          <w:rFonts w:ascii="宋体" w:hAnsi="宋体" w:cs="宋体" w:eastAsia="宋体" w:hint="default"/>
          <w:w w:val="100"/>
          <w:sz w:val="21"/>
          <w:szCs w:val="21"/>
        </w:rPr>
        <w:t> </w:t>
      </w: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7"/>
          <w:sz w:val="21"/>
          <w:szCs w:val="21"/>
        </w:rPr>
        <w:t> </w:t>
      </w:r>
      <w:r>
        <w:rPr>
          <w:rFonts w:ascii="Microsoft JhengHei" w:hAnsi="Microsoft JhengHei" w:cs="Microsoft JhengHei" w:eastAsia="Microsoft JhengHei" w:hint="default"/>
          <w:b/>
          <w:bCs/>
          <w:sz w:val="21"/>
          <w:szCs w:val="21"/>
        </w:rPr>
        <w:t>经营租赁会计处理</w:t>
      </w:r>
      <w:r>
        <w:rPr>
          <w:rFonts w:ascii="Microsoft JhengHei" w:hAnsi="Microsoft JhengHei" w:cs="Microsoft JhengHei" w:eastAsia="Microsoft JhengHei" w:hint="default"/>
          <w:sz w:val="21"/>
          <w:szCs w:val="21"/>
        </w:rPr>
      </w:r>
    </w:p>
    <w:p>
      <w:pPr>
        <w:pStyle w:val="BodyText"/>
        <w:spacing w:line="374" w:lineRule="auto" w:before="43"/>
        <w:ind w:left="573" w:right="0"/>
        <w:jc w:val="left"/>
      </w:pPr>
      <w:r>
        <w:rPr>
          <w:spacing w:val="-3"/>
        </w:rPr>
        <w:t>（</w:t>
      </w:r>
      <w:r>
        <w:rPr>
          <w:rFonts w:ascii="宋体" w:hAnsi="宋体" w:cs="宋体" w:eastAsia="宋体" w:hint="default"/>
          <w:spacing w:val="-3"/>
        </w:rPr>
        <w:t>1</w:t>
      </w:r>
      <w:r>
        <w:rPr>
          <w:spacing w:val="-3"/>
        </w:rPr>
        <w:t>）公司租入资产所支付的租赁费，在不扣除免租期的整个租赁期内，按直线法进行分摊，计入</w:t>
      </w:r>
      <w:r>
        <w:rPr>
          <w:spacing w:val="-28"/>
        </w:rPr>
        <w:t> </w:t>
      </w:r>
      <w:r>
        <w:rPr>
          <w:spacing w:val="-28"/>
        </w:rPr>
      </w:r>
      <w:r>
        <w:rPr/>
        <w:t>当期费用。公司支付的与租赁交易相关的初始直接费用，计入当期费用。</w:t>
      </w:r>
      <w:r>
        <w:rPr>
          <w:w w:val="100"/>
        </w:rPr>
        <w:t> </w:t>
      </w:r>
      <w:r>
        <w:rPr>
          <w:spacing w:val="-2"/>
        </w:rPr>
        <w:t>资产出租方承担了应由公司承担的与租赁相关的费用时，公司将该部分费用从租金总额中扣除，按扣</w:t>
      </w:r>
    </w:p>
    <w:p>
      <w:pPr>
        <w:pStyle w:val="BodyText"/>
        <w:spacing w:line="240" w:lineRule="auto" w:before="13"/>
        <w:ind w:right="0"/>
        <w:jc w:val="left"/>
      </w:pPr>
      <w:r>
        <w:rPr/>
        <w:t>除后的租金费用在租赁期内分摊，计入当期费用。</w:t>
      </w:r>
    </w:p>
    <w:p>
      <w:pPr>
        <w:pStyle w:val="BodyText"/>
        <w:spacing w:line="355" w:lineRule="auto" w:before="176"/>
        <w:ind w:right="1128" w:firstLine="420"/>
        <w:jc w:val="both"/>
      </w:pPr>
      <w:r>
        <w:rPr>
          <w:spacing w:val="-5"/>
        </w:rPr>
        <w:t>（</w:t>
      </w:r>
      <w:r>
        <w:rPr>
          <w:rFonts w:ascii="宋体" w:hAnsi="宋体" w:cs="宋体" w:eastAsia="宋体" w:hint="default"/>
          <w:spacing w:val="-5"/>
        </w:rPr>
        <w:t>2</w:t>
      </w:r>
      <w:r>
        <w:rPr>
          <w:spacing w:val="-5"/>
        </w:rPr>
        <w:t>）公司出租资产所收取的租赁费，在不扣除免租期的整个租赁期内，按直线法进行分摊，确认为租</w:t>
      </w:r>
      <w:r>
        <w:rPr>
          <w:w w:val="100"/>
        </w:rPr>
        <w:t> </w:t>
      </w:r>
      <w:r>
        <w:rPr>
          <w:spacing w:val="-7"/>
        </w:rPr>
        <w:t>赁相关收入。公司支付的与租赁交易相关的初始直接费用，计入当期费用；如金额较大的，则予以资本化，</w:t>
      </w:r>
      <w:r>
        <w:rPr>
          <w:spacing w:val="-17"/>
        </w:rPr>
        <w:t> </w:t>
      </w:r>
      <w:r>
        <w:rPr>
          <w:spacing w:val="-17"/>
        </w:rPr>
      </w:r>
      <w:r>
        <w:rPr/>
        <w:t>在整个租赁期间内按照与租赁相关收入确认相同的基础分期计入当期收益。</w:t>
      </w:r>
    </w:p>
    <w:p>
      <w:pPr>
        <w:pStyle w:val="BodyText"/>
        <w:spacing w:line="355" w:lineRule="auto" w:before="75"/>
        <w:ind w:right="0" w:firstLine="420"/>
        <w:jc w:val="left"/>
      </w:pPr>
      <w:r>
        <w:rPr>
          <w:spacing w:val="-4"/>
        </w:rPr>
        <w:t>公司承担了应由承租方承担的与租赁相关的费用时，公司将该部分费用从租金收入总额中扣除，按</w:t>
      </w:r>
      <w:r>
        <w:rPr>
          <w:w w:val="100"/>
        </w:rPr>
        <w:t> </w:t>
      </w:r>
      <w:r>
        <w:rPr/>
        <w:t>扣除后的租金费用在租赁期内分配。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338" w:lineRule="auto" w:before="0"/>
        <w:ind w:left="573" w:right="6408" w:firstLine="2"/>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1"/>
          <w:sz w:val="21"/>
          <w:szCs w:val="21"/>
        </w:rPr>
        <w:t> </w:t>
      </w:r>
      <w:r>
        <w:rPr>
          <w:rFonts w:ascii="Microsoft JhengHei" w:hAnsi="Microsoft JhengHei" w:cs="Microsoft JhengHei" w:eastAsia="Microsoft JhengHei" w:hint="default"/>
          <w:b/>
          <w:bCs/>
          <w:sz w:val="21"/>
          <w:szCs w:val="21"/>
        </w:rPr>
        <w:t>融资租赁会计处理</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本报告期未发生融资租赁事项。</w:t>
      </w:r>
    </w:p>
    <w:p>
      <w:pPr>
        <w:spacing w:line="240" w:lineRule="auto" w:before="0"/>
        <w:rPr>
          <w:rFonts w:ascii="宋体" w:hAnsi="宋体" w:cs="宋体" w:eastAsia="宋体" w:hint="default"/>
          <w:sz w:val="20"/>
          <w:szCs w:val="20"/>
        </w:rPr>
      </w:pPr>
    </w:p>
    <w:p>
      <w:pPr>
        <w:pStyle w:val="BodyText"/>
        <w:spacing w:line="448" w:lineRule="exact" w:before="162"/>
        <w:ind w:left="573" w:right="2937" w:firstLine="2"/>
        <w:jc w:val="left"/>
      </w:pPr>
      <w:r>
        <w:rPr>
          <w:rFonts w:ascii="Microsoft JhengHei" w:hAnsi="Microsoft JhengHei" w:cs="Microsoft JhengHei" w:eastAsia="Microsoft JhengHei" w:hint="default"/>
          <w:b/>
          <w:bCs/>
        </w:rPr>
        <w:t>（二十九）期货风险准备金</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spacing w:val="-47"/>
        </w:rPr>
      </w:r>
      <w:r>
        <w:rPr/>
        <w:t>本公司控股子公司国盛期货有限责任公司按下列政策计提期货风险准备金：</w:t>
      </w:r>
      <w:r>
        <w:rPr>
          <w:w w:val="100"/>
        </w:rPr>
        <w:t> </w:t>
      </w:r>
      <w:r>
        <w:rPr>
          <w:rFonts w:ascii="宋体" w:hAnsi="宋体" w:cs="宋体" w:eastAsia="宋体" w:hint="default"/>
          <w:spacing w:val="-2"/>
        </w:rPr>
        <w:t>1.</w:t>
      </w:r>
      <w:r>
        <w:rPr>
          <w:spacing w:val="-2"/>
        </w:rPr>
        <w:t>期货风险准备金指按手续费净收入</w:t>
      </w:r>
      <w:r>
        <w:rPr>
          <w:spacing w:val="15"/>
        </w:rPr>
        <w:t> </w:t>
      </w:r>
      <w:r>
        <w:rPr>
          <w:rFonts w:ascii="宋体" w:hAnsi="宋体" w:cs="宋体" w:eastAsia="宋体" w:hint="default"/>
          <w:spacing w:val="-2"/>
        </w:rPr>
        <w:t>5%</w:t>
      </w:r>
      <w:r>
        <w:rPr>
          <w:spacing w:val="-2"/>
        </w:rPr>
        <w:t>计提的期货风险准备金，计入当期损益。</w:t>
      </w:r>
    </w:p>
    <w:p>
      <w:pPr>
        <w:pStyle w:val="BodyText"/>
        <w:spacing w:line="240" w:lineRule="auto" w:before="114"/>
        <w:ind w:left="573" w:right="0"/>
        <w:jc w:val="left"/>
      </w:pPr>
      <w:r>
        <w:rPr>
          <w:rFonts w:ascii="宋体" w:hAnsi="宋体" w:cs="宋体" w:eastAsia="宋体" w:hint="default"/>
        </w:rPr>
        <w:t>2.</w:t>
      </w:r>
      <w:r>
        <w:rPr/>
        <w:t>风险损失的确认标准为：</w:t>
      </w:r>
    </w:p>
    <w:p>
      <w:pPr>
        <w:pStyle w:val="BodyText"/>
        <w:spacing w:line="240" w:lineRule="auto" w:before="171"/>
        <w:ind w:left="573" w:right="0"/>
        <w:jc w:val="left"/>
      </w:pPr>
      <w:r>
        <w:rPr/>
        <w:t>（</w:t>
      </w:r>
      <w:r>
        <w:rPr>
          <w:rFonts w:ascii="宋体" w:hAnsi="宋体" w:cs="宋体" w:eastAsia="宋体" w:hint="default"/>
        </w:rPr>
        <w:t>1</w:t>
      </w:r>
      <w:r>
        <w:rPr/>
        <w:t>）因管理不严、错单交易等造成的应由公司承担的客户交易损失；</w:t>
      </w:r>
    </w:p>
    <w:p>
      <w:pPr>
        <w:pStyle w:val="BodyText"/>
        <w:spacing w:line="391" w:lineRule="auto" w:before="174"/>
        <w:ind w:left="573" w:right="0"/>
        <w:jc w:val="left"/>
      </w:pPr>
      <w:r>
        <w:rPr/>
        <w:t>（</w:t>
      </w:r>
      <w:r>
        <w:rPr>
          <w:rFonts w:ascii="宋体" w:hAnsi="宋体" w:cs="宋体" w:eastAsia="宋体" w:hint="default"/>
        </w:rPr>
        <w:t>2</w:t>
      </w:r>
      <w:r>
        <w:rPr/>
        <w:t>）因穿仓等原因形成难以收回的风险损失款。</w:t>
      </w:r>
      <w:r>
        <w:rPr>
          <w:w w:val="100"/>
        </w:rPr>
        <w:t> </w:t>
      </w:r>
      <w:r>
        <w:rPr>
          <w:spacing w:val="-2"/>
        </w:rPr>
        <w:t>计提的期货风险准备金余额不足以弥补的损失金额计入当期损益。</w:t>
      </w:r>
    </w:p>
    <w:p>
      <w:pPr>
        <w:spacing w:line="240" w:lineRule="auto" w:before="0"/>
        <w:rPr>
          <w:rFonts w:ascii="宋体" w:hAnsi="宋体" w:cs="宋体" w:eastAsia="宋体" w:hint="default"/>
          <w:sz w:val="20"/>
          <w:szCs w:val="20"/>
        </w:rPr>
      </w:pPr>
    </w:p>
    <w:p>
      <w:pPr>
        <w:spacing w:line="340" w:lineRule="auto" w:before="162"/>
        <w:ind w:left="573"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（三十）买入返售及卖出回购业务</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5"/>
          <w:sz w:val="21"/>
          <w:szCs w:val="21"/>
        </w:rPr>
        <w:t>本公司对买入返售交易，按照合同或协议的约定，以一定的价格向交易对手买入相关资产（包括股</w:t>
      </w:r>
    </w:p>
    <w:p>
      <w:pPr>
        <w:pStyle w:val="BodyText"/>
        <w:spacing w:line="355" w:lineRule="auto" w:before="45"/>
        <w:ind w:right="0"/>
        <w:jc w:val="left"/>
      </w:pPr>
      <w:r>
        <w:rPr>
          <w:spacing w:val="-5"/>
          <w:w w:val="100"/>
        </w:rPr>
        <w:t>票、债券和票据），同时约定本公司于未来某确定日期再以约定价格返售相同之金融产品。买入返售按</w:t>
      </w:r>
      <w:r>
        <w:rPr>
          <w:spacing w:val="-76"/>
          <w:w w:val="100"/>
        </w:rPr>
        <w:t> </w:t>
      </w:r>
      <w:r>
        <w:rPr>
          <w:spacing w:val="-76"/>
          <w:w w:val="100"/>
        </w:rPr>
      </w:r>
      <w:r>
        <w:rPr/>
        <w:t>买入返售相关资产时实际支付的款项入账。</w:t>
      </w:r>
    </w:p>
    <w:p>
      <w:pPr>
        <w:pStyle w:val="BodyText"/>
        <w:spacing w:line="355" w:lineRule="auto" w:before="76"/>
        <w:ind w:right="0" w:firstLine="420"/>
        <w:jc w:val="left"/>
      </w:pPr>
      <w:r>
        <w:rPr>
          <w:spacing w:val="-3"/>
        </w:rPr>
        <w:t>本公司对于卖出回购交易，按照合同或协议的约定，以一定的价格将相关的资产（包括股票、债券</w:t>
      </w:r>
      <w:r>
        <w:rPr>
          <w:w w:val="100"/>
        </w:rPr>
        <w:t> </w:t>
      </w:r>
      <w:r>
        <w:rPr>
          <w:spacing w:val="-3"/>
        </w:rPr>
        <w:t>和票据）出售给交易对手，同时约定本公司于未来某确定日期再以约定价格回购相同之金融产品。卖出</w:t>
      </w:r>
    </w:p>
    <w:p>
      <w:pPr>
        <w:spacing w:after="0" w:line="355" w:lineRule="auto"/>
        <w:jc w:val="left"/>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0"/>
        <w:jc w:val="left"/>
      </w:pPr>
      <w:r>
        <w:rPr>
          <w:spacing w:val="-3"/>
        </w:rPr>
        <w:t>回购按卖出回购相关资产时实际收到的款项入账。卖出的金融产品仍按原分类列示于本公司的资产负债</w:t>
      </w:r>
      <w:r>
        <w:rPr>
          <w:spacing w:val="-22"/>
        </w:rPr>
        <w:t> </w:t>
      </w:r>
      <w:r>
        <w:rPr>
          <w:spacing w:val="-22"/>
        </w:rPr>
      </w:r>
      <w:r>
        <w:rPr/>
        <w:t>表内，并按照相关的会计政策核算。</w:t>
      </w:r>
    </w:p>
    <w:p>
      <w:pPr>
        <w:pStyle w:val="BodyText"/>
        <w:spacing w:line="355" w:lineRule="auto" w:before="75"/>
        <w:ind w:right="0" w:firstLine="420"/>
        <w:jc w:val="left"/>
      </w:pPr>
      <w:r>
        <w:rPr>
          <w:spacing w:val="-7"/>
        </w:rPr>
        <w:t>买入返售金融资产中，涉及向客户融出资金的，以预期信用损失为基础计提减值准备。详见本附注三、</w:t>
      </w:r>
      <w:r>
        <w:rPr>
          <w:w w:val="100"/>
        </w:rPr>
        <w:t> </w:t>
      </w:r>
      <w:r>
        <w:rPr/>
        <w:t>“(十</w:t>
      </w:r>
      <w:r>
        <w:rPr>
          <w:rFonts w:ascii="宋体" w:hAnsi="宋体" w:cs="宋体" w:eastAsia="宋体" w:hint="default"/>
        </w:rPr>
        <w:t>)</w:t>
      </w:r>
      <w:r>
        <w:rPr/>
        <w:t>金融工具”之“6、金融资产减值的测试方法及会计处理方法。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340" w:lineRule="auto" w:before="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（三十一）证券承销业务</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公司证券承销业务分为全额包销、余额包销、代销方式。公司以全额包销方式进行承销业务的，在按</w:t>
      </w:r>
    </w:p>
    <w:p>
      <w:pPr>
        <w:pStyle w:val="BodyText"/>
        <w:spacing w:line="357" w:lineRule="auto" w:before="45"/>
        <w:ind w:right="0"/>
        <w:jc w:val="left"/>
      </w:pPr>
      <w:r>
        <w:rPr>
          <w:spacing w:val="-2"/>
        </w:rPr>
        <w:t>承销价格购入待发售的证券时，确认为一项资产；公司将证券转让给投资者时，按承销价格确认为证券承</w:t>
      </w:r>
      <w:r>
        <w:rPr>
          <w:spacing w:val="-43"/>
        </w:rPr>
        <w:t> </w:t>
      </w:r>
      <w:r>
        <w:rPr>
          <w:spacing w:val="-43"/>
        </w:rPr>
      </w:r>
      <w:r>
        <w:rPr>
          <w:spacing w:val="-2"/>
        </w:rPr>
        <w:t>销收入，按已承销证券的承销价格结转承销证券的成本。承销期结束后，如有未售出的证券，按承购价转</w:t>
      </w:r>
      <w:r>
        <w:rPr>
          <w:spacing w:val="-47"/>
        </w:rPr>
        <w:t> </w:t>
      </w:r>
      <w:r>
        <w:rPr>
          <w:spacing w:val="-47"/>
        </w:rPr>
      </w:r>
      <w:r>
        <w:rPr>
          <w:spacing w:val="-2"/>
        </w:rPr>
        <w:t>为公司的交易性金融资产、债权投资、其他债权投资等。公司以余额包销方式进行承销业务的，在收到委</w:t>
      </w:r>
      <w:r>
        <w:rPr>
          <w:spacing w:val="-47"/>
        </w:rPr>
        <w:t> </w:t>
      </w:r>
      <w:r>
        <w:rPr>
          <w:spacing w:val="-47"/>
        </w:rPr>
      </w:r>
      <w:r>
        <w:rPr/>
        <w:t>托单位发售的证券时，只在专设的备查账簿中登记承销证券的情况，承销期结束后，如有未售出的证券，</w:t>
      </w:r>
      <w:r>
        <w:rPr>
          <w:spacing w:val="-24"/>
        </w:rPr>
        <w:t> </w:t>
      </w:r>
      <w:r>
        <w:rPr>
          <w:spacing w:val="-24"/>
        </w:rPr>
      </w:r>
      <w:r>
        <w:rPr>
          <w:spacing w:val="-2"/>
        </w:rPr>
        <w:t>按约定的承购价格转为公司的交易性金融资产、债权投资、其他债权投资等。公司以代销方式进行承销业</w:t>
      </w:r>
      <w:r>
        <w:rPr>
          <w:spacing w:val="-43"/>
        </w:rPr>
        <w:t> </w:t>
      </w:r>
      <w:r>
        <w:rPr>
          <w:spacing w:val="-43"/>
        </w:rPr>
      </w:r>
      <w:r>
        <w:rPr>
          <w:spacing w:val="-2"/>
        </w:rPr>
        <w:t>务的，在收到委托单位发售的证券时，只在专设的备查账簿中登记承销证券的情况。公司承销证券的手续</w:t>
      </w:r>
      <w:r>
        <w:rPr>
          <w:spacing w:val="-43"/>
        </w:rPr>
        <w:t> </w:t>
      </w:r>
      <w:r>
        <w:rPr>
          <w:spacing w:val="-43"/>
        </w:rPr>
      </w:r>
      <w:r>
        <w:rPr/>
        <w:t>费收入，在承销业务提供的相关服务完成时确认为收入。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40" w:lineRule="auto" w:before="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（三十二）受托投资管理业务</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本公司受托投资管理业务，按受托的款项同时确认为资产和负债，在表外进行核算。使用受托资金进</w:t>
      </w:r>
    </w:p>
    <w:p>
      <w:pPr>
        <w:pStyle w:val="BodyText"/>
        <w:spacing w:line="393" w:lineRule="auto" w:before="42"/>
        <w:ind w:left="573" w:right="0" w:hanging="421"/>
        <w:jc w:val="left"/>
      </w:pPr>
      <w:r>
        <w:rPr/>
        <w:t>行证券买卖时，通过受托资产科目进行会计核算。</w:t>
      </w:r>
      <w:r>
        <w:rPr>
          <w:w w:val="100"/>
        </w:rPr>
        <w:t> </w:t>
      </w:r>
      <w:r>
        <w:rPr>
          <w:spacing w:val="-2"/>
        </w:rPr>
        <w:t>本公司开展的受托投资管理业务包括集合资产管理业务和专项资产管理业务。为满足集合资产管理业</w:t>
      </w:r>
    </w:p>
    <w:p>
      <w:pPr>
        <w:pStyle w:val="BodyText"/>
        <w:spacing w:line="355" w:lineRule="auto"/>
        <w:ind w:right="0"/>
        <w:jc w:val="left"/>
      </w:pPr>
      <w:r>
        <w:rPr>
          <w:spacing w:val="-2"/>
        </w:rPr>
        <w:t>务和专项资产管理业务信息披露要求，本公司参照证券投资基金会计核算办法，对本公司开展集合资产管</w:t>
      </w:r>
      <w:r>
        <w:rPr>
          <w:spacing w:val="-43"/>
        </w:rPr>
        <w:t> </w:t>
      </w:r>
      <w:r>
        <w:rPr>
          <w:spacing w:val="-43"/>
        </w:rPr>
      </w:r>
      <w:r>
        <w:rPr/>
        <w:t>理业务和专项资产管理业务单独进行财务核算和编制财务报表。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38" w:lineRule="auto" w:before="0"/>
        <w:ind w:left="573" w:right="4679"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（三十三）融资融券业务</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融资融券业务，分为融资业务和融券业务两类。</w:t>
      </w:r>
    </w:p>
    <w:p>
      <w:pPr>
        <w:pStyle w:val="BodyText"/>
        <w:spacing w:line="355" w:lineRule="auto" w:before="90"/>
        <w:ind w:right="0" w:firstLine="420"/>
        <w:jc w:val="left"/>
      </w:pPr>
      <w:r>
        <w:rPr/>
        <w:t>本公司对融出的资金确认应收债权，并确认相应利息收入；对融出的自有证券，不终止确认该证券，</w:t>
      </w:r>
      <w:r>
        <w:rPr>
          <w:w w:val="100"/>
        </w:rPr>
        <w:t> </w:t>
      </w:r>
      <w:r>
        <w:rPr/>
        <w:t>并确认相应利息收入；对客户融资融券并代客户买卖证券时，作为证券经纪业务进行会计处理。</w:t>
      </w:r>
    </w:p>
    <w:p>
      <w:pPr>
        <w:pStyle w:val="BodyText"/>
        <w:spacing w:line="355" w:lineRule="auto" w:before="75"/>
        <w:ind w:right="0" w:firstLine="420"/>
        <w:jc w:val="left"/>
      </w:pPr>
      <w:r>
        <w:rPr>
          <w:spacing w:val="-6"/>
        </w:rPr>
        <w:t>公司对融资类业务以预期信用损失为基础计提减值准备。详见本附注四、“(十</w:t>
      </w:r>
      <w:r>
        <w:rPr>
          <w:rFonts w:ascii="宋体" w:hAnsi="宋体" w:cs="宋体" w:eastAsia="宋体" w:hint="default"/>
          <w:spacing w:val="-6"/>
        </w:rPr>
        <w:t>)</w:t>
      </w:r>
      <w:r>
        <w:rPr>
          <w:spacing w:val="-6"/>
        </w:rPr>
        <w:t>金融工具”之“6、金</w:t>
      </w:r>
      <w:r>
        <w:rPr>
          <w:spacing w:val="-44"/>
          <w:w w:val="100"/>
        </w:rPr>
        <w:t> </w:t>
      </w:r>
      <w:r>
        <w:rPr/>
        <w:t>融资产减值的测试方法及会计处理方法”。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40" w:lineRule="auto"/>
        <w:ind w:left="573" w:right="0" w:firstLine="2"/>
        <w:jc w:val="left"/>
      </w:pPr>
      <w:r>
        <w:rPr>
          <w:rFonts w:ascii="Microsoft JhengHei" w:hAnsi="Microsoft JhengHei" w:cs="Microsoft JhengHei" w:eastAsia="Microsoft JhengHei" w:hint="default"/>
          <w:b/>
          <w:bCs/>
        </w:rPr>
        <w:t>（三十四）转融通业务</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spacing w:val="-47"/>
        </w:rPr>
      </w:r>
      <w:r>
        <w:rPr>
          <w:spacing w:val="-2"/>
        </w:rPr>
        <w:t>转融通业务，是指证券金融公司将自有或者依法筹集的资金和证券出借给本公司，以供本公司办理融</w:t>
      </w:r>
    </w:p>
    <w:p>
      <w:pPr>
        <w:pStyle w:val="BodyText"/>
        <w:spacing w:line="240" w:lineRule="auto" w:before="43"/>
        <w:ind w:right="0"/>
        <w:jc w:val="left"/>
      </w:pPr>
      <w:r>
        <w:rPr/>
        <w:t>资融券业务的经营活动。转融通业务分为转融资业务和转融券业务。</w:t>
      </w:r>
    </w:p>
    <w:p>
      <w:pPr>
        <w:spacing w:after="0" w:line="240" w:lineRule="auto"/>
        <w:jc w:val="left"/>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393" w:lineRule="auto" w:before="36"/>
        <w:ind w:left="573" w:right="0"/>
        <w:jc w:val="left"/>
      </w:pPr>
      <w:r>
        <w:rPr/>
        <w:t>本公司对于融入的资金确认一项对出借方的负债，并确认相应的利息费用。</w:t>
      </w:r>
      <w:r>
        <w:rPr>
          <w:w w:val="100"/>
        </w:rPr>
        <w:t> </w:t>
      </w:r>
      <w:r>
        <w:rPr>
          <w:spacing w:val="-2"/>
        </w:rPr>
        <w:t>本公司对于融入的证券，由于其主要收益或风险不由本公司享有或承担，不确认该证券，但确认相应</w:t>
      </w:r>
    </w:p>
    <w:p>
      <w:pPr>
        <w:pStyle w:val="BodyText"/>
        <w:spacing w:line="271" w:lineRule="exact"/>
        <w:ind w:right="0"/>
        <w:jc w:val="left"/>
      </w:pPr>
      <w:r>
        <w:rPr/>
        <w:t>的利息费用。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40" w:lineRule="auto" w:before="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（三十五）期货业务核算方法</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客户下达期货交易指令并成交之后，公司根据代理合同书拟定的收费标准，确认手续费收入，并直接</w:t>
      </w:r>
    </w:p>
    <w:p>
      <w:pPr>
        <w:pStyle w:val="BodyText"/>
        <w:spacing w:line="240" w:lineRule="auto" w:before="42"/>
        <w:ind w:right="0"/>
        <w:jc w:val="left"/>
      </w:pPr>
      <w:r>
        <w:rPr/>
        <w:t>在客户保证金账户中结算扣除。</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ind w:left="575" w:right="0"/>
        <w:jc w:val="left"/>
        <w:rPr>
          <w:b w:val="0"/>
          <w:bCs w:val="0"/>
        </w:rPr>
      </w:pPr>
      <w:r>
        <w:rPr/>
        <w:t>（三十六）客户交易结算资金的核算方法</w:t>
      </w:r>
      <w:r>
        <w:rPr>
          <w:b w:val="0"/>
          <w:bCs w:val="0"/>
        </w:rPr>
      </w:r>
    </w:p>
    <w:p>
      <w:pPr>
        <w:pStyle w:val="BodyText"/>
        <w:spacing w:line="355" w:lineRule="auto" w:before="152"/>
        <w:ind w:right="1136" w:firstLine="420"/>
        <w:jc w:val="both"/>
      </w:pPr>
      <w:r>
        <w:rPr/>
        <w:t>（</w:t>
      </w:r>
      <w:r>
        <w:rPr>
          <w:rFonts w:ascii="宋体" w:hAnsi="宋体" w:cs="宋体" w:eastAsia="宋体" w:hint="default"/>
        </w:rPr>
        <w:t>1</w:t>
      </w:r>
      <w:r>
        <w:rPr/>
        <w:t>）公司代理客户买卖收到的代理买卖证券款，全额存入公司指定的银行账户，同时确认为一项负</w:t>
      </w:r>
      <w:r>
        <w:rPr>
          <w:w w:val="100"/>
        </w:rPr>
        <w:t> </w:t>
      </w:r>
      <w:r>
        <w:rPr/>
        <w:t>债，与客户进行相关的结算。</w:t>
      </w:r>
    </w:p>
    <w:p>
      <w:pPr>
        <w:pStyle w:val="BodyText"/>
        <w:spacing w:line="355" w:lineRule="auto" w:before="75"/>
        <w:ind w:right="1126" w:firstLine="420"/>
        <w:jc w:val="both"/>
      </w:pPr>
      <w:r>
        <w:rPr/>
        <w:t>（</w:t>
      </w:r>
      <w:r>
        <w:rPr>
          <w:rFonts w:ascii="宋体" w:hAnsi="宋体" w:cs="宋体" w:eastAsia="宋体" w:hint="default"/>
        </w:rPr>
        <w:t>2</w:t>
      </w:r>
      <w:r>
        <w:rPr/>
        <w:t>）公司接受客户委托通过证券交易所代理买卖证券，与客户清算时如买入证券成交总额大于卖出</w:t>
      </w:r>
      <w:r>
        <w:rPr>
          <w:w w:val="100"/>
        </w:rPr>
        <w:t> </w:t>
      </w:r>
      <w:r>
        <w:rPr>
          <w:spacing w:val="-2"/>
        </w:rPr>
        <w:t>证券成交总额，按清算日买卖证券成交价的差额，加代扣代缴的印花税和应向客户收取的佣金等手续费减</w:t>
      </w:r>
      <w:r>
        <w:rPr>
          <w:spacing w:val="-42"/>
        </w:rPr>
        <w:t> </w:t>
      </w:r>
      <w:r>
        <w:rPr>
          <w:spacing w:val="-42"/>
        </w:rPr>
      </w:r>
      <w:r>
        <w:rPr>
          <w:spacing w:val="-2"/>
        </w:rPr>
        <w:t>少客户交易结算资金；如买入证券成交总额小于卖出证券成交总额，按清算日买卖证券成交价的差额，减</w:t>
      </w:r>
      <w:r>
        <w:rPr>
          <w:spacing w:val="-44"/>
        </w:rPr>
        <w:t> </w:t>
      </w:r>
      <w:r>
        <w:rPr>
          <w:spacing w:val="-44"/>
        </w:rPr>
      </w:r>
      <w:r>
        <w:rPr/>
        <w:t>代扣代缴的印花税和应向客户收取的佣金等手续费增加客户交易结算资金。</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573" w:right="0"/>
        <w:jc w:val="left"/>
      </w:pPr>
      <w:r>
        <w:rPr/>
        <w:t>公司代理客户买卖证券的手续费收入，在证券买卖的交易日确认收入。</w:t>
      </w:r>
    </w:p>
    <w:p>
      <w:pPr>
        <w:spacing w:line="338" w:lineRule="auto" w:before="107"/>
        <w:ind w:left="573" w:right="4679" w:firstLine="2"/>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（三十七）一般风险准备金和交易风险准备金</w:t>
      </w:r>
      <w:r>
        <w:rPr>
          <w:rFonts w:ascii="Microsoft JhengHei" w:hAnsi="Microsoft JhengHei" w:cs="Microsoft JhengHei" w:eastAsia="Microsoft JhengHei" w:hint="default"/>
          <w:b/>
          <w:bCs/>
          <w:spacing w:val="-17"/>
          <w:sz w:val="21"/>
          <w:szCs w:val="21"/>
        </w:rPr>
        <w:t> </w:t>
      </w:r>
      <w:r>
        <w:rPr>
          <w:rFonts w:ascii="Microsoft JhengHei" w:hAnsi="Microsoft JhengHei" w:cs="Microsoft JhengHei" w:eastAsia="Microsoft JhengHei" w:hint="default"/>
          <w:b/>
          <w:bCs/>
          <w:spacing w:val="-17"/>
          <w:sz w:val="21"/>
          <w:szCs w:val="21"/>
        </w:rPr>
      </w:r>
      <w:r>
        <w:rPr>
          <w:rFonts w:ascii="宋体" w:hAnsi="宋体" w:cs="宋体" w:eastAsia="宋体" w:hint="default"/>
          <w:sz w:val="21"/>
          <w:szCs w:val="21"/>
        </w:rPr>
        <w:t>1</w:t>
      </w:r>
      <w:r>
        <w:rPr>
          <w:rFonts w:ascii="宋体" w:hAnsi="宋体" w:cs="宋体" w:eastAsia="宋体" w:hint="default"/>
          <w:sz w:val="21"/>
          <w:szCs w:val="21"/>
        </w:rPr>
        <w:t>、一般风险准备金</w:t>
      </w:r>
    </w:p>
    <w:p>
      <w:pPr>
        <w:pStyle w:val="BodyText"/>
        <w:spacing w:line="355" w:lineRule="auto" w:before="90"/>
        <w:ind w:right="1126" w:firstLine="420"/>
        <w:jc w:val="both"/>
      </w:pPr>
      <w:r>
        <w:rPr>
          <w:spacing w:val="-2"/>
        </w:rPr>
        <w:t>本公司根据财政部颁布的《金融企业财务规则》及其实施指南和中国证券监督管理委员会《关于证券</w:t>
      </w:r>
      <w:r>
        <w:rPr>
          <w:w w:val="100"/>
        </w:rPr>
        <w:t> 公司</w:t>
      </w:r>
      <w:r>
        <w:rPr>
          <w:spacing w:val="-52"/>
          <w:w w:val="100"/>
        </w:rPr>
        <w:t> </w:t>
      </w:r>
      <w:r>
        <w:rPr>
          <w:rFonts w:ascii="宋体" w:hAnsi="宋体" w:cs="宋体" w:eastAsia="宋体" w:hint="default"/>
          <w:spacing w:val="-1"/>
          <w:w w:val="100"/>
        </w:rPr>
        <w:t>2007</w:t>
      </w:r>
      <w:r>
        <w:rPr>
          <w:rFonts w:ascii="宋体" w:hAnsi="宋体" w:cs="宋体" w:eastAsia="宋体" w:hint="default"/>
          <w:spacing w:val="-55"/>
          <w:w w:val="100"/>
        </w:rPr>
        <w:t> </w:t>
      </w:r>
      <w:r>
        <w:rPr>
          <w:spacing w:val="-10"/>
          <w:w w:val="100"/>
        </w:rPr>
        <w:t>年年度工作的通知》（证监机</w:t>
      </w:r>
      <w:r>
        <w:rPr>
          <w:spacing w:val="1"/>
          <w:w w:val="100"/>
        </w:rPr>
        <w:t> </w:t>
      </w:r>
      <w:r>
        <w:rPr>
          <w:spacing w:val="-2"/>
          <w:w w:val="100"/>
        </w:rPr>
        <w:t>构字（</w:t>
      </w:r>
      <w:r>
        <w:rPr>
          <w:rFonts w:ascii="宋体" w:hAnsi="宋体" w:cs="宋体" w:eastAsia="宋体" w:hint="default"/>
          <w:spacing w:val="-2"/>
          <w:w w:val="100"/>
        </w:rPr>
        <w:t>2007</w:t>
      </w:r>
      <w:r>
        <w:rPr>
          <w:spacing w:val="-2"/>
          <w:w w:val="100"/>
        </w:rPr>
        <w:t>）</w:t>
      </w:r>
      <w:r>
        <w:rPr>
          <w:rFonts w:ascii="宋体" w:hAnsi="宋体" w:cs="宋体" w:eastAsia="宋体" w:hint="default"/>
          <w:spacing w:val="-2"/>
          <w:w w:val="100"/>
        </w:rPr>
        <w:t>320</w:t>
      </w:r>
      <w:r>
        <w:rPr>
          <w:rFonts w:ascii="宋体" w:hAnsi="宋体" w:cs="宋体" w:eastAsia="宋体" w:hint="default"/>
          <w:spacing w:val="-55"/>
          <w:w w:val="100"/>
        </w:rPr>
        <w:t> </w:t>
      </w:r>
      <w:r>
        <w:rPr>
          <w:spacing w:val="-2"/>
          <w:w w:val="100"/>
        </w:rPr>
        <w:t>号）的规定，按相关公司当年税后利润的</w:t>
      </w:r>
      <w:r>
        <w:rPr>
          <w:spacing w:val="-53"/>
          <w:w w:val="100"/>
        </w:rPr>
        <w:t> </w:t>
      </w:r>
      <w:r>
        <w:rPr>
          <w:rFonts w:ascii="宋体" w:hAnsi="宋体" w:cs="宋体" w:eastAsia="宋体" w:hint="default"/>
          <w:spacing w:val="-1"/>
          <w:w w:val="100"/>
        </w:rPr>
        <w:t>10%</w:t>
      </w:r>
      <w:r>
        <w:rPr>
          <w:spacing w:val="-1"/>
          <w:w w:val="100"/>
        </w:rPr>
        <w:t>提</w:t>
      </w:r>
      <w:r>
        <w:rPr>
          <w:w w:val="100"/>
        </w:rPr>
        <w:t> </w:t>
      </w:r>
      <w:r>
        <w:rPr/>
        <w:t>取。</w:t>
      </w:r>
    </w:p>
    <w:p>
      <w:pPr>
        <w:pStyle w:val="BodyText"/>
        <w:spacing w:line="240" w:lineRule="auto" w:before="73"/>
        <w:ind w:left="573" w:right="0"/>
        <w:jc w:val="left"/>
      </w:pPr>
      <w:r>
        <w:rPr>
          <w:rFonts w:ascii="宋体" w:hAnsi="宋体" w:cs="宋体" w:eastAsia="宋体" w:hint="default"/>
        </w:rPr>
        <w:t>2</w:t>
      </w:r>
      <w:r>
        <w:rPr/>
        <w:t>、交易风险准备金</w:t>
      </w:r>
    </w:p>
    <w:p>
      <w:pPr>
        <w:pStyle w:val="BodyText"/>
        <w:spacing w:line="355" w:lineRule="auto" w:before="177"/>
        <w:ind w:right="1126" w:firstLine="420"/>
        <w:jc w:val="both"/>
      </w:pPr>
      <w:r>
        <w:rPr>
          <w:spacing w:val="-2"/>
          <w:w w:val="100"/>
        </w:rPr>
        <w:t>本公司根据《证券法》和中国证券监督管理委员会《关于证券公司</w:t>
      </w:r>
      <w:r>
        <w:rPr>
          <w:spacing w:val="-52"/>
          <w:w w:val="100"/>
        </w:rPr>
        <w:t> </w:t>
      </w:r>
      <w:r>
        <w:rPr>
          <w:rFonts w:ascii="宋体" w:hAnsi="宋体" w:cs="宋体" w:eastAsia="宋体" w:hint="default"/>
          <w:spacing w:val="-1"/>
          <w:w w:val="100"/>
        </w:rPr>
        <w:t>2007</w:t>
      </w:r>
      <w:r>
        <w:rPr>
          <w:rFonts w:ascii="宋体" w:hAnsi="宋体" w:cs="宋体" w:eastAsia="宋体" w:hint="default"/>
          <w:spacing w:val="-52"/>
          <w:w w:val="100"/>
        </w:rPr>
        <w:t> </w:t>
      </w:r>
      <w:r>
        <w:rPr>
          <w:spacing w:val="-10"/>
          <w:w w:val="100"/>
        </w:rPr>
        <w:t>年年度工作的通知》（证监机</w:t>
      </w:r>
      <w:r>
        <w:rPr>
          <w:w w:val="100"/>
        </w:rPr>
        <w:t> </w:t>
      </w:r>
      <w:r>
        <w:rPr/>
        <w:t>构字（</w:t>
      </w:r>
      <w:r>
        <w:rPr>
          <w:rFonts w:ascii="宋体" w:hAnsi="宋体" w:cs="宋体" w:eastAsia="宋体" w:hint="default"/>
        </w:rPr>
        <w:t>2007</w:t>
      </w:r>
      <w:r>
        <w:rPr/>
        <w:t>）</w:t>
      </w:r>
      <w:r>
        <w:rPr>
          <w:rFonts w:ascii="宋体" w:hAnsi="宋体" w:cs="宋体" w:eastAsia="宋体" w:hint="default"/>
        </w:rPr>
        <w:t>320</w:t>
      </w:r>
      <w:r>
        <w:rPr>
          <w:rFonts w:ascii="宋体" w:hAnsi="宋体" w:cs="宋体" w:eastAsia="宋体" w:hint="default"/>
          <w:spacing w:val="-55"/>
        </w:rPr>
        <w:t> </w:t>
      </w:r>
      <w:r>
        <w:rPr/>
        <w:t>号）的规定，按相关公司当年税后利润的</w:t>
      </w:r>
      <w:r>
        <w:rPr>
          <w:spacing w:val="-54"/>
        </w:rPr>
        <w:t> </w:t>
      </w:r>
      <w:r>
        <w:rPr>
          <w:rFonts w:ascii="宋体" w:hAnsi="宋体" w:cs="宋体" w:eastAsia="宋体" w:hint="default"/>
        </w:rPr>
        <w:t>10%</w:t>
      </w:r>
      <w:r>
        <w:rPr/>
        <w:t>提取。</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40" w:lineRule="auto"/>
        <w:ind w:left="573" w:right="0" w:firstLine="2"/>
        <w:jc w:val="left"/>
      </w:pPr>
      <w:r>
        <w:rPr>
          <w:rFonts w:ascii="Microsoft JhengHei" w:hAnsi="Microsoft JhengHei" w:cs="Microsoft JhengHei" w:eastAsia="Microsoft JhengHei" w:hint="default"/>
          <w:b/>
          <w:bCs/>
        </w:rPr>
        <w:t>（三十八）终止经营</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本公司将满足下列条件之一的，且该组成部分已经处置或划归为持有待售类别的、能够单独区分的组</w:t>
      </w:r>
    </w:p>
    <w:p>
      <w:pPr>
        <w:pStyle w:val="BodyText"/>
        <w:spacing w:line="240" w:lineRule="auto" w:before="42"/>
        <w:ind w:right="0"/>
        <w:jc w:val="left"/>
      </w:pPr>
      <w:r>
        <w:rPr/>
        <w:t>成部分确认为终止经营组成部分：</w:t>
      </w:r>
    </w:p>
    <w:p>
      <w:pPr>
        <w:pStyle w:val="BodyText"/>
        <w:spacing w:line="240" w:lineRule="auto" w:before="174"/>
        <w:ind w:left="573" w:right="0"/>
        <w:jc w:val="left"/>
      </w:pPr>
      <w:r>
        <w:rPr/>
        <w:t>（</w:t>
      </w:r>
      <w:r>
        <w:rPr>
          <w:rFonts w:ascii="宋体" w:hAnsi="宋体" w:cs="宋体" w:eastAsia="宋体" w:hint="default"/>
        </w:rPr>
        <w:t>1</w:t>
      </w:r>
      <w:r>
        <w:rPr/>
        <w:t>）该组成部分代表一项独立的主要业务或一个单独的主要经营地区；</w:t>
      </w:r>
    </w:p>
    <w:p>
      <w:pPr>
        <w:pStyle w:val="BodyText"/>
        <w:spacing w:line="355" w:lineRule="auto" w:before="176"/>
        <w:ind w:right="1136" w:firstLine="420"/>
        <w:jc w:val="both"/>
      </w:pPr>
      <w:r>
        <w:rPr/>
        <w:t>（</w:t>
      </w:r>
      <w:r>
        <w:rPr>
          <w:rFonts w:ascii="宋体" w:hAnsi="宋体" w:cs="宋体" w:eastAsia="宋体" w:hint="default"/>
        </w:rPr>
        <w:t>2</w:t>
      </w:r>
      <w:r>
        <w:rPr/>
        <w:t>）该组成部分是拟对一项独立的主要业务或一个单独的主要经营地区进行处置的一项相关联计划</w:t>
      </w:r>
      <w:r>
        <w:rPr>
          <w:w w:val="100"/>
        </w:rPr>
        <w:t> </w:t>
      </w:r>
      <w:r>
        <w:rPr/>
        <w:t>的一部分；</w:t>
      </w:r>
    </w:p>
    <w:p>
      <w:pPr>
        <w:spacing w:after="0" w:line="355" w:lineRule="auto"/>
        <w:jc w:val="both"/>
        <w:sectPr>
          <w:pgSz w:w="11910" w:h="16840"/>
          <w:pgMar w:header="877" w:footer="979" w:top="1100" w:bottom="1160" w:left="980" w:right="0"/>
        </w:sectPr>
      </w:pPr>
    </w:p>
    <w:p>
      <w:pPr>
        <w:spacing w:line="240" w:lineRule="auto" w:before="1"/>
        <w:rPr>
          <w:rFonts w:ascii="宋体" w:hAnsi="宋体" w:cs="宋体" w:eastAsia="宋体" w:hint="default"/>
          <w:sz w:val="19"/>
          <w:szCs w:val="19"/>
        </w:rPr>
      </w:pPr>
    </w:p>
    <w:p>
      <w:pPr>
        <w:pStyle w:val="BodyText"/>
        <w:spacing w:line="391" w:lineRule="auto" w:before="36"/>
        <w:ind w:left="573" w:right="0"/>
        <w:jc w:val="left"/>
      </w:pPr>
      <w:r>
        <w:rPr/>
        <w:t>（</w:t>
      </w:r>
      <w:r>
        <w:rPr>
          <w:rFonts w:ascii="宋体" w:hAnsi="宋体" w:cs="宋体" w:eastAsia="宋体" w:hint="default"/>
        </w:rPr>
        <w:t>3</w:t>
      </w:r>
      <w:r>
        <w:rPr/>
        <w:t>）该组成部分是专为转售而取得的子公司。</w:t>
      </w:r>
      <w:r>
        <w:rPr>
          <w:w w:val="100"/>
        </w:rPr>
        <w:t> </w:t>
      </w:r>
      <w:r>
        <w:rPr>
          <w:spacing w:val="-2"/>
        </w:rPr>
        <w:t>终止经营的减值损失和转回金额等经营损益及处置损益作为终止经营损益在利润表中列示。</w:t>
      </w:r>
    </w:p>
    <w:p>
      <w:pPr>
        <w:spacing w:line="240" w:lineRule="auto" w:before="0"/>
        <w:rPr>
          <w:rFonts w:ascii="宋体" w:hAnsi="宋体" w:cs="宋体" w:eastAsia="宋体" w:hint="default"/>
          <w:sz w:val="20"/>
          <w:szCs w:val="20"/>
        </w:rPr>
      </w:pPr>
    </w:p>
    <w:p>
      <w:pPr>
        <w:pStyle w:val="BodyText"/>
        <w:spacing w:line="340" w:lineRule="auto" w:before="162"/>
        <w:ind w:left="573" w:right="0" w:firstLine="2"/>
        <w:jc w:val="left"/>
      </w:pPr>
      <w:r>
        <w:rPr>
          <w:rFonts w:ascii="Microsoft JhengHei" w:hAnsi="Microsoft JhengHei" w:cs="Microsoft JhengHei" w:eastAsia="Microsoft JhengHei" w:hint="default"/>
          <w:b/>
          <w:bCs/>
        </w:rPr>
        <w:t>（三十九）分部报告</w:t>
      </w:r>
      <w:r>
        <w:rPr>
          <w:rFonts w:ascii="Microsoft JhengHei" w:hAnsi="Microsoft JhengHei" w:cs="Microsoft JhengHei" w:eastAsia="Microsoft JhengHei" w:hint="default"/>
          <w:b/>
          <w:bCs/>
          <w:spacing w:val="-44"/>
        </w:rPr>
        <w:t> </w:t>
      </w:r>
      <w:r>
        <w:rPr>
          <w:spacing w:val="-2"/>
        </w:rPr>
        <w:t>本公司以内部组织结构、管理要求、内部报告制度为依据确定经营分部，以经营分部为基础确定报告</w:t>
      </w:r>
    </w:p>
    <w:p>
      <w:pPr>
        <w:pStyle w:val="BodyText"/>
        <w:spacing w:line="355" w:lineRule="auto" w:before="45"/>
        <w:ind w:right="1126"/>
        <w:jc w:val="both"/>
      </w:pPr>
      <w:r>
        <w:rPr>
          <w:spacing w:val="-2"/>
        </w:rPr>
        <w:t>分部。经营分部，是指公司内同时满足下列条件的组成部分：该组成部分能够在日常活动中产生收入、发</w:t>
      </w:r>
      <w:r>
        <w:rPr>
          <w:spacing w:val="-44"/>
        </w:rPr>
        <w:t> </w:t>
      </w:r>
      <w:r>
        <w:rPr>
          <w:spacing w:val="-44"/>
        </w:rPr>
      </w:r>
      <w:r>
        <w:rPr>
          <w:spacing w:val="-2"/>
        </w:rPr>
        <w:t>生费用；公司管理层能够定期评价该组成部分的经营成果，以决定向其配置资源、评价其业绩；公司能够</w:t>
      </w:r>
      <w:r>
        <w:rPr>
          <w:spacing w:val="-47"/>
        </w:rPr>
        <w:t> </w:t>
      </w:r>
      <w:r>
        <w:rPr>
          <w:spacing w:val="-47"/>
        </w:rPr>
      </w:r>
      <w:r>
        <w:rPr/>
        <w:t>取得该组成部分的财务状况、经营成果和现金流量等有关会计信息。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40" w:lineRule="auto" w:before="0"/>
        <w:ind w:left="573"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（四十）其他重要会计政策和会计估计</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本公司在运用会计政策过程中，由于经营活动内在的不确定性，本公司需要对无法准确计量的报表项</w:t>
      </w:r>
    </w:p>
    <w:p>
      <w:pPr>
        <w:pStyle w:val="BodyText"/>
        <w:spacing w:line="355" w:lineRule="auto" w:before="45"/>
        <w:ind w:right="0"/>
        <w:jc w:val="left"/>
      </w:pPr>
      <w:r>
        <w:rPr/>
        <w:t>目的账面价值进行判断、估计和假设。这些判断、估计和假设是基于本公司过去的历史经验和其他因素。</w:t>
      </w:r>
      <w:r>
        <w:rPr>
          <w:spacing w:val="-21"/>
        </w:rPr>
        <w:t> </w:t>
      </w:r>
      <w:r>
        <w:rPr>
          <w:spacing w:val="-21"/>
        </w:rPr>
      </w:r>
      <w:r>
        <w:rPr>
          <w:spacing w:val="-2"/>
        </w:rPr>
        <w:t>这些判断、估计和假设会影响收入、费用、资产和负债的报告金额以及资产负债表日或有负债的披露。然</w:t>
      </w:r>
      <w:r>
        <w:rPr>
          <w:spacing w:val="-44"/>
        </w:rPr>
        <w:t> </w:t>
      </w:r>
      <w:r>
        <w:rPr>
          <w:spacing w:val="-44"/>
        </w:rPr>
      </w:r>
      <w:r>
        <w:rPr/>
        <w:t>而，这些估计的不确定性所导致的结果可能造成对未来受影响的资产或负债的账面金额进行重大调整。</w:t>
      </w:r>
    </w:p>
    <w:p>
      <w:pPr>
        <w:pStyle w:val="BodyText"/>
        <w:spacing w:line="357" w:lineRule="auto" w:before="75"/>
        <w:ind w:right="1126" w:firstLine="420"/>
        <w:jc w:val="both"/>
      </w:pPr>
      <w:r>
        <w:rPr>
          <w:spacing w:val="-2"/>
        </w:rPr>
        <w:t>本公司对于上述判断、估计和假设在持续经营的基础上进行定期复核，会计估计的变更仅影响变更当</w:t>
      </w:r>
      <w:r>
        <w:rPr>
          <w:w w:val="100"/>
        </w:rPr>
        <w:t> </w:t>
      </w:r>
      <w:r>
        <w:rPr>
          <w:spacing w:val="-2"/>
        </w:rPr>
        <w:t>期的，其影响数在变更当期予以确认；即影响变更当期又影响未来期间的，其影响数在变更当期和未来期</w:t>
      </w:r>
      <w:r>
        <w:rPr>
          <w:spacing w:val="-43"/>
        </w:rPr>
        <w:t> </w:t>
      </w:r>
      <w:r>
        <w:rPr>
          <w:spacing w:val="-43"/>
        </w:rPr>
      </w:r>
      <w:r>
        <w:rPr/>
        <w:t>间予以确认。</w:t>
      </w:r>
    </w:p>
    <w:p>
      <w:pPr>
        <w:pStyle w:val="BodyText"/>
        <w:spacing w:line="355" w:lineRule="auto" w:before="73"/>
        <w:ind w:right="1126" w:firstLine="420"/>
        <w:jc w:val="both"/>
      </w:pPr>
      <w:r>
        <w:rPr>
          <w:spacing w:val="-2"/>
        </w:rPr>
        <w:t>资产负债表日，会计估计中很可能导致未来期间资产、负债账面价值作出重大调整的关键假设和不确</w:t>
      </w:r>
      <w:r>
        <w:rPr>
          <w:w w:val="100"/>
        </w:rPr>
        <w:t> </w:t>
      </w:r>
      <w:r>
        <w:rPr/>
        <w:t>定性主要有：</w:t>
      </w:r>
    </w:p>
    <w:p>
      <w:pPr>
        <w:pStyle w:val="BodyText"/>
        <w:spacing w:line="393" w:lineRule="auto" w:before="73"/>
        <w:ind w:left="573" w:right="0"/>
        <w:jc w:val="left"/>
      </w:pPr>
      <w:r>
        <w:rPr>
          <w:rFonts w:ascii="宋体" w:hAnsi="宋体" w:cs="宋体" w:eastAsia="宋体" w:hint="default"/>
        </w:rPr>
        <w:t>1</w:t>
      </w:r>
      <w:r>
        <w:rPr/>
        <w:t>．</w:t>
      </w:r>
      <w:r>
        <w:rPr>
          <w:spacing w:val="-60"/>
        </w:rPr>
        <w:t> </w:t>
      </w:r>
      <w:r>
        <w:rPr/>
        <w:t>金融资产的公允价值</w:t>
      </w:r>
      <w:r>
        <w:rPr>
          <w:spacing w:val="-102"/>
        </w:rPr>
        <w:t> </w:t>
      </w:r>
      <w:r>
        <w:rPr>
          <w:spacing w:val="-102"/>
        </w:rPr>
      </w:r>
      <w:r>
        <w:rPr>
          <w:spacing w:val="-2"/>
        </w:rPr>
        <w:t>本公司对没有活跃市场的金融工具，采用包括现金流量折现法、市场乘数法等在内的各种估值技术确</w:t>
      </w:r>
    </w:p>
    <w:p>
      <w:pPr>
        <w:pStyle w:val="BodyText"/>
        <w:spacing w:line="355" w:lineRule="auto"/>
        <w:ind w:right="1126"/>
        <w:jc w:val="both"/>
      </w:pPr>
      <w:r>
        <w:rPr>
          <w:spacing w:val="-2"/>
        </w:rPr>
        <w:t>定其公允价值。估值模型的相关假设、参数、数据来源和计量程序均需要本公司的判断，本公司需根据可</w:t>
      </w:r>
      <w:r>
        <w:rPr>
          <w:spacing w:val="-47"/>
        </w:rPr>
        <w:t> </w:t>
      </w:r>
      <w:r>
        <w:rPr>
          <w:spacing w:val="-47"/>
        </w:rPr>
      </w:r>
      <w:r>
        <w:rPr>
          <w:spacing w:val="-2"/>
        </w:rPr>
        <w:t>获得的市场数据和其他信息，选择更为恰当的估值技术，评估估值技术中使用的输入值是否更容易在市场</w:t>
      </w:r>
      <w:r>
        <w:rPr>
          <w:spacing w:val="-43"/>
        </w:rPr>
        <w:t> </w:t>
      </w:r>
      <w:r>
        <w:rPr>
          <w:spacing w:val="-43"/>
        </w:rPr>
      </w:r>
      <w:r>
        <w:rPr>
          <w:spacing w:val="-2"/>
        </w:rPr>
        <w:t>上观察到或者只需作更少的调整，对诸如可比公司、流动性折扣率、自身和交易对手的信用风险、市场波</w:t>
      </w:r>
      <w:r>
        <w:rPr>
          <w:spacing w:val="-47"/>
        </w:rPr>
        <w:t> </w:t>
      </w:r>
      <w:r>
        <w:rPr>
          <w:spacing w:val="-47"/>
        </w:rPr>
      </w:r>
      <w:r>
        <w:rPr/>
        <w:t>动率和相关性等方面进行估计，这些相关因素假设的变化会对金融工具的公允价值产生影响。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93" w:lineRule="auto"/>
        <w:ind w:left="573" w:right="1150"/>
        <w:jc w:val="left"/>
      </w:pPr>
      <w:r>
        <w:rPr>
          <w:rFonts w:ascii="宋体" w:hAnsi="宋体" w:cs="宋体" w:eastAsia="宋体" w:hint="default"/>
        </w:rPr>
        <w:t>2</w:t>
      </w:r>
      <w:r>
        <w:rPr/>
        <w:t>．</w:t>
      </w:r>
      <w:r>
        <w:rPr>
          <w:spacing w:val="-60"/>
        </w:rPr>
        <w:t> </w:t>
      </w:r>
      <w:r>
        <w:rPr/>
        <w:t>商誉减值</w:t>
      </w:r>
      <w:r>
        <w:rPr>
          <w:spacing w:val="-102"/>
        </w:rPr>
        <w:t> </w:t>
      </w:r>
      <w:r>
        <w:rPr>
          <w:spacing w:val="-102"/>
        </w:rPr>
      </w:r>
      <w:r>
        <w:rPr>
          <w:spacing w:val="-2"/>
        </w:rPr>
        <w:t>本公司至少每年测试商誉是否发生减值。在进行减值测试时，需要将商誉分配到相应的资产组，并预</w:t>
      </w:r>
    </w:p>
    <w:p>
      <w:pPr>
        <w:pStyle w:val="BodyText"/>
        <w:spacing w:line="355" w:lineRule="auto"/>
        <w:ind w:right="1126"/>
        <w:jc w:val="both"/>
      </w:pPr>
      <w:r>
        <w:rPr>
          <w:spacing w:val="-2"/>
        </w:rPr>
        <w:t>计资产组的可收回金额。可收回金额根据资产组的公允价值减去处置费用后的净额与资产预计未来现金流</w:t>
      </w:r>
      <w:r>
        <w:rPr>
          <w:spacing w:val="-43"/>
        </w:rPr>
        <w:t> </w:t>
      </w:r>
      <w:r>
        <w:rPr>
          <w:spacing w:val="-43"/>
        </w:rPr>
      </w:r>
      <w:r>
        <w:rPr/>
        <w:t>量的现值两者之间较高者确定。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575" w:right="0"/>
        <w:jc w:val="left"/>
      </w:pPr>
      <w:r>
        <w:rPr>
          <w:rFonts w:ascii="宋体" w:hAnsi="宋体" w:cs="宋体" w:eastAsia="宋体" w:hint="default"/>
        </w:rPr>
        <w:t>3</w:t>
      </w:r>
      <w:r>
        <w:rPr/>
        <w:t>．</w:t>
      </w:r>
      <w:r>
        <w:rPr>
          <w:spacing w:val="-58"/>
        </w:rPr>
        <w:t> </w:t>
      </w:r>
      <w:r>
        <w:rPr/>
        <w:t>金融工具的减值</w:t>
      </w:r>
    </w:p>
    <w:p>
      <w:pPr>
        <w:spacing w:after="0" w:line="240" w:lineRule="auto"/>
        <w:jc w:val="left"/>
        <w:sectPr>
          <w:pgSz w:w="11910" w:h="16840"/>
          <w:pgMar w:header="877" w:footer="979" w:top="1100" w:bottom="1160" w:left="980" w:right="0"/>
        </w:sectPr>
      </w:pPr>
    </w:p>
    <w:p>
      <w:pPr>
        <w:spacing w:line="240" w:lineRule="auto" w:before="3"/>
        <w:rPr>
          <w:rFonts w:ascii="宋体" w:hAnsi="宋体" w:cs="宋体" w:eastAsia="宋体" w:hint="default"/>
          <w:sz w:val="19"/>
          <w:szCs w:val="19"/>
        </w:rPr>
      </w:pPr>
    </w:p>
    <w:p>
      <w:pPr>
        <w:pStyle w:val="BodyText"/>
        <w:spacing w:line="355" w:lineRule="auto" w:before="36"/>
        <w:ind w:right="1126" w:firstLine="420"/>
        <w:jc w:val="both"/>
      </w:pPr>
      <w:r>
        <w:rPr>
          <w:spacing w:val="-2"/>
        </w:rPr>
        <w:t>本公司采用预期信用损失模型对金融工具的减值进行评估，应用预期信用损失模型需要做出判断和估</w:t>
      </w:r>
      <w:r>
        <w:rPr>
          <w:w w:val="100"/>
        </w:rPr>
        <w:t> </w:t>
      </w:r>
      <w:r>
        <w:rPr>
          <w:spacing w:val="-2"/>
        </w:rPr>
        <w:t>计，需考虑所有合理且有依据的信息，包括前瞻性信息。在做出该等判断和估计时，本公司根据历史还款</w:t>
      </w:r>
      <w:r>
        <w:rPr>
          <w:spacing w:val="-50"/>
        </w:rPr>
        <w:t> </w:t>
      </w:r>
      <w:r>
        <w:rPr>
          <w:spacing w:val="-50"/>
        </w:rPr>
      </w:r>
      <w:r>
        <w:rPr/>
        <w:t>数据结合经济政策、宏观经济指标、行业风险等因素推断债务人信用风险的预期变动。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93" w:lineRule="auto"/>
        <w:ind w:left="573" w:right="0" w:firstLine="2"/>
        <w:jc w:val="left"/>
      </w:pPr>
      <w:r>
        <w:rPr>
          <w:rFonts w:ascii="宋体" w:hAnsi="宋体" w:cs="宋体" w:eastAsia="宋体" w:hint="default"/>
        </w:rPr>
        <w:t>4</w:t>
      </w:r>
      <w:r>
        <w:rPr/>
        <w:t>．</w:t>
      </w:r>
      <w:r>
        <w:rPr>
          <w:spacing w:val="-62"/>
        </w:rPr>
        <w:t> </w:t>
      </w:r>
      <w:r>
        <w:rPr/>
        <w:t>所得税以及递延所得税：</w:t>
      </w:r>
      <w:r>
        <w:rPr>
          <w:w w:val="100"/>
        </w:rPr>
        <w:t> </w:t>
      </w:r>
      <w:r>
        <w:rPr>
          <w:spacing w:val="-2"/>
        </w:rPr>
        <w:t>本公司在正常的经营活动中，有部分交易其最终的税务处理和计算存在一定的不确定性。如果这些税</w:t>
      </w:r>
    </w:p>
    <w:p>
      <w:pPr>
        <w:pStyle w:val="BodyText"/>
        <w:spacing w:line="355" w:lineRule="auto"/>
        <w:ind w:right="1126"/>
        <w:jc w:val="both"/>
      </w:pPr>
      <w:r>
        <w:rPr>
          <w:spacing w:val="-2"/>
        </w:rPr>
        <w:t>务事项的最终认定结果同最初确认的金额存在差异，则该差异将对其最终认定期间的当期所得税和递延所</w:t>
      </w:r>
      <w:r>
        <w:rPr>
          <w:spacing w:val="-43"/>
        </w:rPr>
        <w:t> </w:t>
      </w:r>
      <w:r>
        <w:rPr>
          <w:spacing w:val="-43"/>
        </w:rPr>
      </w:r>
      <w:r>
        <w:rPr/>
        <w:t>得税产生影响。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393" w:lineRule="auto"/>
        <w:ind w:left="573" w:right="0" w:firstLine="2"/>
        <w:jc w:val="left"/>
      </w:pPr>
      <w:r>
        <w:rPr>
          <w:rFonts w:ascii="宋体" w:hAnsi="宋体" w:cs="宋体" w:eastAsia="宋体" w:hint="default"/>
        </w:rPr>
        <w:t>5</w:t>
      </w:r>
      <w:r>
        <w:rPr/>
        <w:t>．</w:t>
      </w:r>
      <w:r>
        <w:rPr>
          <w:spacing w:val="-62"/>
        </w:rPr>
        <w:t> </w:t>
      </w:r>
      <w:r>
        <w:rPr/>
        <w:t>合并范围的确定</w:t>
      </w:r>
      <w:r>
        <w:rPr>
          <w:spacing w:val="-103"/>
        </w:rPr>
        <w:t> </w:t>
      </w:r>
      <w:r>
        <w:rPr>
          <w:spacing w:val="-103"/>
        </w:rPr>
      </w:r>
      <w:r>
        <w:rPr>
          <w:spacing w:val="-2"/>
        </w:rPr>
        <w:t>评估本公司是否作为投资者控制被投资企业时须考虑所有事实及情况。控制的定义包含以下三项要素：</w:t>
      </w:r>
    </w:p>
    <w:p>
      <w:pPr>
        <w:pStyle w:val="BodyText"/>
        <w:spacing w:line="355" w:lineRule="auto"/>
        <w:ind w:right="1126"/>
        <w:jc w:val="both"/>
      </w:pPr>
      <w:r>
        <w:rPr>
          <w:rFonts w:ascii="宋体" w:hAnsi="宋体" w:cs="宋体" w:eastAsia="宋体" w:hint="default"/>
        </w:rPr>
        <w:t>(1)</w:t>
      </w:r>
      <w:r>
        <w:rPr/>
        <w:t>拥有对被投资者的权力；</w:t>
      </w:r>
      <w:r>
        <w:rPr>
          <w:rFonts w:ascii="宋体" w:hAnsi="宋体" w:cs="宋体" w:eastAsia="宋体" w:hint="default"/>
        </w:rPr>
        <w:t>(2)</w:t>
      </w:r>
      <w:r>
        <w:rPr/>
        <w:t>通过参与被投资者的相关活动而享有可变回报；</w:t>
      </w:r>
      <w:r>
        <w:rPr>
          <w:rFonts w:ascii="宋体" w:hAnsi="宋体" w:cs="宋体" w:eastAsia="宋体" w:hint="default"/>
        </w:rPr>
        <w:t>(3)</w:t>
      </w:r>
      <w:r>
        <w:rPr/>
        <w:t>有能力运用对被投资</w:t>
      </w:r>
      <w:r>
        <w:rPr>
          <w:spacing w:val="-26"/>
        </w:rPr>
        <w:t> </w:t>
      </w:r>
      <w:r>
        <w:rPr>
          <w:spacing w:val="-26"/>
        </w:rPr>
      </w:r>
      <w:r>
        <w:rPr>
          <w:spacing w:val="-2"/>
        </w:rPr>
        <w:t>者的权力影响其回报的金额。倘若有事实及情况显示上述一项或多项要素发生了变化，则本公司需要重新</w:t>
      </w:r>
      <w:r>
        <w:rPr>
          <w:spacing w:val="-43"/>
        </w:rPr>
        <w:t> </w:t>
      </w:r>
      <w:r>
        <w:rPr>
          <w:spacing w:val="-43"/>
        </w:rPr>
      </w:r>
      <w:r>
        <w:rPr/>
        <w:t>评估其是否对被投资企业构成控制。</w:t>
      </w:r>
    </w:p>
    <w:p>
      <w:pPr>
        <w:pStyle w:val="BodyText"/>
        <w:spacing w:line="357" w:lineRule="auto" w:before="75"/>
        <w:ind w:right="0" w:firstLine="420"/>
        <w:jc w:val="left"/>
      </w:pPr>
      <w:r>
        <w:rPr>
          <w:spacing w:val="-2"/>
          <w:w w:val="100"/>
        </w:rPr>
        <w:t>对于本公司管理并投资的结构化主体（如资产管理计划等），本公司会评估其所持有结构化主体连同</w:t>
      </w:r>
      <w:r>
        <w:rPr>
          <w:w w:val="100"/>
        </w:rPr>
        <w:t> </w:t>
      </w:r>
      <w:r>
        <w:rPr/>
        <w:t>其管理人报酬所产生的可变回报的最大风险敞口是否足够重大以致表明本公司对结构化主体拥有控制权。</w:t>
      </w:r>
      <w:r>
        <w:rPr>
          <w:spacing w:val="-24"/>
        </w:rPr>
        <w:t> </w:t>
      </w:r>
      <w:r>
        <w:rPr>
          <w:spacing w:val="-24"/>
        </w:rPr>
      </w:r>
      <w:r>
        <w:rPr>
          <w:spacing w:val="-2"/>
        </w:rPr>
        <w:t>若本公司对管理的结构化主体拥有控制权，则将结构化主体纳入合并财务报表的合并范围。对于本公司以</w:t>
      </w:r>
      <w:r>
        <w:rPr>
          <w:spacing w:val="-43"/>
        </w:rPr>
        <w:t> </w:t>
      </w:r>
      <w:r>
        <w:rPr>
          <w:spacing w:val="-43"/>
        </w:rPr>
      </w:r>
      <w:r>
        <w:rPr>
          <w:spacing w:val="-2"/>
        </w:rPr>
        <w:t>外各方持有的结构化主体份额，因本公司作为发行人具有合约义务以现金回购其发售的份额，本公司将其</w:t>
      </w:r>
      <w:r>
        <w:rPr>
          <w:spacing w:val="-43"/>
        </w:rPr>
        <w:t> </w:t>
      </w:r>
      <w:r>
        <w:rPr>
          <w:spacing w:val="-43"/>
        </w:rPr>
      </w:r>
      <w:r>
        <w:rPr/>
        <w:t>确认为以公允价值计量且其变动计入当期损益的金融负债。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left="573" w:right="0"/>
        <w:jc w:val="left"/>
        <w:rPr>
          <w:b w:val="0"/>
          <w:bCs w:val="0"/>
        </w:rPr>
      </w:pPr>
      <w:r>
        <w:rPr/>
        <w:t>（四十一）财务报表列报项目变更说明</w:t>
      </w:r>
      <w:r>
        <w:rPr>
          <w:b w:val="0"/>
          <w:bCs w:val="0"/>
        </w:rPr>
      </w:r>
    </w:p>
    <w:p>
      <w:pPr>
        <w:pStyle w:val="BodyText"/>
        <w:spacing w:line="357" w:lineRule="auto" w:before="152"/>
        <w:ind w:right="1126" w:firstLine="420"/>
        <w:jc w:val="both"/>
      </w:pPr>
      <w:r>
        <w:rPr>
          <w:spacing w:val="-1"/>
          <w:w w:val="100"/>
        </w:rPr>
        <w:t>财政部于</w:t>
      </w:r>
      <w:r>
        <w:rPr>
          <w:spacing w:val="-50"/>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spacing w:val="-8"/>
          <w:w w:val="100"/>
        </w:rPr>
        <w:t>年发布了《关于修订印发</w:t>
      </w:r>
      <w:r>
        <w:rPr>
          <w:spacing w:val="-49"/>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spacing w:val="-14"/>
          <w:w w:val="100"/>
        </w:rPr>
        <w:t>年度一般企业财务报表格式的通知》（财会〔</w:t>
      </w:r>
      <w:r>
        <w:rPr>
          <w:rFonts w:ascii="宋体" w:hAnsi="宋体" w:cs="宋体" w:eastAsia="宋体" w:hint="default"/>
          <w:spacing w:val="-14"/>
          <w:w w:val="100"/>
        </w:rPr>
        <w:t>2019</w:t>
      </w:r>
      <w:r>
        <w:rPr>
          <w:spacing w:val="-14"/>
          <w:w w:val="100"/>
        </w:rPr>
        <w:t>〕</w:t>
      </w:r>
      <w:r>
        <w:rPr>
          <w:rFonts w:ascii="宋体" w:hAnsi="宋体" w:cs="宋体" w:eastAsia="宋体" w:hint="default"/>
          <w:spacing w:val="-14"/>
          <w:w w:val="100"/>
        </w:rPr>
        <w:t>6</w:t>
      </w:r>
      <w:r>
        <w:rPr>
          <w:rFonts w:ascii="宋体" w:hAnsi="宋体" w:cs="宋体" w:eastAsia="宋体" w:hint="default"/>
          <w:spacing w:val="-52"/>
          <w:w w:val="100"/>
        </w:rPr>
        <w:t> </w:t>
      </w:r>
      <w:r>
        <w:rPr>
          <w:w w:val="100"/>
        </w:rPr>
        <w:t>号） </w:t>
      </w:r>
      <w:r>
        <w:rPr>
          <w:spacing w:val="-3"/>
          <w:w w:val="100"/>
        </w:rPr>
        <w:t>和《关于修订印发合并财务报表格式</w:t>
      </w:r>
      <w:r>
        <w:rPr>
          <w:rFonts w:ascii="宋体" w:hAnsi="宋体" w:cs="宋体" w:eastAsia="宋体" w:hint="default"/>
          <w:spacing w:val="-3"/>
          <w:w w:val="100"/>
        </w:rPr>
        <w:t>(2019</w:t>
      </w:r>
      <w:r>
        <w:rPr>
          <w:rFonts w:ascii="宋体" w:hAnsi="宋体" w:cs="宋体" w:eastAsia="宋体" w:hint="default"/>
          <w:spacing w:val="-49"/>
          <w:w w:val="100"/>
        </w:rPr>
        <w:t> </w:t>
      </w:r>
      <w:r>
        <w:rPr>
          <w:spacing w:val="-12"/>
          <w:w w:val="100"/>
        </w:rPr>
        <w:t>版</w:t>
      </w:r>
      <w:r>
        <w:rPr>
          <w:rFonts w:ascii="宋体" w:hAnsi="宋体" w:cs="宋体" w:eastAsia="宋体" w:hint="default"/>
          <w:spacing w:val="-12"/>
          <w:w w:val="100"/>
        </w:rPr>
        <w:t>)</w:t>
      </w:r>
      <w:r>
        <w:rPr>
          <w:spacing w:val="-12"/>
          <w:w w:val="100"/>
        </w:rPr>
        <w:t>的通知》（财会〔</w:t>
      </w:r>
      <w:r>
        <w:rPr>
          <w:rFonts w:ascii="宋体" w:hAnsi="宋体" w:cs="宋体" w:eastAsia="宋体" w:hint="default"/>
          <w:spacing w:val="-12"/>
          <w:w w:val="100"/>
        </w:rPr>
        <w:t>2019</w:t>
      </w:r>
      <w:r>
        <w:rPr>
          <w:spacing w:val="-12"/>
          <w:w w:val="100"/>
        </w:rPr>
        <w:t>〕</w:t>
      </w:r>
      <w:r>
        <w:rPr>
          <w:rFonts w:ascii="宋体" w:hAnsi="宋体" w:cs="宋体" w:eastAsia="宋体" w:hint="default"/>
          <w:spacing w:val="-12"/>
          <w:w w:val="100"/>
        </w:rPr>
        <w:t>16</w:t>
      </w:r>
      <w:r>
        <w:rPr>
          <w:rFonts w:ascii="宋体" w:hAnsi="宋体" w:cs="宋体" w:eastAsia="宋体" w:hint="default"/>
          <w:spacing w:val="-49"/>
          <w:w w:val="100"/>
        </w:rPr>
        <w:t> </w:t>
      </w:r>
      <w:r>
        <w:rPr>
          <w:spacing w:val="-10"/>
          <w:w w:val="100"/>
        </w:rPr>
        <w:t>号），对一般企业财务报表格式进</w:t>
      </w:r>
      <w:r>
        <w:rPr>
          <w:spacing w:val="-104"/>
          <w:w w:val="100"/>
        </w:rPr>
        <w:t> </w:t>
      </w:r>
      <w:r>
        <w:rPr>
          <w:spacing w:val="-104"/>
          <w:w w:val="100"/>
        </w:rPr>
      </w:r>
      <w:r>
        <w:rPr>
          <w:spacing w:val="-2"/>
        </w:rPr>
        <w:t>行了修订，拆分部分资产负债表项目和调整利润表项目等。本公司已经根据新的企业财务报表格式的要求</w:t>
      </w:r>
      <w:r>
        <w:rPr>
          <w:spacing w:val="-43"/>
        </w:rPr>
        <w:t> </w:t>
      </w:r>
      <w:r>
        <w:rPr>
          <w:spacing w:val="-43"/>
        </w:rPr>
      </w:r>
      <w:r>
        <w:rPr/>
        <w:t>编制财务报表，财务报表的列报项目因此发生变更的，已经按照《企业会计准则第 </w:t>
      </w:r>
      <w:r>
        <w:rPr>
          <w:rFonts w:ascii="宋体" w:hAnsi="宋体" w:cs="宋体" w:eastAsia="宋体" w:hint="default"/>
        </w:rPr>
        <w:t>30</w:t>
      </w:r>
      <w:r>
        <w:rPr>
          <w:rFonts w:ascii="宋体" w:hAnsi="宋体" w:cs="宋体" w:eastAsia="宋体" w:hint="default"/>
          <w:spacing w:val="-28"/>
        </w:rPr>
        <w:t> </w:t>
      </w:r>
      <w:r>
        <w:rPr/>
        <w:t>号——财务报表列</w:t>
      </w:r>
      <w:r>
        <w:rPr>
          <w:w w:val="100"/>
        </w:rPr>
        <w:t> </w:t>
      </w:r>
      <w:r>
        <w:rPr/>
        <w:t>报》等的相关规定，对可比期间的比较数据进行调整。</w:t>
      </w:r>
    </w:p>
    <w:p>
      <w:pPr>
        <w:pStyle w:val="BodyText"/>
        <w:spacing w:line="240" w:lineRule="auto" w:before="71"/>
        <w:ind w:left="573" w:right="0"/>
        <w:jc w:val="left"/>
      </w:pPr>
      <w:r>
        <w:rPr/>
        <w:t>对可比期间的财务报表列报项目及金额的影响如下：</w:t>
      </w:r>
    </w:p>
    <w:p>
      <w:pPr>
        <w:spacing w:line="240" w:lineRule="auto" w:before="1"/>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2175"/>
        <w:gridCol w:w="1829"/>
        <w:gridCol w:w="1995"/>
        <w:gridCol w:w="1993"/>
        <w:gridCol w:w="1663"/>
      </w:tblGrid>
      <w:tr>
        <w:trPr>
          <w:trHeight w:val="360" w:hRule="exact"/>
        </w:trPr>
        <w:tc>
          <w:tcPr>
            <w:tcW w:w="21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19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9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c>
          <w:tcPr>
            <w:tcW w:w="16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1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9" w:type="dxa"/>
            <w:tcBorders>
              <w:top w:val="dotted" w:sz="4" w:space="0" w:color="000000"/>
              <w:left w:val="dotted" w:sz="4" w:space="0" w:color="000000"/>
              <w:bottom w:val="dotted" w:sz="4" w:space="0" w:color="000000"/>
              <w:right w:val="dotted" w:sz="4" w:space="0" w:color="000000"/>
            </w:tcBorders>
          </w:tcPr>
          <w:p>
            <w:pPr/>
          </w:p>
        </w:tc>
        <w:tc>
          <w:tcPr>
            <w:tcW w:w="1995" w:type="dxa"/>
            <w:tcBorders>
              <w:top w:val="dotted" w:sz="4" w:space="0" w:color="000000"/>
              <w:left w:val="dotted" w:sz="4" w:space="0" w:color="000000"/>
              <w:bottom w:val="dotted" w:sz="4" w:space="0" w:color="000000"/>
              <w:right w:val="dotted" w:sz="4" w:space="0" w:color="000000"/>
            </w:tcBorders>
          </w:tcPr>
          <w:p>
            <w:pPr/>
          </w:p>
        </w:tc>
        <w:tc>
          <w:tcPr>
            <w:tcW w:w="1993" w:type="dxa"/>
            <w:tcBorders>
              <w:top w:val="dotted" w:sz="4" w:space="0" w:color="000000"/>
              <w:left w:val="dotted" w:sz="4" w:space="0" w:color="000000"/>
              <w:bottom w:val="dotted" w:sz="4" w:space="0" w:color="000000"/>
              <w:right w:val="dotted" w:sz="4" w:space="0" w:color="000000"/>
            </w:tcBorders>
          </w:tcPr>
          <w:p>
            <w:pPr/>
          </w:p>
        </w:tc>
        <w:tc>
          <w:tcPr>
            <w:tcW w:w="1663"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21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9" w:type="dxa"/>
            <w:tcBorders>
              <w:top w:val="dotted" w:sz="4" w:space="0" w:color="000000"/>
              <w:left w:val="dotted" w:sz="4" w:space="0" w:color="000000"/>
              <w:bottom w:val="dotted" w:sz="4" w:space="0" w:color="000000"/>
              <w:right w:val="dotted" w:sz="4" w:space="0" w:color="000000"/>
            </w:tcBorders>
          </w:tcPr>
          <w:p>
            <w:pPr/>
          </w:p>
        </w:tc>
        <w:tc>
          <w:tcPr>
            <w:tcW w:w="19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103"/>
              <w:jc w:val="right"/>
              <w:rPr>
                <w:rFonts w:ascii="Arial" w:hAnsi="Arial" w:cs="Arial" w:eastAsia="Arial" w:hint="default"/>
                <w:sz w:val="18"/>
                <w:szCs w:val="18"/>
              </w:rPr>
            </w:pPr>
            <w:r>
              <w:rPr>
                <w:rFonts w:ascii="Arial"/>
                <w:spacing w:val="-1"/>
                <w:w w:val="80"/>
                <w:sz w:val="18"/>
              </w:rPr>
              <w:t>266,500,765.89</w:t>
            </w:r>
            <w:r>
              <w:rPr>
                <w:rFonts w:ascii="Arial"/>
                <w:spacing w:val="-1"/>
                <w:sz w:val="18"/>
              </w:rPr>
            </w:r>
          </w:p>
        </w:tc>
        <w:tc>
          <w:tcPr>
            <w:tcW w:w="19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spacing w:val="-1"/>
                <w:w w:val="80"/>
                <w:sz w:val="18"/>
              </w:rPr>
              <w:t>266,500,765.89</w:t>
            </w:r>
            <w:r>
              <w:rPr>
                <w:rFonts w:ascii="Arial"/>
                <w:spacing w:val="-1"/>
                <w:sz w:val="18"/>
              </w:rPr>
            </w:r>
          </w:p>
        </w:tc>
        <w:tc>
          <w:tcPr>
            <w:tcW w:w="1663"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1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5"/>
              <w:ind w:left="691" w:right="0"/>
              <w:jc w:val="left"/>
              <w:rPr>
                <w:rFonts w:ascii="Arial" w:hAnsi="Arial" w:cs="Arial" w:eastAsia="Arial" w:hint="default"/>
                <w:sz w:val="18"/>
                <w:szCs w:val="18"/>
              </w:rPr>
            </w:pPr>
            <w:r>
              <w:rPr>
                <w:rFonts w:ascii="Arial"/>
                <w:w w:val="85"/>
                <w:sz w:val="18"/>
              </w:rPr>
              <w:t>266,500,765.89</w:t>
            </w:r>
            <w:r>
              <w:rPr>
                <w:rFonts w:ascii="Arial"/>
                <w:sz w:val="18"/>
              </w:rPr>
            </w:r>
          </w:p>
        </w:tc>
        <w:tc>
          <w:tcPr>
            <w:tcW w:w="19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-266,500,765.89</w:t>
            </w:r>
            <w:r>
              <w:rPr>
                <w:rFonts w:ascii="Arial"/>
                <w:spacing w:val="-1"/>
                <w:sz w:val="18"/>
              </w:rPr>
            </w:r>
          </w:p>
        </w:tc>
        <w:tc>
          <w:tcPr>
            <w:tcW w:w="1993" w:type="dxa"/>
            <w:tcBorders>
              <w:top w:val="dotted" w:sz="4" w:space="0" w:color="000000"/>
              <w:left w:val="dotted" w:sz="4" w:space="0" w:color="000000"/>
              <w:bottom w:val="dotted" w:sz="4" w:space="0" w:color="000000"/>
              <w:right w:val="dotted" w:sz="4" w:space="0" w:color="000000"/>
            </w:tcBorders>
          </w:tcPr>
          <w:p>
            <w:pPr/>
          </w:p>
        </w:tc>
        <w:tc>
          <w:tcPr>
            <w:tcW w:w="1663" w:type="dxa"/>
            <w:tcBorders>
              <w:top w:val="dotted" w:sz="4" w:space="0" w:color="000000"/>
              <w:left w:val="dotted" w:sz="4" w:space="0" w:color="000000"/>
              <w:bottom w:val="dotted" w:sz="4" w:space="0" w:color="000000"/>
              <w:right w:val="nil" w:sz="6" w:space="0" w:color="auto"/>
            </w:tcBorders>
          </w:tcPr>
          <w:p>
            <w:pPr/>
          </w:p>
        </w:tc>
      </w:tr>
      <w:tr>
        <w:trPr>
          <w:trHeight w:val="404" w:hRule="exact"/>
        </w:trPr>
        <w:tc>
          <w:tcPr>
            <w:tcW w:w="21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9" w:type="dxa"/>
            <w:tcBorders>
              <w:top w:val="dotted" w:sz="4" w:space="0" w:color="000000"/>
              <w:left w:val="dotted" w:sz="4" w:space="0" w:color="000000"/>
              <w:bottom w:val="dotted" w:sz="4" w:space="0" w:color="000000"/>
              <w:right w:val="dotted" w:sz="4" w:space="0" w:color="000000"/>
            </w:tcBorders>
          </w:tcPr>
          <w:p>
            <w:pPr/>
          </w:p>
        </w:tc>
        <w:tc>
          <w:tcPr>
            <w:tcW w:w="1995" w:type="dxa"/>
            <w:tcBorders>
              <w:top w:val="dotted" w:sz="4" w:space="0" w:color="000000"/>
              <w:left w:val="dotted" w:sz="4" w:space="0" w:color="000000"/>
              <w:bottom w:val="dotted" w:sz="4" w:space="0" w:color="000000"/>
              <w:right w:val="dotted" w:sz="4" w:space="0" w:color="000000"/>
            </w:tcBorders>
          </w:tcPr>
          <w:p>
            <w:pPr/>
          </w:p>
        </w:tc>
        <w:tc>
          <w:tcPr>
            <w:tcW w:w="1993" w:type="dxa"/>
            <w:tcBorders>
              <w:top w:val="dotted" w:sz="4" w:space="0" w:color="000000"/>
              <w:left w:val="dotted" w:sz="4" w:space="0" w:color="000000"/>
              <w:bottom w:val="dotted" w:sz="4" w:space="0" w:color="000000"/>
              <w:right w:val="dotted" w:sz="4" w:space="0" w:color="000000"/>
            </w:tcBorders>
          </w:tcPr>
          <w:p>
            <w:pPr/>
          </w:p>
        </w:tc>
        <w:tc>
          <w:tcPr>
            <w:tcW w:w="1663"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21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9" w:type="dxa"/>
            <w:tcBorders>
              <w:top w:val="dotted" w:sz="4" w:space="0" w:color="000000"/>
              <w:left w:val="dotted" w:sz="4" w:space="0" w:color="000000"/>
              <w:bottom w:val="single" w:sz="12" w:space="0" w:color="000000"/>
              <w:right w:val="dotted" w:sz="4" w:space="0" w:color="000000"/>
            </w:tcBorders>
          </w:tcPr>
          <w:p>
            <w:pPr/>
          </w:p>
        </w:tc>
        <w:tc>
          <w:tcPr>
            <w:tcW w:w="19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299,430,708.18</w:t>
            </w:r>
            <w:r>
              <w:rPr>
                <w:rFonts w:ascii="Arial"/>
                <w:spacing w:val="-1"/>
                <w:sz w:val="18"/>
              </w:rPr>
            </w:r>
          </w:p>
        </w:tc>
        <w:tc>
          <w:tcPr>
            <w:tcW w:w="19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5"/>
              <w:ind w:right="99"/>
              <w:jc w:val="right"/>
              <w:rPr>
                <w:rFonts w:ascii="Arial" w:hAnsi="Arial" w:cs="Arial" w:eastAsia="Arial" w:hint="default"/>
                <w:sz w:val="18"/>
                <w:szCs w:val="18"/>
              </w:rPr>
            </w:pPr>
            <w:r>
              <w:rPr>
                <w:rFonts w:ascii="Arial"/>
                <w:spacing w:val="-1"/>
                <w:w w:val="80"/>
                <w:sz w:val="18"/>
              </w:rPr>
              <w:t>299,430,708.18</w:t>
            </w:r>
            <w:r>
              <w:rPr>
                <w:rFonts w:ascii="Arial"/>
                <w:spacing w:val="-1"/>
                <w:sz w:val="18"/>
              </w:rPr>
            </w:r>
          </w:p>
        </w:tc>
        <w:tc>
          <w:tcPr>
            <w:tcW w:w="1663"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175"/>
        <w:gridCol w:w="1829"/>
        <w:gridCol w:w="1995"/>
        <w:gridCol w:w="1993"/>
        <w:gridCol w:w="1663"/>
      </w:tblGrid>
      <w:tr>
        <w:trPr>
          <w:trHeight w:val="360" w:hRule="exact"/>
        </w:trPr>
        <w:tc>
          <w:tcPr>
            <w:tcW w:w="21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73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280"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19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631"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9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362"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c>
          <w:tcPr>
            <w:tcW w:w="16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3" w:hRule="exact"/>
        </w:trPr>
        <w:tc>
          <w:tcPr>
            <w:tcW w:w="21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5"/>
              <w:ind w:left="691" w:right="0"/>
              <w:jc w:val="left"/>
              <w:rPr>
                <w:rFonts w:ascii="Arial" w:hAnsi="Arial" w:cs="Arial" w:eastAsia="Arial" w:hint="default"/>
                <w:sz w:val="18"/>
                <w:szCs w:val="18"/>
              </w:rPr>
            </w:pPr>
            <w:r>
              <w:rPr>
                <w:rFonts w:ascii="Arial"/>
                <w:w w:val="85"/>
                <w:sz w:val="18"/>
              </w:rPr>
              <w:t>299,430,708.18</w:t>
            </w:r>
            <w:r>
              <w:rPr>
                <w:rFonts w:ascii="Arial"/>
                <w:sz w:val="18"/>
              </w:rPr>
            </w:r>
          </w:p>
        </w:tc>
        <w:tc>
          <w:tcPr>
            <w:tcW w:w="19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5"/>
              <w:ind w:left="806" w:right="0"/>
              <w:jc w:val="left"/>
              <w:rPr>
                <w:rFonts w:ascii="Arial" w:hAnsi="Arial" w:cs="Arial" w:eastAsia="Arial" w:hint="default"/>
                <w:sz w:val="18"/>
                <w:szCs w:val="18"/>
              </w:rPr>
            </w:pPr>
            <w:r>
              <w:rPr>
                <w:rFonts w:ascii="Arial"/>
                <w:w w:val="85"/>
                <w:sz w:val="18"/>
              </w:rPr>
              <w:t>-299,430,708.18</w:t>
            </w:r>
            <w:r>
              <w:rPr>
                <w:rFonts w:ascii="Arial"/>
                <w:sz w:val="18"/>
              </w:rPr>
            </w:r>
          </w:p>
        </w:tc>
        <w:tc>
          <w:tcPr>
            <w:tcW w:w="1993" w:type="dxa"/>
            <w:tcBorders>
              <w:top w:val="dotted" w:sz="4" w:space="0" w:color="000000"/>
              <w:left w:val="dotted" w:sz="4" w:space="0" w:color="000000"/>
              <w:bottom w:val="single" w:sz="12" w:space="0" w:color="000000"/>
              <w:right w:val="dotted" w:sz="4" w:space="0" w:color="000000"/>
            </w:tcBorders>
          </w:tcPr>
          <w:p>
            <w:pPr/>
          </w:p>
        </w:tc>
        <w:tc>
          <w:tcPr>
            <w:tcW w:w="166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4"/>
        <w:spacing w:line="295" w:lineRule="auto" w:before="124"/>
        <w:ind w:left="575" w:right="6070" w:hanging="3"/>
        <w:jc w:val="left"/>
        <w:rPr>
          <w:b w:val="0"/>
          <w:bCs w:val="0"/>
        </w:rPr>
      </w:pPr>
      <w:r>
        <w:rPr/>
        <w:pict>
          <v:group style="position:absolute;margin-left:92.447998pt;margin-top:27.784468pt;width:15.3pt;height:.1pt;mso-position-horizontal-relative:page;mso-position-vertical-relative:paragraph;z-index:-1329592" coordorigin="1849,556" coordsize="306,2">
            <v:shape style="position:absolute;left:1849;top:556;width:306;height:2" coordorigin="1849,556" coordsize="306,0" path="m1849,556l2154,556e" filled="false" stroked="true" strokeweight=".48pt" strokecolor="#000000">
              <v:path arrowok="t"/>
              <v:stroke dashstyle="dash"/>
            </v:shape>
            <w10:wrap type="none"/>
          </v:group>
        </w:pict>
      </w:r>
      <w:r>
        <w:rPr>
          <w:spacing w:val="-1"/>
        </w:rPr>
        <w:t>（四十二）重要会计政策、会计估计的变更</w:t>
      </w:r>
      <w:r>
        <w:rPr>
          <w:spacing w:val="-18"/>
        </w:rPr>
        <w:t> </w:t>
      </w:r>
      <w:r>
        <w:rPr>
          <w:spacing w:val="-18"/>
        </w:rPr>
      </w:r>
      <w:r>
        <w:rPr>
          <w:rFonts w:ascii="Trebuchet MS" w:hAnsi="Trebuchet MS" w:cs="Trebuchet MS" w:eastAsia="Trebuchet MS" w:hint="default"/>
        </w:rPr>
        <w:t>1</w:t>
      </w:r>
      <w:r>
        <w:rPr/>
        <w:t>．</w:t>
      </w:r>
      <w:r>
        <w:rPr>
          <w:spacing w:val="-20"/>
        </w:rPr>
        <w:t> </w:t>
      </w:r>
      <w:r>
        <w:rPr/>
        <w:t>会计政策变更</w:t>
      </w:r>
      <w:r>
        <w:rPr>
          <w:b w:val="0"/>
          <w:bCs w:val="0"/>
        </w:rPr>
      </w:r>
    </w:p>
    <w:p>
      <w:pPr>
        <w:pStyle w:val="Heading4"/>
        <w:tabs>
          <w:tab w:pos="1413" w:val="left" w:leader="none"/>
        </w:tabs>
        <w:spacing w:line="240" w:lineRule="auto" w:before="16"/>
        <w:ind w:left="573" w:right="0"/>
        <w:jc w:val="left"/>
        <w:rPr>
          <w:b w:val="0"/>
          <w:bCs w:val="0"/>
        </w:rPr>
      </w:pPr>
      <w:r>
        <w:rPr>
          <w:w w:val="95"/>
        </w:rPr>
        <w:t>（</w:t>
      </w:r>
      <w:r>
        <w:rPr>
          <w:rFonts w:ascii="Trebuchet MS" w:hAnsi="Trebuchet MS" w:cs="Trebuchet MS" w:eastAsia="Trebuchet MS" w:hint="default"/>
          <w:w w:val="95"/>
        </w:rPr>
        <w:t>1</w:t>
      </w:r>
      <w:r>
        <w:rPr>
          <w:w w:val="95"/>
        </w:rPr>
        <w:t>）</w:t>
        <w:tab/>
      </w:r>
      <w:r>
        <w:rPr/>
        <w:t>执行新金融工具准则对本公司的影响</w:t>
      </w:r>
      <w:r>
        <w:rPr>
          <w:b w:val="0"/>
          <w:bCs w:val="0"/>
        </w:rPr>
      </w:r>
    </w:p>
    <w:p>
      <w:pPr>
        <w:pStyle w:val="BodyText"/>
        <w:spacing w:line="240" w:lineRule="auto" w:before="152"/>
        <w:ind w:left="573" w:right="0"/>
        <w:jc w:val="left"/>
      </w:pPr>
      <w:r>
        <w:rPr/>
        <w:t>本公司自</w:t>
      </w:r>
      <w:r>
        <w:rPr>
          <w:spacing w:val="-36"/>
        </w:rPr>
        <w:t> </w:t>
      </w:r>
      <w:r>
        <w:rPr>
          <w:rFonts w:ascii="宋体" w:hAnsi="宋体" w:cs="宋体" w:eastAsia="宋体" w:hint="default"/>
        </w:rPr>
        <w:t>2019</w:t>
      </w:r>
      <w:r>
        <w:rPr>
          <w:rFonts w:ascii="宋体" w:hAnsi="宋体" w:cs="宋体" w:eastAsia="宋体" w:hint="default"/>
          <w:spacing w:val="-33"/>
        </w:rPr>
        <w:t> </w:t>
      </w:r>
      <w:r>
        <w:rPr/>
        <w:t>年</w:t>
      </w:r>
      <w:r>
        <w:rPr>
          <w:spacing w:val="-36"/>
        </w:rPr>
        <w:t> </w:t>
      </w:r>
      <w:r>
        <w:rPr>
          <w:rFonts w:ascii="宋体" w:hAnsi="宋体" w:cs="宋体" w:eastAsia="宋体" w:hint="default"/>
        </w:rPr>
        <w:t>1</w:t>
      </w:r>
      <w:r>
        <w:rPr>
          <w:rFonts w:ascii="宋体" w:hAnsi="宋体" w:cs="宋体" w:eastAsia="宋体" w:hint="default"/>
          <w:spacing w:val="-36"/>
        </w:rPr>
        <w:t> </w:t>
      </w:r>
      <w:r>
        <w:rPr/>
        <w:t>月</w:t>
      </w:r>
      <w:r>
        <w:rPr>
          <w:spacing w:val="-33"/>
        </w:rPr>
        <w:t> </w:t>
      </w:r>
      <w:r>
        <w:rPr>
          <w:rFonts w:ascii="宋体" w:hAnsi="宋体" w:cs="宋体" w:eastAsia="宋体" w:hint="default"/>
        </w:rPr>
        <w:t>1</w:t>
      </w:r>
      <w:r>
        <w:rPr>
          <w:rFonts w:ascii="宋体" w:hAnsi="宋体" w:cs="宋体" w:eastAsia="宋体" w:hint="default"/>
          <w:spacing w:val="-35"/>
        </w:rPr>
        <w:t> </w:t>
      </w:r>
      <w:r>
        <w:rPr/>
        <w:t>日起执行财政部</w:t>
      </w:r>
      <w:r>
        <w:rPr>
          <w:spacing w:val="-34"/>
        </w:rPr>
        <w:t> </w:t>
      </w:r>
      <w:r>
        <w:rPr>
          <w:rFonts w:ascii="宋体" w:hAnsi="宋体" w:cs="宋体" w:eastAsia="宋体" w:hint="default"/>
        </w:rPr>
        <w:t>2017</w:t>
      </w:r>
      <w:r>
        <w:rPr>
          <w:rFonts w:ascii="宋体" w:hAnsi="宋体" w:cs="宋体" w:eastAsia="宋体" w:hint="default"/>
          <w:spacing w:val="-36"/>
        </w:rPr>
        <w:t> </w:t>
      </w:r>
      <w:r>
        <w:rPr/>
        <w:t>年修订的《企业会计准则第</w:t>
      </w:r>
      <w:r>
        <w:rPr>
          <w:spacing w:val="-33"/>
        </w:rPr>
        <w:t> </w:t>
      </w:r>
      <w:r>
        <w:rPr>
          <w:rFonts w:ascii="宋体" w:hAnsi="宋体" w:cs="宋体" w:eastAsia="宋体" w:hint="default"/>
        </w:rPr>
        <w:t>22</w:t>
      </w:r>
      <w:r>
        <w:rPr>
          <w:rFonts w:ascii="宋体" w:hAnsi="宋体" w:cs="宋体" w:eastAsia="宋体" w:hint="default"/>
          <w:spacing w:val="-36"/>
        </w:rPr>
        <w:t> </w:t>
      </w:r>
      <w:r>
        <w:rPr/>
        <w:t>号</w:t>
      </w:r>
      <w:r>
        <w:rPr>
          <w:rFonts w:ascii="宋体" w:hAnsi="宋体" w:cs="宋体" w:eastAsia="宋体" w:hint="default"/>
        </w:rPr>
        <w:t>-</w:t>
      </w:r>
      <w:r>
        <w:rPr/>
        <w:t>金融工具确认和计</w:t>
      </w:r>
    </w:p>
    <w:p>
      <w:pPr>
        <w:pStyle w:val="BodyText"/>
        <w:spacing w:line="355" w:lineRule="auto" w:before="135"/>
        <w:ind w:right="1131"/>
        <w:jc w:val="left"/>
      </w:pPr>
      <w:r>
        <w:rPr>
          <w:w w:val="100"/>
        </w:rPr>
        <w:t>量</w:t>
      </w:r>
      <w:r>
        <w:rPr>
          <w:spacing w:val="-106"/>
          <w:w w:val="100"/>
        </w:rPr>
        <w:t>》</w:t>
      </w:r>
      <w:r>
        <w:rPr>
          <w:spacing w:val="-125"/>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w w:val="100"/>
        </w:rPr>
        <w:t>23</w:t>
      </w:r>
      <w:r>
        <w:rPr>
          <w:rFonts w:ascii="宋体" w:hAnsi="宋体" w:cs="宋体" w:eastAsia="宋体" w:hint="default"/>
          <w:spacing w:val="-55"/>
        </w:rPr>
        <w:t> </w:t>
      </w:r>
      <w:r>
        <w:rPr>
          <w:w w:val="100"/>
        </w:rPr>
        <w:t>号</w:t>
      </w:r>
      <w:r>
        <w:rPr>
          <w:rFonts w:ascii="宋体" w:hAnsi="宋体" w:cs="宋体" w:eastAsia="宋体" w:hint="default"/>
          <w:w w:val="100"/>
        </w:rPr>
        <w:t>-</w:t>
      </w:r>
      <w:r>
        <w:rPr>
          <w:spacing w:val="-3"/>
          <w:w w:val="100"/>
        </w:rPr>
        <w:t>金</w:t>
      </w:r>
      <w:r>
        <w:rPr>
          <w:w w:val="100"/>
        </w:rPr>
        <w:t>融</w:t>
      </w:r>
      <w:r>
        <w:rPr>
          <w:spacing w:val="-3"/>
          <w:w w:val="100"/>
        </w:rPr>
        <w:t>资</w:t>
      </w:r>
      <w:r>
        <w:rPr>
          <w:w w:val="100"/>
        </w:rPr>
        <w:t>产</w:t>
      </w:r>
      <w:r>
        <w:rPr>
          <w:spacing w:val="-3"/>
          <w:w w:val="100"/>
        </w:rPr>
        <w:t>转</w:t>
      </w:r>
      <w:r>
        <w:rPr>
          <w:w w:val="100"/>
        </w:rPr>
        <w:t>移</w:t>
      </w:r>
      <w:r>
        <w:rPr>
          <w:spacing w:val="-20"/>
          <w:w w:val="100"/>
        </w:rPr>
        <w:t>》</w:t>
      </w:r>
      <w:r>
        <w:rPr>
          <w:spacing w:val="-22"/>
          <w:w w:val="100"/>
        </w:rPr>
        <w:t>和</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3"/>
        </w:rPr>
        <w:t> </w:t>
      </w:r>
      <w:r>
        <w:rPr>
          <w:w w:val="100"/>
        </w:rPr>
        <w:t>号</w:t>
      </w:r>
      <w:r>
        <w:rPr>
          <w:rFonts w:ascii="宋体" w:hAnsi="宋体" w:cs="宋体" w:eastAsia="宋体" w:hint="default"/>
          <w:spacing w:val="-3"/>
          <w:w w:val="100"/>
        </w:rPr>
        <w:t>-</w:t>
      </w:r>
      <w:r>
        <w:rPr>
          <w:w w:val="100"/>
        </w:rPr>
        <w:t>套</w:t>
      </w:r>
      <w:r>
        <w:rPr>
          <w:spacing w:val="-3"/>
          <w:w w:val="100"/>
        </w:rPr>
        <w:t>期</w:t>
      </w:r>
      <w:r>
        <w:rPr>
          <w:w w:val="100"/>
        </w:rPr>
        <w:t>会计</w:t>
      </w:r>
      <w:r>
        <w:rPr>
          <w:spacing w:val="-106"/>
          <w:w w:val="100"/>
        </w:rPr>
        <w:t>》</w:t>
      </w:r>
      <w:r>
        <w:rPr>
          <w:spacing w:val="-12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5"/>
        </w:rPr>
        <w:t> </w:t>
      </w:r>
      <w:r>
        <w:rPr>
          <w:rFonts w:ascii="宋体" w:hAnsi="宋体" w:cs="宋体" w:eastAsia="宋体" w:hint="default"/>
          <w:spacing w:val="-3"/>
          <w:w w:val="100"/>
        </w:rPr>
        <w:t>37 </w:t>
      </w:r>
      <w:r>
        <w:rPr>
          <w:w w:val="100"/>
        </w:rPr>
        <w:t>号</w:t>
      </w:r>
      <w:r>
        <w:rPr>
          <w:rFonts w:ascii="宋体" w:hAnsi="宋体" w:cs="宋体" w:eastAsia="宋体" w:hint="default"/>
          <w:w w:val="100"/>
        </w:rPr>
        <w:t>-</w:t>
      </w:r>
      <w:r>
        <w:rPr>
          <w:spacing w:val="-3"/>
          <w:w w:val="100"/>
        </w:rPr>
        <w:t>金</w:t>
      </w:r>
      <w:r>
        <w:rPr>
          <w:w w:val="100"/>
        </w:rPr>
        <w:t>融</w:t>
      </w:r>
      <w:r>
        <w:rPr>
          <w:spacing w:val="-3"/>
          <w:w w:val="100"/>
        </w:rPr>
        <w:t>工</w:t>
      </w:r>
      <w:r>
        <w:rPr>
          <w:w w:val="100"/>
        </w:rPr>
        <w:t>具</w:t>
      </w:r>
      <w:r>
        <w:rPr>
          <w:spacing w:val="-3"/>
          <w:w w:val="100"/>
        </w:rPr>
        <w:t>列</w:t>
      </w:r>
      <w:r>
        <w:rPr>
          <w:w w:val="100"/>
        </w:rPr>
        <w:t>报</w:t>
      </w:r>
      <w:r>
        <w:rPr>
          <w:spacing w:val="-106"/>
          <w:w w:val="100"/>
        </w:rPr>
        <w:t>》</w:t>
      </w:r>
      <w:r>
        <w:rPr>
          <w:spacing w:val="-3"/>
          <w:w w:val="100"/>
        </w:rPr>
        <w:t>（</w:t>
      </w:r>
      <w:r>
        <w:rPr>
          <w:w w:val="100"/>
        </w:rPr>
        <w:t>以</w:t>
      </w:r>
      <w:r>
        <w:rPr>
          <w:spacing w:val="-3"/>
          <w:w w:val="100"/>
        </w:rPr>
        <w:t>上</w:t>
      </w:r>
      <w:r>
        <w:rPr>
          <w:w w:val="100"/>
        </w:rPr>
        <w:t>四项</w:t>
      </w:r>
      <w:r>
        <w:rPr>
          <w:spacing w:val="-3"/>
          <w:w w:val="100"/>
        </w:rPr>
        <w:t>统</w:t>
      </w:r>
      <w:r>
        <w:rPr>
          <w:w w:val="100"/>
        </w:rPr>
        <w:t>称</w:t>
      </w:r>
      <w:r>
        <w:rPr>
          <w:rFonts w:ascii="宋体" w:hAnsi="宋体" w:cs="宋体" w:eastAsia="宋体" w:hint="default"/>
          <w:spacing w:val="-3"/>
          <w:w w:val="100"/>
        </w:rPr>
        <w:t>&lt;</w:t>
      </w:r>
      <w:r>
        <w:rPr>
          <w:w w:val="100"/>
        </w:rPr>
        <w:t>新</w:t>
      </w:r>
      <w:r>
        <w:rPr>
          <w:spacing w:val="-3"/>
          <w:w w:val="100"/>
        </w:rPr>
        <w:t>金</w:t>
      </w:r>
      <w:r>
        <w:rPr>
          <w:w w:val="100"/>
        </w:rPr>
        <w:t>融</w:t>
      </w:r>
      <w:r>
        <w:rPr>
          <w:spacing w:val="-3"/>
          <w:w w:val="100"/>
        </w:rPr>
        <w:t>工</w:t>
      </w:r>
      <w:r>
        <w:rPr>
          <w:w w:val="100"/>
        </w:rPr>
        <w:t>具</w:t>
      </w:r>
      <w:r>
        <w:rPr>
          <w:spacing w:val="-3"/>
          <w:w w:val="100"/>
        </w:rPr>
        <w:t>准则</w:t>
      </w:r>
      <w:r>
        <w:rPr>
          <w:rFonts w:ascii="宋体" w:hAnsi="宋体" w:cs="宋体" w:eastAsia="宋体" w:hint="default"/>
          <w:w w:val="100"/>
        </w:rPr>
        <w:t>&gt;</w:t>
      </w:r>
      <w:r>
        <w:rPr>
          <w:spacing w:val="-106"/>
          <w:w w:val="100"/>
        </w:rPr>
        <w:t>）</w:t>
      </w:r>
      <w:r>
        <w:rPr>
          <w:w w:val="100"/>
        </w:rPr>
        <w:t>，</w:t>
      </w:r>
      <w:r>
        <w:rPr>
          <w:spacing w:val="-3"/>
          <w:w w:val="100"/>
        </w:rPr>
        <w:t>变</w:t>
      </w:r>
      <w:r>
        <w:rPr>
          <w:w w:val="100"/>
        </w:rPr>
        <w:t>更</w:t>
      </w:r>
      <w:r>
        <w:rPr>
          <w:spacing w:val="-3"/>
          <w:w w:val="100"/>
        </w:rPr>
        <w:t>后</w:t>
      </w:r>
      <w:r>
        <w:rPr>
          <w:w w:val="100"/>
        </w:rPr>
        <w:t>的</w:t>
      </w:r>
      <w:r>
        <w:rPr>
          <w:spacing w:val="-3"/>
          <w:w w:val="100"/>
        </w:rPr>
        <w:t>会</w:t>
      </w:r>
      <w:r>
        <w:rPr>
          <w:w w:val="100"/>
        </w:rPr>
        <w:t>计</w:t>
      </w:r>
      <w:r>
        <w:rPr>
          <w:spacing w:val="-3"/>
          <w:w w:val="100"/>
        </w:rPr>
        <w:t>政</w:t>
      </w:r>
      <w:r>
        <w:rPr>
          <w:w w:val="100"/>
        </w:rPr>
        <w:t>策</w:t>
      </w:r>
      <w:r>
        <w:rPr>
          <w:spacing w:val="-3"/>
          <w:w w:val="100"/>
        </w:rPr>
        <w:t>详</w:t>
      </w:r>
      <w:r>
        <w:rPr>
          <w:w w:val="100"/>
        </w:rPr>
        <w:t>见附</w:t>
      </w:r>
      <w:r>
        <w:rPr>
          <w:spacing w:val="-3"/>
          <w:w w:val="100"/>
        </w:rPr>
        <w:t>注</w:t>
      </w:r>
      <w:r>
        <w:rPr>
          <w:w w:val="100"/>
        </w:rPr>
        <w:t>四。</w:t>
      </w:r>
    </w:p>
    <w:p>
      <w:pPr>
        <w:pStyle w:val="BodyText"/>
        <w:spacing w:line="355" w:lineRule="auto" w:before="75"/>
        <w:ind w:right="1126" w:firstLine="420"/>
        <w:jc w:val="both"/>
        <w:rPr>
          <w:rFonts w:ascii="宋体" w:hAnsi="宋体" w:cs="宋体" w:eastAsia="宋体" w:hint="default"/>
        </w:rPr>
      </w:pPr>
      <w:r>
        <w:rPr/>
        <w:t>于</w:t>
      </w:r>
      <w:r>
        <w:rPr>
          <w:spacing w:val="-39"/>
        </w:rPr>
        <w:t> </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2"/>
        </w:rPr>
        <w:t> </w:t>
      </w:r>
      <w:r>
        <w:rPr/>
        <w:t>月</w:t>
      </w:r>
      <w:r>
        <w:rPr>
          <w:spacing w:val="-39"/>
        </w:rPr>
        <w:t> </w:t>
      </w:r>
      <w:r>
        <w:rPr>
          <w:rFonts w:ascii="宋体" w:hAnsi="宋体" w:cs="宋体" w:eastAsia="宋体" w:hint="default"/>
        </w:rPr>
        <w:t>1</w:t>
      </w:r>
      <w:r>
        <w:rPr>
          <w:rFonts w:ascii="宋体" w:hAnsi="宋体" w:cs="宋体" w:eastAsia="宋体" w:hint="default"/>
          <w:spacing w:val="-42"/>
        </w:rPr>
        <w:t> </w:t>
      </w:r>
      <w:r>
        <w:rPr/>
        <w:t>日之前的金融工具确认和计量与新金融工具准则要求不一致的，本公司按照新金融</w:t>
      </w:r>
      <w:r>
        <w:rPr>
          <w:w w:val="100"/>
        </w:rPr>
        <w:t> </w:t>
      </w:r>
      <w:r>
        <w:rPr>
          <w:spacing w:val="-2"/>
        </w:rPr>
        <w:t>工具准则的要求进行衔接调整。涉及前期比较财务报表数据与新金融工具准则要求不一致的，本公司未调</w:t>
      </w:r>
      <w:r>
        <w:rPr>
          <w:spacing w:val="-43"/>
        </w:rPr>
        <w:t> </w:t>
      </w:r>
      <w:r>
        <w:rPr>
          <w:spacing w:val="-43"/>
        </w:rPr>
      </w:r>
      <w:r>
        <w:rPr>
          <w:spacing w:val="-4"/>
        </w:rPr>
        <w:t>整可比期间信息。金融工具原账面价值和新金融工具准则施行日的新账面价值之间的差额，计入 </w:t>
      </w:r>
      <w:r>
        <w:rPr>
          <w:rFonts w:ascii="宋体" w:hAnsi="宋体" w:cs="宋体" w:eastAsia="宋体" w:hint="default"/>
        </w:rPr>
        <w:t>2019 </w:t>
      </w:r>
      <w:r>
        <w:rPr/>
        <w:t>年</w:t>
      </w:r>
      <w:r>
        <w:rPr>
          <w:spacing w:val="-68"/>
        </w:rPr>
        <w:t> </w:t>
      </w:r>
      <w:r>
        <w:rPr>
          <w:rFonts w:ascii="宋体" w:hAnsi="宋体" w:cs="宋体" w:eastAsia="宋体" w:hint="default"/>
        </w:rPr>
        <w:t>1</w:t>
      </w:r>
    </w:p>
    <w:p>
      <w:pPr>
        <w:pStyle w:val="BodyText"/>
        <w:spacing w:line="391" w:lineRule="auto" w:before="30"/>
        <w:ind w:left="573" w:right="3233" w:hanging="421"/>
        <w:jc w:val="left"/>
      </w:pPr>
      <w:r>
        <w:rPr/>
        <w:t>月</w:t>
      </w:r>
      <w:r>
        <w:rPr>
          <w:spacing w:val="-52"/>
        </w:rPr>
        <w:t> </w:t>
      </w:r>
      <w:r>
        <w:rPr>
          <w:rFonts w:ascii="宋体" w:hAnsi="宋体" w:cs="宋体" w:eastAsia="宋体" w:hint="default"/>
        </w:rPr>
        <w:t>1</w:t>
      </w:r>
      <w:r>
        <w:rPr>
          <w:rFonts w:ascii="宋体" w:hAnsi="宋体" w:cs="宋体" w:eastAsia="宋体" w:hint="default"/>
          <w:spacing w:val="-53"/>
        </w:rPr>
        <w:t> </w:t>
      </w:r>
      <w:r>
        <w:rPr/>
        <w:t>日留存收益或其他综合收益。</w:t>
      </w:r>
      <w:r>
        <w:rPr>
          <w:w w:val="100"/>
        </w:rPr>
        <w:t> </w:t>
      </w:r>
      <w:r>
        <w:rPr>
          <w:spacing w:val="-2"/>
        </w:rPr>
        <w:t>执行新金融工具准则对本期期初资产负债表相关项目的影响列示如下：</w:t>
      </w:r>
    </w:p>
    <w:p>
      <w:pPr>
        <w:pStyle w:val="Heading4"/>
        <w:spacing w:line="343" w:lineRule="exact"/>
        <w:ind w:left="0" w:right="556"/>
        <w:jc w:val="center"/>
        <w:rPr>
          <w:b w:val="0"/>
          <w:bCs w:val="0"/>
        </w:rPr>
      </w:pPr>
      <w:r>
        <w:rPr/>
        <w:pict>
          <v:group style="position:absolute;margin-left:385.269989pt;margin-top:47.00845pt;width:.5pt;height:.1pt;mso-position-horizontal-relative:page;mso-position-vertical-relative:paragraph;z-index:-1329640" coordorigin="7705,940" coordsize="10,2">
            <v:shape style="position:absolute;left:7705;top:940;width:10;height:2" coordorigin="7705,940" coordsize="10,0" path="m7705,940l7715,940e" filled="false" stroked="true" strokeweight=".72pt" strokecolor="#000000">
              <v:path arrowok="t"/>
              <v:stroke dashstyle="dash"/>
            </v:shape>
            <w10:wrap type="none"/>
          </v:group>
        </w:pict>
      </w:r>
      <w:r>
        <w:rPr/>
        <w:pict>
          <v:group style="position:absolute;margin-left:461.859985pt;margin-top:47.00845pt;width:.5pt;height:.1pt;mso-position-horizontal-relative:page;mso-position-vertical-relative:paragraph;z-index:-1329616" coordorigin="9237,940" coordsize="10,2">
            <v:shape style="position:absolute;left:9237;top:940;width:10;height:2" coordorigin="9237,940" coordsize="10,0" path="m9237,940l9247,940e" filled="false" stroked="true" strokeweight=".72pt" strokecolor="#000000">
              <v:path arrowok="t"/>
              <v:stroke dashstyle="dash"/>
            </v:shape>
            <w10:wrap type="none"/>
          </v:group>
        </w:pict>
      </w:r>
      <w:r>
        <w:rPr/>
        <w:t>合并资产负债表</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23" w:type="dxa"/>
        <w:tblLayout w:type="fixed"/>
        <w:tblCellMar>
          <w:top w:w="0" w:type="dxa"/>
          <w:left w:w="0" w:type="dxa"/>
          <w:bottom w:w="0" w:type="dxa"/>
          <w:right w:w="0" w:type="dxa"/>
        </w:tblCellMar>
        <w:tblLook w:val="01E0"/>
      </w:tblPr>
      <w:tblGrid>
        <w:gridCol w:w="2031"/>
        <w:gridCol w:w="1515"/>
        <w:gridCol w:w="1531"/>
        <w:gridCol w:w="1515"/>
        <w:gridCol w:w="1532"/>
        <w:gridCol w:w="1531"/>
      </w:tblGrid>
      <w:tr>
        <w:trPr>
          <w:trHeight w:val="428" w:hRule="exact"/>
        </w:trPr>
        <w:tc>
          <w:tcPr>
            <w:tcW w:w="203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7"/>
              <w:ind w:left="2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51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7"/>
              <w:ind w:left="362"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53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7"/>
              <w:ind w:left="501"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457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right="5"/>
              <w:jc w:val="center"/>
              <w:rPr>
                <w:rFonts w:ascii="宋体" w:hAnsi="宋体" w:cs="宋体" w:eastAsia="宋体" w:hint="default"/>
                <w:sz w:val="13"/>
                <w:szCs w:val="13"/>
              </w:rPr>
            </w:pPr>
            <w:r>
              <w:rPr>
                <w:rFonts w:ascii="宋体" w:hAnsi="宋体" w:cs="宋体" w:eastAsia="宋体" w:hint="default"/>
                <w:sz w:val="13"/>
                <w:szCs w:val="13"/>
              </w:rPr>
              <w:t>调整数</w:t>
            </w:r>
          </w:p>
        </w:tc>
      </w:tr>
      <w:tr>
        <w:trPr>
          <w:trHeight w:val="418" w:hRule="exact"/>
        </w:trPr>
        <w:tc>
          <w:tcPr>
            <w:tcW w:w="2031" w:type="dxa"/>
            <w:vMerge/>
            <w:tcBorders>
              <w:left w:val="nil" w:sz="6" w:space="0" w:color="auto"/>
              <w:bottom w:val="dotted" w:sz="4" w:space="0" w:color="000000"/>
              <w:right w:val="dotted" w:sz="4" w:space="0" w:color="000000"/>
            </w:tcBorders>
          </w:tcPr>
          <w:p>
            <w:pPr/>
          </w:p>
        </w:tc>
        <w:tc>
          <w:tcPr>
            <w:tcW w:w="1515" w:type="dxa"/>
            <w:vMerge/>
            <w:tcBorders>
              <w:left w:val="dotted" w:sz="4" w:space="0" w:color="000000"/>
              <w:bottom w:val="dotted" w:sz="4" w:space="0" w:color="000000"/>
              <w:right w:val="dotted" w:sz="4" w:space="0" w:color="000000"/>
            </w:tcBorders>
          </w:tcPr>
          <w:p>
            <w:pPr/>
          </w:p>
        </w:tc>
        <w:tc>
          <w:tcPr>
            <w:tcW w:w="1531" w:type="dxa"/>
            <w:vMerge/>
            <w:tcBorders>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7"/>
              <w:ind w:right="1"/>
              <w:jc w:val="center"/>
              <w:rPr>
                <w:rFonts w:ascii="宋体" w:hAnsi="宋体" w:cs="宋体" w:eastAsia="宋体" w:hint="default"/>
                <w:sz w:val="13"/>
                <w:szCs w:val="13"/>
              </w:rPr>
            </w:pPr>
            <w:r>
              <w:rPr>
                <w:rFonts w:ascii="宋体" w:hAnsi="宋体" w:cs="宋体" w:eastAsia="宋体" w:hint="default"/>
                <w:sz w:val="13"/>
                <w:szCs w:val="13"/>
              </w:rPr>
              <w:t>重分类</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7"/>
              <w:ind w:left="501"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2"/>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31"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货币资金</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5,280,908,482.16</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5,280,908,482.16</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结算备付金</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937,759,236.93</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937,759,236.93</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拆出资金</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融出资金</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1,695,292,053.33</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1,730,369,951.32</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32,542,318.04</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830" w:right="0"/>
              <w:jc w:val="left"/>
              <w:rPr>
                <w:rFonts w:ascii="Times New Roman" w:hAnsi="Times New Roman" w:cs="Times New Roman" w:eastAsia="Times New Roman" w:hint="default"/>
                <w:sz w:val="13"/>
                <w:szCs w:val="13"/>
              </w:rPr>
            </w:pPr>
            <w:r>
              <w:rPr>
                <w:rFonts w:ascii="Times New Roman"/>
                <w:sz w:val="13"/>
              </w:rPr>
              <w:t>2,535,579.95</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35,077,897.99</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交易性金融资产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13,502,320,695.41</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13,502,320,695.41</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13,502,320,695.41</w:t>
            </w:r>
          </w:p>
        </w:tc>
      </w:tr>
      <w:tr>
        <w:trPr>
          <w:trHeight w:val="72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439" w:lineRule="auto" w:before="105"/>
              <w:ind w:left="31" w:right="8" w:firstLine="132"/>
              <w:jc w:val="left"/>
              <w:rPr>
                <w:rFonts w:ascii="宋体" w:hAnsi="宋体" w:cs="宋体" w:eastAsia="宋体" w:hint="default"/>
                <w:sz w:val="13"/>
                <w:szCs w:val="13"/>
              </w:rPr>
            </w:pPr>
            <w:r>
              <w:rPr>
                <w:rFonts w:ascii="宋体" w:hAnsi="宋体" w:cs="宋体" w:eastAsia="宋体" w:hint="default"/>
                <w:spacing w:val="2"/>
                <w:sz w:val="13"/>
                <w:szCs w:val="13"/>
              </w:rPr>
              <w:t>以公允价值计量且其变动计入当</w:t>
            </w:r>
            <w:r>
              <w:rPr>
                <w:rFonts w:ascii="宋体" w:hAnsi="宋体" w:cs="宋体" w:eastAsia="宋体" w:hint="default"/>
                <w:w w:val="99"/>
                <w:sz w:val="13"/>
                <w:szCs w:val="13"/>
              </w:rPr>
              <w:t> </w:t>
            </w:r>
            <w:r>
              <w:rPr>
                <w:rFonts w:ascii="宋体" w:hAnsi="宋体" w:cs="宋体" w:eastAsia="宋体" w:hint="default"/>
                <w:sz w:val="13"/>
                <w:szCs w:val="13"/>
              </w:rPr>
              <w:t>期损益的金融资产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6"/>
                <w:szCs w:val="16"/>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12,208,965,458.73</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6"/>
                <w:szCs w:val="16"/>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-12,208,965,458.73</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6"/>
                <w:szCs w:val="16"/>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-12,208,965,458.73</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衍生金融资产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943,500.00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943,500.00</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存出保证金</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165,591,959.03</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165,591,959.03</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应收票据</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应收账款</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266,500,765.89</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266,366,777.73</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-133,988.16</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-133,988.16</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应收款项融资</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预付款项</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41,485,472.60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41,485,472.60</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应收利息</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259,384,020.61</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314,302.00</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-259,069,718.61</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-259,069,718.61</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其他应收款</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75,134,201.85</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37,291,051.13</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-37,843,150.72</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7"/>
                <w:szCs w:val="7"/>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-37,843,150.72</w:t>
            </w:r>
          </w:p>
        </w:tc>
      </w:tr>
    </w:tbl>
    <w:p>
      <w:pPr>
        <w:spacing w:after="0" w:line="240" w:lineRule="auto"/>
        <w:jc w:val="right"/>
        <w:rPr>
          <w:rFonts w:ascii="Times New Roman" w:hAnsi="Times New Roman" w:cs="Times New Roman" w:eastAsia="Times New Roman" w:hint="default"/>
          <w:sz w:val="13"/>
          <w:szCs w:val="13"/>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92.447998pt;margin-top:152.259979pt;width:15.3pt;height:.1pt;mso-position-horizontal-relative:page;mso-position-vertical-relative:page;z-index:-1329568" coordorigin="1849,3045" coordsize="306,2">
            <v:shape style="position:absolute;left:1849;top:3045;width:306;height:2" coordorigin="1849,3045" coordsize="306,0" path="m1849,3045l2154,3045e" filled="false" stroked="true" strokeweight=".48pt" strokecolor="#000000">
              <v:path arrowok="t"/>
              <v:stroke dashstyle="dash"/>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031"/>
        <w:gridCol w:w="1515"/>
        <w:gridCol w:w="1531"/>
        <w:gridCol w:w="1515"/>
        <w:gridCol w:w="1532"/>
        <w:gridCol w:w="1531"/>
      </w:tblGrid>
      <w:tr>
        <w:trPr>
          <w:trHeight w:val="428" w:hRule="exact"/>
        </w:trPr>
        <w:tc>
          <w:tcPr>
            <w:tcW w:w="203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51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53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01"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457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right="5"/>
              <w:jc w:val="center"/>
              <w:rPr>
                <w:rFonts w:ascii="宋体" w:hAnsi="宋体" w:cs="宋体" w:eastAsia="宋体" w:hint="default"/>
                <w:sz w:val="13"/>
                <w:szCs w:val="13"/>
              </w:rPr>
            </w:pPr>
            <w:r>
              <w:rPr>
                <w:rFonts w:ascii="宋体" w:hAnsi="宋体" w:cs="宋体" w:eastAsia="宋体" w:hint="default"/>
                <w:sz w:val="13"/>
                <w:szCs w:val="13"/>
              </w:rPr>
              <w:t>调整数</w:t>
            </w:r>
          </w:p>
        </w:tc>
      </w:tr>
      <w:tr>
        <w:trPr>
          <w:trHeight w:val="418" w:hRule="exact"/>
        </w:trPr>
        <w:tc>
          <w:tcPr>
            <w:tcW w:w="2031" w:type="dxa"/>
            <w:vMerge/>
            <w:tcBorders>
              <w:left w:val="nil" w:sz="6" w:space="0" w:color="auto"/>
              <w:bottom w:val="dotted" w:sz="4" w:space="0" w:color="000000"/>
              <w:right w:val="dotted" w:sz="4" w:space="0" w:color="000000"/>
            </w:tcBorders>
          </w:tcPr>
          <w:p>
            <w:pPr/>
          </w:p>
        </w:tc>
        <w:tc>
          <w:tcPr>
            <w:tcW w:w="1515" w:type="dxa"/>
            <w:vMerge/>
            <w:tcBorders>
              <w:left w:val="dotted" w:sz="4" w:space="0" w:color="000000"/>
              <w:bottom w:val="dotted" w:sz="4" w:space="0" w:color="000000"/>
              <w:right w:val="dotted" w:sz="4" w:space="0" w:color="000000"/>
            </w:tcBorders>
          </w:tcPr>
          <w:p>
            <w:pPr/>
          </w:p>
        </w:tc>
        <w:tc>
          <w:tcPr>
            <w:tcW w:w="1531" w:type="dxa"/>
            <w:vMerge/>
            <w:tcBorders>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
              <w:jc w:val="center"/>
              <w:rPr>
                <w:rFonts w:ascii="宋体" w:hAnsi="宋体" w:cs="宋体" w:eastAsia="宋体" w:hint="default"/>
                <w:sz w:val="13"/>
                <w:szCs w:val="13"/>
              </w:rPr>
            </w:pPr>
            <w:r>
              <w:rPr>
                <w:rFonts w:ascii="宋体" w:hAnsi="宋体" w:cs="宋体" w:eastAsia="宋体" w:hint="default"/>
                <w:sz w:val="13"/>
                <w:szCs w:val="13"/>
              </w:rPr>
              <w:t>重分类</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501"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2"/>
              <w:ind w:right="2"/>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买入返售金融资产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4,388,034,024.67</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4,419,038,283.54</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24,877,903.11</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6,126,355.76</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31,004,258.87</w:t>
            </w: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存货</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持有待售资产</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一年内到期的非流动资产</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其他流动资产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1,091,279,607.04</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1,117,764,736.13</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29,595,205.51</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-3,110,076.42</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26,485,129.09</w:t>
            </w: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流动资产合计</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26,411,278,782.84</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27,500,154,447.98</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1,083,323,805.85</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5,551,859.29</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1,088,875,665.14</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8"/>
              <w:ind w:left="31"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债权投资</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407,735,512.18</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408,247,945.21</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-512,433.03</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407,735,512.18</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2,377,242,866.99</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-2,377,242,866.99</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-2,377,242,866.99</w:t>
            </w: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其他债权投资</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686,597,803.93</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686,597,803.93</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686,597,803.93</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持有至到期投资</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长期应收款</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长期股权投资</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105,958,849.94</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105,958,849.94</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其他权益工具投资</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100,000,000.00</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100,000,000.00</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100,000,000.00</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其他非流动金融资产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543,879,452.00</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499,073,312.00</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44,806,140.00</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543,879,452.00</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投资性房地产</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固定资产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89,587,278.27</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89,587,278.27</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在建工程</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生产性生物资产</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油气资产</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无形资产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46,280,363.33</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46,280,363.33</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开发支出</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478,517.51</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478,517.51</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商誉</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3,079,912,344.55</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3,079,912,344.55</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长期待摊费用</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54,681,921.68</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54,681,921.68</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递延所得税资产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128,535,491.67</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126,370,007.74</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-2,165,483.93</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-2,165,483.93</w:t>
            </w: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其他非流动资产</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476,525,981.26</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76,525,981.26</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-400,000,000.00</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-400,000,000.00</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31" w:right="0"/>
              <w:jc w:val="left"/>
              <w:rPr>
                <w:rFonts w:ascii="宋体" w:hAnsi="宋体" w:cs="宋体" w:eastAsia="宋体" w:hint="default"/>
                <w:sz w:val="13"/>
                <w:szCs w:val="13"/>
              </w:rPr>
            </w:pPr>
            <w:r>
              <w:rPr>
                <w:rFonts w:ascii="宋体" w:hAnsi="宋体" w:cs="宋体" w:eastAsia="宋体" w:hint="default"/>
                <w:sz w:val="13"/>
                <w:szCs w:val="13"/>
              </w:rPr>
              <w:t>非流动资产合计</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6,359,203,615.20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5,318,008,032.39</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-1,083,323,805.85</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42,128,223.04</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-1,041,195,582.81</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资产总计</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32,770,482,398.04</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32,818,162,480.37</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0.00</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47,680,082.33</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47,680,082.33</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51,387,377.95</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51,475,609.80</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88,231.85</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88,231.85</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应付短期融资款</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595,861,514.00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599,552,837.79</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3,691,323.79</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3,691,323.79</w:t>
            </w:r>
          </w:p>
        </w:tc>
      </w:tr>
    </w:tbl>
    <w:p>
      <w:pPr>
        <w:spacing w:after="0" w:line="240" w:lineRule="auto"/>
        <w:jc w:val="right"/>
        <w:rPr>
          <w:rFonts w:ascii="Times New Roman" w:hAnsi="Times New Roman" w:cs="Times New Roman" w:eastAsia="Times New Roman" w:hint="default"/>
          <w:sz w:val="13"/>
          <w:szCs w:val="13"/>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92.447998pt;margin-top:151.199982pt;width:15.3pt;height:.1pt;mso-position-horizontal-relative:page;mso-position-vertical-relative:page;z-index:-1329544" coordorigin="1849,3024" coordsize="306,2">
            <v:shape style="position:absolute;left:1849;top:3024;width:306;height:2" coordorigin="1849,3024" coordsize="306,0" path="m1849,3024l2154,3024e" filled="false" stroked="true" strokeweight=".48pt" strokecolor="#000000">
              <v:path arrowok="t"/>
              <v:stroke dashstyle="dash"/>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031"/>
        <w:gridCol w:w="1515"/>
        <w:gridCol w:w="1531"/>
        <w:gridCol w:w="1515"/>
        <w:gridCol w:w="1532"/>
        <w:gridCol w:w="1531"/>
      </w:tblGrid>
      <w:tr>
        <w:trPr>
          <w:trHeight w:val="428" w:hRule="exact"/>
        </w:trPr>
        <w:tc>
          <w:tcPr>
            <w:tcW w:w="203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51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53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01"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457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right="5"/>
              <w:jc w:val="center"/>
              <w:rPr>
                <w:rFonts w:ascii="宋体" w:hAnsi="宋体" w:cs="宋体" w:eastAsia="宋体" w:hint="default"/>
                <w:sz w:val="13"/>
                <w:szCs w:val="13"/>
              </w:rPr>
            </w:pPr>
            <w:r>
              <w:rPr>
                <w:rFonts w:ascii="宋体" w:hAnsi="宋体" w:cs="宋体" w:eastAsia="宋体" w:hint="default"/>
                <w:sz w:val="13"/>
                <w:szCs w:val="13"/>
              </w:rPr>
              <w:t>调整数</w:t>
            </w:r>
          </w:p>
        </w:tc>
      </w:tr>
      <w:tr>
        <w:trPr>
          <w:trHeight w:val="418" w:hRule="exact"/>
        </w:trPr>
        <w:tc>
          <w:tcPr>
            <w:tcW w:w="2031" w:type="dxa"/>
            <w:vMerge/>
            <w:tcBorders>
              <w:left w:val="nil" w:sz="6" w:space="0" w:color="auto"/>
              <w:bottom w:val="dotted" w:sz="4" w:space="0" w:color="000000"/>
              <w:right w:val="dotted" w:sz="4" w:space="0" w:color="000000"/>
            </w:tcBorders>
          </w:tcPr>
          <w:p>
            <w:pPr/>
          </w:p>
        </w:tc>
        <w:tc>
          <w:tcPr>
            <w:tcW w:w="1515" w:type="dxa"/>
            <w:vMerge/>
            <w:tcBorders>
              <w:left w:val="dotted" w:sz="4" w:space="0" w:color="000000"/>
              <w:bottom w:val="dotted" w:sz="4" w:space="0" w:color="000000"/>
              <w:right w:val="dotted" w:sz="4" w:space="0" w:color="000000"/>
            </w:tcBorders>
          </w:tcPr>
          <w:p>
            <w:pPr/>
          </w:p>
        </w:tc>
        <w:tc>
          <w:tcPr>
            <w:tcW w:w="1531" w:type="dxa"/>
            <w:vMerge/>
            <w:tcBorders>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
              <w:jc w:val="center"/>
              <w:rPr>
                <w:rFonts w:ascii="宋体" w:hAnsi="宋体" w:cs="宋体" w:eastAsia="宋体" w:hint="default"/>
                <w:sz w:val="13"/>
                <w:szCs w:val="13"/>
              </w:rPr>
            </w:pPr>
            <w:r>
              <w:rPr>
                <w:rFonts w:ascii="宋体" w:hAnsi="宋体" w:cs="宋体" w:eastAsia="宋体" w:hint="default"/>
                <w:sz w:val="13"/>
                <w:szCs w:val="13"/>
              </w:rPr>
              <w:t>重分类</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501"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2"/>
              <w:ind w:right="2"/>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拆入资金</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2,745,000,000.00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2,765,733,277.79</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20,733,277.79</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20,733,277.79</w:t>
            </w: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交易性金融负债</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436" w:lineRule="auto" w:before="107"/>
              <w:ind w:left="31" w:right="8" w:firstLine="132"/>
              <w:jc w:val="left"/>
              <w:rPr>
                <w:rFonts w:ascii="宋体" w:hAnsi="宋体" w:cs="宋体" w:eastAsia="宋体" w:hint="default"/>
                <w:sz w:val="13"/>
                <w:szCs w:val="13"/>
              </w:rPr>
            </w:pPr>
            <w:r>
              <w:rPr>
                <w:rFonts w:ascii="宋体" w:hAnsi="宋体" w:cs="宋体" w:eastAsia="宋体" w:hint="default"/>
                <w:spacing w:val="2"/>
                <w:sz w:val="13"/>
                <w:szCs w:val="13"/>
              </w:rPr>
              <w:t>以公允价值计量且其变动计入当</w:t>
            </w:r>
            <w:r>
              <w:rPr>
                <w:rFonts w:ascii="宋体" w:hAnsi="宋体" w:cs="宋体" w:eastAsia="宋体" w:hint="default"/>
                <w:w w:val="99"/>
                <w:sz w:val="13"/>
                <w:szCs w:val="13"/>
              </w:rPr>
              <w:t> </w:t>
            </w:r>
            <w:r>
              <w:rPr>
                <w:rFonts w:ascii="宋体" w:hAnsi="宋体" w:cs="宋体" w:eastAsia="宋体" w:hint="default"/>
                <w:sz w:val="13"/>
                <w:szCs w:val="13"/>
              </w:rPr>
              <w:t>期损益的金融负债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240" w:lineRule="auto"/>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衍生金融负债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299,430,708.18</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299,430,708.18</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12,200,573.51</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12,200,573.51</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卖出回购金融资产款</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6,495,401,844.19</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6,503,502,037.76</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8,100,193.57</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8,100,193.57</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代理买卖证券款</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4,573,392,603.92</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4,573,392,603.92</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代理承销证券款</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83,696,657.25</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83,696,657.25</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45,263,770.37</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45,263,770.37</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应付利息</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61,728,299.46</w:t>
            </w: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-61,728,299.46</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-61,728,299.46</w:t>
            </w:r>
          </w:p>
        </w:tc>
      </w:tr>
      <w:tr>
        <w:trPr>
          <w:trHeight w:val="416"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397,479,149.86</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384,823,985.82</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-12,655,164.04</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-12,655,164.04</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持有待售负债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一年内到期的非流动负债</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599,643,592.87</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599,643,592.87</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4,703,669.77</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4,703,669.77</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流动负债合计</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15,965,189,761.33</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15,923,419,324.83</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-41,770,436.50</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-41,770,436.50</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31"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5,395,040,945.87</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5,436,811,382.37</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41,770,436.50</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41,770,436.50</w:t>
            </w:r>
          </w:p>
        </w:tc>
      </w:tr>
      <w:tr>
        <w:trPr>
          <w:trHeight w:val="416"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其中：优先股</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55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长期应付职工薪酬</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递延收益</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1,552,000.00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1,552,000.00</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3,442,235.79</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3,442,235.79</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非流动负债合计</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5,400,035,181.66</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5,441,805,618.16</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41,770,436.50</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41,770,436.50</w:t>
            </w:r>
          </w:p>
        </w:tc>
      </w:tr>
    </w:tbl>
    <w:p>
      <w:pPr>
        <w:spacing w:after="0" w:line="240" w:lineRule="auto"/>
        <w:jc w:val="right"/>
        <w:rPr>
          <w:rFonts w:ascii="Times New Roman" w:hAnsi="Times New Roman" w:cs="Times New Roman" w:eastAsia="Times New Roman" w:hint="default"/>
          <w:sz w:val="13"/>
          <w:szCs w:val="13"/>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2031"/>
        <w:gridCol w:w="1515"/>
        <w:gridCol w:w="1531"/>
        <w:gridCol w:w="1515"/>
        <w:gridCol w:w="1532"/>
        <w:gridCol w:w="1531"/>
      </w:tblGrid>
      <w:tr>
        <w:trPr>
          <w:trHeight w:val="428" w:hRule="exact"/>
        </w:trPr>
        <w:tc>
          <w:tcPr>
            <w:tcW w:w="203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51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53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01"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457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right="5"/>
              <w:jc w:val="center"/>
              <w:rPr>
                <w:rFonts w:ascii="宋体" w:hAnsi="宋体" w:cs="宋体" w:eastAsia="宋体" w:hint="default"/>
                <w:sz w:val="13"/>
                <w:szCs w:val="13"/>
              </w:rPr>
            </w:pPr>
            <w:r>
              <w:rPr>
                <w:rFonts w:ascii="宋体" w:hAnsi="宋体" w:cs="宋体" w:eastAsia="宋体" w:hint="default"/>
                <w:sz w:val="13"/>
                <w:szCs w:val="13"/>
              </w:rPr>
              <w:t>调整数</w:t>
            </w:r>
          </w:p>
        </w:tc>
      </w:tr>
      <w:tr>
        <w:trPr>
          <w:trHeight w:val="418" w:hRule="exact"/>
        </w:trPr>
        <w:tc>
          <w:tcPr>
            <w:tcW w:w="2031" w:type="dxa"/>
            <w:vMerge/>
            <w:tcBorders>
              <w:left w:val="nil" w:sz="6" w:space="0" w:color="auto"/>
              <w:bottom w:val="dotted" w:sz="4" w:space="0" w:color="000000"/>
              <w:right w:val="dotted" w:sz="4" w:space="0" w:color="000000"/>
            </w:tcBorders>
          </w:tcPr>
          <w:p>
            <w:pPr/>
          </w:p>
        </w:tc>
        <w:tc>
          <w:tcPr>
            <w:tcW w:w="1515" w:type="dxa"/>
            <w:vMerge/>
            <w:tcBorders>
              <w:left w:val="dotted" w:sz="4" w:space="0" w:color="000000"/>
              <w:bottom w:val="dotted" w:sz="4" w:space="0" w:color="000000"/>
              <w:right w:val="dotted" w:sz="4" w:space="0" w:color="000000"/>
            </w:tcBorders>
          </w:tcPr>
          <w:p>
            <w:pPr/>
          </w:p>
        </w:tc>
        <w:tc>
          <w:tcPr>
            <w:tcW w:w="1531" w:type="dxa"/>
            <w:vMerge/>
            <w:tcBorders>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
              <w:jc w:val="center"/>
              <w:rPr>
                <w:rFonts w:ascii="宋体" w:hAnsi="宋体" w:cs="宋体" w:eastAsia="宋体" w:hint="default"/>
                <w:sz w:val="13"/>
                <w:szCs w:val="13"/>
              </w:rPr>
            </w:pPr>
            <w:r>
              <w:rPr>
                <w:rFonts w:ascii="宋体" w:hAnsi="宋体" w:cs="宋体" w:eastAsia="宋体" w:hint="default"/>
                <w:sz w:val="13"/>
                <w:szCs w:val="13"/>
              </w:rPr>
              <w:t>重分类</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501"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2"/>
              <w:ind w:right="2"/>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21,365,224,942.99</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21,365,224,942.99</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所有者权益：</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股本</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1,935,084,653.00</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1,935,084,653.00</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其中：优先股</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55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8"/>
              <w:ind w:left="163"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8,861,090,306.42</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8,861,090,306.42</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-38,172,787.92</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-10,701,046.72</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26,886,160.24</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585,580.96</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27,471,741.20</w:t>
            </w:r>
          </w:p>
        </w:tc>
      </w:tr>
      <w:tr>
        <w:trPr>
          <w:trHeight w:val="415"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44,253,651.01</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44,253,651.01</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3"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600,115,330.16</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620,323,671.29</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-26,886,160.24</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47,094,501.37</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20,208,341.13</w:t>
            </w:r>
          </w:p>
        </w:tc>
      </w:tr>
      <w:tr>
        <w:trPr>
          <w:trHeight w:val="730"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439" w:lineRule="auto" w:before="105"/>
              <w:ind w:left="31" w:right="8" w:firstLine="132"/>
              <w:jc w:val="left"/>
              <w:rPr>
                <w:rFonts w:ascii="宋体" w:hAnsi="宋体" w:cs="宋体" w:eastAsia="宋体" w:hint="default"/>
                <w:sz w:val="13"/>
                <w:szCs w:val="13"/>
              </w:rPr>
            </w:pPr>
            <w:r>
              <w:rPr>
                <w:rFonts w:ascii="宋体" w:hAnsi="宋体" w:cs="宋体" w:eastAsia="宋体" w:hint="default"/>
                <w:spacing w:val="2"/>
                <w:sz w:val="13"/>
                <w:szCs w:val="13"/>
              </w:rPr>
              <w:t>归属于母公司所有者权益（或股</w:t>
            </w:r>
            <w:r>
              <w:rPr>
                <w:rFonts w:ascii="宋体" w:hAnsi="宋体" w:cs="宋体" w:eastAsia="宋体" w:hint="default"/>
                <w:w w:val="99"/>
                <w:sz w:val="13"/>
                <w:szCs w:val="13"/>
              </w:rPr>
              <w:t> </w:t>
            </w:r>
            <w:r>
              <w:rPr>
                <w:rFonts w:ascii="宋体" w:hAnsi="宋体" w:cs="宋体" w:eastAsia="宋体" w:hint="default"/>
                <w:sz w:val="13"/>
                <w:szCs w:val="13"/>
              </w:rPr>
              <w:t>东权益）合计</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11,402,371,152.67</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11,450,051,235.00</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47,680,082.33</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47,680,082.33</w:t>
            </w:r>
          </w:p>
        </w:tc>
      </w:tr>
      <w:tr>
        <w:trPr>
          <w:trHeight w:val="416"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3"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2,886,302.38</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2,886,302.38</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31"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11,405,257,455.05</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11,452,937,537.38</w:t>
            </w:r>
          </w:p>
        </w:tc>
        <w:tc>
          <w:tcPr>
            <w:tcW w:w="1515"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47,680,082.33</w:t>
            </w:r>
          </w:p>
        </w:tc>
        <w:tc>
          <w:tcPr>
            <w:tcW w:w="15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47,680,082.33</w:t>
            </w:r>
          </w:p>
        </w:tc>
      </w:tr>
      <w:tr>
        <w:trPr>
          <w:trHeight w:val="427" w:hRule="exact"/>
        </w:trPr>
        <w:tc>
          <w:tcPr>
            <w:tcW w:w="20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负债和所有者权益总计</w:t>
            </w:r>
          </w:p>
        </w:tc>
        <w:tc>
          <w:tcPr>
            <w:tcW w:w="15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32,770,482,398.04</w:t>
            </w:r>
          </w:p>
        </w:tc>
        <w:tc>
          <w:tcPr>
            <w:tcW w:w="15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32,818,162,480.37</w:t>
            </w:r>
          </w:p>
        </w:tc>
        <w:tc>
          <w:tcPr>
            <w:tcW w:w="1515" w:type="dxa"/>
            <w:tcBorders>
              <w:top w:val="dotted" w:sz="4" w:space="0" w:color="000000"/>
              <w:left w:val="dotted" w:sz="4" w:space="0" w:color="000000"/>
              <w:bottom w:val="single" w:sz="12" w:space="0" w:color="000000"/>
              <w:right w:val="dotted" w:sz="4" w:space="0" w:color="000000"/>
            </w:tcBorders>
          </w:tcPr>
          <w:p>
            <w:pP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47,680,082.33</w:t>
            </w:r>
          </w:p>
        </w:tc>
        <w:tc>
          <w:tcPr>
            <w:tcW w:w="153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47,680,082.33</w:t>
            </w:r>
          </w:p>
        </w:tc>
      </w:tr>
    </w:tbl>
    <w:p>
      <w:pPr>
        <w:spacing w:line="240" w:lineRule="auto" w:before="7"/>
        <w:rPr>
          <w:rFonts w:ascii="Times New Roman" w:hAnsi="Times New Roman" w:cs="Times New Roman" w:eastAsia="Times New Roman" w:hint="default"/>
          <w:sz w:val="29"/>
          <w:szCs w:val="29"/>
        </w:rPr>
      </w:pPr>
    </w:p>
    <w:p>
      <w:pPr>
        <w:pStyle w:val="Heading4"/>
        <w:spacing w:line="335" w:lineRule="exact"/>
        <w:ind w:left="0" w:right="1338"/>
        <w:jc w:val="center"/>
        <w:rPr>
          <w:b w:val="0"/>
          <w:bCs w:val="0"/>
        </w:rPr>
      </w:pPr>
      <w:r>
        <w:rPr/>
        <w:t>母公司资产负债表</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23" w:type="dxa"/>
        <w:tblLayout w:type="fixed"/>
        <w:tblCellMar>
          <w:top w:w="0" w:type="dxa"/>
          <w:left w:w="0" w:type="dxa"/>
          <w:bottom w:w="0" w:type="dxa"/>
          <w:right w:w="0" w:type="dxa"/>
        </w:tblCellMar>
        <w:tblLook w:val="01E0"/>
      </w:tblPr>
      <w:tblGrid>
        <w:gridCol w:w="2007"/>
        <w:gridCol w:w="1532"/>
        <w:gridCol w:w="1529"/>
        <w:gridCol w:w="1529"/>
        <w:gridCol w:w="1529"/>
        <w:gridCol w:w="1529"/>
      </w:tblGrid>
      <w:tr>
        <w:trPr>
          <w:trHeight w:val="427" w:hRule="exact"/>
        </w:trPr>
        <w:tc>
          <w:tcPr>
            <w:tcW w:w="200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5"/>
              <w:ind w:left="2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5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5"/>
              <w:ind w:left="371"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52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5"/>
              <w:ind w:left="499"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458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5"/>
              <w:ind w:right="5"/>
              <w:jc w:val="center"/>
              <w:rPr>
                <w:rFonts w:ascii="宋体" w:hAnsi="宋体" w:cs="宋体" w:eastAsia="宋体" w:hint="default"/>
                <w:sz w:val="13"/>
                <w:szCs w:val="13"/>
              </w:rPr>
            </w:pPr>
            <w:r>
              <w:rPr>
                <w:rFonts w:ascii="宋体" w:hAnsi="宋体" w:cs="宋体" w:eastAsia="宋体" w:hint="default"/>
                <w:sz w:val="13"/>
                <w:szCs w:val="13"/>
              </w:rPr>
              <w:t>调整数</w:t>
            </w:r>
          </w:p>
        </w:tc>
      </w:tr>
      <w:tr>
        <w:trPr>
          <w:trHeight w:val="418" w:hRule="exact"/>
        </w:trPr>
        <w:tc>
          <w:tcPr>
            <w:tcW w:w="2007" w:type="dxa"/>
            <w:vMerge/>
            <w:tcBorders>
              <w:left w:val="nil" w:sz="6" w:space="0" w:color="auto"/>
              <w:bottom w:val="dotted" w:sz="4" w:space="0" w:color="000000"/>
              <w:right w:val="dotted" w:sz="4" w:space="0" w:color="000000"/>
            </w:tcBorders>
          </w:tcPr>
          <w:p>
            <w:pPr/>
          </w:p>
        </w:tc>
        <w:tc>
          <w:tcPr>
            <w:tcW w:w="1532" w:type="dxa"/>
            <w:vMerge/>
            <w:tcBorders>
              <w:left w:val="dotted" w:sz="4" w:space="0" w:color="000000"/>
              <w:bottom w:val="dotted" w:sz="4" w:space="0" w:color="000000"/>
              <w:right w:val="dotted" w:sz="4" w:space="0" w:color="000000"/>
            </w:tcBorders>
          </w:tcPr>
          <w:p>
            <w:pPr/>
          </w:p>
        </w:tc>
        <w:tc>
          <w:tcPr>
            <w:tcW w:w="1529" w:type="dxa"/>
            <w:vMerge/>
            <w:tcBorders>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
              <w:jc w:val="center"/>
              <w:rPr>
                <w:rFonts w:ascii="宋体" w:hAnsi="宋体" w:cs="宋体" w:eastAsia="宋体" w:hint="default"/>
                <w:sz w:val="13"/>
                <w:szCs w:val="13"/>
              </w:rPr>
            </w:pPr>
            <w:r>
              <w:rPr>
                <w:rFonts w:ascii="宋体" w:hAnsi="宋体" w:cs="宋体" w:eastAsia="宋体" w:hint="default"/>
                <w:sz w:val="13"/>
                <w:szCs w:val="13"/>
              </w:rPr>
              <w:t>重分类</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499"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5"/>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8"/>
              <w:ind w:left="161" w:right="0"/>
              <w:jc w:val="left"/>
              <w:rPr>
                <w:rFonts w:ascii="宋体" w:hAnsi="宋体" w:cs="宋体" w:eastAsia="宋体" w:hint="default"/>
                <w:sz w:val="13"/>
                <w:szCs w:val="13"/>
              </w:rPr>
            </w:pPr>
            <w:r>
              <w:rPr>
                <w:rFonts w:ascii="宋体" w:hAnsi="宋体" w:cs="宋体" w:eastAsia="宋体" w:hint="default"/>
                <w:sz w:val="13"/>
                <w:szCs w:val="13"/>
              </w:rPr>
              <w:t>货币资金</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218,799,836.13</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218,799,836.13</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交易性金融资产</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439" w:lineRule="auto" w:before="105"/>
              <w:ind w:left="31" w:right="9" w:firstLine="130"/>
              <w:jc w:val="left"/>
              <w:rPr>
                <w:rFonts w:ascii="宋体" w:hAnsi="宋体" w:cs="宋体" w:eastAsia="宋体" w:hint="default"/>
                <w:sz w:val="13"/>
                <w:szCs w:val="13"/>
              </w:rPr>
            </w:pPr>
            <w:r>
              <w:rPr>
                <w:rFonts w:ascii="宋体" w:hAnsi="宋体" w:cs="宋体" w:eastAsia="宋体" w:hint="default"/>
                <w:sz w:val="13"/>
                <w:szCs w:val="13"/>
              </w:rPr>
              <w:t>以公允价值计量且其变动计入当</w:t>
            </w:r>
            <w:r>
              <w:rPr>
                <w:rFonts w:ascii="宋体" w:hAnsi="宋体" w:cs="宋体" w:eastAsia="宋体" w:hint="default"/>
                <w:w w:val="99"/>
                <w:sz w:val="13"/>
                <w:szCs w:val="13"/>
              </w:rPr>
              <w:t> </w:t>
            </w:r>
            <w:r>
              <w:rPr>
                <w:rFonts w:ascii="宋体" w:hAnsi="宋体" w:cs="宋体" w:eastAsia="宋体" w:hint="default"/>
                <w:sz w:val="13"/>
                <w:szCs w:val="13"/>
              </w:rPr>
              <w:t>期损益的金融资产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衍生金融资产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应收票据</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应收账款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应收款项融资</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28" w:hRule="exact"/>
        </w:trPr>
        <w:tc>
          <w:tcPr>
            <w:tcW w:w="20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预付款项</w:t>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5,280,799.83</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7"/>
                <w:szCs w:val="7"/>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5,280,799.83</w:t>
            </w: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2007"/>
        <w:gridCol w:w="1532"/>
        <w:gridCol w:w="1529"/>
        <w:gridCol w:w="1529"/>
        <w:gridCol w:w="1529"/>
        <w:gridCol w:w="1529"/>
      </w:tblGrid>
      <w:tr>
        <w:trPr>
          <w:trHeight w:val="428" w:hRule="exact"/>
        </w:trPr>
        <w:tc>
          <w:tcPr>
            <w:tcW w:w="200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5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71"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52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99"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458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right="5"/>
              <w:jc w:val="center"/>
              <w:rPr>
                <w:rFonts w:ascii="宋体" w:hAnsi="宋体" w:cs="宋体" w:eastAsia="宋体" w:hint="default"/>
                <w:sz w:val="13"/>
                <w:szCs w:val="13"/>
              </w:rPr>
            </w:pPr>
            <w:r>
              <w:rPr>
                <w:rFonts w:ascii="宋体" w:hAnsi="宋体" w:cs="宋体" w:eastAsia="宋体" w:hint="default"/>
                <w:sz w:val="13"/>
                <w:szCs w:val="13"/>
              </w:rPr>
              <w:t>调整数</w:t>
            </w:r>
          </w:p>
        </w:tc>
      </w:tr>
      <w:tr>
        <w:trPr>
          <w:trHeight w:val="418" w:hRule="exact"/>
        </w:trPr>
        <w:tc>
          <w:tcPr>
            <w:tcW w:w="2007" w:type="dxa"/>
            <w:vMerge/>
            <w:tcBorders>
              <w:left w:val="nil" w:sz="6" w:space="0" w:color="auto"/>
              <w:bottom w:val="dotted" w:sz="4" w:space="0" w:color="000000"/>
              <w:right w:val="dotted" w:sz="4" w:space="0" w:color="000000"/>
            </w:tcBorders>
          </w:tcPr>
          <w:p>
            <w:pPr/>
          </w:p>
        </w:tc>
        <w:tc>
          <w:tcPr>
            <w:tcW w:w="1532" w:type="dxa"/>
            <w:vMerge/>
            <w:tcBorders>
              <w:left w:val="dotted" w:sz="4" w:space="0" w:color="000000"/>
              <w:bottom w:val="dotted" w:sz="4" w:space="0" w:color="000000"/>
              <w:right w:val="dotted" w:sz="4" w:space="0" w:color="000000"/>
            </w:tcBorders>
          </w:tcPr>
          <w:p>
            <w:pPr/>
          </w:p>
        </w:tc>
        <w:tc>
          <w:tcPr>
            <w:tcW w:w="1529" w:type="dxa"/>
            <w:vMerge/>
            <w:tcBorders>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
              <w:jc w:val="center"/>
              <w:rPr>
                <w:rFonts w:ascii="宋体" w:hAnsi="宋体" w:cs="宋体" w:eastAsia="宋体" w:hint="default"/>
                <w:sz w:val="13"/>
                <w:szCs w:val="13"/>
              </w:rPr>
            </w:pPr>
            <w:r>
              <w:rPr>
                <w:rFonts w:ascii="宋体" w:hAnsi="宋体" w:cs="宋体" w:eastAsia="宋体" w:hint="default"/>
                <w:sz w:val="13"/>
                <w:szCs w:val="13"/>
              </w:rPr>
              <w:t>重分类</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499"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5"/>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其他应收款</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pacing w:val="-1"/>
                <w:sz w:val="13"/>
              </w:rPr>
              <w:t>1,424,591,711.58</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1,386,748,560.86</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-37,843,150.72</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-37,843,150.72</w:t>
            </w: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存货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持有待售资产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一年内到期的非流动资产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其他流动资产</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1,084,432,700.53</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pacing w:val="-1"/>
                <w:sz w:val="13"/>
              </w:rPr>
              <w:t>1,110,917,829.62</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29,595,205.51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pacing w:val="-1"/>
                <w:sz w:val="13"/>
              </w:rPr>
              <w:t>-3,110,076.42</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26,485,129.09</w:t>
            </w: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流动资产合计</w:t>
            </w:r>
            <w:r>
              <w:rPr>
                <w:rFonts w:ascii="Microsoft JhengHei" w:hAnsi="Microsoft JhengHei" w:cs="Microsoft JhengHei" w:eastAsia="Microsoft JhengHei" w:hint="default"/>
                <w:sz w:val="13"/>
                <w:szCs w:val="13"/>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2,733,105,048.07</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2,721,747,026.44</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-8,247,945.21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pacing w:val="-1"/>
                <w:sz w:val="13"/>
              </w:rPr>
              <w:t>-3,110,076.42</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pacing w:val="-1"/>
                <w:sz w:val="13"/>
              </w:rPr>
              <w:t>-11,358,021.63</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8"/>
              <w:ind w:left="31"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债权投资</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407,735,512.18</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408,247,945.21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-512,433.03</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407,735,512.18</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272,333,080.00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-272,333,080.00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-272,333,080.00</w:t>
            </w: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其他债权投资</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持有至到期投资</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7"/>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长期应收款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长期股权投资</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12,509,223,356.23</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12,509,223,356.23</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其他权益工具投资</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2"/>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其他非流动金融资产</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272,333,080.00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272,333,080.00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272,333,080.00</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投资性房地产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固定资产</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3,187,547.16</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3,187,547.16</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在建工程</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生产性生物资产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油气资产</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无形资产</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1,220,521.46</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1,220,521.46</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开发支出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商誉</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长期待摊费用</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8,599,339.31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8,599,339.31</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递延所得税资产</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5,089,272.70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5,089,272.70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其他非流动资产</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400,000,000.00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-400,000,000.00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-400,000,000.00</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非流动资产合计</w:t>
            </w:r>
            <w:r>
              <w:rPr>
                <w:rFonts w:ascii="Microsoft JhengHei" w:hAnsi="Microsoft JhengHei" w:cs="Microsoft JhengHei" w:eastAsia="Microsoft JhengHei" w:hint="default"/>
                <w:sz w:val="13"/>
                <w:szCs w:val="13"/>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pacing w:val="-1"/>
                <w:sz w:val="13"/>
              </w:rPr>
              <w:t>13,199,653,116.86</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13,207,388,629.04</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8,247,945.21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-512,433.03</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7,735,512.18</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资产总计</w:t>
            </w:r>
            <w:r>
              <w:rPr>
                <w:rFonts w:ascii="Microsoft JhengHei" w:hAnsi="Microsoft JhengHei" w:cs="Microsoft JhengHei" w:eastAsia="Microsoft JhengHei" w:hint="default"/>
                <w:sz w:val="13"/>
                <w:szCs w:val="13"/>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15,932,758,164.93</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15,929,135,655.48</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-3,622,509.45</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-3,622,509.45</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51,387,377.95</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51,475,609.80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88,231.85</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88,231.85</w:t>
            </w:r>
          </w:p>
        </w:tc>
      </w:tr>
      <w:tr>
        <w:trPr>
          <w:trHeight w:val="430" w:hRule="exact"/>
        </w:trPr>
        <w:tc>
          <w:tcPr>
            <w:tcW w:w="20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交易性金融负债</w:t>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2007"/>
        <w:gridCol w:w="1532"/>
        <w:gridCol w:w="1529"/>
        <w:gridCol w:w="1529"/>
        <w:gridCol w:w="1529"/>
        <w:gridCol w:w="1529"/>
      </w:tblGrid>
      <w:tr>
        <w:trPr>
          <w:trHeight w:val="428" w:hRule="exact"/>
        </w:trPr>
        <w:tc>
          <w:tcPr>
            <w:tcW w:w="200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5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71"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52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99"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458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right="5"/>
              <w:jc w:val="center"/>
              <w:rPr>
                <w:rFonts w:ascii="宋体" w:hAnsi="宋体" w:cs="宋体" w:eastAsia="宋体" w:hint="default"/>
                <w:sz w:val="13"/>
                <w:szCs w:val="13"/>
              </w:rPr>
            </w:pPr>
            <w:r>
              <w:rPr>
                <w:rFonts w:ascii="宋体" w:hAnsi="宋体" w:cs="宋体" w:eastAsia="宋体" w:hint="default"/>
                <w:sz w:val="13"/>
                <w:szCs w:val="13"/>
              </w:rPr>
              <w:t>调整数</w:t>
            </w:r>
          </w:p>
        </w:tc>
      </w:tr>
      <w:tr>
        <w:trPr>
          <w:trHeight w:val="418" w:hRule="exact"/>
        </w:trPr>
        <w:tc>
          <w:tcPr>
            <w:tcW w:w="2007" w:type="dxa"/>
            <w:vMerge/>
            <w:tcBorders>
              <w:left w:val="nil" w:sz="6" w:space="0" w:color="auto"/>
              <w:bottom w:val="dotted" w:sz="4" w:space="0" w:color="000000"/>
              <w:right w:val="dotted" w:sz="4" w:space="0" w:color="000000"/>
            </w:tcBorders>
          </w:tcPr>
          <w:p>
            <w:pPr/>
          </w:p>
        </w:tc>
        <w:tc>
          <w:tcPr>
            <w:tcW w:w="1532" w:type="dxa"/>
            <w:vMerge/>
            <w:tcBorders>
              <w:left w:val="dotted" w:sz="4" w:space="0" w:color="000000"/>
              <w:bottom w:val="dotted" w:sz="4" w:space="0" w:color="000000"/>
              <w:right w:val="dotted" w:sz="4" w:space="0" w:color="000000"/>
            </w:tcBorders>
          </w:tcPr>
          <w:p>
            <w:pPr/>
          </w:p>
        </w:tc>
        <w:tc>
          <w:tcPr>
            <w:tcW w:w="1529" w:type="dxa"/>
            <w:vMerge/>
            <w:tcBorders>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
              <w:jc w:val="center"/>
              <w:rPr>
                <w:rFonts w:ascii="宋体" w:hAnsi="宋体" w:cs="宋体" w:eastAsia="宋体" w:hint="default"/>
                <w:sz w:val="13"/>
                <w:szCs w:val="13"/>
              </w:rPr>
            </w:pPr>
            <w:r>
              <w:rPr>
                <w:rFonts w:ascii="宋体" w:hAnsi="宋体" w:cs="宋体" w:eastAsia="宋体" w:hint="default"/>
                <w:sz w:val="13"/>
                <w:szCs w:val="13"/>
              </w:rPr>
              <w:t>重分类</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499"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5"/>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730"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439" w:lineRule="auto" w:before="105"/>
              <w:ind w:left="31" w:right="9" w:firstLine="130"/>
              <w:jc w:val="left"/>
              <w:rPr>
                <w:rFonts w:ascii="宋体" w:hAnsi="宋体" w:cs="宋体" w:eastAsia="宋体" w:hint="default"/>
                <w:sz w:val="13"/>
                <w:szCs w:val="13"/>
              </w:rPr>
            </w:pPr>
            <w:r>
              <w:rPr>
                <w:rFonts w:ascii="宋体" w:hAnsi="宋体" w:cs="宋体" w:eastAsia="宋体" w:hint="default"/>
                <w:sz w:val="13"/>
                <w:szCs w:val="13"/>
              </w:rPr>
              <w:t>以公允价值计量且其变动计入当</w:t>
            </w:r>
            <w:r>
              <w:rPr>
                <w:rFonts w:ascii="宋体" w:hAnsi="宋体" w:cs="宋体" w:eastAsia="宋体" w:hint="default"/>
                <w:w w:val="99"/>
                <w:sz w:val="13"/>
                <w:szCs w:val="13"/>
              </w:rPr>
              <w:t> </w:t>
            </w:r>
            <w:r>
              <w:rPr>
                <w:rFonts w:ascii="宋体" w:hAnsi="宋体" w:cs="宋体" w:eastAsia="宋体" w:hint="default"/>
                <w:sz w:val="13"/>
                <w:szCs w:val="13"/>
              </w:rPr>
              <w:t>期损益的金融负债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240" w:lineRule="auto"/>
              <w:ind w:right="11"/>
              <w:jc w:val="right"/>
              <w:rPr>
                <w:rFonts w:ascii="宋体" w:hAnsi="宋体" w:cs="宋体" w:eastAsia="宋体" w:hint="default"/>
                <w:sz w:val="13"/>
                <w:szCs w:val="13"/>
              </w:rPr>
            </w:pPr>
            <w:r>
              <w:rPr>
                <w:rFonts w:ascii="宋体" w:hAnsi="宋体" w:cs="宋体" w:eastAsia="宋体" w:hint="default"/>
                <w:w w:val="95"/>
                <w:sz w:val="13"/>
                <w:szCs w:val="13"/>
              </w:rPr>
              <w:t>不适用</w:t>
            </w:r>
            <w:r>
              <w:rPr>
                <w:rFonts w:ascii="宋体" w:hAnsi="宋体" w:cs="宋体" w:eastAsia="宋体" w:hint="default"/>
                <w:sz w:val="13"/>
                <w:szCs w:val="13"/>
              </w:rPr>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衍生金融负债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71,968.15</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71,968.15</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188,988.08</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188,988.08</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3,387,415.23</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3,387,415.23</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149,690.37</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149,690.37</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21,030,027.34</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5,024,809.20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-16,005,218.14</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-16,005,218.14</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持有待售负债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一年内到期的非流动负债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流动负债合计</w:t>
            </w:r>
            <w:r>
              <w:rPr>
                <w:rFonts w:ascii="Microsoft JhengHei" w:hAnsi="Microsoft JhengHei" w:cs="Microsoft JhengHei" w:eastAsia="Microsoft JhengHei" w:hint="default"/>
                <w:sz w:val="13"/>
                <w:szCs w:val="13"/>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76,215,467.12</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60,298,480.83</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z w:val="13"/>
              </w:rPr>
              <w:t>-15,916,986.29</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2"/>
              <w:jc w:val="right"/>
              <w:rPr>
                <w:rFonts w:ascii="Times New Roman" w:hAnsi="Times New Roman" w:cs="Times New Roman" w:eastAsia="Times New Roman" w:hint="default"/>
                <w:sz w:val="13"/>
                <w:szCs w:val="13"/>
              </w:rPr>
            </w:pPr>
            <w:r>
              <w:rPr>
                <w:rFonts w:ascii="Times New Roman"/>
                <w:sz w:val="13"/>
              </w:rPr>
              <w:t>-15,916,986.29</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4,899,108,543.97</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4,915,025,530.26</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15,916,986.29</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15,916,986.29</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其中：优先股</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550"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长期应付职工薪酬</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递延收益</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52,000.00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3"/>
                <w:szCs w:val="13"/>
              </w:rPr>
            </w:pPr>
            <w:r>
              <w:rPr>
                <w:rFonts w:ascii="Times New Roman"/>
                <w:sz w:val="13"/>
              </w:rPr>
              <w:t>52,000.00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2,865,298.91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2,865,298.91</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非流动负债合计</w:t>
            </w:r>
            <w:r>
              <w:rPr>
                <w:rFonts w:ascii="Microsoft JhengHei" w:hAnsi="Microsoft JhengHei" w:cs="Microsoft JhengHei" w:eastAsia="Microsoft JhengHei" w:hint="default"/>
                <w:sz w:val="13"/>
                <w:szCs w:val="13"/>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4,902,025,842.88</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4,917,942,829.17</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15,916,986.29</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15,916,986.29</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负债合计</w:t>
            </w:r>
            <w:r>
              <w:rPr>
                <w:rFonts w:ascii="Microsoft JhengHei" w:hAnsi="Microsoft JhengHei" w:cs="Microsoft JhengHei" w:eastAsia="Microsoft JhengHei" w:hint="default"/>
                <w:sz w:val="13"/>
                <w:szCs w:val="13"/>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4,978,241,310.00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4,978,241,310.00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31" w:right="0"/>
              <w:jc w:val="left"/>
              <w:rPr>
                <w:rFonts w:ascii="宋体" w:hAnsi="宋体" w:cs="宋体" w:eastAsia="宋体" w:hint="default"/>
                <w:sz w:val="13"/>
                <w:szCs w:val="13"/>
              </w:rPr>
            </w:pPr>
            <w:r>
              <w:rPr>
                <w:rFonts w:ascii="宋体" w:hAnsi="宋体" w:cs="宋体" w:eastAsia="宋体" w:hint="default"/>
                <w:sz w:val="13"/>
                <w:szCs w:val="13"/>
              </w:rPr>
              <w:t>所有者权益：</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股本</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1,935,084,653.00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1,935,084,653.00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其中：优先股</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20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5"/>
              <w:ind w:left="550"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1532"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2007"/>
        <w:gridCol w:w="1532"/>
        <w:gridCol w:w="1529"/>
        <w:gridCol w:w="1529"/>
        <w:gridCol w:w="1529"/>
        <w:gridCol w:w="1529"/>
      </w:tblGrid>
      <w:tr>
        <w:trPr>
          <w:trHeight w:val="428" w:hRule="exact"/>
        </w:trPr>
        <w:tc>
          <w:tcPr>
            <w:tcW w:w="200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5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71"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52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99" w:right="0"/>
              <w:jc w:val="left"/>
              <w:rPr>
                <w:rFonts w:ascii="宋体" w:hAnsi="宋体" w:cs="宋体" w:eastAsia="宋体" w:hint="default"/>
                <w:sz w:val="13"/>
                <w:szCs w:val="13"/>
              </w:rPr>
            </w:pPr>
            <w:r>
              <w:rPr>
                <w:rFonts w:ascii="宋体" w:hAnsi="宋体" w:cs="宋体" w:eastAsia="宋体" w:hint="default"/>
                <w:sz w:val="13"/>
                <w:szCs w:val="13"/>
              </w:rPr>
              <w:t>期初余额</w:t>
            </w:r>
          </w:p>
        </w:tc>
        <w:tc>
          <w:tcPr>
            <w:tcW w:w="458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7"/>
              <w:ind w:right="5"/>
              <w:jc w:val="center"/>
              <w:rPr>
                <w:rFonts w:ascii="宋体" w:hAnsi="宋体" w:cs="宋体" w:eastAsia="宋体" w:hint="default"/>
                <w:sz w:val="13"/>
                <w:szCs w:val="13"/>
              </w:rPr>
            </w:pPr>
            <w:r>
              <w:rPr>
                <w:rFonts w:ascii="宋体" w:hAnsi="宋体" w:cs="宋体" w:eastAsia="宋体" w:hint="default"/>
                <w:sz w:val="13"/>
                <w:szCs w:val="13"/>
              </w:rPr>
              <w:t>调整数</w:t>
            </w:r>
          </w:p>
        </w:tc>
      </w:tr>
      <w:tr>
        <w:trPr>
          <w:trHeight w:val="418" w:hRule="exact"/>
        </w:trPr>
        <w:tc>
          <w:tcPr>
            <w:tcW w:w="2007" w:type="dxa"/>
            <w:vMerge/>
            <w:tcBorders>
              <w:left w:val="nil" w:sz="6" w:space="0" w:color="auto"/>
              <w:bottom w:val="dotted" w:sz="4" w:space="0" w:color="000000"/>
              <w:right w:val="dotted" w:sz="4" w:space="0" w:color="000000"/>
            </w:tcBorders>
          </w:tcPr>
          <w:p>
            <w:pPr/>
          </w:p>
        </w:tc>
        <w:tc>
          <w:tcPr>
            <w:tcW w:w="1532" w:type="dxa"/>
            <w:vMerge/>
            <w:tcBorders>
              <w:left w:val="dotted" w:sz="4" w:space="0" w:color="000000"/>
              <w:bottom w:val="dotted" w:sz="4" w:space="0" w:color="000000"/>
              <w:right w:val="dotted" w:sz="4" w:space="0" w:color="000000"/>
            </w:tcBorders>
          </w:tcPr>
          <w:p>
            <w:pPr/>
          </w:p>
        </w:tc>
        <w:tc>
          <w:tcPr>
            <w:tcW w:w="1529" w:type="dxa"/>
            <w:vMerge/>
            <w:tcBorders>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
              <w:jc w:val="center"/>
              <w:rPr>
                <w:rFonts w:ascii="宋体" w:hAnsi="宋体" w:cs="宋体" w:eastAsia="宋体" w:hint="default"/>
                <w:sz w:val="13"/>
                <w:szCs w:val="13"/>
              </w:rPr>
            </w:pPr>
            <w:r>
              <w:rPr>
                <w:rFonts w:ascii="宋体" w:hAnsi="宋体" w:cs="宋体" w:eastAsia="宋体" w:hint="default"/>
                <w:sz w:val="13"/>
                <w:szCs w:val="13"/>
              </w:rPr>
              <w:t>重分类</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499" w:right="0"/>
              <w:jc w:val="left"/>
              <w:rPr>
                <w:rFonts w:ascii="宋体" w:hAnsi="宋体" w:cs="宋体" w:eastAsia="宋体" w:hint="default"/>
                <w:sz w:val="13"/>
                <w:szCs w:val="13"/>
              </w:rPr>
            </w:pPr>
            <w:r>
              <w:rPr>
                <w:rFonts w:ascii="宋体" w:hAnsi="宋体" w:cs="宋体" w:eastAsia="宋体" w:hint="default"/>
                <w:sz w:val="13"/>
                <w:szCs w:val="13"/>
              </w:rPr>
              <w:t>重新计量</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5"/>
              <w:jc w:val="center"/>
              <w:rPr>
                <w:rFonts w:ascii="宋体" w:hAnsi="宋体" w:cs="宋体" w:eastAsia="宋体" w:hint="default"/>
                <w:sz w:val="13"/>
                <w:szCs w:val="13"/>
              </w:rPr>
            </w:pPr>
            <w:r>
              <w:rPr>
                <w:rFonts w:ascii="宋体" w:hAnsi="宋体" w:cs="宋体" w:eastAsia="宋体" w:hint="default"/>
                <w:sz w:val="13"/>
                <w:szCs w:val="13"/>
              </w:rPr>
              <w:t>合计</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8,861,452,546.01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8,861,452,546.01</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7"/>
              <w:ind w:left="16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-5,915,190.00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5,915,190.00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5,915,190.00</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532"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44,253,651.01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44,253,651.01</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5"/>
              <w:ind w:left="161"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pacing w:val="-1"/>
                <w:sz w:val="13"/>
              </w:rPr>
              <w:t>119,641,194.91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spacing w:val="-1"/>
                <w:sz w:val="13"/>
              </w:rPr>
              <w:t>110,103,495.46</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-5,915,190.00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-3,622,509.45</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-9,537,699.45</w:t>
            </w:r>
          </w:p>
        </w:tc>
      </w:tr>
      <w:tr>
        <w:trPr>
          <w:trHeight w:val="418" w:hRule="exact"/>
        </w:trPr>
        <w:tc>
          <w:tcPr>
            <w:tcW w:w="20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所有者权益合计</w:t>
            </w:r>
            <w:r>
              <w:rPr>
                <w:rFonts w:ascii="Microsoft JhengHei" w:hAnsi="Microsoft JhengHei" w:cs="Microsoft JhengHei" w:eastAsia="Microsoft JhengHei" w:hint="default"/>
                <w:sz w:val="13"/>
                <w:szCs w:val="13"/>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10,954,516,854.93</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10,950,894,345.48</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-3,622,509.45</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-3,622,509.45</w:t>
            </w:r>
          </w:p>
        </w:tc>
      </w:tr>
      <w:tr>
        <w:trPr>
          <w:trHeight w:val="427" w:hRule="exact"/>
        </w:trPr>
        <w:tc>
          <w:tcPr>
            <w:tcW w:w="20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31" w:right="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z w:val="13"/>
                <w:szCs w:val="13"/>
              </w:rPr>
              <w:t>负债和所有者权益总计</w:t>
            </w:r>
            <w:r>
              <w:rPr>
                <w:rFonts w:ascii="Microsoft JhengHei" w:hAnsi="Microsoft JhengHei" w:cs="Microsoft JhengHei" w:eastAsia="Microsoft JhengHei" w:hint="default"/>
                <w:sz w:val="13"/>
                <w:szCs w:val="13"/>
              </w:rPr>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15,932,758,164.93</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5"/>
              <w:jc w:val="right"/>
              <w:rPr>
                <w:rFonts w:ascii="Times New Roman" w:hAnsi="Times New Roman" w:cs="Times New Roman" w:eastAsia="Times New Roman" w:hint="default"/>
                <w:sz w:val="13"/>
                <w:szCs w:val="13"/>
              </w:rPr>
            </w:pPr>
            <w:r>
              <w:rPr>
                <w:rFonts w:ascii="Times New Roman"/>
                <w:sz w:val="13"/>
              </w:rPr>
              <w:t>15,929,135,655.48</w:t>
            </w:r>
          </w:p>
        </w:tc>
        <w:tc>
          <w:tcPr>
            <w:tcW w:w="1529"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6"/>
              <w:jc w:val="right"/>
              <w:rPr>
                <w:rFonts w:ascii="Times New Roman" w:hAnsi="Times New Roman" w:cs="Times New Roman" w:eastAsia="Times New Roman" w:hint="default"/>
                <w:sz w:val="13"/>
                <w:szCs w:val="13"/>
              </w:rPr>
            </w:pPr>
            <w:r>
              <w:rPr>
                <w:rFonts w:ascii="Times New Roman"/>
                <w:sz w:val="13"/>
              </w:rPr>
              <w:t>-3,622,509.45</w:t>
            </w:r>
          </w:p>
        </w:tc>
        <w:tc>
          <w:tcPr>
            <w:tcW w:w="15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right="10"/>
              <w:jc w:val="right"/>
              <w:rPr>
                <w:rFonts w:ascii="Times New Roman" w:hAnsi="Times New Roman" w:cs="Times New Roman" w:eastAsia="Times New Roman" w:hint="default"/>
                <w:sz w:val="13"/>
                <w:szCs w:val="13"/>
              </w:rPr>
            </w:pPr>
            <w:r>
              <w:rPr>
                <w:rFonts w:ascii="Times New Roman"/>
                <w:sz w:val="13"/>
              </w:rPr>
              <w:t>-3,622,509.45</w:t>
            </w:r>
          </w:p>
        </w:tc>
      </w:tr>
    </w:tbl>
    <w:p>
      <w:pPr>
        <w:spacing w:after="0" w:line="240" w:lineRule="auto"/>
        <w:jc w:val="right"/>
        <w:rPr>
          <w:rFonts w:ascii="Times New Roman" w:hAnsi="Times New Roman" w:cs="Times New Roman" w:eastAsia="Times New Roman" w:hint="default"/>
          <w:sz w:val="13"/>
          <w:szCs w:val="13"/>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70.559998pt;margin-top:55.560009pt;width:700.95pt;height:.1pt;mso-position-horizontal-relative:page;mso-position-vertical-relative:page;z-index:3064" coordorigin="1411,1111" coordsize="14019,2">
            <v:shape style="position:absolute;left:1411;top:1111;width:14019;height:2" coordorigin="1411,1111" coordsize="14019,0" path="m1411,1111l15430,1111e" filled="false" stroked="true" strokeweight=".72pt" strokecolor="#000000">
              <v:path arrowok="t"/>
            </v:shape>
            <w10:wrap type="none"/>
          </v:group>
        </w:pict>
      </w:r>
    </w:p>
    <w:p>
      <w:pPr>
        <w:spacing w:line="240" w:lineRule="auto" w:before="8"/>
        <w:rPr>
          <w:rFonts w:ascii="Times New Roman" w:hAnsi="Times New Roman" w:cs="Times New Roman" w:eastAsia="Times New Roman"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224"/>
        <w:gridCol w:w="1250"/>
        <w:gridCol w:w="1073"/>
        <w:gridCol w:w="1056"/>
        <w:gridCol w:w="1246"/>
        <w:gridCol w:w="1056"/>
        <w:gridCol w:w="1349"/>
        <w:gridCol w:w="1253"/>
        <w:gridCol w:w="1088"/>
        <w:gridCol w:w="1070"/>
        <w:gridCol w:w="1231"/>
        <w:gridCol w:w="1078"/>
      </w:tblGrid>
      <w:tr>
        <w:trPr>
          <w:trHeight w:val="1363" w:hRule="exact"/>
        </w:trPr>
        <w:tc>
          <w:tcPr>
            <w:tcW w:w="12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2"/>
              <w:ind w:left="18" w:right="0"/>
              <w:jc w:val="center"/>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p>
          <w:p>
            <w:pPr>
              <w:pStyle w:val="TableParagraph"/>
              <w:spacing w:line="357" w:lineRule="auto" w:before="102"/>
              <w:ind w:left="57" w:right="36"/>
              <w:jc w:val="center"/>
              <w:rPr>
                <w:rFonts w:ascii="宋体" w:hAnsi="宋体" w:cs="宋体" w:eastAsia="宋体" w:hint="default"/>
                <w:sz w:val="16"/>
                <w:szCs w:val="16"/>
              </w:rPr>
            </w:pPr>
            <w:r>
              <w:rPr>
                <w:rFonts w:ascii="宋体" w:hAnsi="宋体" w:cs="宋体" w:eastAsia="宋体" w:hint="default"/>
                <w:spacing w:val="-1"/>
                <w:sz w:val="16"/>
                <w:szCs w:val="16"/>
              </w:rPr>
              <w:t>日列报项目与金</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z w:val="16"/>
                <w:szCs w:val="16"/>
              </w:rPr>
              <w:t>额</w:t>
            </w:r>
            <w:r>
              <w:rPr>
                <w:rFonts w:ascii="宋体" w:hAnsi="宋体" w:cs="宋体" w:eastAsia="宋体" w:hint="default"/>
                <w:sz w:val="16"/>
                <w:szCs w:val="16"/>
              </w:rPr>
              <w:t>-</w:t>
            </w:r>
            <w:r>
              <w:rPr>
                <w:rFonts w:ascii="宋体" w:hAnsi="宋体" w:cs="宋体" w:eastAsia="宋体" w:hint="default"/>
                <w:sz w:val="16"/>
                <w:szCs w:val="16"/>
              </w:rPr>
              <w:t>原金融工具</w:t>
            </w:r>
            <w:r>
              <w:rPr>
                <w:rFonts w:ascii="宋体" w:hAnsi="宋体" w:cs="宋体" w:eastAsia="宋体" w:hint="default"/>
                <w:w w:val="100"/>
                <w:sz w:val="16"/>
                <w:szCs w:val="16"/>
              </w:rPr>
              <w:t> </w:t>
            </w:r>
            <w:r>
              <w:rPr>
                <w:rFonts w:ascii="宋体" w:hAnsi="宋体" w:cs="宋体" w:eastAsia="宋体" w:hint="default"/>
                <w:sz w:val="16"/>
                <w:szCs w:val="16"/>
              </w:rPr>
              <w:t>准则</w:t>
            </w:r>
          </w:p>
        </w:tc>
        <w:tc>
          <w:tcPr>
            <w:tcW w:w="12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97" w:right="0"/>
              <w:jc w:val="left"/>
              <w:rPr>
                <w:rFonts w:ascii="宋体" w:hAnsi="宋体" w:cs="宋体" w:eastAsia="宋体" w:hint="default"/>
                <w:sz w:val="16"/>
                <w:szCs w:val="16"/>
              </w:rPr>
            </w:pPr>
            <w:r>
              <w:rPr>
                <w:rFonts w:ascii="宋体" w:hAnsi="宋体" w:cs="宋体" w:eastAsia="宋体" w:hint="default"/>
                <w:sz w:val="16"/>
                <w:szCs w:val="16"/>
              </w:rPr>
              <w:t>融出资金</w:t>
            </w:r>
          </w:p>
        </w:tc>
        <w:tc>
          <w:tcPr>
            <w:tcW w:w="10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0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57" w:lineRule="auto"/>
              <w:ind w:left="201" w:right="80" w:hanging="120"/>
              <w:jc w:val="left"/>
              <w:rPr>
                <w:rFonts w:ascii="宋体" w:hAnsi="宋体" w:cs="宋体" w:eastAsia="宋体" w:hint="default"/>
                <w:sz w:val="16"/>
                <w:szCs w:val="16"/>
              </w:rPr>
            </w:pPr>
            <w:r>
              <w:rPr>
                <w:rFonts w:ascii="宋体" w:hAnsi="宋体" w:cs="宋体" w:eastAsia="宋体" w:hint="default"/>
                <w:sz w:val="16"/>
                <w:szCs w:val="16"/>
              </w:rPr>
              <w:t>其他应收款</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应收利息</w:t>
            </w:r>
          </w:p>
        </w:tc>
        <w:tc>
          <w:tcPr>
            <w:tcW w:w="12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57" w:lineRule="auto"/>
              <w:ind w:left="537" w:right="53" w:hanging="480"/>
              <w:jc w:val="left"/>
              <w:rPr>
                <w:rFonts w:ascii="宋体" w:hAnsi="宋体" w:cs="宋体" w:eastAsia="宋体" w:hint="default"/>
                <w:sz w:val="16"/>
                <w:szCs w:val="16"/>
              </w:rPr>
            </w:pPr>
            <w:r>
              <w:rPr>
                <w:rFonts w:ascii="宋体" w:hAnsi="宋体" w:cs="宋体" w:eastAsia="宋体" w:hint="default"/>
                <w:sz w:val="16"/>
                <w:szCs w:val="16"/>
              </w:rPr>
              <w:t>买入返售金融资</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产</w:t>
            </w:r>
          </w:p>
        </w:tc>
        <w:tc>
          <w:tcPr>
            <w:tcW w:w="10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01"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13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57" w:lineRule="auto"/>
              <w:ind w:left="28" w:right="26"/>
              <w:jc w:val="center"/>
              <w:rPr>
                <w:rFonts w:ascii="宋体" w:hAnsi="宋体" w:cs="宋体" w:eastAsia="宋体" w:hint="default"/>
                <w:sz w:val="16"/>
                <w:szCs w:val="16"/>
              </w:rPr>
            </w:pPr>
            <w:r>
              <w:rPr>
                <w:rFonts w:ascii="宋体" w:hAnsi="宋体" w:cs="宋体" w:eastAsia="宋体" w:hint="default"/>
                <w:spacing w:val="-1"/>
                <w:sz w:val="16"/>
                <w:szCs w:val="16"/>
              </w:rPr>
              <w:t>以公允价值计量且</w:t>
            </w:r>
            <w:r>
              <w:rPr>
                <w:rFonts w:ascii="宋体" w:hAnsi="宋体" w:cs="宋体" w:eastAsia="宋体" w:hint="default"/>
                <w:w w:val="100"/>
                <w:sz w:val="16"/>
                <w:szCs w:val="16"/>
              </w:rPr>
              <w:t> </w:t>
            </w:r>
            <w:r>
              <w:rPr>
                <w:rFonts w:ascii="宋体" w:hAnsi="宋体" w:cs="宋体" w:eastAsia="宋体" w:hint="default"/>
                <w:spacing w:val="-1"/>
                <w:sz w:val="16"/>
                <w:szCs w:val="16"/>
              </w:rPr>
              <w:t>其变动计入当期损</w:t>
            </w:r>
            <w:r>
              <w:rPr>
                <w:rFonts w:ascii="宋体" w:hAnsi="宋体" w:cs="宋体" w:eastAsia="宋体" w:hint="default"/>
                <w:w w:val="100"/>
                <w:sz w:val="16"/>
                <w:szCs w:val="16"/>
              </w:rPr>
              <w:t> </w:t>
            </w:r>
            <w:r>
              <w:rPr>
                <w:rFonts w:ascii="宋体" w:hAnsi="宋体" w:cs="宋体" w:eastAsia="宋体" w:hint="default"/>
                <w:sz w:val="16"/>
                <w:szCs w:val="16"/>
              </w:rPr>
              <w:t>益的金融资产</w:t>
            </w:r>
          </w:p>
        </w:tc>
        <w:tc>
          <w:tcPr>
            <w:tcW w:w="3411"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8"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57" w:lineRule="auto"/>
              <w:ind w:left="208" w:right="7" w:hanging="200"/>
              <w:jc w:val="left"/>
              <w:rPr>
                <w:rFonts w:ascii="宋体" w:hAnsi="宋体" w:cs="宋体" w:eastAsia="宋体" w:hint="default"/>
                <w:sz w:val="16"/>
                <w:szCs w:val="16"/>
              </w:rPr>
            </w:pPr>
            <w:r>
              <w:rPr>
                <w:rFonts w:ascii="宋体" w:hAnsi="宋体" w:cs="宋体" w:eastAsia="宋体" w:hint="default"/>
                <w:sz w:val="16"/>
                <w:szCs w:val="16"/>
              </w:rPr>
              <w:t>其他流动资产</w:t>
            </w:r>
            <w:r>
              <w:rPr>
                <w:rFonts w:ascii="宋体" w:hAnsi="宋体" w:cs="宋体" w:eastAsia="宋体" w:hint="default"/>
                <w:sz w:val="16"/>
                <w:szCs w:val="16"/>
              </w:rPr>
              <w:t>-</w:t>
            </w:r>
            <w:r>
              <w:rPr>
                <w:rFonts w:ascii="宋体" w:hAnsi="宋体" w:cs="宋体" w:eastAsia="宋体" w:hint="default"/>
                <w:sz w:val="16"/>
                <w:szCs w:val="16"/>
              </w:rPr>
              <w:t>单</w:t>
            </w:r>
            <w:r>
              <w:rPr>
                <w:rFonts w:ascii="宋体" w:hAnsi="宋体" w:cs="宋体" w:eastAsia="宋体" w:hint="default"/>
                <w:w w:val="100"/>
                <w:sz w:val="16"/>
                <w:szCs w:val="16"/>
              </w:rPr>
              <w:t> </w:t>
            </w:r>
            <w:r>
              <w:rPr>
                <w:rFonts w:ascii="宋体" w:hAnsi="宋体" w:cs="宋体" w:eastAsia="宋体" w:hint="default"/>
                <w:sz w:val="16"/>
                <w:szCs w:val="16"/>
              </w:rPr>
              <w:t>一资金信托</w:t>
            </w:r>
          </w:p>
        </w:tc>
        <w:tc>
          <w:tcPr>
            <w:tcW w:w="107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57" w:lineRule="auto"/>
              <w:ind w:left="14" w:right="15" w:hanging="3"/>
              <w:jc w:val="center"/>
              <w:rPr>
                <w:rFonts w:ascii="宋体" w:hAnsi="宋体" w:cs="宋体" w:eastAsia="宋体" w:hint="default"/>
                <w:sz w:val="16"/>
                <w:szCs w:val="16"/>
              </w:rPr>
            </w:pPr>
            <w:r>
              <w:rPr>
                <w:rFonts w:ascii="宋体" w:hAnsi="宋体" w:cs="宋体" w:eastAsia="宋体" w:hint="default"/>
                <w:sz w:val="16"/>
                <w:szCs w:val="16"/>
              </w:rPr>
              <w:t>其他非流动资</w:t>
            </w:r>
            <w:r>
              <w:rPr>
                <w:rFonts w:ascii="宋体" w:hAnsi="宋体" w:cs="宋体" w:eastAsia="宋体" w:hint="default"/>
                <w:w w:val="100"/>
                <w:sz w:val="16"/>
                <w:szCs w:val="16"/>
              </w:rPr>
              <w:t> </w:t>
            </w:r>
            <w:r>
              <w:rPr>
                <w:rFonts w:ascii="宋体" w:hAnsi="宋体" w:cs="宋体" w:eastAsia="宋体" w:hint="default"/>
                <w:spacing w:val="-1"/>
                <w:sz w:val="16"/>
                <w:szCs w:val="16"/>
              </w:rPr>
              <w:t>产</w:t>
            </w:r>
            <w:r>
              <w:rPr>
                <w:rFonts w:ascii="宋体" w:hAnsi="宋体" w:cs="宋体" w:eastAsia="宋体" w:hint="default"/>
                <w:spacing w:val="-1"/>
                <w:sz w:val="16"/>
                <w:szCs w:val="16"/>
              </w:rPr>
              <w:t>-</w:t>
            </w:r>
            <w:r>
              <w:rPr>
                <w:rFonts w:ascii="宋体" w:hAnsi="宋体" w:cs="宋体" w:eastAsia="宋体" w:hint="default"/>
                <w:spacing w:val="-1"/>
                <w:sz w:val="16"/>
                <w:szCs w:val="16"/>
              </w:rPr>
              <w:t>单一资金信</w:t>
            </w:r>
            <w:r>
              <w:rPr>
                <w:rFonts w:ascii="宋体" w:hAnsi="宋体" w:cs="宋体" w:eastAsia="宋体" w:hint="default"/>
                <w:w w:val="100"/>
                <w:sz w:val="16"/>
                <w:szCs w:val="16"/>
              </w:rPr>
              <w:t> </w:t>
            </w:r>
            <w:r>
              <w:rPr>
                <w:rFonts w:ascii="宋体" w:hAnsi="宋体" w:cs="宋体" w:eastAsia="宋体" w:hint="default"/>
                <w:sz w:val="16"/>
                <w:szCs w:val="16"/>
              </w:rPr>
              <w:t>托</w:t>
            </w:r>
          </w:p>
        </w:tc>
      </w:tr>
      <w:tr>
        <w:trPr>
          <w:trHeight w:val="418" w:hRule="exact"/>
        </w:trPr>
        <w:tc>
          <w:tcPr>
            <w:tcW w:w="1224" w:type="dxa"/>
            <w:tcBorders>
              <w:top w:val="dotted" w:sz="4" w:space="0" w:color="000000"/>
              <w:left w:val="nil" w:sz="6" w:space="0" w:color="auto"/>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1,695,292,053.33</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266,500,765.89</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37,843,150.72</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4,388,034,024.67</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259,384,020.61</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12,208,965,458.73</w:t>
            </w:r>
          </w:p>
        </w:tc>
        <w:tc>
          <w:tcPr>
            <w:tcW w:w="3411"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0"/>
              <w:jc w:val="center"/>
              <w:rPr>
                <w:rFonts w:ascii="Times New Roman" w:hAnsi="Times New Roman" w:cs="Times New Roman" w:eastAsia="Times New Roman" w:hint="default"/>
                <w:sz w:val="15"/>
                <w:szCs w:val="15"/>
              </w:rPr>
            </w:pPr>
            <w:r>
              <w:rPr>
                <w:rFonts w:ascii="Times New Roman"/>
                <w:sz w:val="15"/>
              </w:rPr>
              <w:t>2,377,242,866.99</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1,075,000,000.00</w:t>
            </w:r>
          </w:p>
        </w:tc>
        <w:tc>
          <w:tcPr>
            <w:tcW w:w="10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5"/>
                <w:szCs w:val="15"/>
              </w:rPr>
            </w:pPr>
            <w:r>
              <w:rPr>
                <w:rFonts w:ascii="Times New Roman"/>
                <w:spacing w:val="-1"/>
                <w:sz w:val="15"/>
              </w:rPr>
              <w:t>400,000,000.00</w:t>
            </w:r>
          </w:p>
        </w:tc>
      </w:tr>
      <w:tr>
        <w:trPr>
          <w:trHeight w:val="415"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1"/>
              <w:ind w:left="2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重分类：</w:t>
            </w:r>
            <w:r>
              <w:rPr>
                <w:rFonts w:ascii="Microsoft JhengHei" w:hAnsi="Microsoft JhengHei" w:cs="Microsoft JhengHei" w:eastAsia="Microsoft JhengHei" w:hint="default"/>
                <w:sz w:val="16"/>
                <w:szCs w:val="16"/>
              </w:rPr>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09" w:type="dxa"/>
            <w:gridSpan w:val="2"/>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355" w:lineRule="auto" w:before="85"/>
              <w:ind w:left="28" w:right="-3"/>
              <w:jc w:val="left"/>
              <w:rPr>
                <w:rFonts w:ascii="宋体" w:hAnsi="宋体" w:cs="宋体" w:eastAsia="宋体" w:hint="default"/>
                <w:sz w:val="16"/>
                <w:szCs w:val="16"/>
              </w:rPr>
            </w:pPr>
            <w:r>
              <w:rPr>
                <w:rFonts w:ascii="宋体" w:hAnsi="宋体" w:cs="宋体" w:eastAsia="宋体" w:hint="default"/>
                <w:spacing w:val="8"/>
                <w:sz w:val="16"/>
                <w:szCs w:val="16"/>
              </w:rPr>
              <w:t>由原科目直接转</w:t>
            </w:r>
            <w:r>
              <w:rPr>
                <w:rFonts w:ascii="宋体" w:hAnsi="宋体" w:cs="宋体" w:eastAsia="宋体" w:hint="default"/>
                <w:spacing w:val="-68"/>
                <w:sz w:val="16"/>
                <w:szCs w:val="16"/>
              </w:rPr>
              <w:t> </w:t>
            </w:r>
            <w:r>
              <w:rPr>
                <w:rFonts w:ascii="宋体" w:hAnsi="宋体" w:cs="宋体" w:eastAsia="宋体" w:hint="default"/>
                <w:sz w:val="16"/>
                <w:szCs w:val="16"/>
              </w:rPr>
              <w:t>入</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9"/>
              <w:jc w:val="right"/>
              <w:rPr>
                <w:rFonts w:ascii="Times New Roman" w:hAnsi="Times New Roman" w:cs="Times New Roman" w:eastAsia="Times New Roman" w:hint="default"/>
                <w:sz w:val="15"/>
                <w:szCs w:val="15"/>
              </w:rPr>
            </w:pPr>
            <w:r>
              <w:rPr>
                <w:rFonts w:ascii="Times New Roman"/>
                <w:spacing w:val="-1"/>
                <w:sz w:val="15"/>
              </w:rPr>
              <w:t>1,695,292,053.33</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7"/>
              <w:jc w:val="right"/>
              <w:rPr>
                <w:rFonts w:ascii="Times New Roman" w:hAnsi="Times New Roman" w:cs="Times New Roman" w:eastAsia="Times New Roman" w:hint="default"/>
                <w:sz w:val="15"/>
                <w:szCs w:val="15"/>
              </w:rPr>
            </w:pPr>
            <w:r>
              <w:rPr>
                <w:rFonts w:ascii="Times New Roman"/>
                <w:spacing w:val="-1"/>
                <w:sz w:val="15"/>
              </w:rPr>
              <w:t>266,500,765.89</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7"/>
              <w:jc w:val="right"/>
              <w:rPr>
                <w:rFonts w:ascii="Times New Roman" w:hAnsi="Times New Roman" w:cs="Times New Roman" w:eastAsia="Times New Roman" w:hint="default"/>
                <w:sz w:val="15"/>
                <w:szCs w:val="15"/>
              </w:rPr>
            </w:pPr>
            <w:r>
              <w:rPr>
                <w:rFonts w:ascii="Times New Roman"/>
                <w:spacing w:val="-1"/>
                <w:sz w:val="15"/>
              </w:rPr>
              <w:t>37,843,150.72</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7"/>
              <w:jc w:val="right"/>
              <w:rPr>
                <w:rFonts w:ascii="Times New Roman" w:hAnsi="Times New Roman" w:cs="Times New Roman" w:eastAsia="Times New Roman" w:hint="default"/>
                <w:sz w:val="15"/>
                <w:szCs w:val="15"/>
              </w:rPr>
            </w:pPr>
            <w:r>
              <w:rPr>
                <w:rFonts w:ascii="Times New Roman"/>
                <w:spacing w:val="-1"/>
                <w:sz w:val="15"/>
              </w:rPr>
              <w:t>4,388,034,024.67</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7"/>
              <w:jc w:val="right"/>
              <w:rPr>
                <w:rFonts w:ascii="Times New Roman" w:hAnsi="Times New Roman" w:cs="Times New Roman" w:eastAsia="Times New Roman" w:hint="default"/>
                <w:sz w:val="15"/>
                <w:szCs w:val="15"/>
              </w:rPr>
            </w:pPr>
            <w:r>
              <w:rPr>
                <w:rFonts w:ascii="Times New Roman"/>
                <w:spacing w:val="-1"/>
                <w:sz w:val="15"/>
              </w:rPr>
              <w:t>259,384,020.61</w:t>
            </w: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09" w:type="dxa"/>
            <w:gridSpan w:val="2"/>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82"/>
              <w:ind w:left="28" w:right="5"/>
              <w:jc w:val="left"/>
              <w:rPr>
                <w:rFonts w:ascii="宋体" w:hAnsi="宋体" w:cs="宋体" w:eastAsia="宋体" w:hint="default"/>
                <w:sz w:val="16"/>
                <w:szCs w:val="16"/>
              </w:rPr>
            </w:pPr>
            <w:r>
              <w:rPr>
                <w:rFonts w:ascii="宋体" w:hAnsi="宋体" w:cs="宋体" w:eastAsia="宋体" w:hint="default"/>
                <w:sz w:val="16"/>
                <w:szCs w:val="16"/>
              </w:rPr>
              <w:t>由 </w:t>
            </w:r>
            <w:r>
              <w:rPr>
                <w:rFonts w:ascii="宋体" w:hAnsi="宋体" w:cs="宋体" w:eastAsia="宋体" w:hint="default"/>
                <w:sz w:val="16"/>
                <w:szCs w:val="16"/>
              </w:rPr>
              <w:t>FVTPL</w:t>
            </w:r>
            <w:r>
              <w:rPr>
                <w:rFonts w:ascii="宋体" w:hAnsi="宋体" w:cs="宋体" w:eastAsia="宋体" w:hint="default"/>
                <w:spacing w:val="-21"/>
                <w:sz w:val="16"/>
                <w:szCs w:val="16"/>
              </w:rPr>
              <w:t> </w:t>
            </w:r>
            <w:r>
              <w:rPr>
                <w:rFonts w:ascii="宋体" w:hAnsi="宋体" w:cs="宋体" w:eastAsia="宋体" w:hint="default"/>
                <w:sz w:val="16"/>
                <w:szCs w:val="16"/>
              </w:rPr>
              <w:t>转入交</w:t>
            </w:r>
            <w:r>
              <w:rPr>
                <w:rFonts w:ascii="宋体" w:hAnsi="宋体" w:cs="宋体" w:eastAsia="宋体" w:hint="default"/>
                <w:w w:val="100"/>
                <w:sz w:val="16"/>
                <w:szCs w:val="16"/>
              </w:rPr>
              <w:t> </w:t>
            </w:r>
            <w:r>
              <w:rPr>
                <w:rFonts w:ascii="宋体" w:hAnsi="宋体" w:cs="宋体" w:eastAsia="宋体" w:hint="default"/>
                <w:sz w:val="16"/>
                <w:szCs w:val="16"/>
              </w:rPr>
              <w:t>易性金融资产</w:t>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7"/>
              <w:jc w:val="right"/>
              <w:rPr>
                <w:rFonts w:ascii="Times New Roman" w:hAnsi="Times New Roman" w:cs="Times New Roman" w:eastAsia="Times New Roman" w:hint="default"/>
                <w:sz w:val="15"/>
                <w:szCs w:val="15"/>
              </w:rPr>
            </w:pPr>
            <w:r>
              <w:rPr>
                <w:rFonts w:ascii="Times New Roman"/>
                <w:spacing w:val="-1"/>
                <w:sz w:val="15"/>
              </w:rPr>
              <w:t>12,208,965,458.73</w:t>
            </w: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09" w:type="dxa"/>
            <w:gridSpan w:val="2"/>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82"/>
              <w:ind w:left="28" w:right="-3"/>
              <w:jc w:val="left"/>
              <w:rPr>
                <w:rFonts w:ascii="宋体" w:hAnsi="宋体" w:cs="宋体" w:eastAsia="宋体" w:hint="default"/>
                <w:sz w:val="16"/>
                <w:szCs w:val="16"/>
              </w:rPr>
            </w:pPr>
            <w:r>
              <w:rPr>
                <w:rFonts w:ascii="宋体" w:hAnsi="宋体" w:cs="宋体" w:eastAsia="宋体" w:hint="default"/>
                <w:spacing w:val="8"/>
                <w:sz w:val="16"/>
                <w:szCs w:val="16"/>
              </w:rPr>
              <w:t>由可供出售金融</w:t>
            </w:r>
            <w:r>
              <w:rPr>
                <w:rFonts w:ascii="宋体" w:hAnsi="宋体" w:cs="宋体" w:eastAsia="宋体" w:hint="default"/>
                <w:spacing w:val="-68"/>
                <w:sz w:val="16"/>
                <w:szCs w:val="16"/>
              </w:rPr>
              <w:t> </w:t>
            </w:r>
            <w:r>
              <w:rPr>
                <w:rFonts w:ascii="宋体" w:hAnsi="宋体" w:cs="宋体" w:eastAsia="宋体" w:hint="default"/>
                <w:sz w:val="16"/>
                <w:szCs w:val="16"/>
              </w:rPr>
              <w:t>资产转入</w:t>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left="180" w:right="0"/>
              <w:jc w:val="left"/>
              <w:rPr>
                <w:rFonts w:ascii="Times New Roman" w:hAnsi="Times New Roman" w:cs="Times New Roman" w:eastAsia="Times New Roman" w:hint="default"/>
                <w:sz w:val="15"/>
                <w:szCs w:val="15"/>
              </w:rPr>
            </w:pPr>
            <w:r>
              <w:rPr>
                <w:rFonts w:ascii="Times New Roman"/>
                <w:sz w:val="15"/>
              </w:rPr>
              <w:t>1,617,861,135.65</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7"/>
              <w:jc w:val="right"/>
              <w:rPr>
                <w:rFonts w:ascii="Times New Roman" w:hAnsi="Times New Roman" w:cs="Times New Roman" w:eastAsia="Times New Roman" w:hint="default"/>
                <w:sz w:val="15"/>
                <w:szCs w:val="15"/>
              </w:rPr>
            </w:pPr>
            <w:r>
              <w:rPr>
                <w:rFonts w:ascii="Times New Roman"/>
                <w:spacing w:val="-1"/>
                <w:sz w:val="15"/>
              </w:rPr>
              <w:t>659,381,731.34</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left="112" w:right="0"/>
              <w:jc w:val="left"/>
              <w:rPr>
                <w:rFonts w:ascii="Times New Roman" w:hAnsi="Times New Roman" w:cs="Times New Roman" w:eastAsia="Times New Roman" w:hint="default"/>
                <w:sz w:val="15"/>
                <w:szCs w:val="15"/>
              </w:rPr>
            </w:pPr>
            <w:r>
              <w:rPr>
                <w:rFonts w:ascii="Times New Roman"/>
                <w:sz w:val="15"/>
              </w:rPr>
              <w:t>100,000,000.00</w:t>
            </w:r>
          </w:p>
        </w:tc>
        <w:tc>
          <w:tcPr>
            <w:tcW w:w="2309" w:type="dxa"/>
            <w:gridSpan w:val="2"/>
            <w:tcBorders>
              <w:top w:val="dotted" w:sz="4" w:space="0" w:color="000000"/>
              <w:left w:val="dotted" w:sz="4" w:space="0" w:color="000000"/>
              <w:bottom w:val="dotted" w:sz="4" w:space="0" w:color="000000"/>
              <w:right w:val="nil" w:sz="6" w:space="0" w:color="auto"/>
            </w:tcBorders>
          </w:tcPr>
          <w:p>
            <w:pPr/>
          </w:p>
        </w:tc>
      </w:tr>
      <w:tr>
        <w:trPr>
          <w:trHeight w:val="1352"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82"/>
              <w:ind w:left="28" w:right="-34"/>
              <w:jc w:val="both"/>
              <w:rPr>
                <w:rFonts w:ascii="宋体" w:hAnsi="宋体" w:cs="宋体" w:eastAsia="宋体" w:hint="default"/>
                <w:sz w:val="16"/>
                <w:szCs w:val="16"/>
              </w:rPr>
            </w:pPr>
            <w:r>
              <w:rPr>
                <w:rFonts w:ascii="宋体" w:hAnsi="宋体" w:cs="宋体" w:eastAsia="宋体" w:hint="default"/>
                <w:spacing w:val="35"/>
                <w:sz w:val="16"/>
                <w:szCs w:val="16"/>
              </w:rPr>
              <w:t>由其他流动资</w:t>
            </w:r>
            <w:r>
              <w:rPr>
                <w:rFonts w:ascii="宋体" w:hAnsi="宋体" w:cs="宋体" w:eastAsia="宋体" w:hint="default"/>
                <w:spacing w:val="-71"/>
                <w:sz w:val="16"/>
                <w:szCs w:val="16"/>
              </w:rPr>
              <w:t> </w:t>
            </w:r>
            <w:r>
              <w:rPr>
                <w:rFonts w:ascii="宋体" w:hAnsi="宋体" w:cs="宋体" w:eastAsia="宋体" w:hint="default"/>
                <w:spacing w:val="8"/>
                <w:sz w:val="16"/>
                <w:szCs w:val="16"/>
              </w:rPr>
              <w:t>产、其他非流动</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8"/>
                <w:sz w:val="16"/>
                <w:szCs w:val="16"/>
              </w:rPr>
              <w:t>资产转入对应资</w:t>
            </w:r>
            <w:r>
              <w:rPr>
                <w:rFonts w:ascii="宋体" w:hAnsi="宋体" w:cs="宋体" w:eastAsia="宋体" w:hint="default"/>
                <w:spacing w:val="-68"/>
                <w:sz w:val="16"/>
                <w:szCs w:val="16"/>
              </w:rPr>
              <w:t> </w:t>
            </w:r>
            <w:r>
              <w:rPr>
                <w:rFonts w:ascii="宋体" w:hAnsi="宋体" w:cs="宋体" w:eastAsia="宋体" w:hint="default"/>
                <w:sz w:val="16"/>
                <w:szCs w:val="16"/>
              </w:rPr>
              <w:t>产</w:t>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9"/>
              <w:jc w:val="right"/>
              <w:rPr>
                <w:rFonts w:ascii="Times New Roman" w:hAnsi="Times New Roman" w:cs="Times New Roman" w:eastAsia="Times New Roman" w:hint="default"/>
                <w:sz w:val="15"/>
                <w:szCs w:val="15"/>
              </w:rPr>
            </w:pPr>
            <w:r>
              <w:rPr>
                <w:rFonts w:ascii="Times New Roman"/>
                <w:spacing w:val="-1"/>
                <w:sz w:val="15"/>
              </w:rPr>
              <w:t>1,075,000,000.00</w:t>
            </w:r>
          </w:p>
        </w:tc>
        <w:tc>
          <w:tcPr>
            <w:tcW w:w="107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12"/>
              <w:jc w:val="right"/>
              <w:rPr>
                <w:rFonts w:ascii="Times New Roman" w:hAnsi="Times New Roman" w:cs="Times New Roman" w:eastAsia="Times New Roman" w:hint="default"/>
                <w:sz w:val="15"/>
                <w:szCs w:val="15"/>
              </w:rPr>
            </w:pPr>
            <w:r>
              <w:rPr>
                <w:rFonts w:ascii="Times New Roman"/>
                <w:spacing w:val="-1"/>
                <w:sz w:val="15"/>
              </w:rPr>
              <w:t>400,000,000.00</w:t>
            </w:r>
          </w:p>
        </w:tc>
      </w:tr>
      <w:tr>
        <w:trPr>
          <w:trHeight w:val="418"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4"/>
              <w:ind w:left="28" w:right="0"/>
              <w:jc w:val="left"/>
              <w:rPr>
                <w:rFonts w:ascii="宋体" w:hAnsi="宋体" w:cs="宋体" w:eastAsia="宋体" w:hint="default"/>
                <w:sz w:val="16"/>
                <w:szCs w:val="16"/>
              </w:rPr>
            </w:pPr>
            <w:r>
              <w:rPr>
                <w:rFonts w:ascii="宋体" w:hAnsi="宋体" w:cs="宋体" w:eastAsia="宋体" w:hint="default"/>
                <w:sz w:val="16"/>
                <w:szCs w:val="16"/>
              </w:rPr>
              <w:t>由应收利息转入</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32,542,318.04</w:t>
            </w: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24,877,903.11</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-259,203,706.77</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174,567,413.03</w:t>
            </w: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27,216,072.59</w:t>
            </w:r>
          </w:p>
        </w:tc>
        <w:tc>
          <w:tcPr>
            <w:tcW w:w="1070" w:type="dxa"/>
            <w:tcBorders>
              <w:top w:val="dotted" w:sz="4" w:space="0" w:color="000000"/>
              <w:left w:val="dotted" w:sz="4" w:space="0" w:color="000000"/>
              <w:bottom w:val="dotted" w:sz="4" w:space="0" w:color="000000"/>
              <w:right w:val="dotted" w:sz="4" w:space="0" w:color="000000"/>
            </w:tcBorders>
          </w:tcPr>
          <w:p>
            <w:pPr/>
          </w:p>
        </w:tc>
        <w:tc>
          <w:tcPr>
            <w:tcW w:w="2309" w:type="dxa"/>
            <w:gridSpan w:val="2"/>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6"/>
                <w:szCs w:val="16"/>
              </w:rPr>
            </w:pPr>
            <w:r>
              <w:rPr>
                <w:rFonts w:ascii="宋体" w:hAnsi="宋体" w:cs="宋体" w:eastAsia="宋体" w:hint="default"/>
                <w:sz w:val="16"/>
                <w:szCs w:val="16"/>
              </w:rPr>
              <w:t>由应收账款转入</w:t>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-133,988.16</w:t>
            </w: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60"/>
              <w:jc w:val="right"/>
              <w:rPr>
                <w:rFonts w:ascii="Times New Roman" w:hAnsi="Times New Roman" w:cs="Times New Roman" w:eastAsia="Times New Roman" w:hint="default"/>
                <w:sz w:val="15"/>
                <w:szCs w:val="15"/>
              </w:rPr>
            </w:pPr>
            <w:r>
              <w:rPr>
                <w:rFonts w:ascii="Times New Roman"/>
                <w:spacing w:val="-1"/>
                <w:sz w:val="15"/>
              </w:rPr>
              <w:t>133,988.16</w:t>
            </w: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09" w:type="dxa"/>
            <w:gridSpan w:val="2"/>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355" w:lineRule="auto" w:before="84"/>
              <w:ind w:left="28" w:right="6"/>
              <w:jc w:val="left"/>
              <w:rPr>
                <w:rFonts w:ascii="宋体" w:hAnsi="宋体" w:cs="宋体" w:eastAsia="宋体" w:hint="default"/>
                <w:sz w:val="16"/>
                <w:szCs w:val="16"/>
              </w:rPr>
            </w:pPr>
            <w:r>
              <w:rPr>
                <w:rFonts w:ascii="宋体" w:hAnsi="宋体" w:cs="宋体" w:eastAsia="宋体" w:hint="default"/>
                <w:sz w:val="16"/>
                <w:szCs w:val="16"/>
              </w:rPr>
              <w:t>由</w:t>
            </w:r>
            <w:r>
              <w:rPr>
                <w:rFonts w:ascii="宋体" w:hAnsi="宋体" w:cs="宋体" w:eastAsia="宋体" w:hint="default"/>
                <w:spacing w:val="-57"/>
                <w:sz w:val="16"/>
                <w:szCs w:val="16"/>
              </w:rPr>
              <w:t> </w:t>
            </w:r>
            <w:r>
              <w:rPr>
                <w:rFonts w:ascii="宋体" w:hAnsi="宋体" w:cs="宋体" w:eastAsia="宋体" w:hint="default"/>
                <w:sz w:val="16"/>
                <w:szCs w:val="16"/>
              </w:rPr>
              <w:t>其</w:t>
            </w:r>
            <w:r>
              <w:rPr>
                <w:rFonts w:ascii="宋体" w:hAnsi="宋体" w:cs="宋体" w:eastAsia="宋体" w:hint="default"/>
                <w:spacing w:val="-59"/>
                <w:sz w:val="16"/>
                <w:szCs w:val="16"/>
              </w:rPr>
              <w:t> </w:t>
            </w:r>
            <w:r>
              <w:rPr>
                <w:rFonts w:ascii="宋体" w:hAnsi="宋体" w:cs="宋体" w:eastAsia="宋体" w:hint="default"/>
                <w:sz w:val="16"/>
                <w:szCs w:val="16"/>
              </w:rPr>
              <w:t>他</w:t>
            </w:r>
            <w:r>
              <w:rPr>
                <w:rFonts w:ascii="宋体" w:hAnsi="宋体" w:cs="宋体" w:eastAsia="宋体" w:hint="default"/>
                <w:spacing w:val="-57"/>
                <w:sz w:val="16"/>
                <w:szCs w:val="16"/>
              </w:rPr>
              <w:t> </w:t>
            </w:r>
            <w:r>
              <w:rPr>
                <w:rFonts w:ascii="宋体" w:hAnsi="宋体" w:cs="宋体" w:eastAsia="宋体" w:hint="default"/>
                <w:sz w:val="16"/>
                <w:szCs w:val="16"/>
              </w:rPr>
              <w:t>应</w:t>
            </w:r>
            <w:r>
              <w:rPr>
                <w:rFonts w:ascii="宋体" w:hAnsi="宋体" w:cs="宋体" w:eastAsia="宋体" w:hint="default"/>
                <w:spacing w:val="-59"/>
                <w:sz w:val="16"/>
                <w:szCs w:val="16"/>
              </w:rPr>
              <w:t> </w:t>
            </w:r>
            <w:r>
              <w:rPr>
                <w:rFonts w:ascii="宋体" w:hAnsi="宋体" w:cs="宋体" w:eastAsia="宋体" w:hint="default"/>
                <w:sz w:val="16"/>
                <w:szCs w:val="16"/>
              </w:rPr>
              <w:t>收</w:t>
            </w:r>
            <w:r>
              <w:rPr>
                <w:rFonts w:ascii="宋体" w:hAnsi="宋体" w:cs="宋体" w:eastAsia="宋体" w:hint="default"/>
                <w:spacing w:val="-59"/>
                <w:sz w:val="16"/>
                <w:szCs w:val="16"/>
              </w:rPr>
              <w:t> </w:t>
            </w:r>
            <w:r>
              <w:rPr>
                <w:rFonts w:ascii="宋体" w:hAnsi="宋体" w:cs="宋体" w:eastAsia="宋体" w:hint="default"/>
                <w:sz w:val="16"/>
                <w:szCs w:val="16"/>
              </w:rPr>
              <w:t>款</w:t>
            </w:r>
            <w:r>
              <w:rPr>
                <w:rFonts w:ascii="宋体" w:hAnsi="宋体" w:cs="宋体" w:eastAsia="宋体" w:hint="default"/>
                <w:spacing w:val="-55"/>
                <w:sz w:val="16"/>
                <w:szCs w:val="16"/>
              </w:rPr>
              <w:t> </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应收利息转入</w:t>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1"/>
              <w:ind w:right="7"/>
              <w:jc w:val="right"/>
              <w:rPr>
                <w:rFonts w:ascii="Times New Roman" w:hAnsi="Times New Roman" w:cs="Times New Roman" w:eastAsia="Times New Roman" w:hint="default"/>
                <w:sz w:val="15"/>
                <w:szCs w:val="15"/>
              </w:rPr>
            </w:pPr>
            <w:r>
              <w:rPr>
                <w:rFonts w:ascii="Times New Roman"/>
                <w:spacing w:val="-1"/>
                <w:sz w:val="15"/>
              </w:rPr>
              <w:t>-37,843,150.72</w:t>
            </w: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09"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1"/>
              <w:ind w:left="1427" w:right="0"/>
              <w:jc w:val="left"/>
              <w:rPr>
                <w:rFonts w:ascii="Times New Roman" w:hAnsi="Times New Roman" w:cs="Times New Roman" w:eastAsia="Times New Roman" w:hint="default"/>
                <w:sz w:val="15"/>
                <w:szCs w:val="15"/>
              </w:rPr>
            </w:pPr>
            <w:r>
              <w:rPr>
                <w:rFonts w:ascii="Times New Roman"/>
                <w:sz w:val="15"/>
              </w:rPr>
              <w:t>37,843,150.72</w:t>
            </w:r>
          </w:p>
        </w:tc>
      </w:tr>
      <w:tr>
        <w:trPr>
          <w:trHeight w:val="430"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6"/>
                <w:szCs w:val="16"/>
              </w:rPr>
            </w:pPr>
            <w:r>
              <w:rPr>
                <w:rFonts w:ascii="宋体" w:hAnsi="宋体" w:cs="宋体" w:eastAsia="宋体" w:hint="default"/>
                <w:sz w:val="16"/>
                <w:szCs w:val="16"/>
              </w:rPr>
              <w:t>由应付利息转入</w:t>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09" w:type="dxa"/>
            <w:gridSpan w:val="2"/>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224" w:type="dxa"/>
            <w:tcBorders>
              <w:top w:val="dotted" w:sz="4" w:space="0" w:color="000000"/>
              <w:left w:val="nil" w:sz="6" w:space="0" w:color="auto"/>
              <w:bottom w:val="dotted" w:sz="4" w:space="0" w:color="000000"/>
              <w:right w:val="dotted" w:sz="4" w:space="0" w:color="000000"/>
            </w:tcBorders>
          </w:tcPr>
          <w:p>
            <w:pPr>
              <w:pStyle w:val="TableParagraph"/>
              <w:spacing w:line="355" w:lineRule="auto" w:before="84"/>
              <w:ind w:left="28" w:right="6"/>
              <w:jc w:val="left"/>
              <w:rPr>
                <w:rFonts w:ascii="宋体" w:hAnsi="宋体" w:cs="宋体" w:eastAsia="宋体" w:hint="default"/>
                <w:sz w:val="16"/>
                <w:szCs w:val="16"/>
              </w:rPr>
            </w:pPr>
            <w:r>
              <w:rPr>
                <w:rFonts w:ascii="宋体" w:hAnsi="宋体" w:cs="宋体" w:eastAsia="宋体" w:hint="default"/>
                <w:sz w:val="16"/>
                <w:szCs w:val="16"/>
              </w:rPr>
              <w:t>由</w:t>
            </w:r>
            <w:r>
              <w:rPr>
                <w:rFonts w:ascii="宋体" w:hAnsi="宋体" w:cs="宋体" w:eastAsia="宋体" w:hint="default"/>
                <w:spacing w:val="-57"/>
                <w:sz w:val="16"/>
                <w:szCs w:val="16"/>
              </w:rPr>
              <w:t> </w:t>
            </w:r>
            <w:r>
              <w:rPr>
                <w:rFonts w:ascii="宋体" w:hAnsi="宋体" w:cs="宋体" w:eastAsia="宋体" w:hint="default"/>
                <w:sz w:val="16"/>
                <w:szCs w:val="16"/>
              </w:rPr>
              <w:t>其</w:t>
            </w:r>
            <w:r>
              <w:rPr>
                <w:rFonts w:ascii="宋体" w:hAnsi="宋体" w:cs="宋体" w:eastAsia="宋体" w:hint="default"/>
                <w:spacing w:val="-59"/>
                <w:sz w:val="16"/>
                <w:szCs w:val="16"/>
              </w:rPr>
              <w:t> </w:t>
            </w:r>
            <w:r>
              <w:rPr>
                <w:rFonts w:ascii="宋体" w:hAnsi="宋体" w:cs="宋体" w:eastAsia="宋体" w:hint="default"/>
                <w:sz w:val="16"/>
                <w:szCs w:val="16"/>
              </w:rPr>
              <w:t>他</w:t>
            </w:r>
            <w:r>
              <w:rPr>
                <w:rFonts w:ascii="宋体" w:hAnsi="宋体" w:cs="宋体" w:eastAsia="宋体" w:hint="default"/>
                <w:spacing w:val="-57"/>
                <w:sz w:val="16"/>
                <w:szCs w:val="16"/>
              </w:rPr>
              <w:t> </w:t>
            </w:r>
            <w:r>
              <w:rPr>
                <w:rFonts w:ascii="宋体" w:hAnsi="宋体" w:cs="宋体" w:eastAsia="宋体" w:hint="default"/>
                <w:sz w:val="16"/>
                <w:szCs w:val="16"/>
              </w:rPr>
              <w:t>应</w:t>
            </w:r>
            <w:r>
              <w:rPr>
                <w:rFonts w:ascii="宋体" w:hAnsi="宋体" w:cs="宋体" w:eastAsia="宋体" w:hint="default"/>
                <w:spacing w:val="-59"/>
                <w:sz w:val="16"/>
                <w:szCs w:val="16"/>
              </w:rPr>
              <w:t> </w:t>
            </w:r>
            <w:r>
              <w:rPr>
                <w:rFonts w:ascii="宋体" w:hAnsi="宋体" w:cs="宋体" w:eastAsia="宋体" w:hint="default"/>
                <w:sz w:val="16"/>
                <w:szCs w:val="16"/>
              </w:rPr>
              <w:t>付</w:t>
            </w:r>
            <w:r>
              <w:rPr>
                <w:rFonts w:ascii="宋体" w:hAnsi="宋体" w:cs="宋体" w:eastAsia="宋体" w:hint="default"/>
                <w:spacing w:val="-59"/>
                <w:sz w:val="16"/>
                <w:szCs w:val="16"/>
              </w:rPr>
              <w:t> </w:t>
            </w:r>
            <w:r>
              <w:rPr>
                <w:rFonts w:ascii="宋体" w:hAnsi="宋体" w:cs="宋体" w:eastAsia="宋体" w:hint="default"/>
                <w:sz w:val="16"/>
                <w:szCs w:val="16"/>
              </w:rPr>
              <w:t>款</w:t>
            </w:r>
            <w:r>
              <w:rPr>
                <w:rFonts w:ascii="宋体" w:hAnsi="宋体" w:cs="宋体" w:eastAsia="宋体" w:hint="default"/>
                <w:spacing w:val="-55"/>
                <w:sz w:val="16"/>
                <w:szCs w:val="16"/>
              </w:rPr>
              <w:t> </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应付利息转入</w:t>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09" w:type="dxa"/>
            <w:gridSpan w:val="2"/>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12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1"/>
              <w:ind w:left="28" w:right="0"/>
              <w:jc w:val="left"/>
              <w:rPr>
                <w:rFonts w:ascii="Trebuchet MS" w:hAnsi="Trebuchet MS" w:cs="Trebuchet MS" w:eastAsia="Trebuchet MS" w:hint="default"/>
                <w:sz w:val="16"/>
                <w:szCs w:val="16"/>
              </w:rPr>
            </w:pPr>
            <w:r>
              <w:rPr>
                <w:rFonts w:ascii="Microsoft JhengHei" w:hAnsi="Microsoft JhengHei" w:cs="Microsoft JhengHei" w:eastAsia="Microsoft JhengHei" w:hint="default"/>
                <w:b/>
                <w:bCs/>
                <w:w w:val="110"/>
                <w:sz w:val="16"/>
                <w:szCs w:val="16"/>
              </w:rPr>
              <w:t>重新计量</w:t>
            </w:r>
            <w:r>
              <w:rPr>
                <w:rFonts w:ascii="Trebuchet MS" w:hAnsi="Trebuchet MS" w:cs="Trebuchet MS" w:eastAsia="Trebuchet MS" w:hint="default"/>
                <w:b/>
                <w:bCs/>
                <w:w w:val="110"/>
                <w:sz w:val="16"/>
                <w:szCs w:val="16"/>
              </w:rPr>
              <w:t>:</w:t>
            </w:r>
            <w:r>
              <w:rPr>
                <w:rFonts w:ascii="Trebuchet MS" w:hAnsi="Trebuchet MS" w:cs="Trebuchet MS" w:eastAsia="Trebuchet MS" w:hint="default"/>
                <w:sz w:val="16"/>
                <w:szCs w:val="16"/>
              </w:rPr>
            </w:r>
          </w:p>
        </w:tc>
        <w:tc>
          <w:tcPr>
            <w:tcW w:w="1250" w:type="dxa"/>
            <w:tcBorders>
              <w:top w:val="dotted" w:sz="4" w:space="0" w:color="000000"/>
              <w:left w:val="dotted" w:sz="4" w:space="0" w:color="000000"/>
              <w:bottom w:val="single" w:sz="12" w:space="0" w:color="000000"/>
              <w:right w:val="dotted" w:sz="4" w:space="0" w:color="000000"/>
            </w:tcBorders>
          </w:tcPr>
          <w:p>
            <w:pPr/>
          </w:p>
        </w:tc>
        <w:tc>
          <w:tcPr>
            <w:tcW w:w="1073" w:type="dxa"/>
            <w:tcBorders>
              <w:top w:val="dotted" w:sz="4" w:space="0" w:color="000000"/>
              <w:left w:val="dotted" w:sz="4" w:space="0" w:color="000000"/>
              <w:bottom w:val="single" w:sz="12" w:space="0" w:color="000000"/>
              <w:right w:val="dotted" w:sz="4" w:space="0" w:color="000000"/>
            </w:tcBorders>
          </w:tcPr>
          <w:p>
            <w:pPr/>
          </w:p>
        </w:tc>
        <w:tc>
          <w:tcPr>
            <w:tcW w:w="1056" w:type="dxa"/>
            <w:tcBorders>
              <w:top w:val="dotted" w:sz="4" w:space="0" w:color="000000"/>
              <w:left w:val="dotted" w:sz="4" w:space="0" w:color="000000"/>
              <w:bottom w:val="single" w:sz="12" w:space="0" w:color="000000"/>
              <w:right w:val="dotted" w:sz="4" w:space="0" w:color="000000"/>
            </w:tcBorders>
          </w:tcPr>
          <w:p>
            <w:pPr/>
          </w:p>
        </w:tc>
        <w:tc>
          <w:tcPr>
            <w:tcW w:w="1246" w:type="dxa"/>
            <w:tcBorders>
              <w:top w:val="dotted" w:sz="4" w:space="0" w:color="000000"/>
              <w:left w:val="dotted" w:sz="4" w:space="0" w:color="000000"/>
              <w:bottom w:val="single" w:sz="12" w:space="0" w:color="000000"/>
              <w:right w:val="dotted" w:sz="4" w:space="0" w:color="000000"/>
            </w:tcBorders>
          </w:tcPr>
          <w:p>
            <w:pPr/>
          </w:p>
        </w:tc>
        <w:tc>
          <w:tcPr>
            <w:tcW w:w="1056" w:type="dxa"/>
            <w:tcBorders>
              <w:top w:val="dotted" w:sz="4" w:space="0" w:color="000000"/>
              <w:left w:val="dotted" w:sz="4" w:space="0" w:color="000000"/>
              <w:bottom w:val="single" w:sz="12" w:space="0" w:color="000000"/>
              <w:right w:val="dotted" w:sz="4" w:space="0" w:color="000000"/>
            </w:tcBorders>
          </w:tcPr>
          <w:p>
            <w:pPr/>
          </w:p>
        </w:tc>
        <w:tc>
          <w:tcPr>
            <w:tcW w:w="1349" w:type="dxa"/>
            <w:tcBorders>
              <w:top w:val="dotted" w:sz="4" w:space="0" w:color="000000"/>
              <w:left w:val="dotted" w:sz="4" w:space="0" w:color="000000"/>
              <w:bottom w:val="single" w:sz="12" w:space="0" w:color="000000"/>
              <w:right w:val="dotted" w:sz="4" w:space="0" w:color="000000"/>
            </w:tcBorders>
          </w:tcPr>
          <w:p>
            <w:pPr/>
          </w:p>
        </w:tc>
        <w:tc>
          <w:tcPr>
            <w:tcW w:w="1253" w:type="dxa"/>
            <w:tcBorders>
              <w:top w:val="dotted" w:sz="4" w:space="0" w:color="000000"/>
              <w:left w:val="dotted" w:sz="4" w:space="0" w:color="000000"/>
              <w:bottom w:val="single" w:sz="12" w:space="0" w:color="000000"/>
              <w:right w:val="dotted" w:sz="4" w:space="0" w:color="000000"/>
            </w:tcBorders>
          </w:tcPr>
          <w:p>
            <w:pPr/>
          </w:p>
        </w:tc>
        <w:tc>
          <w:tcPr>
            <w:tcW w:w="1088" w:type="dxa"/>
            <w:tcBorders>
              <w:top w:val="dotted" w:sz="4" w:space="0" w:color="000000"/>
              <w:left w:val="dotted" w:sz="4" w:space="0" w:color="000000"/>
              <w:bottom w:val="single" w:sz="12" w:space="0" w:color="000000"/>
              <w:right w:val="dotted" w:sz="4" w:space="0" w:color="000000"/>
            </w:tcBorders>
          </w:tcPr>
          <w:p>
            <w:pPr/>
          </w:p>
        </w:tc>
        <w:tc>
          <w:tcPr>
            <w:tcW w:w="1070" w:type="dxa"/>
            <w:tcBorders>
              <w:top w:val="dotted" w:sz="4" w:space="0" w:color="000000"/>
              <w:left w:val="dotted" w:sz="4" w:space="0" w:color="000000"/>
              <w:bottom w:val="single" w:sz="12" w:space="0" w:color="000000"/>
              <w:right w:val="dotted" w:sz="4" w:space="0" w:color="000000"/>
            </w:tcBorders>
          </w:tcPr>
          <w:p>
            <w:pPr/>
          </w:p>
        </w:tc>
        <w:tc>
          <w:tcPr>
            <w:tcW w:w="2309" w:type="dxa"/>
            <w:gridSpan w:val="2"/>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42"/>
          <w:footerReference w:type="default" r:id="rId43"/>
          <w:pgSz w:w="16840" w:h="11910" w:orient="landscape"/>
          <w:pgMar w:header="877" w:footer="980" w:top="1120" w:bottom="1160" w:left="1300" w:right="1300"/>
          <w:pgNumType w:start="159"/>
        </w:sectPr>
      </w:pPr>
    </w:p>
    <w:p>
      <w:pPr>
        <w:spacing w:line="240" w:lineRule="auto" w:before="2"/>
        <w:rPr>
          <w:rFonts w:ascii="Times New Roman" w:hAnsi="Times New Roman" w:cs="Times New Roman" w:eastAsia="Times New Roman" w:hint="default"/>
          <w:sz w:val="3"/>
          <w:szCs w:val="3"/>
        </w:rPr>
      </w:pPr>
      <w:r>
        <w:rPr/>
        <w:pict>
          <v:group style="position:absolute;margin-left:546.429993pt;margin-top:126.26001pt;width:.5pt;height:.1pt;mso-position-horizontal-relative:page;mso-position-vertical-relative:page;z-index:-1329496" coordorigin="10929,2525" coordsize="10,2">
            <v:shape style="position:absolute;left:10929;top:2525;width:10;height:2" coordorigin="10929,2525" coordsize="10,0" path="m10929,2525l10938,2525e" filled="false" stroked="true" strokeweight=".72pt" strokecolor="#000000">
              <v:path arrowok="t"/>
              <v:stroke dashstyle="dash"/>
            </v:shape>
            <w10:wrap type="none"/>
          </v:group>
        </w:pict>
      </w:r>
      <w:r>
        <w:rPr/>
        <w:pict>
          <v:group style="position:absolute;margin-left:600.820007pt;margin-top:126.26001pt;width:.5pt;height:.1pt;mso-position-horizontal-relative:page;mso-position-vertical-relative:page;z-index:-1329472" coordorigin="12016,2525" coordsize="10,2">
            <v:shape style="position:absolute;left:12016;top:2525;width:10;height:2" coordorigin="12016,2525" coordsize="10,0" path="m12016,2525l12026,2525e" filled="false" stroked="true" strokeweight=".72pt" strokecolor="#000000">
              <v:path arrowok="t"/>
              <v:stroke dashstyle="dash"/>
            </v:shape>
            <w10:wrap type="none"/>
          </v:group>
        </w:pict>
      </w:r>
      <w:r>
        <w:rPr/>
        <w:pict>
          <v:group style="position:absolute;margin-left:483.790009pt;margin-top:235.610001pt;width:.5pt;height:.1pt;mso-position-horizontal-relative:page;mso-position-vertical-relative:page;z-index:-1329448" coordorigin="9676,4712" coordsize="10,2">
            <v:shape style="position:absolute;left:9676;top:4712;width:10;height:2" coordorigin="9676,4712" coordsize="10,0" path="m9676,4712l9685,4712e" filled="false" stroked="true" strokeweight=".72pt" strokecolor="#000000">
              <v:path arrowok="t"/>
              <v:stroke dashstyle="dash"/>
            </v:shape>
            <w10:wrap type="none"/>
          </v:group>
        </w:pict>
      </w:r>
      <w:r>
        <w:rPr/>
        <w:pict>
          <v:group style="position:absolute;margin-left:715.900024pt;margin-top:235.610001pt;width:.5pt;height:.1pt;mso-position-horizontal-relative:page;mso-position-vertical-relative:page;z-index:-1329424" coordorigin="14318,4712" coordsize="10,2">
            <v:shape style="position:absolute;left:14318;top:4712;width:10;height:2" coordorigin="14318,4712" coordsize="10,0" path="m14318,4712l14328,4712e" filled="false" stroked="true" strokeweight=".72pt" strokecolor="#000000">
              <v:path arrowok="t"/>
              <v:stroke dashstyle="dash"/>
            </v:shape>
            <w10:wrap type="none"/>
          </v:group>
        </w:pict>
      </w:r>
      <w:r>
        <w:rPr/>
        <w:pict>
          <v:group style="position:absolute;margin-left:234.259995pt;margin-top:390.790009pt;width:.5pt;height:.1pt;mso-position-horizontal-relative:page;mso-position-vertical-relative:page;z-index:-1329400" coordorigin="4685,7816" coordsize="10,2">
            <v:shape style="position:absolute;left:4685;top:7816;width:10;height:2" coordorigin="4685,7816" coordsize="10,0" path="m4685,7816l4695,7816e" filled="false" stroked="true" strokeweight=".72pt" strokecolor="#000000">
              <v:path arrowok="t"/>
              <v:stroke dashstyle="dash"/>
            </v:shape>
            <w10:wrap type="none"/>
          </v:group>
        </w:pict>
      </w:r>
      <w:r>
        <w:rPr/>
        <w:pict>
          <v:group style="position:absolute;margin-left:296.209991pt;margin-top:390.790009pt;width:.5pt;height:.1pt;mso-position-horizontal-relative:page;mso-position-vertical-relative:page;z-index:-1329376" coordorigin="5924,7816" coordsize="10,2">
            <v:shape style="position:absolute;left:5924;top:7816;width:10;height:2" coordorigin="5924,7816" coordsize="10,0" path="m5924,7816l5934,7816e" filled="false" stroked="true" strokeweight=".72pt" strokecolor="#000000">
              <v:path arrowok="t"/>
              <v:stroke dashstyle="dash"/>
            </v:shape>
            <w10:wrap type="none"/>
          </v:group>
        </w:pict>
      </w:r>
      <w:r>
        <w:rPr/>
        <w:pict>
          <v:group style="position:absolute;margin-left:399.769989pt;margin-top:390.790009pt;width:.5pt;height:.1pt;mso-position-horizontal-relative:page;mso-position-vertical-relative:page;z-index:-1329352" coordorigin="7995,7816" coordsize="10,2">
            <v:shape style="position:absolute;left:7995;top:7816;width:10;height:2" coordorigin="7995,7816" coordsize="10,0" path="m7995,7816l8005,7816e" filled="false" stroked="true" strokeweight=".72pt" strokecolor="#000000">
              <v:path arrowok="t"/>
              <v:stroke dashstyle="dash"/>
            </v:shape>
            <w10:wrap type="none"/>
          </v:group>
        </w:pict>
      </w:r>
      <w:r>
        <w:rPr/>
        <w:pict>
          <v:group style="position:absolute;margin-left:477.309998pt;margin-top:390.790009pt;width:.5pt;height:.1pt;mso-position-horizontal-relative:page;mso-position-vertical-relative:page;z-index:-1329328" coordorigin="9546,7816" coordsize="10,2">
            <v:shape style="position:absolute;left:9546;top:7816;width:10;height:2" coordorigin="9546,7816" coordsize="10,0" path="m9546,7816l9556,7816e" filled="false" stroked="true" strokeweight=".72pt" strokecolor="#000000">
              <v:path arrowok="t"/>
              <v:stroke dashstyle="dash"/>
            </v:shape>
            <w10:wrap type="none"/>
          </v:group>
        </w:pict>
      </w:r>
      <w:r>
        <w:rPr/>
        <w:pict>
          <v:group style="position:absolute;margin-left:643.539978pt;margin-top:390.790009pt;width:.5pt;height:.1pt;mso-position-horizontal-relative:page;mso-position-vertical-relative:page;z-index:-1329304" coordorigin="12871,7816" coordsize="10,2">
            <v:shape style="position:absolute;left:12871;top:7816;width:10;height:2" coordorigin="12871,7816" coordsize="10,0" path="m12871,7816l12880,7816e" filled="false" stroked="true" strokeweight=".72pt" strokecolor="#000000">
              <v:path arrowok="t"/>
              <v:stroke dashstyle="dash"/>
            </v:shape>
            <w10:wrap type="none"/>
          </v:group>
        </w:pict>
      </w:r>
    </w:p>
    <w:tbl>
      <w:tblPr>
        <w:tblW w:w="0" w:type="auto"/>
        <w:jc w:val="left"/>
        <w:tblInd w:w="102" w:type="dxa"/>
        <w:tblLayout w:type="fixed"/>
        <w:tblCellMar>
          <w:top w:w="0" w:type="dxa"/>
          <w:left w:w="0" w:type="dxa"/>
          <w:bottom w:w="0" w:type="dxa"/>
          <w:right w:w="0" w:type="dxa"/>
        </w:tblCellMar>
        <w:tblLook w:val="01E0"/>
      </w:tblPr>
      <w:tblGrid>
        <w:gridCol w:w="1239"/>
        <w:gridCol w:w="1250"/>
        <w:gridCol w:w="1073"/>
        <w:gridCol w:w="1056"/>
        <w:gridCol w:w="1246"/>
        <w:gridCol w:w="1056"/>
        <w:gridCol w:w="1349"/>
        <w:gridCol w:w="1253"/>
        <w:gridCol w:w="1088"/>
        <w:gridCol w:w="1070"/>
        <w:gridCol w:w="1231"/>
        <w:gridCol w:w="1107"/>
      </w:tblGrid>
      <w:tr>
        <w:trPr>
          <w:trHeight w:val="1380" w:hRule="exact"/>
        </w:trPr>
        <w:tc>
          <w:tcPr>
            <w:tcW w:w="1239" w:type="dxa"/>
            <w:tcBorders>
              <w:top w:val="single" w:sz="23" w:space="0" w:color="000000"/>
              <w:left w:val="nil" w:sz="6" w:space="0" w:color="auto"/>
              <w:bottom w:val="dotted" w:sz="4" w:space="0" w:color="000000"/>
              <w:right w:val="dotted" w:sz="4" w:space="0" w:color="000000"/>
            </w:tcBorders>
          </w:tcPr>
          <w:p>
            <w:pPr>
              <w:pStyle w:val="TableParagraph"/>
              <w:spacing w:line="240" w:lineRule="auto" w:before="84"/>
              <w:ind w:left="32" w:right="0"/>
              <w:jc w:val="center"/>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p>
          <w:p>
            <w:pPr>
              <w:pStyle w:val="TableParagraph"/>
              <w:spacing w:line="357" w:lineRule="auto" w:before="102"/>
              <w:ind w:left="71" w:right="36"/>
              <w:jc w:val="center"/>
              <w:rPr>
                <w:rFonts w:ascii="宋体" w:hAnsi="宋体" w:cs="宋体" w:eastAsia="宋体" w:hint="default"/>
                <w:sz w:val="16"/>
                <w:szCs w:val="16"/>
              </w:rPr>
            </w:pPr>
            <w:r>
              <w:rPr>
                <w:rFonts w:ascii="宋体" w:hAnsi="宋体" w:cs="宋体" w:eastAsia="宋体" w:hint="default"/>
                <w:sz w:val="16"/>
                <w:szCs w:val="16"/>
              </w:rPr>
              <w:t>日列报项目与金</w:t>
            </w:r>
            <w:r>
              <w:rPr>
                <w:rFonts w:ascii="宋体" w:hAnsi="宋体" w:cs="宋体" w:eastAsia="宋体" w:hint="default"/>
                <w:w w:val="100"/>
                <w:sz w:val="16"/>
                <w:szCs w:val="16"/>
              </w:rPr>
              <w:t> </w:t>
            </w:r>
            <w:r>
              <w:rPr>
                <w:rFonts w:ascii="宋体" w:hAnsi="宋体" w:cs="宋体" w:eastAsia="宋体" w:hint="default"/>
                <w:sz w:val="16"/>
                <w:szCs w:val="16"/>
              </w:rPr>
              <w:t>额</w:t>
            </w:r>
            <w:r>
              <w:rPr>
                <w:rFonts w:ascii="宋体" w:hAnsi="宋体" w:cs="宋体" w:eastAsia="宋体" w:hint="default"/>
                <w:sz w:val="16"/>
                <w:szCs w:val="16"/>
              </w:rPr>
              <w:t>-</w:t>
            </w:r>
            <w:r>
              <w:rPr>
                <w:rFonts w:ascii="宋体" w:hAnsi="宋体" w:cs="宋体" w:eastAsia="宋体" w:hint="default"/>
                <w:sz w:val="16"/>
                <w:szCs w:val="16"/>
              </w:rPr>
              <w:t>原金融工具</w:t>
            </w:r>
            <w:r>
              <w:rPr>
                <w:rFonts w:ascii="宋体" w:hAnsi="宋体" w:cs="宋体" w:eastAsia="宋体" w:hint="default"/>
                <w:w w:val="100"/>
                <w:sz w:val="16"/>
                <w:szCs w:val="16"/>
              </w:rPr>
              <w:t> </w:t>
            </w:r>
            <w:r>
              <w:rPr>
                <w:rFonts w:ascii="宋体" w:hAnsi="宋体" w:cs="宋体" w:eastAsia="宋体" w:hint="default"/>
                <w:sz w:val="16"/>
                <w:szCs w:val="16"/>
              </w:rPr>
              <w:t>准则</w:t>
            </w:r>
          </w:p>
        </w:tc>
        <w:tc>
          <w:tcPr>
            <w:tcW w:w="1250" w:type="dxa"/>
            <w:tcBorders>
              <w:top w:val="single" w:sz="23"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97" w:right="0"/>
              <w:jc w:val="left"/>
              <w:rPr>
                <w:rFonts w:ascii="宋体" w:hAnsi="宋体" w:cs="宋体" w:eastAsia="宋体" w:hint="default"/>
                <w:sz w:val="16"/>
                <w:szCs w:val="16"/>
              </w:rPr>
            </w:pPr>
            <w:r>
              <w:rPr>
                <w:rFonts w:ascii="宋体" w:hAnsi="宋体" w:cs="宋体" w:eastAsia="宋体" w:hint="default"/>
                <w:sz w:val="16"/>
                <w:szCs w:val="16"/>
              </w:rPr>
              <w:t>融出资金</w:t>
            </w:r>
          </w:p>
        </w:tc>
        <w:tc>
          <w:tcPr>
            <w:tcW w:w="1073" w:type="dxa"/>
            <w:tcBorders>
              <w:top w:val="single" w:sz="23"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11"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056" w:type="dxa"/>
            <w:tcBorders>
              <w:top w:val="single" w:sz="23"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57" w:lineRule="auto"/>
              <w:ind w:left="201" w:right="80" w:hanging="120"/>
              <w:jc w:val="left"/>
              <w:rPr>
                <w:rFonts w:ascii="宋体" w:hAnsi="宋体" w:cs="宋体" w:eastAsia="宋体" w:hint="default"/>
                <w:sz w:val="16"/>
                <w:szCs w:val="16"/>
              </w:rPr>
            </w:pPr>
            <w:r>
              <w:rPr>
                <w:rFonts w:ascii="宋体" w:hAnsi="宋体" w:cs="宋体" w:eastAsia="宋体" w:hint="default"/>
                <w:sz w:val="16"/>
                <w:szCs w:val="16"/>
              </w:rPr>
              <w:t>其他应收款</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应收利息</w:t>
            </w:r>
          </w:p>
        </w:tc>
        <w:tc>
          <w:tcPr>
            <w:tcW w:w="1246" w:type="dxa"/>
            <w:tcBorders>
              <w:top w:val="single" w:sz="23"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57" w:lineRule="auto"/>
              <w:ind w:left="537" w:right="53" w:hanging="480"/>
              <w:jc w:val="left"/>
              <w:rPr>
                <w:rFonts w:ascii="宋体" w:hAnsi="宋体" w:cs="宋体" w:eastAsia="宋体" w:hint="default"/>
                <w:sz w:val="16"/>
                <w:szCs w:val="16"/>
              </w:rPr>
            </w:pPr>
            <w:r>
              <w:rPr>
                <w:rFonts w:ascii="宋体" w:hAnsi="宋体" w:cs="宋体" w:eastAsia="宋体" w:hint="default"/>
                <w:sz w:val="16"/>
                <w:szCs w:val="16"/>
              </w:rPr>
              <w:t>买入返售金融资</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产</w:t>
            </w:r>
          </w:p>
        </w:tc>
        <w:tc>
          <w:tcPr>
            <w:tcW w:w="1056" w:type="dxa"/>
            <w:tcBorders>
              <w:top w:val="single" w:sz="23"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01"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1349" w:type="dxa"/>
            <w:tcBorders>
              <w:top w:val="single" w:sz="23"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57" w:lineRule="auto"/>
              <w:ind w:left="28" w:right="26"/>
              <w:jc w:val="center"/>
              <w:rPr>
                <w:rFonts w:ascii="宋体" w:hAnsi="宋体" w:cs="宋体" w:eastAsia="宋体" w:hint="default"/>
                <w:sz w:val="16"/>
                <w:szCs w:val="16"/>
              </w:rPr>
            </w:pPr>
            <w:r>
              <w:rPr>
                <w:rFonts w:ascii="宋体" w:hAnsi="宋体" w:cs="宋体" w:eastAsia="宋体" w:hint="default"/>
                <w:spacing w:val="-1"/>
                <w:sz w:val="16"/>
                <w:szCs w:val="16"/>
              </w:rPr>
              <w:t>以公允价值计量且</w:t>
            </w:r>
            <w:r>
              <w:rPr>
                <w:rFonts w:ascii="宋体" w:hAnsi="宋体" w:cs="宋体" w:eastAsia="宋体" w:hint="default"/>
                <w:w w:val="100"/>
                <w:sz w:val="16"/>
                <w:szCs w:val="16"/>
              </w:rPr>
              <w:t> </w:t>
            </w:r>
            <w:r>
              <w:rPr>
                <w:rFonts w:ascii="宋体" w:hAnsi="宋体" w:cs="宋体" w:eastAsia="宋体" w:hint="default"/>
                <w:spacing w:val="-1"/>
                <w:sz w:val="16"/>
                <w:szCs w:val="16"/>
              </w:rPr>
              <w:t>其变动计入当期损</w:t>
            </w:r>
            <w:r>
              <w:rPr>
                <w:rFonts w:ascii="宋体" w:hAnsi="宋体" w:cs="宋体" w:eastAsia="宋体" w:hint="default"/>
                <w:w w:val="100"/>
                <w:sz w:val="16"/>
                <w:szCs w:val="16"/>
              </w:rPr>
              <w:t> </w:t>
            </w:r>
            <w:r>
              <w:rPr>
                <w:rFonts w:ascii="宋体" w:hAnsi="宋体" w:cs="宋体" w:eastAsia="宋体" w:hint="default"/>
                <w:sz w:val="16"/>
                <w:szCs w:val="16"/>
              </w:rPr>
              <w:t>益的金融资产</w:t>
            </w:r>
          </w:p>
        </w:tc>
        <w:tc>
          <w:tcPr>
            <w:tcW w:w="3411" w:type="dxa"/>
            <w:gridSpan w:val="3"/>
            <w:tcBorders>
              <w:top w:val="single" w:sz="23"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58"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231" w:type="dxa"/>
            <w:tcBorders>
              <w:top w:val="single" w:sz="23"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57" w:lineRule="auto"/>
              <w:ind w:left="208" w:right="7" w:hanging="200"/>
              <w:jc w:val="left"/>
              <w:rPr>
                <w:rFonts w:ascii="宋体" w:hAnsi="宋体" w:cs="宋体" w:eastAsia="宋体" w:hint="default"/>
                <w:sz w:val="16"/>
                <w:szCs w:val="16"/>
              </w:rPr>
            </w:pPr>
            <w:r>
              <w:rPr>
                <w:rFonts w:ascii="宋体" w:hAnsi="宋体" w:cs="宋体" w:eastAsia="宋体" w:hint="default"/>
                <w:sz w:val="16"/>
                <w:szCs w:val="16"/>
              </w:rPr>
              <w:t>其他流动资产</w:t>
            </w:r>
            <w:r>
              <w:rPr>
                <w:rFonts w:ascii="宋体" w:hAnsi="宋体" w:cs="宋体" w:eastAsia="宋体" w:hint="default"/>
                <w:sz w:val="16"/>
                <w:szCs w:val="16"/>
              </w:rPr>
              <w:t>-</w:t>
            </w:r>
            <w:r>
              <w:rPr>
                <w:rFonts w:ascii="宋体" w:hAnsi="宋体" w:cs="宋体" w:eastAsia="宋体" w:hint="default"/>
                <w:sz w:val="16"/>
                <w:szCs w:val="16"/>
              </w:rPr>
              <w:t>单</w:t>
            </w:r>
            <w:r>
              <w:rPr>
                <w:rFonts w:ascii="宋体" w:hAnsi="宋体" w:cs="宋体" w:eastAsia="宋体" w:hint="default"/>
                <w:w w:val="100"/>
                <w:sz w:val="16"/>
                <w:szCs w:val="16"/>
              </w:rPr>
              <w:t> </w:t>
            </w:r>
            <w:r>
              <w:rPr>
                <w:rFonts w:ascii="宋体" w:hAnsi="宋体" w:cs="宋体" w:eastAsia="宋体" w:hint="default"/>
                <w:sz w:val="16"/>
                <w:szCs w:val="16"/>
              </w:rPr>
              <w:t>一资金信托</w:t>
            </w:r>
          </w:p>
        </w:tc>
        <w:tc>
          <w:tcPr>
            <w:tcW w:w="1107" w:type="dxa"/>
            <w:tcBorders>
              <w:top w:val="single" w:sz="23"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57" w:lineRule="auto"/>
              <w:ind w:left="14" w:right="44" w:hanging="3"/>
              <w:jc w:val="center"/>
              <w:rPr>
                <w:rFonts w:ascii="宋体" w:hAnsi="宋体" w:cs="宋体" w:eastAsia="宋体" w:hint="default"/>
                <w:sz w:val="16"/>
                <w:szCs w:val="16"/>
              </w:rPr>
            </w:pPr>
            <w:r>
              <w:rPr>
                <w:rFonts w:ascii="宋体" w:hAnsi="宋体" w:cs="宋体" w:eastAsia="宋体" w:hint="default"/>
                <w:sz w:val="16"/>
                <w:szCs w:val="16"/>
              </w:rPr>
              <w:t>其他非流动资</w:t>
            </w:r>
            <w:r>
              <w:rPr>
                <w:rFonts w:ascii="宋体" w:hAnsi="宋体" w:cs="宋体" w:eastAsia="宋体" w:hint="default"/>
                <w:w w:val="100"/>
                <w:sz w:val="16"/>
                <w:szCs w:val="16"/>
              </w:rPr>
              <w:t> </w:t>
            </w:r>
            <w:r>
              <w:rPr>
                <w:rFonts w:ascii="宋体" w:hAnsi="宋体" w:cs="宋体" w:eastAsia="宋体" w:hint="default"/>
                <w:spacing w:val="-1"/>
                <w:sz w:val="16"/>
                <w:szCs w:val="16"/>
              </w:rPr>
              <w:t>产</w:t>
            </w:r>
            <w:r>
              <w:rPr>
                <w:rFonts w:ascii="宋体" w:hAnsi="宋体" w:cs="宋体" w:eastAsia="宋体" w:hint="default"/>
                <w:spacing w:val="-1"/>
                <w:sz w:val="16"/>
                <w:szCs w:val="16"/>
              </w:rPr>
              <w:t>-</w:t>
            </w:r>
            <w:r>
              <w:rPr>
                <w:rFonts w:ascii="宋体" w:hAnsi="宋体" w:cs="宋体" w:eastAsia="宋体" w:hint="default"/>
                <w:spacing w:val="-1"/>
                <w:sz w:val="16"/>
                <w:szCs w:val="16"/>
              </w:rPr>
              <w:t>单一资金信</w:t>
            </w:r>
            <w:r>
              <w:rPr>
                <w:rFonts w:ascii="宋体" w:hAnsi="宋体" w:cs="宋体" w:eastAsia="宋体" w:hint="default"/>
                <w:w w:val="100"/>
                <w:sz w:val="16"/>
                <w:szCs w:val="16"/>
              </w:rPr>
              <w:t> </w:t>
            </w:r>
            <w:r>
              <w:rPr>
                <w:rFonts w:ascii="宋体" w:hAnsi="宋体" w:cs="宋体" w:eastAsia="宋体" w:hint="default"/>
                <w:sz w:val="16"/>
                <w:szCs w:val="16"/>
              </w:rPr>
              <w:t>托</w:t>
            </w:r>
          </w:p>
        </w:tc>
      </w:tr>
      <w:tr>
        <w:trPr>
          <w:trHeight w:val="415" w:hRule="exact"/>
        </w:trPr>
        <w:tc>
          <w:tcPr>
            <w:tcW w:w="1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2"/>
              <w:ind w:left="43"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2,535,579.95</w:t>
            </w: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6,126,355.76</w:t>
            </w: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38"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left="1451" w:right="0"/>
              <w:jc w:val="left"/>
              <w:rPr>
                <w:rFonts w:ascii="Times New Roman" w:hAnsi="Times New Roman" w:cs="Times New Roman" w:eastAsia="Times New Roman" w:hint="default"/>
                <w:sz w:val="15"/>
                <w:szCs w:val="15"/>
              </w:rPr>
            </w:pPr>
            <w:r>
              <w:rPr>
                <w:rFonts w:ascii="Times New Roman"/>
                <w:sz w:val="15"/>
              </w:rPr>
              <w:t>-3,622,509.45</w:t>
            </w:r>
          </w:p>
        </w:tc>
      </w:tr>
      <w:tr>
        <w:trPr>
          <w:trHeight w:val="418" w:hRule="exact"/>
        </w:trPr>
        <w:tc>
          <w:tcPr>
            <w:tcW w:w="1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4"/>
              <w:ind w:left="43" w:right="0"/>
              <w:jc w:val="left"/>
              <w:rPr>
                <w:rFonts w:ascii="宋体" w:hAnsi="宋体" w:cs="宋体" w:eastAsia="宋体" w:hint="default"/>
                <w:sz w:val="16"/>
                <w:szCs w:val="16"/>
              </w:rPr>
            </w:pPr>
            <w:r>
              <w:rPr>
                <w:rFonts w:ascii="宋体" w:hAnsi="宋体" w:cs="宋体" w:eastAsia="宋体" w:hint="default"/>
                <w:sz w:val="16"/>
                <w:szCs w:val="16"/>
              </w:rPr>
              <w:t>估值调整</w:t>
            </w:r>
          </w:p>
        </w:tc>
        <w:tc>
          <w:tcPr>
            <w:tcW w:w="125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056" w:type="dxa"/>
            <w:tcBorders>
              <w:top w:val="dotted" w:sz="4" w:space="0" w:color="000000"/>
              <w:left w:val="dotted" w:sz="4" w:space="0" w:color="000000"/>
              <w:bottom w:val="dotted" w:sz="4" w:space="0" w:color="000000"/>
              <w:right w:val="dotted" w:sz="4" w:space="0" w:color="000000"/>
            </w:tcBorders>
          </w:tcPr>
          <w:p>
            <w:pPr/>
          </w:p>
        </w:tc>
        <w:tc>
          <w:tcPr>
            <w:tcW w:w="1349"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44,806,140.00</w:t>
            </w:r>
          </w:p>
        </w:tc>
        <w:tc>
          <w:tcPr>
            <w:tcW w:w="1088"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dotted" w:sz="4" w:space="0" w:color="000000"/>
            </w:tcBorders>
          </w:tcPr>
          <w:p>
            <w:pPr/>
          </w:p>
        </w:tc>
        <w:tc>
          <w:tcPr>
            <w:tcW w:w="2338" w:type="dxa"/>
            <w:gridSpan w:val="2"/>
            <w:tcBorders>
              <w:top w:val="dotted" w:sz="4" w:space="0" w:color="000000"/>
              <w:left w:val="dotted" w:sz="4" w:space="0" w:color="000000"/>
              <w:bottom w:val="dotted" w:sz="4" w:space="0" w:color="000000"/>
              <w:right w:val="nil" w:sz="6" w:space="0" w:color="auto"/>
            </w:tcBorders>
          </w:tcPr>
          <w:p>
            <w:pPr/>
          </w:p>
        </w:tc>
      </w:tr>
      <w:tr>
        <w:trPr>
          <w:trHeight w:val="865" w:hRule="exact"/>
        </w:trPr>
        <w:tc>
          <w:tcPr>
            <w:tcW w:w="1239" w:type="dxa"/>
            <w:vMerge w:val="restart"/>
            <w:tcBorders>
              <w:top w:val="dotted" w:sz="4" w:space="0" w:color="000000"/>
              <w:left w:val="nil" w:sz="6" w:space="0" w:color="auto"/>
              <w:right w:val="dotted" w:sz="4" w:space="0" w:color="000000"/>
            </w:tcBorders>
          </w:tcPr>
          <w:p>
            <w:pPr>
              <w:pStyle w:val="TableParagraph"/>
              <w:spacing w:line="357" w:lineRule="auto" w:before="82"/>
              <w:ind w:left="43" w:right="-3"/>
              <w:jc w:val="both"/>
              <w:rPr>
                <w:rFonts w:ascii="宋体" w:hAnsi="宋体" w:cs="宋体" w:eastAsia="宋体" w:hint="default"/>
                <w:sz w:val="16"/>
                <w:szCs w:val="16"/>
              </w:rPr>
            </w:pPr>
            <w:r>
              <w:rPr>
                <w:rFonts w:ascii="宋体" w:hAnsi="宋体" w:cs="宋体" w:eastAsia="宋体" w:hint="default"/>
                <w:sz w:val="16"/>
                <w:szCs w:val="16"/>
              </w:rPr>
              <w:t>2019</w:t>
            </w:r>
            <w:r>
              <w:rPr>
                <w:rFonts w:ascii="宋体" w:hAnsi="宋体" w:cs="宋体" w:eastAsia="宋体" w:hint="default"/>
                <w:spacing w:val="-59"/>
                <w:sz w:val="16"/>
                <w:szCs w:val="16"/>
              </w:rPr>
              <w:t> </w:t>
            </w:r>
            <w:r>
              <w:rPr>
                <w:rFonts w:ascii="宋体" w:hAnsi="宋体" w:cs="宋体" w:eastAsia="宋体" w:hint="default"/>
                <w:sz w:val="16"/>
                <w:szCs w:val="16"/>
              </w:rPr>
              <w:t>年</w:t>
            </w:r>
            <w:r>
              <w:rPr>
                <w:rFonts w:ascii="宋体" w:hAnsi="宋体" w:cs="宋体" w:eastAsia="宋体" w:hint="default"/>
                <w:spacing w:val="-64"/>
                <w:sz w:val="16"/>
                <w:szCs w:val="16"/>
              </w:rPr>
              <w:t> </w:t>
            </w:r>
            <w:r>
              <w:rPr>
                <w:rFonts w:ascii="宋体" w:hAnsi="宋体" w:cs="宋体" w:eastAsia="宋体" w:hint="default"/>
                <w:sz w:val="16"/>
                <w:szCs w:val="16"/>
              </w:rPr>
              <w:t>1 </w:t>
            </w:r>
            <w:r>
              <w:rPr>
                <w:rFonts w:ascii="宋体" w:hAnsi="宋体" w:cs="宋体" w:eastAsia="宋体" w:hint="default"/>
                <w:sz w:val="16"/>
                <w:szCs w:val="16"/>
              </w:rPr>
              <w:t>月</w:t>
            </w:r>
            <w:r>
              <w:rPr>
                <w:rFonts w:ascii="宋体" w:hAnsi="宋体" w:cs="宋体" w:eastAsia="宋体" w:hint="default"/>
                <w:spacing w:val="-61"/>
                <w:sz w:val="16"/>
                <w:szCs w:val="16"/>
              </w:rPr>
              <w:t> </w:t>
            </w:r>
            <w:r>
              <w:rPr>
                <w:rFonts w:ascii="宋体" w:hAnsi="宋体" w:cs="宋体" w:eastAsia="宋体" w:hint="default"/>
                <w:sz w:val="16"/>
                <w:szCs w:val="16"/>
              </w:rPr>
              <w:t>1 </w:t>
            </w:r>
            <w:r>
              <w:rPr>
                <w:rFonts w:ascii="宋体" w:hAnsi="宋体" w:cs="宋体" w:eastAsia="宋体" w:hint="default"/>
                <w:sz w:val="16"/>
                <w:szCs w:val="16"/>
              </w:rPr>
              <w:t>日</w:t>
            </w:r>
            <w:r>
              <w:rPr>
                <w:rFonts w:ascii="宋体" w:hAnsi="宋体" w:cs="宋体" w:eastAsia="宋体" w:hint="default"/>
                <w:w w:val="100"/>
                <w:sz w:val="16"/>
                <w:szCs w:val="16"/>
              </w:rPr>
              <w:t> </w:t>
            </w:r>
            <w:r>
              <w:rPr>
                <w:rFonts w:ascii="宋体" w:hAnsi="宋体" w:cs="宋体" w:eastAsia="宋体" w:hint="default"/>
                <w:spacing w:val="8"/>
                <w:sz w:val="16"/>
                <w:szCs w:val="16"/>
              </w:rPr>
              <w:t>的核算科目与金</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额</w:t>
            </w:r>
            <w:r>
              <w:rPr>
                <w:rFonts w:ascii="宋体" w:hAnsi="宋体" w:cs="宋体" w:eastAsia="宋体" w:hint="default"/>
                <w:spacing w:val="-58"/>
                <w:sz w:val="16"/>
                <w:szCs w:val="16"/>
              </w:rPr>
              <w:t> </w:t>
            </w:r>
            <w:r>
              <w:rPr>
                <w:rFonts w:ascii="宋体" w:hAnsi="宋体" w:cs="宋体" w:eastAsia="宋体" w:hint="default"/>
                <w:sz w:val="16"/>
                <w:szCs w:val="16"/>
              </w:rPr>
              <w:t>-</w:t>
            </w:r>
            <w:r>
              <w:rPr>
                <w:rFonts w:ascii="宋体" w:hAnsi="宋体" w:cs="宋体" w:eastAsia="宋体" w:hint="default"/>
                <w:spacing w:val="-55"/>
                <w:sz w:val="16"/>
                <w:szCs w:val="16"/>
              </w:rPr>
              <w:t> </w:t>
            </w:r>
            <w:r>
              <w:rPr>
                <w:rFonts w:ascii="宋体" w:hAnsi="宋体" w:cs="宋体" w:eastAsia="宋体" w:hint="default"/>
                <w:sz w:val="16"/>
                <w:szCs w:val="16"/>
              </w:rPr>
              <w:t>新</w:t>
            </w:r>
            <w:r>
              <w:rPr>
                <w:rFonts w:ascii="宋体" w:hAnsi="宋体" w:cs="宋体" w:eastAsia="宋体" w:hint="default"/>
                <w:spacing w:val="-59"/>
                <w:sz w:val="16"/>
                <w:szCs w:val="16"/>
              </w:rPr>
              <w:t> </w:t>
            </w:r>
            <w:r>
              <w:rPr>
                <w:rFonts w:ascii="宋体" w:hAnsi="宋体" w:cs="宋体" w:eastAsia="宋体" w:hint="default"/>
                <w:sz w:val="16"/>
                <w:szCs w:val="16"/>
              </w:rPr>
              <w:t>金</w:t>
            </w:r>
            <w:r>
              <w:rPr>
                <w:rFonts w:ascii="宋体" w:hAnsi="宋体" w:cs="宋体" w:eastAsia="宋体" w:hint="default"/>
                <w:spacing w:val="-57"/>
                <w:sz w:val="16"/>
                <w:szCs w:val="16"/>
              </w:rPr>
              <w:t> </w:t>
            </w:r>
            <w:r>
              <w:rPr>
                <w:rFonts w:ascii="宋体" w:hAnsi="宋体" w:cs="宋体" w:eastAsia="宋体" w:hint="default"/>
                <w:sz w:val="16"/>
                <w:szCs w:val="16"/>
              </w:rPr>
              <w:t>融</w:t>
            </w:r>
            <w:r>
              <w:rPr>
                <w:rFonts w:ascii="宋体" w:hAnsi="宋体" w:cs="宋体" w:eastAsia="宋体" w:hint="default"/>
                <w:spacing w:val="-59"/>
                <w:sz w:val="16"/>
                <w:szCs w:val="16"/>
              </w:rPr>
              <w:t> </w:t>
            </w:r>
            <w:r>
              <w:rPr>
                <w:rFonts w:ascii="宋体" w:hAnsi="宋体" w:cs="宋体" w:eastAsia="宋体" w:hint="default"/>
                <w:sz w:val="16"/>
                <w:szCs w:val="16"/>
              </w:rPr>
              <w:t>工</w:t>
            </w:r>
            <w:r>
              <w:rPr>
                <w:rFonts w:ascii="宋体" w:hAnsi="宋体" w:cs="宋体" w:eastAsia="宋体" w:hint="default"/>
                <w:spacing w:val="-57"/>
                <w:sz w:val="16"/>
                <w:szCs w:val="16"/>
              </w:rPr>
              <w:t> </w:t>
            </w:r>
            <w:r>
              <w:rPr>
                <w:rFonts w:ascii="宋体" w:hAnsi="宋体" w:cs="宋体" w:eastAsia="宋体" w:hint="default"/>
                <w:sz w:val="16"/>
                <w:szCs w:val="16"/>
              </w:rPr>
              <w:t>具</w:t>
            </w:r>
            <w:r>
              <w:rPr>
                <w:rFonts w:ascii="宋体" w:hAnsi="宋体" w:cs="宋体" w:eastAsia="宋体" w:hint="default"/>
                <w:w w:val="100"/>
                <w:sz w:val="16"/>
                <w:szCs w:val="16"/>
              </w:rPr>
              <w:t> </w:t>
            </w:r>
            <w:r>
              <w:rPr>
                <w:rFonts w:ascii="宋体" w:hAnsi="宋体" w:cs="宋体" w:eastAsia="宋体" w:hint="default"/>
                <w:sz w:val="16"/>
                <w:szCs w:val="16"/>
              </w:rPr>
              <w:t>准则</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319" w:right="0"/>
              <w:jc w:val="left"/>
              <w:rPr>
                <w:rFonts w:ascii="宋体" w:hAnsi="宋体" w:cs="宋体" w:eastAsia="宋体" w:hint="default"/>
                <w:sz w:val="15"/>
                <w:szCs w:val="15"/>
              </w:rPr>
            </w:pPr>
            <w:r>
              <w:rPr>
                <w:rFonts w:ascii="宋体" w:hAnsi="宋体" w:cs="宋体" w:eastAsia="宋体" w:hint="default"/>
                <w:sz w:val="15"/>
                <w:szCs w:val="15"/>
              </w:rPr>
              <w:t>融出资金</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379" w:lineRule="auto"/>
              <w:ind w:left="297" w:right="31" w:hanging="262"/>
              <w:jc w:val="left"/>
              <w:rPr>
                <w:rFonts w:ascii="宋体" w:hAnsi="宋体" w:cs="宋体" w:eastAsia="宋体" w:hint="default"/>
                <w:sz w:val="15"/>
                <w:szCs w:val="15"/>
              </w:rPr>
            </w:pPr>
            <w:r>
              <w:rPr>
                <w:rFonts w:ascii="宋体" w:hAnsi="宋体" w:cs="宋体" w:eastAsia="宋体" w:hint="default"/>
                <w:sz w:val="15"/>
                <w:szCs w:val="15"/>
              </w:rPr>
              <w:t>其他应收款</w:t>
            </w:r>
            <w:r>
              <w:rPr>
                <w:rFonts w:ascii="宋体" w:hAnsi="宋体" w:cs="宋体" w:eastAsia="宋体" w:hint="default"/>
                <w:sz w:val="15"/>
                <w:szCs w:val="15"/>
              </w:rPr>
              <w:t>-</w:t>
            </w:r>
            <w:r>
              <w:rPr>
                <w:rFonts w:ascii="宋体" w:hAnsi="宋体" w:cs="宋体" w:eastAsia="宋体" w:hint="default"/>
                <w:sz w:val="15"/>
                <w:szCs w:val="15"/>
              </w:rPr>
              <w:t>应</w:t>
            </w:r>
            <w:r>
              <w:rPr>
                <w:rFonts w:ascii="宋体" w:hAnsi="宋体" w:cs="宋体" w:eastAsia="宋体" w:hint="default"/>
                <w:w w:val="100"/>
                <w:sz w:val="15"/>
                <w:szCs w:val="15"/>
              </w:rPr>
              <w:t> </w:t>
            </w:r>
            <w:r>
              <w:rPr>
                <w:rFonts w:ascii="宋体" w:hAnsi="宋体" w:cs="宋体" w:eastAsia="宋体" w:hint="default"/>
                <w:sz w:val="15"/>
                <w:szCs w:val="15"/>
              </w:rPr>
              <w:t>收利息</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4"/>
              <w:jc w:val="right"/>
              <w:rPr>
                <w:rFonts w:ascii="宋体" w:hAnsi="宋体" w:cs="宋体" w:eastAsia="宋体" w:hint="default"/>
                <w:sz w:val="15"/>
                <w:szCs w:val="15"/>
              </w:rPr>
            </w:pPr>
            <w:r>
              <w:rPr>
                <w:rFonts w:ascii="宋体" w:hAnsi="宋体" w:cs="宋体" w:eastAsia="宋体" w:hint="default"/>
                <w:spacing w:val="-2"/>
                <w:sz w:val="15"/>
                <w:szCs w:val="15"/>
              </w:rPr>
              <w:t>买入返售金融资产</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201"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260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768"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88" w:right="0"/>
              <w:jc w:val="left"/>
              <w:rPr>
                <w:rFonts w:ascii="宋体" w:hAnsi="宋体" w:cs="宋体" w:eastAsia="宋体" w:hint="default"/>
                <w:sz w:val="15"/>
                <w:szCs w:val="15"/>
              </w:rPr>
            </w:pPr>
            <w:r>
              <w:rPr>
                <w:rFonts w:ascii="宋体" w:hAnsi="宋体" w:cs="宋体" w:eastAsia="宋体" w:hint="default"/>
                <w:sz w:val="15"/>
                <w:szCs w:val="15"/>
              </w:rPr>
              <w:t>其他债权投资</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379" w:lineRule="auto"/>
              <w:ind w:left="381" w:right="74" w:hanging="30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w w:val="100"/>
                <w:sz w:val="15"/>
                <w:szCs w:val="15"/>
              </w:rPr>
              <w:t> </w:t>
            </w:r>
            <w:r>
              <w:rPr>
                <w:rFonts w:ascii="宋体" w:hAnsi="宋体" w:cs="宋体" w:eastAsia="宋体" w:hint="default"/>
                <w:sz w:val="15"/>
                <w:szCs w:val="15"/>
              </w:rPr>
              <w:t>投资</w:t>
            </w:r>
          </w:p>
        </w:tc>
        <w:tc>
          <w:tcPr>
            <w:tcW w:w="2338"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29"/>
              <w:jc w:val="center"/>
              <w:rPr>
                <w:rFonts w:ascii="宋体" w:hAnsi="宋体" w:cs="宋体" w:eastAsia="宋体" w:hint="default"/>
                <w:sz w:val="15"/>
                <w:szCs w:val="15"/>
              </w:rPr>
            </w:pPr>
            <w:r>
              <w:rPr>
                <w:rFonts w:ascii="宋体" w:hAnsi="宋体" w:cs="宋体" w:eastAsia="宋体" w:hint="default"/>
                <w:sz w:val="15"/>
                <w:szCs w:val="15"/>
              </w:rPr>
              <w:t>债权投资</w:t>
            </w:r>
          </w:p>
        </w:tc>
      </w:tr>
      <w:tr>
        <w:trPr>
          <w:trHeight w:val="490" w:hRule="exact"/>
        </w:trPr>
        <w:tc>
          <w:tcPr>
            <w:tcW w:w="1239" w:type="dxa"/>
            <w:vMerge/>
            <w:tcBorders>
              <w:left w:val="nil" w:sz="6" w:space="0" w:color="auto"/>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1,730,369,951.32</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266,366,777.73</w:t>
            </w:r>
          </w:p>
        </w:tc>
        <w:tc>
          <w:tcPr>
            <w:tcW w:w="1056"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4,419,038,283.54</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314,302.00</w:t>
            </w:r>
          </w:p>
        </w:tc>
        <w:tc>
          <w:tcPr>
            <w:tcW w:w="260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454" w:right="0"/>
              <w:jc w:val="left"/>
              <w:rPr>
                <w:rFonts w:ascii="Times New Roman" w:hAnsi="Times New Roman" w:cs="Times New Roman" w:eastAsia="Times New Roman" w:hint="default"/>
                <w:sz w:val="15"/>
                <w:szCs w:val="15"/>
              </w:rPr>
            </w:pPr>
            <w:r>
              <w:rPr>
                <w:rFonts w:ascii="Times New Roman"/>
                <w:sz w:val="15"/>
              </w:rPr>
              <w:t>14,046,200,147.41</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29" w:right="0"/>
              <w:jc w:val="left"/>
              <w:rPr>
                <w:rFonts w:ascii="Times New Roman" w:hAnsi="Times New Roman" w:cs="Times New Roman" w:eastAsia="Times New Roman" w:hint="default"/>
                <w:sz w:val="15"/>
                <w:szCs w:val="15"/>
              </w:rPr>
            </w:pPr>
            <w:r>
              <w:rPr>
                <w:rFonts w:ascii="Times New Roman"/>
                <w:sz w:val="15"/>
              </w:rPr>
              <w:t>686,597,803.93</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100,000,000.00</w:t>
            </w:r>
          </w:p>
        </w:tc>
        <w:tc>
          <w:tcPr>
            <w:tcW w:w="2338"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238" w:right="0"/>
              <w:jc w:val="left"/>
              <w:rPr>
                <w:rFonts w:ascii="Times New Roman" w:hAnsi="Times New Roman" w:cs="Times New Roman" w:eastAsia="Times New Roman" w:hint="default"/>
                <w:sz w:val="15"/>
                <w:szCs w:val="15"/>
              </w:rPr>
            </w:pPr>
            <w:r>
              <w:rPr>
                <w:rFonts w:ascii="Times New Roman"/>
                <w:sz w:val="15"/>
              </w:rPr>
              <w:t>1,509,220,641.27</w:t>
            </w:r>
          </w:p>
        </w:tc>
      </w:tr>
      <w:tr>
        <w:trPr>
          <w:trHeight w:val="730" w:hRule="exact"/>
        </w:trPr>
        <w:tc>
          <w:tcPr>
            <w:tcW w:w="1239" w:type="dxa"/>
            <w:vMerge w:val="restart"/>
            <w:tcBorders>
              <w:top w:val="dotted" w:sz="4" w:space="0" w:color="000000"/>
              <w:left w:val="nil" w:sz="6" w:space="0" w:color="auto"/>
              <w:right w:val="dotted" w:sz="4" w:space="0" w:color="000000"/>
            </w:tcBorders>
          </w:tcPr>
          <w:p>
            <w:pPr>
              <w:pStyle w:val="TableParagraph"/>
              <w:spacing w:line="357" w:lineRule="auto" w:before="82"/>
              <w:ind w:left="43" w:right="-3"/>
              <w:jc w:val="both"/>
              <w:rPr>
                <w:rFonts w:ascii="宋体" w:hAnsi="宋体" w:cs="宋体" w:eastAsia="宋体" w:hint="default"/>
                <w:sz w:val="16"/>
                <w:szCs w:val="16"/>
              </w:rPr>
            </w:pPr>
            <w:r>
              <w:rPr>
                <w:rFonts w:ascii="宋体" w:hAnsi="宋体" w:cs="宋体" w:eastAsia="宋体" w:hint="default"/>
                <w:sz w:val="16"/>
                <w:szCs w:val="16"/>
              </w:rPr>
              <w:t>2019</w:t>
            </w:r>
            <w:r>
              <w:rPr>
                <w:rFonts w:ascii="宋体" w:hAnsi="宋体" w:cs="宋体" w:eastAsia="宋体" w:hint="default"/>
                <w:spacing w:val="-3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宋体" w:hAnsi="宋体" w:cs="宋体" w:eastAsia="宋体" w:hint="default"/>
                <w:sz w:val="16"/>
                <w:szCs w:val="16"/>
              </w:rPr>
              <w:t>1</w:t>
            </w:r>
            <w:r>
              <w:rPr>
                <w:rFonts w:ascii="宋体" w:hAnsi="宋体" w:cs="宋体" w:eastAsia="宋体" w:hint="default"/>
                <w:spacing w:val="-36"/>
                <w:sz w:val="16"/>
                <w:szCs w:val="16"/>
              </w:rPr>
              <w:t> </w:t>
            </w:r>
            <w:r>
              <w:rPr>
                <w:rFonts w:ascii="宋体" w:hAnsi="宋体" w:cs="宋体" w:eastAsia="宋体" w:hint="default"/>
                <w:sz w:val="16"/>
                <w:szCs w:val="16"/>
              </w:rPr>
              <w:t>月</w:t>
            </w:r>
            <w:r>
              <w:rPr>
                <w:rFonts w:ascii="宋体" w:hAnsi="宋体" w:cs="宋体" w:eastAsia="宋体" w:hint="default"/>
                <w:spacing w:val="-37"/>
                <w:sz w:val="16"/>
                <w:szCs w:val="16"/>
              </w:rPr>
              <w:t> </w:t>
            </w:r>
            <w:r>
              <w:rPr>
                <w:rFonts w:ascii="宋体" w:hAnsi="宋体" w:cs="宋体" w:eastAsia="宋体" w:hint="default"/>
                <w:sz w:val="16"/>
                <w:szCs w:val="16"/>
              </w:rPr>
              <w:t>1</w:t>
            </w:r>
            <w:r>
              <w:rPr>
                <w:rFonts w:ascii="宋体" w:hAnsi="宋体" w:cs="宋体" w:eastAsia="宋体" w:hint="default"/>
                <w:spacing w:val="-36"/>
                <w:sz w:val="16"/>
                <w:szCs w:val="16"/>
              </w:rPr>
              <w:t> </w:t>
            </w:r>
            <w:r>
              <w:rPr>
                <w:rFonts w:ascii="宋体" w:hAnsi="宋体" w:cs="宋体" w:eastAsia="宋体" w:hint="default"/>
                <w:sz w:val="16"/>
                <w:szCs w:val="16"/>
              </w:rPr>
              <w:t>日</w:t>
            </w:r>
            <w:r>
              <w:rPr>
                <w:rFonts w:ascii="宋体" w:hAnsi="宋体" w:cs="宋体" w:eastAsia="宋体" w:hint="default"/>
                <w:w w:val="100"/>
                <w:sz w:val="16"/>
                <w:szCs w:val="16"/>
              </w:rPr>
              <w:t> </w:t>
            </w:r>
            <w:r>
              <w:rPr>
                <w:rFonts w:ascii="宋体" w:hAnsi="宋体" w:cs="宋体" w:eastAsia="宋体" w:hint="default"/>
                <w:spacing w:val="8"/>
                <w:sz w:val="16"/>
                <w:szCs w:val="16"/>
              </w:rPr>
              <w:t>的列报项目与金</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额</w:t>
            </w:r>
            <w:r>
              <w:rPr>
                <w:rFonts w:ascii="宋体" w:hAnsi="宋体" w:cs="宋体" w:eastAsia="宋体" w:hint="default"/>
                <w:spacing w:val="-58"/>
                <w:sz w:val="16"/>
                <w:szCs w:val="16"/>
              </w:rPr>
              <w:t> </w:t>
            </w:r>
            <w:r>
              <w:rPr>
                <w:rFonts w:ascii="宋体" w:hAnsi="宋体" w:cs="宋体" w:eastAsia="宋体" w:hint="default"/>
                <w:sz w:val="16"/>
                <w:szCs w:val="16"/>
              </w:rPr>
              <w:t>-</w:t>
            </w:r>
            <w:r>
              <w:rPr>
                <w:rFonts w:ascii="宋体" w:hAnsi="宋体" w:cs="宋体" w:eastAsia="宋体" w:hint="default"/>
                <w:spacing w:val="-55"/>
                <w:sz w:val="16"/>
                <w:szCs w:val="16"/>
              </w:rPr>
              <w:t> </w:t>
            </w:r>
            <w:r>
              <w:rPr>
                <w:rFonts w:ascii="宋体" w:hAnsi="宋体" w:cs="宋体" w:eastAsia="宋体" w:hint="default"/>
                <w:sz w:val="16"/>
                <w:szCs w:val="16"/>
              </w:rPr>
              <w:t>新</w:t>
            </w:r>
            <w:r>
              <w:rPr>
                <w:rFonts w:ascii="宋体" w:hAnsi="宋体" w:cs="宋体" w:eastAsia="宋体" w:hint="default"/>
                <w:spacing w:val="-59"/>
                <w:sz w:val="16"/>
                <w:szCs w:val="16"/>
              </w:rPr>
              <w:t> </w:t>
            </w:r>
            <w:r>
              <w:rPr>
                <w:rFonts w:ascii="宋体" w:hAnsi="宋体" w:cs="宋体" w:eastAsia="宋体" w:hint="default"/>
                <w:sz w:val="16"/>
                <w:szCs w:val="16"/>
              </w:rPr>
              <w:t>金</w:t>
            </w:r>
            <w:r>
              <w:rPr>
                <w:rFonts w:ascii="宋体" w:hAnsi="宋体" w:cs="宋体" w:eastAsia="宋体" w:hint="default"/>
                <w:spacing w:val="-57"/>
                <w:sz w:val="16"/>
                <w:szCs w:val="16"/>
              </w:rPr>
              <w:t> </w:t>
            </w:r>
            <w:r>
              <w:rPr>
                <w:rFonts w:ascii="宋体" w:hAnsi="宋体" w:cs="宋体" w:eastAsia="宋体" w:hint="default"/>
                <w:sz w:val="16"/>
                <w:szCs w:val="16"/>
              </w:rPr>
              <w:t>融</w:t>
            </w:r>
            <w:r>
              <w:rPr>
                <w:rFonts w:ascii="宋体" w:hAnsi="宋体" w:cs="宋体" w:eastAsia="宋体" w:hint="default"/>
                <w:spacing w:val="-59"/>
                <w:sz w:val="16"/>
                <w:szCs w:val="16"/>
              </w:rPr>
              <w:t> </w:t>
            </w:r>
            <w:r>
              <w:rPr>
                <w:rFonts w:ascii="宋体" w:hAnsi="宋体" w:cs="宋体" w:eastAsia="宋体" w:hint="default"/>
                <w:sz w:val="16"/>
                <w:szCs w:val="16"/>
              </w:rPr>
              <w:t>工</w:t>
            </w:r>
            <w:r>
              <w:rPr>
                <w:rFonts w:ascii="宋体" w:hAnsi="宋体" w:cs="宋体" w:eastAsia="宋体" w:hint="default"/>
                <w:spacing w:val="-57"/>
                <w:sz w:val="16"/>
                <w:szCs w:val="16"/>
              </w:rPr>
              <w:t> </w:t>
            </w:r>
            <w:r>
              <w:rPr>
                <w:rFonts w:ascii="宋体" w:hAnsi="宋体" w:cs="宋体" w:eastAsia="宋体" w:hint="default"/>
                <w:sz w:val="16"/>
                <w:szCs w:val="16"/>
              </w:rPr>
              <w:t>具</w:t>
            </w:r>
            <w:r>
              <w:rPr>
                <w:rFonts w:ascii="宋体" w:hAnsi="宋体" w:cs="宋体" w:eastAsia="宋体" w:hint="default"/>
                <w:w w:val="100"/>
                <w:sz w:val="16"/>
                <w:szCs w:val="16"/>
              </w:rPr>
              <w:t> </w:t>
            </w:r>
            <w:r>
              <w:rPr>
                <w:rFonts w:ascii="宋体" w:hAnsi="宋体" w:cs="宋体" w:eastAsia="宋体" w:hint="default"/>
                <w:sz w:val="16"/>
                <w:szCs w:val="16"/>
              </w:rPr>
              <w:t>准则</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319" w:right="0"/>
              <w:jc w:val="left"/>
              <w:rPr>
                <w:rFonts w:ascii="宋体" w:hAnsi="宋体" w:cs="宋体" w:eastAsia="宋体" w:hint="default"/>
                <w:sz w:val="15"/>
                <w:szCs w:val="15"/>
              </w:rPr>
            </w:pPr>
            <w:r>
              <w:rPr>
                <w:rFonts w:ascii="宋体" w:hAnsi="宋体" w:cs="宋体" w:eastAsia="宋体" w:hint="default"/>
                <w:sz w:val="15"/>
                <w:szCs w:val="15"/>
              </w:rPr>
              <w:t>融出资金</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230"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381" w:lineRule="auto" w:before="89"/>
              <w:ind w:left="297" w:right="31" w:hanging="262"/>
              <w:jc w:val="left"/>
              <w:rPr>
                <w:rFonts w:ascii="宋体" w:hAnsi="宋体" w:cs="宋体" w:eastAsia="宋体" w:hint="default"/>
                <w:sz w:val="15"/>
                <w:szCs w:val="15"/>
              </w:rPr>
            </w:pPr>
            <w:r>
              <w:rPr>
                <w:rFonts w:ascii="宋体" w:hAnsi="宋体" w:cs="宋体" w:eastAsia="宋体" w:hint="default"/>
                <w:sz w:val="15"/>
                <w:szCs w:val="15"/>
              </w:rPr>
              <w:t>其他应收款</w:t>
            </w:r>
            <w:r>
              <w:rPr>
                <w:rFonts w:ascii="宋体" w:hAnsi="宋体" w:cs="宋体" w:eastAsia="宋体" w:hint="default"/>
                <w:sz w:val="15"/>
                <w:szCs w:val="15"/>
              </w:rPr>
              <w:t>-</w:t>
            </w:r>
            <w:r>
              <w:rPr>
                <w:rFonts w:ascii="宋体" w:hAnsi="宋体" w:cs="宋体" w:eastAsia="宋体" w:hint="default"/>
                <w:sz w:val="15"/>
                <w:szCs w:val="15"/>
              </w:rPr>
              <w:t>应</w:t>
            </w:r>
            <w:r>
              <w:rPr>
                <w:rFonts w:ascii="宋体" w:hAnsi="宋体" w:cs="宋体" w:eastAsia="宋体" w:hint="default"/>
                <w:w w:val="100"/>
                <w:sz w:val="15"/>
                <w:szCs w:val="15"/>
              </w:rPr>
              <w:t> </w:t>
            </w:r>
            <w:r>
              <w:rPr>
                <w:rFonts w:ascii="宋体" w:hAnsi="宋体" w:cs="宋体" w:eastAsia="宋体" w:hint="default"/>
                <w:sz w:val="15"/>
                <w:szCs w:val="15"/>
              </w:rPr>
              <w:t>收利息</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14"/>
              <w:jc w:val="right"/>
              <w:rPr>
                <w:rFonts w:ascii="宋体" w:hAnsi="宋体" w:cs="宋体" w:eastAsia="宋体" w:hint="default"/>
                <w:sz w:val="15"/>
                <w:szCs w:val="15"/>
              </w:rPr>
            </w:pPr>
            <w:r>
              <w:rPr>
                <w:rFonts w:ascii="宋体" w:hAnsi="宋体" w:cs="宋体" w:eastAsia="宋体" w:hint="default"/>
                <w:spacing w:val="-2"/>
                <w:sz w:val="15"/>
                <w:szCs w:val="15"/>
              </w:rPr>
              <w:t>买入返售金融资产</w:t>
            </w:r>
          </w:p>
        </w:tc>
        <w:tc>
          <w:tcPr>
            <w:tcW w:w="10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01"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13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143"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381" w:lineRule="auto" w:before="89"/>
              <w:ind w:left="544" w:right="19" w:hanging="526"/>
              <w:jc w:val="left"/>
              <w:rPr>
                <w:rFonts w:ascii="宋体" w:hAnsi="宋体" w:cs="宋体" w:eastAsia="宋体" w:hint="default"/>
                <w:sz w:val="15"/>
                <w:szCs w:val="15"/>
              </w:rPr>
            </w:pPr>
            <w:r>
              <w:rPr>
                <w:rFonts w:ascii="宋体" w:hAnsi="宋体" w:cs="宋体" w:eastAsia="宋体" w:hint="default"/>
                <w:sz w:val="15"/>
                <w:szCs w:val="15"/>
              </w:rPr>
              <w:t>其他非流动金融资</w:t>
            </w:r>
            <w:r>
              <w:rPr>
                <w:rFonts w:ascii="宋体" w:hAnsi="宋体" w:cs="宋体" w:eastAsia="宋体" w:hint="default"/>
                <w:w w:val="100"/>
                <w:sz w:val="15"/>
                <w:szCs w:val="15"/>
              </w:rPr>
              <w:t> </w:t>
            </w:r>
            <w:r>
              <w:rPr>
                <w:rFonts w:ascii="宋体" w:hAnsi="宋体" w:cs="宋体" w:eastAsia="宋体" w:hint="default"/>
                <w:sz w:val="15"/>
                <w:szCs w:val="15"/>
              </w:rPr>
              <w:t>产</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宋体" w:hAnsi="宋体" w:cs="宋体" w:eastAsia="宋体" w:hint="default"/>
                <w:sz w:val="15"/>
                <w:szCs w:val="15"/>
              </w:rPr>
            </w:pPr>
            <w:r>
              <w:rPr>
                <w:rFonts w:ascii="宋体" w:hAnsi="宋体" w:cs="宋体" w:eastAsia="宋体" w:hint="default"/>
                <w:sz w:val="15"/>
                <w:szCs w:val="15"/>
              </w:rPr>
              <w:t>其他债权投资</w:t>
            </w:r>
          </w:p>
        </w:tc>
        <w:tc>
          <w:tcPr>
            <w:tcW w:w="1070" w:type="dxa"/>
            <w:tcBorders>
              <w:top w:val="dotted" w:sz="4" w:space="0" w:color="000000"/>
              <w:left w:val="dotted" w:sz="4" w:space="0" w:color="000000"/>
              <w:bottom w:val="dotted" w:sz="4" w:space="0" w:color="000000"/>
              <w:right w:val="dotted" w:sz="4" w:space="0" w:color="000000"/>
            </w:tcBorders>
          </w:tcPr>
          <w:p>
            <w:pPr>
              <w:pStyle w:val="TableParagraph"/>
              <w:spacing w:line="381" w:lineRule="auto" w:before="89"/>
              <w:ind w:left="381" w:right="74" w:hanging="30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w w:val="100"/>
                <w:sz w:val="15"/>
                <w:szCs w:val="15"/>
              </w:rPr>
              <w:t> </w:t>
            </w:r>
            <w:r>
              <w:rPr>
                <w:rFonts w:ascii="宋体" w:hAnsi="宋体" w:cs="宋体" w:eastAsia="宋体" w:hint="default"/>
                <w:sz w:val="15"/>
                <w:szCs w:val="15"/>
              </w:rPr>
              <w:t>投资</w:t>
            </w:r>
          </w:p>
        </w:tc>
        <w:tc>
          <w:tcPr>
            <w:tcW w:w="1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left="158"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10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32"/>
              <w:jc w:val="center"/>
              <w:rPr>
                <w:rFonts w:ascii="宋体" w:hAnsi="宋体" w:cs="宋体" w:eastAsia="宋体" w:hint="default"/>
                <w:sz w:val="15"/>
                <w:szCs w:val="15"/>
              </w:rPr>
            </w:pPr>
            <w:r>
              <w:rPr>
                <w:rFonts w:ascii="宋体" w:hAnsi="宋体" w:cs="宋体" w:eastAsia="宋体" w:hint="default"/>
                <w:sz w:val="15"/>
                <w:szCs w:val="15"/>
              </w:rPr>
              <w:t>债权投资</w:t>
            </w:r>
          </w:p>
        </w:tc>
      </w:tr>
      <w:tr>
        <w:trPr>
          <w:trHeight w:val="634" w:hRule="exact"/>
        </w:trPr>
        <w:tc>
          <w:tcPr>
            <w:tcW w:w="1239" w:type="dxa"/>
            <w:vMerge/>
            <w:tcBorders>
              <w:left w:val="nil" w:sz="6" w:space="0" w:color="auto"/>
              <w:bottom w:val="single" w:sz="12" w:space="0" w:color="000000"/>
              <w:right w:val="dotted" w:sz="4" w:space="0" w:color="000000"/>
            </w:tcBorders>
          </w:tcPr>
          <w:p>
            <w:pP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1,730,369,951.32</w:t>
            </w:r>
          </w:p>
        </w:tc>
        <w:tc>
          <w:tcPr>
            <w:tcW w:w="10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266,366,777.73</w:t>
            </w:r>
          </w:p>
        </w:tc>
        <w:tc>
          <w:tcPr>
            <w:tcW w:w="1056" w:type="dxa"/>
            <w:tcBorders>
              <w:top w:val="dotted" w:sz="4" w:space="0" w:color="000000"/>
              <w:left w:val="dotted" w:sz="4" w:space="0" w:color="000000"/>
              <w:bottom w:val="single" w:sz="12" w:space="0" w:color="000000"/>
              <w:right w:val="dotted" w:sz="4" w:space="0" w:color="000000"/>
            </w:tcBorders>
          </w:tcPr>
          <w:p>
            <w:pP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4,419,038,283.54</w:t>
            </w:r>
          </w:p>
        </w:tc>
        <w:tc>
          <w:tcPr>
            <w:tcW w:w="10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314,302.00</w:t>
            </w:r>
          </w:p>
        </w:tc>
        <w:tc>
          <w:tcPr>
            <w:tcW w:w="13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13,502,320,695.41</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543,879,452.00</w:t>
            </w:r>
          </w:p>
        </w:tc>
        <w:tc>
          <w:tcPr>
            <w:tcW w:w="1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686,597,803.93</w:t>
            </w:r>
          </w:p>
        </w:tc>
        <w:tc>
          <w:tcPr>
            <w:tcW w:w="10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100,000,000.00</w:t>
            </w:r>
          </w:p>
        </w:tc>
        <w:tc>
          <w:tcPr>
            <w:tcW w:w="1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58" w:right="0"/>
              <w:jc w:val="left"/>
              <w:rPr>
                <w:rFonts w:ascii="Times New Roman" w:hAnsi="Times New Roman" w:cs="Times New Roman" w:eastAsia="Times New Roman" w:hint="default"/>
                <w:sz w:val="15"/>
                <w:szCs w:val="15"/>
              </w:rPr>
            </w:pPr>
            <w:r>
              <w:rPr>
                <w:rFonts w:ascii="Times New Roman"/>
                <w:sz w:val="15"/>
              </w:rPr>
              <w:t>1,101,485,129.09</w:t>
            </w:r>
          </w:p>
        </w:tc>
        <w:tc>
          <w:tcPr>
            <w:tcW w:w="11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6" w:right="0"/>
              <w:jc w:val="center"/>
              <w:rPr>
                <w:rFonts w:ascii="Times New Roman" w:hAnsi="Times New Roman" w:cs="Times New Roman" w:eastAsia="Times New Roman" w:hint="default"/>
                <w:sz w:val="15"/>
                <w:szCs w:val="15"/>
              </w:rPr>
            </w:pPr>
            <w:r>
              <w:rPr>
                <w:rFonts w:ascii="Times New Roman"/>
                <w:sz w:val="15"/>
              </w:rPr>
              <w:t>407,735,512.18</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tbl>
      <w:tblPr>
        <w:tblW w:w="0" w:type="auto"/>
        <w:jc w:val="left"/>
        <w:tblInd w:w="131" w:type="dxa"/>
        <w:tblLayout w:type="fixed"/>
        <w:tblCellMar>
          <w:top w:w="0" w:type="dxa"/>
          <w:left w:w="0" w:type="dxa"/>
          <w:bottom w:w="0" w:type="dxa"/>
          <w:right w:w="0" w:type="dxa"/>
        </w:tblCellMar>
        <w:tblLook w:val="01E0"/>
      </w:tblPr>
      <w:tblGrid>
        <w:gridCol w:w="2115"/>
        <w:gridCol w:w="1150"/>
        <w:gridCol w:w="1239"/>
        <w:gridCol w:w="2071"/>
        <w:gridCol w:w="1551"/>
        <w:gridCol w:w="1666"/>
        <w:gridCol w:w="1659"/>
        <w:gridCol w:w="2518"/>
      </w:tblGrid>
      <w:tr>
        <w:trPr>
          <w:trHeight w:val="886" w:hRule="exact"/>
        </w:trPr>
        <w:tc>
          <w:tcPr>
            <w:tcW w:w="21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57" w:lineRule="auto"/>
              <w:ind w:left="223" w:right="22" w:hanging="181"/>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1"/>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1"/>
                <w:sz w:val="16"/>
                <w:szCs w:val="16"/>
              </w:rPr>
              <w:t> </w:t>
            </w:r>
            <w:r>
              <w:rPr>
                <w:rFonts w:ascii="宋体" w:hAnsi="宋体" w:cs="宋体" w:eastAsia="宋体" w:hint="default"/>
                <w:sz w:val="16"/>
                <w:szCs w:val="16"/>
              </w:rPr>
              <w:t>日列报项目</w:t>
            </w:r>
            <w:r>
              <w:rPr>
                <w:rFonts w:ascii="宋体" w:hAnsi="宋体" w:cs="宋体" w:eastAsia="宋体" w:hint="default"/>
                <w:w w:val="100"/>
                <w:sz w:val="16"/>
                <w:szCs w:val="16"/>
              </w:rPr>
              <w:t> </w:t>
            </w:r>
            <w:r>
              <w:rPr>
                <w:rFonts w:ascii="宋体" w:hAnsi="宋体" w:cs="宋体" w:eastAsia="宋体" w:hint="default"/>
                <w:sz w:val="16"/>
                <w:szCs w:val="16"/>
              </w:rPr>
              <w:t>与金额</w:t>
            </w:r>
            <w:r>
              <w:rPr>
                <w:rFonts w:ascii="宋体" w:hAnsi="宋体" w:cs="宋体" w:eastAsia="宋体" w:hint="default"/>
                <w:sz w:val="16"/>
                <w:szCs w:val="16"/>
              </w:rPr>
              <w:t>-</w:t>
            </w:r>
            <w:r>
              <w:rPr>
                <w:rFonts w:ascii="宋体" w:hAnsi="宋体" w:cs="宋体" w:eastAsia="宋体" w:hint="default"/>
                <w:sz w:val="16"/>
                <w:szCs w:val="16"/>
              </w:rPr>
              <w:t>原金融工具准则</w:t>
            </w:r>
          </w:p>
        </w:tc>
        <w:tc>
          <w:tcPr>
            <w:tcW w:w="7676"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8"/>
              <w:ind w:right="0"/>
              <w:jc w:val="center"/>
              <w:rPr>
                <w:rFonts w:ascii="宋体" w:hAnsi="宋体" w:cs="宋体" w:eastAsia="宋体" w:hint="default"/>
                <w:sz w:val="16"/>
                <w:szCs w:val="16"/>
              </w:rPr>
            </w:pPr>
            <w:r>
              <w:rPr>
                <w:rFonts w:ascii="宋体" w:hAnsi="宋体" w:cs="宋体" w:eastAsia="宋体" w:hint="default"/>
                <w:sz w:val="16"/>
                <w:szCs w:val="16"/>
              </w:rPr>
              <w:t>应付利息</w:t>
            </w:r>
          </w:p>
        </w:tc>
        <w:tc>
          <w:tcPr>
            <w:tcW w:w="417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8"/>
              <w:ind w:left="1325" w:right="0"/>
              <w:jc w:val="left"/>
              <w:rPr>
                <w:rFonts w:ascii="宋体" w:hAnsi="宋体" w:cs="宋体" w:eastAsia="宋体" w:hint="default"/>
                <w:sz w:val="16"/>
                <w:szCs w:val="16"/>
              </w:rPr>
            </w:pPr>
            <w:r>
              <w:rPr>
                <w:rFonts w:ascii="宋体" w:hAnsi="宋体" w:cs="宋体" w:eastAsia="宋体" w:hint="default"/>
                <w:sz w:val="16"/>
                <w:szCs w:val="16"/>
              </w:rPr>
              <w:t>其他应付款</w:t>
            </w:r>
            <w:r>
              <w:rPr>
                <w:rFonts w:ascii="宋体" w:hAnsi="宋体" w:cs="宋体" w:eastAsia="宋体" w:hint="default"/>
                <w:sz w:val="16"/>
                <w:szCs w:val="16"/>
              </w:rPr>
              <w:t>-</w:t>
            </w:r>
            <w:r>
              <w:rPr>
                <w:rFonts w:ascii="宋体" w:hAnsi="宋体" w:cs="宋体" w:eastAsia="宋体" w:hint="default"/>
                <w:sz w:val="16"/>
                <w:szCs w:val="16"/>
              </w:rPr>
              <w:t>应付利息</w:t>
            </w:r>
          </w:p>
        </w:tc>
      </w:tr>
      <w:tr>
        <w:trPr>
          <w:trHeight w:val="418" w:hRule="exact"/>
        </w:trPr>
        <w:tc>
          <w:tcPr>
            <w:tcW w:w="2115" w:type="dxa"/>
            <w:tcBorders>
              <w:top w:val="dotted" w:sz="4" w:space="0" w:color="000000"/>
              <w:left w:val="nil" w:sz="6" w:space="0" w:color="auto"/>
              <w:bottom w:val="dotted" w:sz="4" w:space="0" w:color="000000"/>
              <w:right w:val="dotted" w:sz="4" w:space="0" w:color="000000"/>
            </w:tcBorders>
          </w:tcPr>
          <w:p>
            <w:pPr/>
          </w:p>
        </w:tc>
        <w:tc>
          <w:tcPr>
            <w:tcW w:w="7676" w:type="dxa"/>
            <w:gridSpan w:val="5"/>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
              <w:jc w:val="center"/>
              <w:rPr>
                <w:rFonts w:ascii="Times New Roman" w:hAnsi="Times New Roman" w:cs="Times New Roman" w:eastAsia="Times New Roman" w:hint="default"/>
                <w:sz w:val="15"/>
                <w:szCs w:val="15"/>
              </w:rPr>
            </w:pPr>
            <w:r>
              <w:rPr>
                <w:rFonts w:ascii="Times New Roman"/>
                <w:sz w:val="15"/>
              </w:rPr>
              <w:t>61,728,299.46</w:t>
            </w:r>
          </w:p>
        </w:tc>
        <w:tc>
          <w:tcPr>
            <w:tcW w:w="4177"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
              <w:jc w:val="center"/>
              <w:rPr>
                <w:rFonts w:ascii="Times New Roman" w:hAnsi="Times New Roman" w:cs="Times New Roman" w:eastAsia="Times New Roman" w:hint="default"/>
                <w:sz w:val="15"/>
                <w:szCs w:val="15"/>
              </w:rPr>
            </w:pPr>
            <w:r>
              <w:rPr>
                <w:rFonts w:ascii="Times New Roman"/>
                <w:sz w:val="15"/>
              </w:rPr>
              <w:t>16,005,218.14</w:t>
            </w:r>
          </w:p>
        </w:tc>
      </w:tr>
      <w:tr>
        <w:trPr>
          <w:trHeight w:val="415"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1"/>
              <w:ind w:left="2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重分类：</w:t>
            </w:r>
            <w:r>
              <w:rPr>
                <w:rFonts w:ascii="Microsoft JhengHei" w:hAnsi="Microsoft JhengHei" w:cs="Microsoft JhengHei" w:eastAsia="Microsoft JhengHei" w:hint="default"/>
                <w:sz w:val="16"/>
                <w:szCs w:val="16"/>
              </w:rPr>
            </w:r>
          </w:p>
        </w:tc>
        <w:tc>
          <w:tcPr>
            <w:tcW w:w="1150" w:type="dxa"/>
            <w:tcBorders>
              <w:top w:val="dotted" w:sz="4" w:space="0" w:color="000000"/>
              <w:left w:val="dotted" w:sz="4" w:space="0" w:color="000000"/>
              <w:bottom w:val="dotted" w:sz="4" w:space="0" w:color="000000"/>
              <w:right w:val="dotted" w:sz="4" w:space="0" w:color="000000"/>
            </w:tcBorders>
          </w:tcPr>
          <w:p>
            <w:pPr/>
          </w:p>
        </w:tc>
        <w:tc>
          <w:tcPr>
            <w:tcW w:w="1239" w:type="dxa"/>
            <w:tcBorders>
              <w:top w:val="dotted" w:sz="4" w:space="0" w:color="000000"/>
              <w:left w:val="dotted" w:sz="4" w:space="0" w:color="000000"/>
              <w:bottom w:val="dotted" w:sz="4" w:space="0" w:color="000000"/>
              <w:right w:val="dotted" w:sz="4" w:space="0" w:color="000000"/>
            </w:tcBorders>
          </w:tcPr>
          <w:p>
            <w:pPr/>
          </w:p>
        </w:tc>
        <w:tc>
          <w:tcPr>
            <w:tcW w:w="2071" w:type="dxa"/>
            <w:tcBorders>
              <w:top w:val="dotted" w:sz="4" w:space="0" w:color="000000"/>
              <w:left w:val="dotted" w:sz="4" w:space="0" w:color="000000"/>
              <w:bottom w:val="dotted" w:sz="4" w:space="0" w:color="000000"/>
              <w:right w:val="dotted" w:sz="4" w:space="0" w:color="000000"/>
            </w:tcBorders>
          </w:tcPr>
          <w:p>
            <w:pPr/>
          </w:p>
        </w:tc>
        <w:tc>
          <w:tcPr>
            <w:tcW w:w="1551" w:type="dxa"/>
            <w:tcBorders>
              <w:top w:val="dotted" w:sz="4" w:space="0" w:color="000000"/>
              <w:left w:val="dotted" w:sz="4" w:space="0" w:color="000000"/>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
        </w:tc>
        <w:tc>
          <w:tcPr>
            <w:tcW w:w="1659" w:type="dxa"/>
            <w:tcBorders>
              <w:top w:val="dotted" w:sz="4" w:space="0" w:color="000000"/>
              <w:left w:val="dotted" w:sz="4" w:space="0" w:color="000000"/>
              <w:bottom w:val="dotted" w:sz="4" w:space="0" w:color="000000"/>
              <w:right w:val="dotted" w:sz="4" w:space="0" w:color="000000"/>
            </w:tcBorders>
          </w:tcPr>
          <w:p>
            <w:pPr/>
          </w:p>
        </w:tc>
        <w:tc>
          <w:tcPr>
            <w:tcW w:w="2518" w:type="dxa"/>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6"/>
                <w:szCs w:val="16"/>
              </w:rPr>
            </w:pPr>
            <w:r>
              <w:rPr>
                <w:rFonts w:ascii="宋体" w:hAnsi="宋体" w:cs="宋体" w:eastAsia="宋体" w:hint="default"/>
                <w:sz w:val="16"/>
                <w:szCs w:val="16"/>
              </w:rPr>
              <w:t>由应付利息转入</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3,691,323.79</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20,733,277.79</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8,100,193.57</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3,350,054.10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25,853,450.21</w:t>
            </w:r>
          </w:p>
        </w:tc>
        <w:tc>
          <w:tcPr>
            <w:tcW w:w="1659" w:type="dxa"/>
            <w:tcBorders>
              <w:top w:val="dotted" w:sz="4" w:space="0" w:color="000000"/>
              <w:left w:val="dotted" w:sz="4" w:space="0" w:color="000000"/>
              <w:bottom w:val="dotted" w:sz="4" w:space="0" w:color="000000"/>
              <w:right w:val="dotted" w:sz="4" w:space="0" w:color="000000"/>
            </w:tcBorders>
          </w:tcPr>
          <w:p>
            <w:pPr/>
          </w:p>
        </w:tc>
        <w:tc>
          <w:tcPr>
            <w:tcW w:w="2518" w:type="dxa"/>
            <w:tcBorders>
              <w:top w:val="dotted" w:sz="4" w:space="0" w:color="000000"/>
              <w:left w:val="dotted" w:sz="4" w:space="0" w:color="000000"/>
              <w:bottom w:val="dotted" w:sz="4" w:space="0" w:color="000000"/>
              <w:right w:val="nil" w:sz="6" w:space="0" w:color="auto"/>
            </w:tcBorders>
          </w:tcPr>
          <w:p>
            <w:pPr/>
          </w:p>
        </w:tc>
      </w:tr>
      <w:tr>
        <w:trPr>
          <w:trHeight w:val="433"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2"/>
              <w:ind w:left="28" w:right="0"/>
              <w:jc w:val="left"/>
              <w:rPr>
                <w:rFonts w:ascii="宋体" w:hAnsi="宋体" w:cs="宋体" w:eastAsia="宋体" w:hint="default"/>
                <w:sz w:val="16"/>
                <w:szCs w:val="16"/>
              </w:rPr>
            </w:pPr>
            <w:r>
              <w:rPr>
                <w:rFonts w:ascii="宋体" w:hAnsi="宋体" w:cs="宋体" w:eastAsia="宋体" w:hint="default"/>
                <w:sz w:val="16"/>
                <w:szCs w:val="16"/>
              </w:rPr>
              <w:t>由其他应付款</w:t>
            </w:r>
            <w:r>
              <w:rPr>
                <w:rFonts w:ascii="宋体" w:hAnsi="宋体" w:cs="宋体" w:eastAsia="宋体" w:hint="default"/>
                <w:sz w:val="16"/>
                <w:szCs w:val="16"/>
              </w:rPr>
              <w:t>-</w:t>
            </w:r>
            <w:r>
              <w:rPr>
                <w:rFonts w:ascii="宋体" w:hAnsi="宋体" w:cs="宋体" w:eastAsia="宋体" w:hint="default"/>
                <w:sz w:val="16"/>
                <w:szCs w:val="16"/>
              </w:rPr>
              <w:t>应付利息转入</w:t>
            </w:r>
          </w:p>
        </w:tc>
        <w:tc>
          <w:tcPr>
            <w:tcW w:w="1150" w:type="dxa"/>
            <w:tcBorders>
              <w:top w:val="dotted" w:sz="4" w:space="0" w:color="000000"/>
              <w:left w:val="dotted" w:sz="4" w:space="0" w:color="000000"/>
              <w:bottom w:val="dotted" w:sz="4" w:space="0" w:color="000000"/>
              <w:right w:val="dotted" w:sz="4" w:space="0" w:color="000000"/>
            </w:tcBorders>
          </w:tcPr>
          <w:p>
            <w:pPr/>
          </w:p>
        </w:tc>
        <w:tc>
          <w:tcPr>
            <w:tcW w:w="1239" w:type="dxa"/>
            <w:tcBorders>
              <w:top w:val="dotted" w:sz="4" w:space="0" w:color="000000"/>
              <w:left w:val="dotted" w:sz="4" w:space="0" w:color="000000"/>
              <w:bottom w:val="dotted" w:sz="4" w:space="0" w:color="000000"/>
              <w:right w:val="dotted" w:sz="4" w:space="0" w:color="000000"/>
            </w:tcBorders>
          </w:tcPr>
          <w:p>
            <w:pPr/>
          </w:p>
        </w:tc>
        <w:tc>
          <w:tcPr>
            <w:tcW w:w="2071" w:type="dxa"/>
            <w:tcBorders>
              <w:top w:val="dotted" w:sz="4" w:space="0" w:color="000000"/>
              <w:left w:val="dotted" w:sz="4" w:space="0" w:color="000000"/>
              <w:bottom w:val="dotted" w:sz="4" w:space="0" w:color="000000"/>
              <w:right w:val="dotted" w:sz="4" w:space="0" w:color="000000"/>
            </w:tcBorders>
          </w:tcPr>
          <w:p>
            <w:pPr/>
          </w:p>
        </w:tc>
        <w:tc>
          <w:tcPr>
            <w:tcW w:w="1551" w:type="dxa"/>
            <w:tcBorders>
              <w:top w:val="dotted" w:sz="4" w:space="0" w:color="000000"/>
              <w:left w:val="dotted" w:sz="4" w:space="0" w:color="000000"/>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15,916,986.29</w:t>
            </w:r>
          </w:p>
        </w:tc>
        <w:tc>
          <w:tcPr>
            <w:tcW w:w="25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14"/>
              <w:jc w:val="right"/>
              <w:rPr>
                <w:rFonts w:ascii="Times New Roman" w:hAnsi="Times New Roman" w:cs="Times New Roman" w:eastAsia="Times New Roman" w:hint="default"/>
                <w:sz w:val="15"/>
                <w:szCs w:val="15"/>
              </w:rPr>
            </w:pPr>
            <w:r>
              <w:rPr>
                <w:rFonts w:ascii="Times New Roman"/>
                <w:spacing w:val="-1"/>
                <w:sz w:val="15"/>
              </w:rPr>
              <w:t>88,231.85</w:t>
            </w:r>
          </w:p>
        </w:tc>
      </w:tr>
      <w:tr>
        <w:trPr>
          <w:trHeight w:val="864"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57" w:lineRule="auto"/>
              <w:ind w:left="28" w:right="5"/>
              <w:jc w:val="left"/>
              <w:rPr>
                <w:rFonts w:ascii="宋体" w:hAnsi="宋体" w:cs="宋体" w:eastAsia="宋体" w:hint="default"/>
                <w:sz w:val="16"/>
                <w:szCs w:val="16"/>
              </w:rPr>
            </w:pPr>
            <w:r>
              <w:rPr>
                <w:rFonts w:ascii="宋体" w:hAnsi="宋体" w:cs="宋体" w:eastAsia="宋体" w:hint="default"/>
                <w:sz w:val="16"/>
                <w:szCs w:val="16"/>
              </w:rPr>
              <w:t>2019</w:t>
            </w:r>
            <w:r>
              <w:rPr>
                <w:rFonts w:ascii="宋体" w:hAnsi="宋体" w:cs="宋体" w:eastAsia="宋体" w:hint="default"/>
                <w:spacing w:val="-40"/>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宋体" w:hAnsi="宋体" w:cs="宋体" w:eastAsia="宋体" w:hint="default"/>
                <w:sz w:val="16"/>
                <w:szCs w:val="16"/>
              </w:rPr>
              <w:t>1</w:t>
            </w:r>
            <w:r>
              <w:rPr>
                <w:rFonts w:ascii="宋体" w:hAnsi="宋体" w:cs="宋体" w:eastAsia="宋体" w:hint="default"/>
                <w:spacing w:val="14"/>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14"/>
                <w:sz w:val="16"/>
                <w:szCs w:val="16"/>
              </w:rPr>
              <w:t> </w:t>
            </w:r>
            <w:r>
              <w:rPr>
                <w:rFonts w:ascii="宋体" w:hAnsi="宋体" w:cs="宋体" w:eastAsia="宋体" w:hint="default"/>
                <w:sz w:val="16"/>
                <w:szCs w:val="16"/>
              </w:rPr>
              <w:t>日的核算科目</w:t>
            </w:r>
            <w:r>
              <w:rPr>
                <w:rFonts w:ascii="宋体" w:hAnsi="宋体" w:cs="宋体" w:eastAsia="宋体" w:hint="default"/>
                <w:w w:val="100"/>
                <w:sz w:val="16"/>
                <w:szCs w:val="16"/>
              </w:rPr>
              <w:t> </w:t>
            </w:r>
            <w:r>
              <w:rPr>
                <w:rFonts w:ascii="宋体" w:hAnsi="宋体" w:cs="宋体" w:eastAsia="宋体" w:hint="default"/>
                <w:sz w:val="16"/>
                <w:szCs w:val="16"/>
              </w:rPr>
              <w:t>与金额</w:t>
            </w:r>
            <w:r>
              <w:rPr>
                <w:rFonts w:ascii="宋体" w:hAnsi="宋体" w:cs="宋体" w:eastAsia="宋体" w:hint="default"/>
                <w:sz w:val="16"/>
                <w:szCs w:val="16"/>
              </w:rPr>
              <w:t>-</w:t>
            </w:r>
            <w:r>
              <w:rPr>
                <w:rFonts w:ascii="宋体" w:hAnsi="宋体" w:cs="宋体" w:eastAsia="宋体" w:hint="default"/>
                <w:sz w:val="16"/>
                <w:szCs w:val="16"/>
              </w:rPr>
              <w:t>新金融工具准则</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right="5"/>
              <w:jc w:val="right"/>
              <w:rPr>
                <w:rFonts w:ascii="宋体" w:hAnsi="宋体" w:cs="宋体" w:eastAsia="宋体" w:hint="default"/>
                <w:sz w:val="16"/>
                <w:szCs w:val="16"/>
              </w:rPr>
            </w:pPr>
            <w:r>
              <w:rPr>
                <w:rFonts w:ascii="宋体" w:hAnsi="宋体" w:cs="宋体" w:eastAsia="宋体" w:hint="default"/>
                <w:spacing w:val="-1"/>
                <w:sz w:val="16"/>
                <w:szCs w:val="16"/>
              </w:rPr>
              <w:t>应付短期融资款</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293" w:right="0"/>
              <w:jc w:val="left"/>
              <w:rPr>
                <w:rFonts w:ascii="宋体" w:hAnsi="宋体" w:cs="宋体" w:eastAsia="宋体" w:hint="default"/>
                <w:sz w:val="16"/>
                <w:szCs w:val="16"/>
              </w:rPr>
            </w:pPr>
            <w:r>
              <w:rPr>
                <w:rFonts w:ascii="宋体" w:hAnsi="宋体" w:cs="宋体" w:eastAsia="宋体" w:hint="default"/>
                <w:sz w:val="16"/>
                <w:szCs w:val="16"/>
              </w:rPr>
              <w:t>拆入资金</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309" w:right="0"/>
              <w:jc w:val="left"/>
              <w:rPr>
                <w:rFonts w:ascii="宋体" w:hAnsi="宋体" w:cs="宋体" w:eastAsia="宋体" w:hint="default"/>
                <w:sz w:val="16"/>
                <w:szCs w:val="16"/>
              </w:rPr>
            </w:pPr>
            <w:r>
              <w:rPr>
                <w:rFonts w:ascii="宋体" w:hAnsi="宋体" w:cs="宋体" w:eastAsia="宋体" w:hint="default"/>
                <w:sz w:val="16"/>
                <w:szCs w:val="16"/>
              </w:rPr>
              <w:t>卖出回购金融资产款</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right="5"/>
              <w:jc w:val="right"/>
              <w:rPr>
                <w:rFonts w:ascii="宋体" w:hAnsi="宋体" w:cs="宋体" w:eastAsia="宋体" w:hint="default"/>
                <w:sz w:val="16"/>
                <w:szCs w:val="16"/>
              </w:rPr>
            </w:pPr>
            <w:r>
              <w:rPr>
                <w:rFonts w:ascii="宋体" w:hAnsi="宋体" w:cs="宋体" w:eastAsia="宋体" w:hint="default"/>
                <w:spacing w:val="-1"/>
                <w:sz w:val="16"/>
                <w:szCs w:val="16"/>
              </w:rPr>
              <w:t>其他应付款</w:t>
            </w:r>
            <w:r>
              <w:rPr>
                <w:rFonts w:ascii="宋体" w:hAnsi="宋体" w:cs="宋体" w:eastAsia="宋体" w:hint="default"/>
                <w:spacing w:val="-1"/>
                <w:sz w:val="16"/>
                <w:szCs w:val="16"/>
              </w:rPr>
              <w:t>-</w:t>
            </w:r>
            <w:r>
              <w:rPr>
                <w:rFonts w:ascii="宋体" w:hAnsi="宋体" w:cs="宋体" w:eastAsia="宋体" w:hint="default"/>
                <w:spacing w:val="-1"/>
                <w:sz w:val="16"/>
                <w:szCs w:val="16"/>
              </w:rPr>
              <w:t>应付利息</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506"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left="504"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25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1"/>
              <w:ind w:right="5"/>
              <w:jc w:val="center"/>
              <w:rPr>
                <w:rFonts w:ascii="宋体" w:hAnsi="宋体" w:cs="宋体" w:eastAsia="宋体" w:hint="default"/>
                <w:sz w:val="16"/>
                <w:szCs w:val="16"/>
              </w:rPr>
            </w:pPr>
            <w:r>
              <w:rPr>
                <w:rFonts w:ascii="宋体" w:hAnsi="宋体" w:cs="宋体" w:eastAsia="宋体" w:hint="default"/>
                <w:sz w:val="16"/>
                <w:szCs w:val="16"/>
              </w:rPr>
              <w:t>短期借款</w:t>
            </w:r>
          </w:p>
        </w:tc>
      </w:tr>
      <w:tr>
        <w:trPr>
          <w:trHeight w:val="427" w:hRule="exact"/>
        </w:trPr>
        <w:tc>
          <w:tcPr>
            <w:tcW w:w="2115" w:type="dxa"/>
            <w:tcBorders>
              <w:top w:val="dotted" w:sz="4" w:space="0" w:color="000000"/>
              <w:left w:val="nil" w:sz="6" w:space="0" w:color="auto"/>
              <w:bottom w:val="single" w:sz="12" w:space="0" w:color="000000"/>
              <w:right w:val="dotted" w:sz="4" w:space="0" w:color="000000"/>
            </w:tcBorders>
          </w:tcPr>
          <w:p>
            <w:pP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3,691,323.79</w:t>
            </w:r>
          </w:p>
        </w:tc>
        <w:tc>
          <w:tcPr>
            <w:tcW w:w="12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20,733,277.79</w:t>
            </w:r>
          </w:p>
        </w:tc>
        <w:tc>
          <w:tcPr>
            <w:tcW w:w="20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8,100,193.57</w:t>
            </w:r>
          </w:p>
        </w:tc>
        <w:tc>
          <w:tcPr>
            <w:tcW w:w="15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3,350,054.10</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25,853,450.21</w:t>
            </w:r>
          </w:p>
        </w:tc>
        <w:tc>
          <w:tcPr>
            <w:tcW w:w="16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15,916,986.29</w:t>
            </w:r>
          </w:p>
        </w:tc>
        <w:tc>
          <w:tcPr>
            <w:tcW w:w="25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4"/>
              <w:ind w:right="14"/>
              <w:jc w:val="right"/>
              <w:rPr>
                <w:rFonts w:ascii="Times New Roman" w:hAnsi="Times New Roman" w:cs="Times New Roman" w:eastAsia="Times New Roman" w:hint="default"/>
                <w:sz w:val="15"/>
                <w:szCs w:val="15"/>
              </w:rPr>
            </w:pPr>
            <w:r>
              <w:rPr>
                <w:rFonts w:ascii="Times New Roman"/>
                <w:spacing w:val="-1"/>
                <w:sz w:val="15"/>
              </w:rPr>
              <w:t>88,231.85</w:t>
            </w:r>
          </w:p>
        </w:tc>
      </w:tr>
    </w:tbl>
    <w:p>
      <w:pPr>
        <w:spacing w:after="0" w:line="240" w:lineRule="auto"/>
        <w:jc w:val="right"/>
        <w:rPr>
          <w:rFonts w:ascii="Times New Roman" w:hAnsi="Times New Roman" w:cs="Times New Roman" w:eastAsia="Times New Roman" w:hint="default"/>
          <w:sz w:val="15"/>
          <w:szCs w:val="15"/>
        </w:rPr>
        <w:sectPr>
          <w:headerReference w:type="default" r:id="rId44"/>
          <w:pgSz w:w="16840" w:h="11910" w:orient="landscape"/>
          <w:pgMar w:header="867" w:footer="980" w:top="1060" w:bottom="1160" w:left="128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129"/>
        <w:gridCol w:w="1150"/>
        <w:gridCol w:w="1239"/>
        <w:gridCol w:w="2071"/>
        <w:gridCol w:w="1551"/>
        <w:gridCol w:w="1666"/>
        <w:gridCol w:w="1659"/>
        <w:gridCol w:w="2554"/>
      </w:tblGrid>
      <w:tr>
        <w:trPr>
          <w:trHeight w:val="900" w:hRule="exact"/>
        </w:trPr>
        <w:tc>
          <w:tcPr>
            <w:tcW w:w="2129" w:type="dxa"/>
            <w:tcBorders>
              <w:top w:val="single" w:sz="23"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357" w:lineRule="auto"/>
              <w:ind w:left="238" w:right="22" w:hanging="181"/>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1"/>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1"/>
                <w:sz w:val="16"/>
                <w:szCs w:val="16"/>
              </w:rPr>
              <w:t> </w:t>
            </w:r>
            <w:r>
              <w:rPr>
                <w:rFonts w:ascii="宋体" w:hAnsi="宋体" w:cs="宋体" w:eastAsia="宋体" w:hint="default"/>
                <w:sz w:val="16"/>
                <w:szCs w:val="16"/>
              </w:rPr>
              <w:t>日列报项目</w:t>
            </w:r>
            <w:r>
              <w:rPr>
                <w:rFonts w:ascii="宋体" w:hAnsi="宋体" w:cs="宋体" w:eastAsia="宋体" w:hint="default"/>
                <w:w w:val="100"/>
                <w:sz w:val="16"/>
                <w:szCs w:val="16"/>
              </w:rPr>
              <w:t> </w:t>
            </w:r>
            <w:r>
              <w:rPr>
                <w:rFonts w:ascii="宋体" w:hAnsi="宋体" w:cs="宋体" w:eastAsia="宋体" w:hint="default"/>
                <w:sz w:val="16"/>
                <w:szCs w:val="16"/>
              </w:rPr>
              <w:t>与金额</w:t>
            </w:r>
            <w:r>
              <w:rPr>
                <w:rFonts w:ascii="宋体" w:hAnsi="宋体" w:cs="宋体" w:eastAsia="宋体" w:hint="default"/>
                <w:sz w:val="16"/>
                <w:szCs w:val="16"/>
              </w:rPr>
              <w:t>-</w:t>
            </w:r>
            <w:r>
              <w:rPr>
                <w:rFonts w:ascii="宋体" w:hAnsi="宋体" w:cs="宋体" w:eastAsia="宋体" w:hint="default"/>
                <w:sz w:val="16"/>
                <w:szCs w:val="16"/>
              </w:rPr>
              <w:t>原金融工具准则</w:t>
            </w:r>
          </w:p>
        </w:tc>
        <w:tc>
          <w:tcPr>
            <w:tcW w:w="7676" w:type="dxa"/>
            <w:gridSpan w:val="5"/>
            <w:tcBorders>
              <w:top w:val="single" w:sz="23"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8"/>
              <w:ind w:right="0"/>
              <w:jc w:val="center"/>
              <w:rPr>
                <w:rFonts w:ascii="宋体" w:hAnsi="宋体" w:cs="宋体" w:eastAsia="宋体" w:hint="default"/>
                <w:sz w:val="16"/>
                <w:szCs w:val="16"/>
              </w:rPr>
            </w:pPr>
            <w:r>
              <w:rPr>
                <w:rFonts w:ascii="宋体" w:hAnsi="宋体" w:cs="宋体" w:eastAsia="宋体" w:hint="default"/>
                <w:sz w:val="16"/>
                <w:szCs w:val="16"/>
              </w:rPr>
              <w:t>应付利息</w:t>
            </w:r>
          </w:p>
        </w:tc>
        <w:tc>
          <w:tcPr>
            <w:tcW w:w="4213" w:type="dxa"/>
            <w:gridSpan w:val="2"/>
            <w:tcBorders>
              <w:top w:val="single" w:sz="23"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8"/>
              <w:ind w:left="1325" w:right="0"/>
              <w:jc w:val="left"/>
              <w:rPr>
                <w:rFonts w:ascii="宋体" w:hAnsi="宋体" w:cs="宋体" w:eastAsia="宋体" w:hint="default"/>
                <w:sz w:val="16"/>
                <w:szCs w:val="16"/>
              </w:rPr>
            </w:pPr>
            <w:r>
              <w:rPr>
                <w:rFonts w:ascii="宋体" w:hAnsi="宋体" w:cs="宋体" w:eastAsia="宋体" w:hint="default"/>
                <w:sz w:val="16"/>
                <w:szCs w:val="16"/>
              </w:rPr>
              <w:t>其他应付款</w:t>
            </w:r>
            <w:r>
              <w:rPr>
                <w:rFonts w:ascii="宋体" w:hAnsi="宋体" w:cs="宋体" w:eastAsia="宋体" w:hint="default"/>
                <w:sz w:val="16"/>
                <w:szCs w:val="16"/>
              </w:rPr>
              <w:t>-</w:t>
            </w:r>
            <w:r>
              <w:rPr>
                <w:rFonts w:ascii="宋体" w:hAnsi="宋体" w:cs="宋体" w:eastAsia="宋体" w:hint="default"/>
                <w:sz w:val="16"/>
                <w:szCs w:val="16"/>
              </w:rPr>
              <w:t>应付利息</w:t>
            </w:r>
          </w:p>
        </w:tc>
      </w:tr>
      <w:tr>
        <w:trPr>
          <w:trHeight w:val="73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357" w:lineRule="auto" w:before="82"/>
              <w:ind w:left="43" w:right="5"/>
              <w:jc w:val="left"/>
              <w:rPr>
                <w:rFonts w:ascii="宋体" w:hAnsi="宋体" w:cs="宋体" w:eastAsia="宋体" w:hint="default"/>
                <w:sz w:val="16"/>
                <w:szCs w:val="16"/>
              </w:rPr>
            </w:pPr>
            <w:r>
              <w:rPr>
                <w:rFonts w:ascii="宋体" w:hAnsi="宋体" w:cs="宋体" w:eastAsia="宋体" w:hint="default"/>
                <w:sz w:val="16"/>
                <w:szCs w:val="16"/>
              </w:rPr>
              <w:t>2019</w:t>
            </w:r>
            <w:r>
              <w:rPr>
                <w:rFonts w:ascii="宋体" w:hAnsi="宋体" w:cs="宋体" w:eastAsia="宋体" w:hint="default"/>
                <w:spacing w:val="-51"/>
                <w:sz w:val="16"/>
                <w:szCs w:val="16"/>
              </w:rPr>
              <w:t> </w:t>
            </w:r>
            <w:r>
              <w:rPr>
                <w:rFonts w:ascii="宋体" w:hAnsi="宋体" w:cs="宋体" w:eastAsia="宋体" w:hint="default"/>
                <w:sz w:val="16"/>
                <w:szCs w:val="16"/>
              </w:rPr>
              <w:t>年</w:t>
            </w:r>
            <w:r>
              <w:rPr>
                <w:rFonts w:ascii="宋体" w:hAnsi="宋体" w:cs="宋体" w:eastAsia="宋体" w:hint="default"/>
                <w:spacing w:val="-53"/>
                <w:sz w:val="16"/>
                <w:szCs w:val="16"/>
              </w:rPr>
              <w:t> </w:t>
            </w:r>
            <w:r>
              <w:rPr>
                <w:rFonts w:ascii="宋体" w:hAnsi="宋体" w:cs="宋体" w:eastAsia="宋体" w:hint="default"/>
                <w:sz w:val="16"/>
                <w:szCs w:val="16"/>
              </w:rPr>
              <w:t>1</w:t>
            </w:r>
            <w:r>
              <w:rPr>
                <w:rFonts w:ascii="宋体" w:hAnsi="宋体" w:cs="宋体" w:eastAsia="宋体" w:hint="default"/>
                <w:spacing w:val="-52"/>
                <w:sz w:val="16"/>
                <w:szCs w:val="16"/>
              </w:rPr>
              <w:t> </w:t>
            </w:r>
            <w:r>
              <w:rPr>
                <w:rFonts w:ascii="宋体" w:hAnsi="宋体" w:cs="宋体" w:eastAsia="宋体" w:hint="default"/>
                <w:sz w:val="16"/>
                <w:szCs w:val="16"/>
              </w:rPr>
              <w:t>月</w:t>
            </w:r>
            <w:r>
              <w:rPr>
                <w:rFonts w:ascii="宋体" w:hAnsi="宋体" w:cs="宋体" w:eastAsia="宋体" w:hint="default"/>
                <w:spacing w:val="-53"/>
                <w:sz w:val="16"/>
                <w:szCs w:val="16"/>
              </w:rPr>
              <w:t> </w:t>
            </w:r>
            <w:r>
              <w:rPr>
                <w:rFonts w:ascii="宋体" w:hAnsi="宋体" w:cs="宋体" w:eastAsia="宋体" w:hint="default"/>
                <w:sz w:val="16"/>
                <w:szCs w:val="16"/>
              </w:rPr>
              <w:t>1</w:t>
            </w:r>
            <w:r>
              <w:rPr>
                <w:rFonts w:ascii="宋体" w:hAnsi="宋体" w:cs="宋体" w:eastAsia="宋体" w:hint="default"/>
                <w:spacing w:val="-49"/>
                <w:sz w:val="16"/>
                <w:szCs w:val="16"/>
              </w:rPr>
              <w:t> </w:t>
            </w:r>
            <w:r>
              <w:rPr>
                <w:rFonts w:ascii="宋体" w:hAnsi="宋体" w:cs="宋体" w:eastAsia="宋体" w:hint="default"/>
                <w:sz w:val="16"/>
                <w:szCs w:val="16"/>
              </w:rPr>
              <w:t>日的列报项目与</w:t>
            </w:r>
            <w:r>
              <w:rPr>
                <w:rFonts w:ascii="宋体" w:hAnsi="宋体" w:cs="宋体" w:eastAsia="宋体" w:hint="default"/>
                <w:w w:val="100"/>
                <w:sz w:val="16"/>
                <w:szCs w:val="16"/>
              </w:rPr>
              <w:t> </w:t>
            </w:r>
            <w:r>
              <w:rPr>
                <w:rFonts w:ascii="宋体" w:hAnsi="宋体" w:cs="宋体" w:eastAsia="宋体" w:hint="default"/>
                <w:sz w:val="16"/>
                <w:szCs w:val="16"/>
              </w:rPr>
              <w:t>金额</w:t>
            </w:r>
            <w:r>
              <w:rPr>
                <w:rFonts w:ascii="宋体" w:hAnsi="宋体" w:cs="宋体" w:eastAsia="宋体" w:hint="default"/>
                <w:sz w:val="16"/>
                <w:szCs w:val="16"/>
              </w:rPr>
              <w:t>-</w:t>
            </w:r>
            <w:r>
              <w:rPr>
                <w:rFonts w:ascii="宋体" w:hAnsi="宋体" w:cs="宋体" w:eastAsia="宋体" w:hint="default"/>
                <w:sz w:val="16"/>
                <w:szCs w:val="16"/>
              </w:rPr>
              <w:t>新金融工具准则</w:t>
            </w:r>
          </w:p>
        </w:tc>
        <w:tc>
          <w:tcPr>
            <w:tcW w:w="11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16"/>
                <w:szCs w:val="16"/>
              </w:rPr>
            </w:pPr>
            <w:r>
              <w:rPr>
                <w:rFonts w:ascii="宋体" w:hAnsi="宋体" w:cs="宋体" w:eastAsia="宋体" w:hint="default"/>
                <w:spacing w:val="-1"/>
                <w:sz w:val="16"/>
                <w:szCs w:val="16"/>
              </w:rPr>
              <w:t>应付短期融资款</w:t>
            </w:r>
          </w:p>
        </w:tc>
        <w:tc>
          <w:tcPr>
            <w:tcW w:w="12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93" w:right="0"/>
              <w:jc w:val="left"/>
              <w:rPr>
                <w:rFonts w:ascii="宋体" w:hAnsi="宋体" w:cs="宋体" w:eastAsia="宋体" w:hint="default"/>
                <w:sz w:val="16"/>
                <w:szCs w:val="16"/>
              </w:rPr>
            </w:pPr>
            <w:r>
              <w:rPr>
                <w:rFonts w:ascii="宋体" w:hAnsi="宋体" w:cs="宋体" w:eastAsia="宋体" w:hint="default"/>
                <w:sz w:val="16"/>
                <w:szCs w:val="16"/>
              </w:rPr>
              <w:t>拆入资金</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09" w:right="0"/>
              <w:jc w:val="left"/>
              <w:rPr>
                <w:rFonts w:ascii="宋体" w:hAnsi="宋体" w:cs="宋体" w:eastAsia="宋体" w:hint="default"/>
                <w:sz w:val="16"/>
                <w:szCs w:val="16"/>
              </w:rPr>
            </w:pPr>
            <w:r>
              <w:rPr>
                <w:rFonts w:ascii="宋体" w:hAnsi="宋体" w:cs="宋体" w:eastAsia="宋体" w:hint="default"/>
                <w:sz w:val="16"/>
                <w:szCs w:val="16"/>
              </w:rPr>
              <w:t>卖出回购金融资产款</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16"/>
                <w:szCs w:val="16"/>
              </w:rPr>
            </w:pPr>
            <w:r>
              <w:rPr>
                <w:rFonts w:ascii="宋体" w:hAnsi="宋体" w:cs="宋体" w:eastAsia="宋体" w:hint="default"/>
                <w:spacing w:val="-1"/>
                <w:sz w:val="16"/>
                <w:szCs w:val="16"/>
              </w:rPr>
              <w:t>其他应付款</w:t>
            </w:r>
            <w:r>
              <w:rPr>
                <w:rFonts w:ascii="宋体" w:hAnsi="宋体" w:cs="宋体" w:eastAsia="宋体" w:hint="default"/>
                <w:spacing w:val="-1"/>
                <w:sz w:val="16"/>
                <w:szCs w:val="16"/>
              </w:rPr>
              <w:t>-</w:t>
            </w:r>
            <w:r>
              <w:rPr>
                <w:rFonts w:ascii="宋体" w:hAnsi="宋体" w:cs="宋体" w:eastAsia="宋体" w:hint="default"/>
                <w:spacing w:val="-1"/>
                <w:sz w:val="16"/>
                <w:szCs w:val="16"/>
              </w:rPr>
              <w:t>应付利息</w:t>
            </w:r>
          </w:p>
        </w:tc>
        <w:tc>
          <w:tcPr>
            <w:tcW w:w="332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应付债券</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41"/>
              <w:jc w:val="center"/>
              <w:rPr>
                <w:rFonts w:ascii="宋体" w:hAnsi="宋体" w:cs="宋体" w:eastAsia="宋体" w:hint="default"/>
                <w:sz w:val="16"/>
                <w:szCs w:val="16"/>
              </w:rPr>
            </w:pPr>
            <w:r>
              <w:rPr>
                <w:rFonts w:ascii="宋体" w:hAnsi="宋体" w:cs="宋体" w:eastAsia="宋体" w:hint="default"/>
                <w:sz w:val="16"/>
                <w:szCs w:val="16"/>
              </w:rPr>
              <w:t>短期借款</w:t>
            </w:r>
          </w:p>
        </w:tc>
      </w:tr>
      <w:tr>
        <w:trPr>
          <w:trHeight w:val="427" w:hRule="exact"/>
        </w:trPr>
        <w:tc>
          <w:tcPr>
            <w:tcW w:w="2129" w:type="dxa"/>
            <w:tcBorders>
              <w:top w:val="dotted" w:sz="4" w:space="0" w:color="000000"/>
              <w:left w:val="nil" w:sz="6" w:space="0" w:color="auto"/>
              <w:bottom w:val="single" w:sz="12" w:space="0" w:color="000000"/>
              <w:right w:val="dotted" w:sz="4" w:space="0" w:color="000000"/>
            </w:tcBorders>
          </w:tcPr>
          <w:p>
            <w:pPr/>
          </w:p>
        </w:tc>
        <w:tc>
          <w:tcPr>
            <w:tcW w:w="11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3,691,323.79</w:t>
            </w:r>
          </w:p>
        </w:tc>
        <w:tc>
          <w:tcPr>
            <w:tcW w:w="12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left="353" w:right="0"/>
              <w:jc w:val="left"/>
              <w:rPr>
                <w:rFonts w:ascii="Times New Roman" w:hAnsi="Times New Roman" w:cs="Times New Roman" w:eastAsia="Times New Roman" w:hint="default"/>
                <w:sz w:val="15"/>
                <w:szCs w:val="15"/>
              </w:rPr>
            </w:pPr>
            <w:r>
              <w:rPr>
                <w:rFonts w:ascii="Times New Roman"/>
                <w:sz w:val="15"/>
              </w:rPr>
              <w:t>20,733,277.79</w:t>
            </w:r>
          </w:p>
        </w:tc>
        <w:tc>
          <w:tcPr>
            <w:tcW w:w="20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left="1264" w:right="0"/>
              <w:jc w:val="left"/>
              <w:rPr>
                <w:rFonts w:ascii="Times New Roman" w:hAnsi="Times New Roman" w:cs="Times New Roman" w:eastAsia="Times New Roman" w:hint="default"/>
                <w:sz w:val="15"/>
                <w:szCs w:val="15"/>
              </w:rPr>
            </w:pPr>
            <w:r>
              <w:rPr>
                <w:rFonts w:ascii="Times New Roman"/>
                <w:sz w:val="15"/>
              </w:rPr>
              <w:t>8,100,193.57</w:t>
            </w:r>
          </w:p>
        </w:tc>
        <w:tc>
          <w:tcPr>
            <w:tcW w:w="15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3,350,054.10</w:t>
            </w:r>
          </w:p>
        </w:tc>
        <w:tc>
          <w:tcPr>
            <w:tcW w:w="3325" w:type="dxa"/>
            <w:gridSpan w:val="2"/>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41,770,436.50</w:t>
            </w:r>
          </w:p>
        </w:tc>
        <w:tc>
          <w:tcPr>
            <w:tcW w:w="25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4"/>
              <w:ind w:right="50"/>
              <w:jc w:val="right"/>
              <w:rPr>
                <w:rFonts w:ascii="Times New Roman" w:hAnsi="Times New Roman" w:cs="Times New Roman" w:eastAsia="Times New Roman" w:hint="default"/>
                <w:sz w:val="15"/>
                <w:szCs w:val="15"/>
              </w:rPr>
            </w:pPr>
            <w:r>
              <w:rPr>
                <w:rFonts w:ascii="Times New Roman"/>
                <w:spacing w:val="-1"/>
                <w:sz w:val="15"/>
              </w:rPr>
              <w:t>88,231.85</w:t>
            </w:r>
          </w:p>
        </w:tc>
      </w:tr>
    </w:tbl>
    <w:p>
      <w:pPr>
        <w:spacing w:line="203" w:lineRule="exact" w:before="0"/>
        <w:ind w:left="160" w:right="0" w:firstLine="0"/>
        <w:jc w:val="left"/>
        <w:rPr>
          <w:rFonts w:ascii="宋体" w:hAnsi="宋体" w:cs="宋体" w:eastAsia="宋体" w:hint="default"/>
          <w:sz w:val="18"/>
          <w:szCs w:val="18"/>
        </w:rPr>
      </w:pPr>
      <w:r>
        <w:rPr/>
        <w:pict>
          <v:group style="position:absolute;margin-left:234.259995pt;margin-top:-57.959999pt;width:.5pt;height:.1pt;mso-position-horizontal-relative:page;mso-position-vertical-relative:paragraph;z-index:-1329280" coordorigin="4685,-1159" coordsize="10,2">
            <v:shape style="position:absolute;left:4685;top:-1159;width:10;height:2" coordorigin="4685,-1159" coordsize="10,0" path="m4685,-1159l4695,-1159e" filled="false" stroked="true" strokeweight=".72pt" strokecolor="#000000">
              <v:path arrowok="t"/>
              <v:stroke dashstyle="dash"/>
            </v:shape>
            <w10:wrap type="none"/>
          </v:group>
        </w:pict>
      </w:r>
      <w:r>
        <w:rPr/>
        <w:pict>
          <v:group style="position:absolute;margin-left:296.209991pt;margin-top:-57.959999pt;width:.5pt;height:.1pt;mso-position-horizontal-relative:page;mso-position-vertical-relative:paragraph;z-index:-1329256" coordorigin="5924,-1159" coordsize="10,2">
            <v:shape style="position:absolute;left:5924;top:-1159;width:10;height:2" coordorigin="5924,-1159" coordsize="10,0" path="m5924,-1159l5934,-1159e" filled="false" stroked="true" strokeweight=".72pt" strokecolor="#000000">
              <v:path arrowok="t"/>
              <v:stroke dashstyle="dash"/>
            </v:shape>
            <w10:wrap type="none"/>
          </v:group>
        </w:pict>
      </w:r>
      <w:r>
        <w:rPr/>
        <w:pict>
          <v:group style="position:absolute;margin-left:399.769989pt;margin-top:-57.959999pt;width:.5pt;height:.1pt;mso-position-horizontal-relative:page;mso-position-vertical-relative:paragraph;z-index:-1329232" coordorigin="7995,-1159" coordsize="10,2">
            <v:shape style="position:absolute;left:7995;top:-1159;width:10;height:2" coordorigin="7995,-1159" coordsize="10,0" path="m7995,-1159l8005,-1159e" filled="false" stroked="true" strokeweight=".72pt" strokecolor="#000000">
              <v:path arrowok="t"/>
              <v:stroke dashstyle="dash"/>
            </v:shape>
            <w10:wrap type="none"/>
          </v:group>
        </w:pict>
      </w:r>
      <w:r>
        <w:rPr/>
        <w:pict>
          <v:group style="position:absolute;margin-left:477.309998pt;margin-top:-57.959999pt;width:.5pt;height:.1pt;mso-position-horizontal-relative:page;mso-position-vertical-relative:paragraph;z-index:-1329208" coordorigin="9546,-1159" coordsize="10,2">
            <v:shape style="position:absolute;left:9546;top:-1159;width:10;height:2" coordorigin="9546,-1159" coordsize="10,0" path="m9546,-1159l9556,-1159e" filled="false" stroked="true" strokeweight=".72pt" strokecolor="#000000">
              <v:path arrowok="t"/>
              <v:stroke dashstyle="dash"/>
            </v:shape>
            <w10:wrap type="none"/>
          </v:group>
        </w:pict>
      </w:r>
      <w:r>
        <w:rPr/>
        <w:pict>
          <v:group style="position:absolute;margin-left:643.539978pt;margin-top:-57.959999pt;width:.5pt;height:.1pt;mso-position-horizontal-relative:page;mso-position-vertical-relative:paragraph;z-index:-1329184" coordorigin="12871,-1159" coordsize="10,2">
            <v:shape style="position:absolute;left:12871;top:-1159;width:10;height:2" coordorigin="12871,-1159" coordsize="10,0" path="m12871,-1159l12880,-1159e" filled="false" stroked="true" strokeweight=".72pt" strokecolor="#000000">
              <v:path arrowok="t"/>
              <v:stroke dashstyle="dash"/>
            </v:shape>
            <w10:wrap type="none"/>
          </v:group>
        </w:pict>
      </w:r>
      <w:r>
        <w:rPr>
          <w:rFonts w:ascii="宋体" w:hAnsi="宋体" w:cs="宋体" w:eastAsia="宋体" w:hint="default"/>
          <w:sz w:val="18"/>
          <w:szCs w:val="18"/>
        </w:rPr>
        <w:t>注：此表格列示数据为涉及金融工具准则转换的调整数据。</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240" w:lineRule="auto"/>
        <w:ind w:left="160" w:right="0"/>
        <w:jc w:val="left"/>
      </w:pPr>
      <w:r>
        <w:rPr/>
        <w:t>②新旧金融工具准则下减值（坏账）准备余额调节表</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6107"/>
        <w:gridCol w:w="1968"/>
        <w:gridCol w:w="1966"/>
        <w:gridCol w:w="1966"/>
        <w:gridCol w:w="1968"/>
      </w:tblGrid>
      <w:tr>
        <w:trPr>
          <w:trHeight w:val="1001" w:hRule="exact"/>
        </w:trPr>
        <w:tc>
          <w:tcPr>
            <w:tcW w:w="610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8" w:type="dxa"/>
            <w:tcBorders>
              <w:top w:val="single" w:sz="12" w:space="0" w:color="000000"/>
              <w:left w:val="dotted" w:sz="4" w:space="0" w:color="000000"/>
              <w:bottom w:val="dotted" w:sz="4" w:space="0" w:color="000000"/>
              <w:right w:val="dotted" w:sz="4" w:space="0" w:color="000000"/>
            </w:tcBorders>
          </w:tcPr>
          <w:p>
            <w:pPr>
              <w:pStyle w:val="TableParagraph"/>
              <w:spacing w:line="304" w:lineRule="auto" w:before="70"/>
              <w:ind w:left="167" w:right="168"/>
              <w:jc w:val="center"/>
              <w:rPr>
                <w:rFonts w:ascii="宋体" w:hAnsi="宋体" w:cs="宋体" w:eastAsia="宋体" w:hint="default"/>
                <w:sz w:val="18"/>
                <w:szCs w:val="18"/>
              </w:rPr>
            </w:pPr>
            <w:r>
              <w:rPr>
                <w:rFonts w:ascii="宋体" w:hAnsi="宋体" w:cs="宋体" w:eastAsia="宋体" w:hint="default"/>
                <w:sz w:val="18"/>
                <w:szCs w:val="18"/>
              </w:rPr>
              <w:t>按原金融工具准则列 示的减值（坏账）准 备</w:t>
            </w:r>
          </w:p>
        </w:tc>
        <w:tc>
          <w:tcPr>
            <w:tcW w:w="19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9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16"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68" w:type="dxa"/>
            <w:tcBorders>
              <w:top w:val="single" w:sz="12" w:space="0" w:color="000000"/>
              <w:left w:val="dotted" w:sz="4" w:space="0" w:color="000000"/>
              <w:bottom w:val="dotted" w:sz="4" w:space="0" w:color="000000"/>
              <w:right w:val="nil" w:sz="6" w:space="0" w:color="auto"/>
            </w:tcBorders>
          </w:tcPr>
          <w:p>
            <w:pPr>
              <w:pStyle w:val="TableParagraph"/>
              <w:spacing w:line="304" w:lineRule="auto" w:before="70"/>
              <w:ind w:left="167" w:right="173"/>
              <w:jc w:val="center"/>
              <w:rPr>
                <w:rFonts w:ascii="宋体" w:hAnsi="宋体" w:cs="宋体" w:eastAsia="宋体" w:hint="default"/>
                <w:sz w:val="18"/>
                <w:szCs w:val="18"/>
              </w:rPr>
            </w:pPr>
            <w:r>
              <w:rPr>
                <w:rFonts w:ascii="宋体" w:hAnsi="宋体" w:cs="宋体" w:eastAsia="宋体" w:hint="default"/>
                <w:sz w:val="18"/>
                <w:szCs w:val="18"/>
              </w:rPr>
              <w:t>按新金融工具准则列 示的减值（坏账）准 备</w:t>
            </w:r>
          </w:p>
        </w:tc>
      </w:tr>
      <w:tr>
        <w:trPr>
          <w:trHeight w:val="410" w:hRule="exact"/>
        </w:trPr>
        <w:tc>
          <w:tcPr>
            <w:tcW w:w="6107" w:type="dxa"/>
            <w:vMerge/>
            <w:tcBorders>
              <w:left w:val="nil" w:sz="6" w:space="0" w:color="auto"/>
              <w:bottom w:val="dotted" w:sz="4" w:space="0" w:color="000000"/>
              <w:right w:val="dotted" w:sz="4" w:space="0" w:color="000000"/>
            </w:tcBorders>
          </w:tcPr>
          <w:p>
            <w:pP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23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66" w:type="dxa"/>
            <w:tcBorders>
              <w:top w:val="dotted" w:sz="4" w:space="0" w:color="000000"/>
              <w:left w:val="dotted" w:sz="4" w:space="0" w:color="000000"/>
              <w:bottom w:val="dotted" w:sz="4" w:space="0" w:color="000000"/>
              <w:right w:val="dotted" w:sz="4" w:space="0" w:color="000000"/>
            </w:tcBorders>
          </w:tcPr>
          <w:p>
            <w:pPr/>
          </w:p>
        </w:tc>
        <w:tc>
          <w:tcPr>
            <w:tcW w:w="1966" w:type="dxa"/>
            <w:tcBorders>
              <w:top w:val="dotted" w:sz="4" w:space="0" w:color="000000"/>
              <w:left w:val="dotted" w:sz="4" w:space="0" w:color="000000"/>
              <w:bottom w:val="dotted" w:sz="4" w:space="0" w:color="000000"/>
              <w:right w:val="dotted" w:sz="4" w:space="0" w:color="000000"/>
            </w:tcBorders>
          </w:tcPr>
          <w:p>
            <w:pP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left="32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91"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融出资金</w:t>
            </w:r>
            <w:r>
              <w:rPr>
                <w:rFonts w:ascii="宋体" w:hAnsi="宋体" w:cs="宋体" w:eastAsia="宋体" w:hint="default"/>
                <w:sz w:val="18"/>
                <w:szCs w:val="18"/>
              </w:rPr>
              <w:t>/</w:t>
            </w:r>
            <w:r>
              <w:rPr>
                <w:rFonts w:ascii="宋体" w:hAnsi="宋体" w:cs="宋体" w:eastAsia="宋体" w:hint="default"/>
                <w:sz w:val="18"/>
                <w:szCs w:val="18"/>
              </w:rPr>
              <w:t>以摊余成本计量的金融资产</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3,397,378.87</w:t>
            </w:r>
          </w:p>
        </w:tc>
        <w:tc>
          <w:tcPr>
            <w:tcW w:w="1966" w:type="dxa"/>
            <w:tcBorders>
              <w:top w:val="dotted" w:sz="4" w:space="0" w:color="000000"/>
              <w:left w:val="dotted" w:sz="4" w:space="0" w:color="000000"/>
              <w:bottom w:val="dotted" w:sz="4" w:space="0" w:color="000000"/>
              <w:right w:val="dotted" w:sz="4" w:space="0" w:color="000000"/>
            </w:tcBorders>
          </w:tcPr>
          <w:p>
            <w:pP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-2,535,579.95</w:t>
            </w: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861,798.92</w:t>
            </w:r>
          </w:p>
        </w:tc>
      </w:tr>
      <w:tr>
        <w:trPr>
          <w:trHeight w:val="389"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宋体" w:hAnsi="宋体" w:cs="宋体" w:eastAsia="宋体" w:hint="default"/>
                <w:sz w:val="18"/>
                <w:szCs w:val="18"/>
              </w:rPr>
              <w:t>/</w:t>
            </w:r>
            <w:r>
              <w:rPr>
                <w:rFonts w:ascii="宋体" w:hAnsi="宋体" w:cs="宋体" w:eastAsia="宋体" w:hint="default"/>
                <w:sz w:val="18"/>
                <w:szCs w:val="18"/>
              </w:rPr>
              <w:t>摊余成本计量金融资产</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8,793,655.36</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-56,164.56</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-6,126,355.76</w:t>
            </w: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2,611,135.04</w:t>
            </w:r>
          </w:p>
        </w:tc>
      </w:tr>
      <w:tr>
        <w:trPr>
          <w:trHeight w:val="391"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w:t>
            </w:r>
            <w:r>
              <w:rPr>
                <w:rFonts w:ascii="宋体" w:hAnsi="宋体" w:cs="宋体" w:eastAsia="宋体" w:hint="default"/>
                <w:sz w:val="18"/>
                <w:szCs w:val="18"/>
              </w:rPr>
              <w:t>以摊余成本计量的金融资产</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7,880,819.64</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-367,510.35</w:t>
            </w:r>
          </w:p>
        </w:tc>
        <w:tc>
          <w:tcPr>
            <w:tcW w:w="1966" w:type="dxa"/>
            <w:tcBorders>
              <w:top w:val="dotted" w:sz="4" w:space="0" w:color="000000"/>
              <w:left w:val="dotted" w:sz="4" w:space="0" w:color="000000"/>
              <w:bottom w:val="dotted" w:sz="4" w:space="0" w:color="000000"/>
              <w:right w:val="dotted" w:sz="4" w:space="0" w:color="000000"/>
            </w:tcBorders>
          </w:tcPr>
          <w:p>
            <w:pP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7,513,309.29</w:t>
            </w:r>
          </w:p>
        </w:tc>
      </w:tr>
      <w:tr>
        <w:trPr>
          <w:trHeight w:val="389"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w:t>
            </w:r>
            <w:r>
              <w:rPr>
                <w:rFonts w:ascii="宋体" w:hAnsi="宋体" w:cs="宋体" w:eastAsia="宋体" w:hint="default"/>
                <w:sz w:val="18"/>
                <w:szCs w:val="18"/>
              </w:rPr>
              <w:t>以摊余成本计量的金融资产</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1,814,366.78</w:t>
            </w:r>
          </w:p>
        </w:tc>
        <w:tc>
          <w:tcPr>
            <w:tcW w:w="1966" w:type="dxa"/>
            <w:tcBorders>
              <w:top w:val="dotted" w:sz="4" w:space="0" w:color="000000"/>
              <w:left w:val="dotted" w:sz="4" w:space="0" w:color="000000"/>
              <w:bottom w:val="dotted" w:sz="4" w:space="0" w:color="000000"/>
              <w:right w:val="dotted" w:sz="4" w:space="0" w:color="000000"/>
            </w:tcBorders>
          </w:tcPr>
          <w:p>
            <w:pPr/>
          </w:p>
        </w:tc>
        <w:tc>
          <w:tcPr>
            <w:tcW w:w="1966" w:type="dxa"/>
            <w:tcBorders>
              <w:top w:val="dotted" w:sz="4" w:space="0" w:color="000000"/>
              <w:left w:val="dotted" w:sz="4" w:space="0" w:color="000000"/>
              <w:bottom w:val="dotted" w:sz="4" w:space="0" w:color="000000"/>
              <w:right w:val="dotted" w:sz="4" w:space="0" w:color="000000"/>
            </w:tcBorders>
          </w:tcPr>
          <w:p>
            <w:pP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1,814,366.78</w:t>
            </w:r>
          </w:p>
        </w:tc>
      </w:tr>
      <w:tr>
        <w:trPr>
          <w:trHeight w:val="391"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w:t>
            </w:r>
            <w:r>
              <w:rPr>
                <w:rFonts w:ascii="宋体" w:hAnsi="宋体" w:cs="宋体" w:eastAsia="宋体" w:hint="default"/>
                <w:sz w:val="18"/>
                <w:szCs w:val="18"/>
              </w:rPr>
              <w:t>以摊余成本计量的金融资产</w:t>
            </w:r>
          </w:p>
        </w:tc>
        <w:tc>
          <w:tcPr>
            <w:tcW w:w="1968" w:type="dxa"/>
            <w:tcBorders>
              <w:top w:val="dotted" w:sz="4" w:space="0" w:color="000000"/>
              <w:left w:val="dotted" w:sz="4" w:space="0" w:color="000000"/>
              <w:bottom w:val="dotted" w:sz="4" w:space="0" w:color="000000"/>
              <w:right w:val="dotted" w:sz="4" w:space="0" w:color="000000"/>
            </w:tcBorders>
          </w:tcPr>
          <w:p>
            <w:pP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423,674.91</w:t>
            </w:r>
          </w:p>
        </w:tc>
        <w:tc>
          <w:tcPr>
            <w:tcW w:w="1966" w:type="dxa"/>
            <w:tcBorders>
              <w:top w:val="dotted" w:sz="4" w:space="0" w:color="000000"/>
              <w:left w:val="dotted" w:sz="4" w:space="0" w:color="000000"/>
              <w:bottom w:val="dotted" w:sz="4" w:space="0" w:color="000000"/>
              <w:right w:val="dotted" w:sz="4" w:space="0" w:color="000000"/>
            </w:tcBorders>
          </w:tcPr>
          <w:p>
            <w:pP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423,674.91</w:t>
            </w:r>
          </w:p>
        </w:tc>
      </w:tr>
      <w:tr>
        <w:trPr>
          <w:trHeight w:val="389"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其他金融资产</w:t>
            </w:r>
            <w:r>
              <w:rPr>
                <w:rFonts w:ascii="宋体" w:hAnsi="宋体" w:cs="宋体" w:eastAsia="宋体" w:hint="default"/>
                <w:sz w:val="18"/>
                <w:szCs w:val="18"/>
              </w:rPr>
              <w:t>/</w:t>
            </w:r>
            <w:r>
              <w:rPr>
                <w:rFonts w:ascii="宋体" w:hAnsi="宋体" w:cs="宋体" w:eastAsia="宋体" w:hint="default"/>
                <w:sz w:val="18"/>
                <w:szCs w:val="18"/>
              </w:rPr>
              <w:t>以摊余成本计量的金融资产</w:t>
            </w:r>
          </w:p>
        </w:tc>
        <w:tc>
          <w:tcPr>
            <w:tcW w:w="1968" w:type="dxa"/>
            <w:tcBorders>
              <w:top w:val="dotted" w:sz="4" w:space="0" w:color="000000"/>
              <w:left w:val="dotted" w:sz="4" w:space="0" w:color="000000"/>
              <w:bottom w:val="dotted" w:sz="4" w:space="0" w:color="000000"/>
              <w:right w:val="dotted" w:sz="4" w:space="0" w:color="000000"/>
            </w:tcBorders>
          </w:tcPr>
          <w:p>
            <w:pPr/>
          </w:p>
        </w:tc>
        <w:tc>
          <w:tcPr>
            <w:tcW w:w="1966" w:type="dxa"/>
            <w:tcBorders>
              <w:top w:val="dotted" w:sz="4" w:space="0" w:color="000000"/>
              <w:left w:val="dotted" w:sz="4" w:space="0" w:color="000000"/>
              <w:bottom w:val="dotted" w:sz="4" w:space="0" w:color="000000"/>
              <w:right w:val="dotted" w:sz="4" w:space="0" w:color="000000"/>
            </w:tcBorders>
          </w:tcPr>
          <w:p>
            <w:pP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3,622,509.45</w:t>
            </w: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3,622,509.45</w:t>
            </w:r>
          </w:p>
        </w:tc>
      </w:tr>
      <w:tr>
        <w:trPr>
          <w:trHeight w:val="391"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w:t>
            </w:r>
            <w:r>
              <w:rPr>
                <w:rFonts w:ascii="宋体" w:hAnsi="宋体" w:cs="宋体" w:eastAsia="宋体" w:hint="default"/>
                <w:sz w:val="18"/>
                <w:szCs w:val="18"/>
              </w:rPr>
              <w:t>以公允价值计量且其变动计入当期损益的金融资产</w:t>
            </w:r>
          </w:p>
        </w:tc>
        <w:tc>
          <w:tcPr>
            <w:tcW w:w="19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104,103,452.11</w:t>
            </w: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-104,103,452.11</w:t>
            </w:r>
          </w:p>
        </w:tc>
        <w:tc>
          <w:tcPr>
            <w:tcW w:w="1966" w:type="dxa"/>
            <w:tcBorders>
              <w:top w:val="dotted" w:sz="4" w:space="0" w:color="000000"/>
              <w:left w:val="dotted" w:sz="4" w:space="0" w:color="000000"/>
              <w:bottom w:val="dotted" w:sz="4" w:space="0" w:color="000000"/>
              <w:right w:val="dotted" w:sz="4" w:space="0" w:color="000000"/>
            </w:tcBorders>
          </w:tcPr>
          <w:p>
            <w:pPr/>
          </w:p>
        </w:tc>
        <w:tc>
          <w:tcPr>
            <w:tcW w:w="1968"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61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w:t>
            </w:r>
            <w:r>
              <w:rPr>
                <w:rFonts w:ascii="宋体" w:hAnsi="宋体" w:cs="宋体" w:eastAsia="宋体" w:hint="default"/>
                <w:sz w:val="18"/>
                <w:szCs w:val="18"/>
              </w:rPr>
              <w:t>以公允价值计量且其变动计入其他综合收益的金融资产</w:t>
            </w:r>
          </w:p>
        </w:tc>
        <w:tc>
          <w:tcPr>
            <w:tcW w:w="1968" w:type="dxa"/>
            <w:tcBorders>
              <w:top w:val="dotted" w:sz="4" w:space="0" w:color="000000"/>
              <w:left w:val="dotted" w:sz="4" w:space="0" w:color="000000"/>
              <w:bottom w:val="dotted" w:sz="4" w:space="0" w:color="000000"/>
              <w:right w:val="dotted" w:sz="4" w:space="0" w:color="000000"/>
            </w:tcBorders>
          </w:tcPr>
          <w:p>
            <w:pPr/>
          </w:p>
        </w:tc>
        <w:tc>
          <w:tcPr>
            <w:tcW w:w="1966" w:type="dxa"/>
            <w:tcBorders>
              <w:top w:val="dotted" w:sz="4" w:space="0" w:color="000000"/>
              <w:left w:val="dotted" w:sz="4" w:space="0" w:color="000000"/>
              <w:bottom w:val="dotted" w:sz="4" w:space="0" w:color="000000"/>
              <w:right w:val="dotted" w:sz="4" w:space="0" w:color="000000"/>
            </w:tcBorders>
          </w:tcPr>
          <w:p>
            <w:pPr/>
          </w:p>
        </w:tc>
        <w:tc>
          <w:tcPr>
            <w:tcW w:w="19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585,580.96</w:t>
            </w: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pacing w:val="-1"/>
                <w:sz w:val="18"/>
              </w:rPr>
              <w:t>585,580.96</w:t>
            </w:r>
          </w:p>
        </w:tc>
      </w:tr>
      <w:tr>
        <w:trPr>
          <w:trHeight w:val="401" w:hRule="exact"/>
        </w:trPr>
        <w:tc>
          <w:tcPr>
            <w:tcW w:w="61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125,989,672.76</w:t>
            </w:r>
          </w:p>
        </w:tc>
        <w:tc>
          <w:tcPr>
            <w:tcW w:w="19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pacing w:val="-1"/>
                <w:sz w:val="18"/>
              </w:rPr>
              <w:t>-104,103,452.11</w:t>
            </w:r>
          </w:p>
        </w:tc>
        <w:tc>
          <w:tcPr>
            <w:tcW w:w="19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-4,453,845.30</w:t>
            </w:r>
          </w:p>
        </w:tc>
        <w:tc>
          <w:tcPr>
            <w:tcW w:w="19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1"/>
              <w:ind w:right="110"/>
              <w:jc w:val="right"/>
              <w:rPr>
                <w:rFonts w:ascii="Times New Roman" w:hAnsi="Times New Roman" w:cs="Times New Roman" w:eastAsia="Times New Roman" w:hint="default"/>
                <w:sz w:val="18"/>
                <w:szCs w:val="18"/>
              </w:rPr>
            </w:pPr>
            <w:r>
              <w:rPr>
                <w:rFonts w:ascii="Times New Roman"/>
                <w:spacing w:val="-1"/>
                <w:sz w:val="18"/>
              </w:rPr>
              <w:t>17,432,375.35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280" w:right="1240"/>
        </w:sectPr>
      </w:pPr>
    </w:p>
    <w:p>
      <w:pPr>
        <w:spacing w:line="240" w:lineRule="auto" w:before="1"/>
        <w:rPr>
          <w:rFonts w:ascii="宋体" w:hAnsi="宋体" w:cs="宋体" w:eastAsia="宋体" w:hint="default"/>
          <w:sz w:val="19"/>
          <w:szCs w:val="19"/>
        </w:rPr>
      </w:pPr>
    </w:p>
    <w:p>
      <w:pPr>
        <w:pStyle w:val="Heading4"/>
        <w:spacing w:line="335" w:lineRule="exact"/>
        <w:ind w:left="575" w:right="0"/>
        <w:jc w:val="left"/>
        <w:rPr>
          <w:b w:val="0"/>
          <w:bCs w:val="0"/>
        </w:rPr>
      </w:pPr>
      <w:r>
        <w:rPr/>
        <w:t>（</w:t>
      </w:r>
      <w:r>
        <w:rPr>
          <w:rFonts w:ascii="Trebuchet MS" w:hAnsi="Trebuchet MS" w:cs="Trebuchet MS" w:eastAsia="Trebuchet MS" w:hint="default"/>
        </w:rPr>
        <w:t>2</w:t>
      </w:r>
      <w:r>
        <w:rPr/>
        <w:t>）执行新债务重组及非货币性资产交换准则对本公司的影响</w:t>
      </w:r>
      <w:r>
        <w:rPr>
          <w:b w:val="0"/>
          <w:bCs w:val="0"/>
        </w:rPr>
      </w:r>
    </w:p>
    <w:p>
      <w:pPr>
        <w:pStyle w:val="BodyText"/>
        <w:spacing w:line="240" w:lineRule="auto" w:before="152"/>
        <w:ind w:left="573" w:right="0"/>
        <w:jc w:val="left"/>
      </w:pPr>
      <w:r>
        <w:rPr/>
        <w:t>本公司自</w:t>
      </w:r>
      <w:r>
        <w:rPr>
          <w:spacing w:val="-53"/>
        </w:rPr>
        <w:t> </w:t>
      </w:r>
      <w:r>
        <w:rPr>
          <w:rFonts w:ascii="宋体" w:hAnsi="宋体" w:cs="宋体" w:eastAsia="宋体" w:hint="default"/>
        </w:rPr>
        <w:t>2019</w:t>
      </w:r>
      <w:r>
        <w:rPr>
          <w:rFonts w:ascii="宋体" w:hAnsi="宋体" w:cs="宋体" w:eastAsia="宋体" w:hint="default"/>
          <w:spacing w:val="19"/>
        </w:rPr>
        <w:t> </w:t>
      </w:r>
      <w:r>
        <w:rPr/>
        <w:t>年</w:t>
      </w:r>
      <w:r>
        <w:rPr>
          <w:spacing w:val="-55"/>
        </w:rPr>
        <w:t> </w:t>
      </w:r>
      <w:r>
        <w:rPr>
          <w:rFonts w:ascii="宋体" w:hAnsi="宋体" w:cs="宋体" w:eastAsia="宋体" w:hint="default"/>
        </w:rPr>
        <w:t>6</w:t>
      </w:r>
      <w:r>
        <w:rPr>
          <w:rFonts w:ascii="宋体" w:hAnsi="宋体" w:cs="宋体" w:eastAsia="宋体" w:hint="default"/>
          <w:spacing w:val="19"/>
        </w:rPr>
        <w:t> </w:t>
      </w:r>
      <w:r>
        <w:rPr/>
        <w:t>月</w:t>
      </w:r>
      <w:r>
        <w:rPr>
          <w:spacing w:val="-53"/>
        </w:rPr>
        <w:t> </w:t>
      </w:r>
      <w:r>
        <w:rPr>
          <w:rFonts w:ascii="宋体" w:hAnsi="宋体" w:cs="宋体" w:eastAsia="宋体" w:hint="default"/>
        </w:rPr>
        <w:t>10</w:t>
      </w:r>
      <w:r>
        <w:rPr>
          <w:rFonts w:ascii="宋体" w:hAnsi="宋体" w:cs="宋体" w:eastAsia="宋体" w:hint="default"/>
          <w:spacing w:val="20"/>
        </w:rPr>
        <w:t> </w:t>
      </w:r>
      <w:r>
        <w:rPr/>
        <w:t>日起执行财政部</w:t>
      </w:r>
      <w:r>
        <w:rPr>
          <w:spacing w:val="-53"/>
        </w:rPr>
        <w:t> </w:t>
      </w:r>
      <w:r>
        <w:rPr>
          <w:rFonts w:ascii="宋体" w:hAnsi="宋体" w:cs="宋体" w:eastAsia="宋体" w:hint="default"/>
        </w:rPr>
        <w:t>2019</w:t>
      </w:r>
      <w:r>
        <w:rPr>
          <w:rFonts w:ascii="宋体" w:hAnsi="宋体" w:cs="宋体" w:eastAsia="宋体" w:hint="default"/>
          <w:spacing w:val="-55"/>
        </w:rPr>
        <w:t> </w:t>
      </w:r>
      <w:r>
        <w:rPr/>
        <w:t>年修订的《企业会计准则第</w:t>
      </w:r>
      <w:r>
        <w:rPr>
          <w:spacing w:val="-55"/>
        </w:rPr>
        <w:t> </w:t>
      </w:r>
      <w:r>
        <w:rPr>
          <w:rFonts w:ascii="宋体" w:hAnsi="宋体" w:cs="宋体" w:eastAsia="宋体" w:hint="default"/>
        </w:rPr>
        <w:t>7</w:t>
      </w:r>
      <w:r>
        <w:rPr>
          <w:rFonts w:ascii="宋体" w:hAnsi="宋体" w:cs="宋体" w:eastAsia="宋体" w:hint="default"/>
          <w:spacing w:val="22"/>
        </w:rPr>
        <w:t> </w:t>
      </w:r>
      <w:r>
        <w:rPr/>
        <w:t>号——非货币性资产</w:t>
      </w:r>
    </w:p>
    <w:p>
      <w:pPr>
        <w:pStyle w:val="BodyText"/>
        <w:spacing w:line="240" w:lineRule="auto" w:before="133"/>
        <w:ind w:right="0"/>
        <w:jc w:val="left"/>
      </w:pPr>
      <w:r>
        <w:rPr>
          <w:w w:val="100"/>
        </w:rPr>
        <w:t>交换</w:t>
      </w:r>
      <w:r>
        <w:rPr>
          <w:spacing w:val="-108"/>
          <w:w w:val="100"/>
        </w:rPr>
        <w:t>》</w:t>
      </w:r>
      <w:r>
        <w:rPr>
          <w:spacing w:val="-8"/>
          <w:w w:val="100"/>
        </w:rPr>
        <w:t>，</w:t>
      </w:r>
      <w:r>
        <w:rPr>
          <w:w w:val="100"/>
        </w:rPr>
        <w:t>自</w:t>
      </w:r>
      <w:r>
        <w:rPr>
          <w:spacing w:val="-55"/>
        </w:rPr>
        <w:t> </w:t>
      </w:r>
      <w:r>
        <w:rPr>
          <w:rFonts w:ascii="宋体" w:hAnsi="宋体" w:cs="宋体" w:eastAsia="宋体" w:hint="default"/>
          <w:w w:val="100"/>
        </w:rPr>
        <w:t>2019</w:t>
      </w:r>
      <w:r>
        <w:rPr>
          <w:rFonts w:ascii="宋体" w:hAnsi="宋体" w:cs="宋体" w:eastAsia="宋体" w:hint="default"/>
          <w:spacing w:val="-2"/>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2"/>
        </w:rPr>
        <w:t> </w:t>
      </w:r>
      <w:r>
        <w:rPr>
          <w:w w:val="100"/>
        </w:rPr>
        <w:t>月</w:t>
      </w:r>
      <w:r>
        <w:rPr>
          <w:spacing w:val="-55"/>
        </w:rPr>
        <w:t> </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rPr>
        <w:t> </w:t>
      </w:r>
      <w:r>
        <w:rPr>
          <w:w w:val="100"/>
        </w:rPr>
        <w:t>日</w:t>
      </w:r>
      <w:r>
        <w:rPr>
          <w:spacing w:val="-3"/>
          <w:w w:val="100"/>
        </w:rPr>
        <w:t>起</w:t>
      </w:r>
      <w:r>
        <w:rPr>
          <w:w w:val="100"/>
        </w:rPr>
        <w:t>执</w:t>
      </w:r>
      <w:r>
        <w:rPr>
          <w:spacing w:val="-3"/>
          <w:w w:val="100"/>
        </w:rPr>
        <w:t>行</w:t>
      </w:r>
      <w:r>
        <w:rPr>
          <w:w w:val="100"/>
        </w:rPr>
        <w:t>财</w:t>
      </w:r>
      <w:r>
        <w:rPr>
          <w:spacing w:val="-3"/>
          <w:w w:val="100"/>
        </w:rPr>
        <w:t>政</w:t>
      </w:r>
      <w:r>
        <w:rPr>
          <w:w w:val="100"/>
        </w:rPr>
        <w:t>部</w:t>
      </w:r>
      <w:r>
        <w:rPr>
          <w:spacing w:val="-52"/>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spacing w:val="-3"/>
          <w:w w:val="100"/>
        </w:rPr>
        <w:t>年</w:t>
      </w:r>
      <w:r>
        <w:rPr>
          <w:w w:val="100"/>
        </w:rPr>
        <w:t>修订</w:t>
      </w:r>
      <w:r>
        <w:rPr>
          <w:spacing w:val="-10"/>
          <w:w w:val="100"/>
        </w:rPr>
        <w:t>的</w:t>
      </w:r>
      <w:r>
        <w:rPr>
          <w:spacing w:val="-3"/>
          <w:w w:val="100"/>
        </w:rPr>
        <w:t>《</w:t>
      </w:r>
      <w:r>
        <w:rPr>
          <w:w w:val="100"/>
        </w:rPr>
        <w:t>企</w:t>
      </w:r>
      <w:r>
        <w:rPr>
          <w:spacing w:val="-3"/>
          <w:w w:val="100"/>
        </w:rPr>
        <w:t>业</w:t>
      </w:r>
      <w:r>
        <w:rPr>
          <w:w w:val="100"/>
        </w:rPr>
        <w:t>会计</w:t>
      </w:r>
      <w:r>
        <w:rPr>
          <w:spacing w:val="-3"/>
          <w:w w:val="100"/>
        </w:rPr>
        <w:t>准则</w:t>
      </w:r>
      <w:r>
        <w:rPr>
          <w:w w:val="100"/>
        </w:rPr>
        <w:t>第</w:t>
      </w:r>
      <w:r>
        <w:rPr>
          <w:spacing w:val="-55"/>
        </w:rPr>
        <w:t> </w:t>
      </w:r>
      <w:r>
        <w:rPr>
          <w:rFonts w:ascii="宋体" w:hAnsi="宋体" w:cs="宋体" w:eastAsia="宋体" w:hint="default"/>
          <w:w w:val="100"/>
        </w:rPr>
        <w:t>12</w:t>
      </w:r>
      <w:r>
        <w:rPr>
          <w:rFonts w:ascii="宋体" w:hAnsi="宋体" w:cs="宋体" w:eastAsia="宋体" w:hint="default"/>
        </w:rPr>
        <w:t> </w:t>
      </w:r>
      <w:r>
        <w:rPr>
          <w:spacing w:val="-3"/>
          <w:w w:val="100"/>
        </w:rPr>
        <w:t>号</w:t>
      </w:r>
      <w:r>
        <w:rPr>
          <w:w w:val="100"/>
        </w:rPr>
        <w:t>—</w:t>
      </w:r>
      <w:r>
        <w:rPr>
          <w:spacing w:val="-2"/>
          <w:w w:val="100"/>
        </w:rPr>
        <w:t>—</w:t>
      </w:r>
      <w:r>
        <w:rPr>
          <w:w w:val="100"/>
        </w:rPr>
        <w:t>债</w:t>
      </w:r>
      <w:r>
        <w:rPr>
          <w:spacing w:val="-3"/>
          <w:w w:val="100"/>
        </w:rPr>
        <w:t>务</w:t>
      </w:r>
      <w:r>
        <w:rPr>
          <w:w w:val="100"/>
        </w:rPr>
        <w:t>重组</w:t>
      </w:r>
      <w:r>
        <w:rPr>
          <w:spacing w:val="-108"/>
          <w:w w:val="100"/>
        </w:rPr>
        <w:t>》</w:t>
      </w:r>
      <w:r>
        <w:rPr>
          <w:spacing w:val="-8"/>
          <w:w w:val="100"/>
        </w:rPr>
        <w:t>。</w:t>
      </w:r>
      <w:r>
        <w:rPr>
          <w:spacing w:val="-3"/>
          <w:w w:val="100"/>
        </w:rPr>
        <w:t>该</w:t>
      </w:r>
      <w:r>
        <w:rPr>
          <w:w w:val="100"/>
        </w:rPr>
        <w:t>项</w:t>
      </w:r>
    </w:p>
    <w:p>
      <w:pPr>
        <w:pStyle w:val="BodyText"/>
        <w:spacing w:line="355" w:lineRule="auto" w:before="133"/>
        <w:ind w:right="0"/>
        <w:jc w:val="left"/>
      </w:pPr>
      <w:r>
        <w:rPr/>
        <w:t>会计政策变更采用未来适用法处理，并根据准则的规定对于</w:t>
      </w:r>
      <w:r>
        <w:rPr>
          <w:spacing w:val="-40"/>
        </w:rPr>
        <w:t> </w:t>
      </w:r>
      <w:r>
        <w:rPr>
          <w:rFonts w:ascii="宋体" w:hAnsi="宋体" w:cs="宋体" w:eastAsia="宋体" w:hint="default"/>
        </w:rPr>
        <w:t>2019</w:t>
      </w:r>
      <w:r>
        <w:rPr>
          <w:rFonts w:ascii="宋体" w:hAnsi="宋体" w:cs="宋体" w:eastAsia="宋体" w:hint="default"/>
          <w:spacing w:val="-41"/>
        </w:rPr>
        <w:t> </w:t>
      </w:r>
      <w:r>
        <w:rPr/>
        <w:t>年</w:t>
      </w:r>
      <w:r>
        <w:rPr>
          <w:spacing w:val="-38"/>
        </w:rPr>
        <w:t> </w:t>
      </w:r>
      <w:r>
        <w:rPr>
          <w:rFonts w:ascii="宋体" w:hAnsi="宋体" w:cs="宋体" w:eastAsia="宋体" w:hint="default"/>
        </w:rPr>
        <w:t>1</w:t>
      </w:r>
      <w:r>
        <w:rPr>
          <w:rFonts w:ascii="宋体" w:hAnsi="宋体" w:cs="宋体" w:eastAsia="宋体" w:hint="default"/>
          <w:spacing w:val="-41"/>
        </w:rPr>
        <w:t> </w:t>
      </w:r>
      <w:r>
        <w:rPr/>
        <w:t>月</w:t>
      </w:r>
      <w:r>
        <w:rPr>
          <w:spacing w:val="-41"/>
        </w:rPr>
        <w:t> </w:t>
      </w:r>
      <w:r>
        <w:rPr>
          <w:rFonts w:ascii="宋体" w:hAnsi="宋体" w:cs="宋体" w:eastAsia="宋体" w:hint="default"/>
        </w:rPr>
        <w:t>1</w:t>
      </w:r>
      <w:r>
        <w:rPr>
          <w:rFonts w:ascii="宋体" w:hAnsi="宋体" w:cs="宋体" w:eastAsia="宋体" w:hint="default"/>
          <w:spacing w:val="-41"/>
        </w:rPr>
        <w:t> </w:t>
      </w:r>
      <w:r>
        <w:rPr/>
        <w:t>日至准则实施日之间发生的非</w:t>
      </w:r>
      <w:r>
        <w:rPr>
          <w:w w:val="100"/>
        </w:rPr>
        <w:t> </w:t>
      </w:r>
      <w:r>
        <w:rPr/>
        <w:t>货币性资产交换和债务重组进行调整。</w:t>
      </w:r>
    </w:p>
    <w:p>
      <w:pPr>
        <w:pStyle w:val="BodyText"/>
        <w:spacing w:line="240" w:lineRule="auto" w:before="70"/>
        <w:ind w:left="573" w:right="0"/>
        <w:jc w:val="left"/>
      </w:pPr>
      <w:r>
        <w:rPr/>
        <w:t>本公司执行上述准则对本报告期内财务报表无重大影响。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38" w:lineRule="auto" w:before="0"/>
        <w:ind w:left="573" w:right="6408"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3"/>
          <w:sz w:val="21"/>
          <w:szCs w:val="21"/>
        </w:rPr>
        <w:t> </w:t>
      </w:r>
      <w:r>
        <w:rPr>
          <w:rFonts w:ascii="Microsoft JhengHei" w:hAnsi="Microsoft JhengHei" w:cs="Microsoft JhengHei" w:eastAsia="Microsoft JhengHei" w:hint="default"/>
          <w:b/>
          <w:bCs/>
          <w:sz w:val="21"/>
          <w:szCs w:val="21"/>
        </w:rPr>
        <w:t>会计估计变更</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本报告期主要会计估计未发生变更。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ind w:left="152" w:right="0"/>
        <w:jc w:val="left"/>
        <w:rPr>
          <w:b w:val="0"/>
          <w:bCs w:val="0"/>
        </w:rPr>
      </w:pPr>
      <w:r>
        <w:rPr/>
        <w:t>五、</w:t>
      </w:r>
      <w:r>
        <w:rPr>
          <w:spacing w:val="41"/>
        </w:rPr>
        <w:t> </w:t>
      </w:r>
      <w:r>
        <w:rPr/>
        <w:t>税项</w:t>
      </w:r>
      <w:r>
        <w:rPr>
          <w:b w:val="0"/>
          <w:bCs w:val="0"/>
        </w:rPr>
      </w:r>
    </w:p>
    <w:p>
      <w:pPr>
        <w:pStyle w:val="Heading4"/>
        <w:spacing w:line="240" w:lineRule="auto" w:before="83"/>
        <w:ind w:left="575" w:right="0"/>
        <w:jc w:val="left"/>
        <w:rPr>
          <w:b w:val="0"/>
          <w:bCs w:val="0"/>
        </w:rPr>
      </w:pPr>
      <w:r>
        <w:rPr/>
        <w:t>（一）公司主要税种和税率</w:t>
      </w:r>
      <w:r>
        <w:rPr>
          <w:b w:val="0"/>
          <w:bCs w:val="0"/>
        </w:rPr>
      </w:r>
    </w:p>
    <w:p>
      <w:pPr>
        <w:spacing w:line="240" w:lineRule="auto" w:before="15"/>
        <w:rPr>
          <w:rFonts w:ascii="Microsoft JhengHei" w:hAnsi="Microsoft JhengHei" w:cs="Microsoft JhengHei" w:eastAsia="Microsoft JhengHei" w:hint="default"/>
          <w:b/>
          <w:bCs/>
          <w:sz w:val="14"/>
          <w:szCs w:val="14"/>
        </w:rPr>
      </w:pPr>
    </w:p>
    <w:tbl>
      <w:tblPr>
        <w:tblW w:w="0" w:type="auto"/>
        <w:jc w:val="left"/>
        <w:tblInd w:w="123" w:type="dxa"/>
        <w:tblLayout w:type="fixed"/>
        <w:tblCellMar>
          <w:top w:w="0" w:type="dxa"/>
          <w:left w:w="0" w:type="dxa"/>
          <w:bottom w:w="0" w:type="dxa"/>
          <w:right w:w="0" w:type="dxa"/>
        </w:tblCellMar>
        <w:tblLook w:val="01E0"/>
      </w:tblPr>
      <w:tblGrid>
        <w:gridCol w:w="2177"/>
        <w:gridCol w:w="4499"/>
        <w:gridCol w:w="2979"/>
      </w:tblGrid>
      <w:tr>
        <w:trPr>
          <w:trHeight w:val="360" w:hRule="exact"/>
        </w:trPr>
        <w:tc>
          <w:tcPr>
            <w:tcW w:w="21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sz w:val="20"/>
                <w:szCs w:val="20"/>
              </w:rPr>
              <w:t>税种</w:t>
            </w:r>
          </w:p>
        </w:tc>
        <w:tc>
          <w:tcPr>
            <w:tcW w:w="44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left="5" w:right="0"/>
              <w:jc w:val="center"/>
              <w:rPr>
                <w:rFonts w:ascii="宋体" w:hAnsi="宋体" w:cs="宋体" w:eastAsia="宋体" w:hint="default"/>
                <w:sz w:val="20"/>
                <w:szCs w:val="20"/>
              </w:rPr>
            </w:pPr>
            <w:r>
              <w:rPr>
                <w:rFonts w:ascii="宋体" w:hAnsi="宋体" w:cs="宋体" w:eastAsia="宋体" w:hint="default"/>
                <w:sz w:val="20"/>
                <w:szCs w:val="20"/>
              </w:rPr>
              <w:t>计税依据</w:t>
            </w:r>
          </w:p>
        </w:tc>
        <w:tc>
          <w:tcPr>
            <w:tcW w:w="297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税率</w:t>
            </w:r>
          </w:p>
        </w:tc>
      </w:tr>
      <w:tr>
        <w:trPr>
          <w:trHeight w:val="499"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9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526" w:hRule="exact"/>
        </w:trPr>
        <w:tc>
          <w:tcPr>
            <w:tcW w:w="2177" w:type="dxa"/>
            <w:tcBorders>
              <w:top w:val="dotted" w:sz="4" w:space="0" w:color="000000"/>
              <w:left w:val="nil" w:sz="6" w:space="0" w:color="auto"/>
              <w:bottom w:val="nil" w:sz="6" w:space="0" w:color="auto"/>
              <w:right w:val="dotted" w:sz="4" w:space="0" w:color="000000"/>
            </w:tcBorders>
          </w:tcPr>
          <w:p>
            <w:pPr/>
          </w:p>
        </w:tc>
        <w:tc>
          <w:tcPr>
            <w:tcW w:w="4499"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5"/>
                <w:sz w:val="18"/>
                <w:szCs w:val="18"/>
              </w:rPr>
              <w:t>按税法规定计算的销售货物和应税劳务收入为基础计</w:t>
            </w:r>
          </w:p>
        </w:tc>
        <w:tc>
          <w:tcPr>
            <w:tcW w:w="2979" w:type="dxa"/>
            <w:tcBorders>
              <w:top w:val="dotted" w:sz="4" w:space="0" w:color="000000"/>
              <w:left w:val="dotted" w:sz="4" w:space="0" w:color="000000"/>
              <w:bottom w:val="nil" w:sz="6" w:space="0" w:color="auto"/>
              <w:right w:val="nil" w:sz="6" w:space="0" w:color="auto"/>
            </w:tcBorders>
          </w:tcPr>
          <w:p>
            <w:pPr/>
          </w:p>
        </w:tc>
      </w:tr>
      <w:tr>
        <w:trPr>
          <w:trHeight w:val="406" w:hRule="exact"/>
        </w:trPr>
        <w:tc>
          <w:tcPr>
            <w:tcW w:w="2177" w:type="dxa"/>
            <w:tcBorders>
              <w:top w:val="nil" w:sz="6" w:space="0" w:color="auto"/>
              <w:left w:val="nil" w:sz="6" w:space="0" w:color="auto"/>
              <w:bottom w:val="nil" w:sz="6" w:space="0" w:color="auto"/>
              <w:right w:val="dotted"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99" w:type="dxa"/>
            <w:tcBorders>
              <w:top w:val="nil" w:sz="6" w:space="0" w:color="auto"/>
              <w:left w:val="dotted" w:sz="4" w:space="0" w:color="000000"/>
              <w:bottom w:val="nil" w:sz="6" w:space="0" w:color="auto"/>
              <w:right w:val="dotted"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算销项税额，在扣除当期允许抵扣的进项税额后，差额</w:t>
            </w:r>
          </w:p>
        </w:tc>
        <w:tc>
          <w:tcPr>
            <w:tcW w:w="2979" w:type="dxa"/>
            <w:tcBorders>
              <w:top w:val="nil" w:sz="6" w:space="0" w:color="auto"/>
              <w:left w:val="dotted" w:sz="4" w:space="0" w:color="000000"/>
              <w:bottom w:val="nil" w:sz="6" w:space="0" w:color="auto"/>
              <w:right w:val="nil" w:sz="6" w:space="0" w:color="auto"/>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57" w:hRule="exact"/>
        </w:trPr>
        <w:tc>
          <w:tcPr>
            <w:tcW w:w="2177" w:type="dxa"/>
            <w:tcBorders>
              <w:top w:val="nil" w:sz="6" w:space="0" w:color="auto"/>
              <w:left w:val="nil" w:sz="6" w:space="0" w:color="auto"/>
              <w:bottom w:val="dotted" w:sz="4" w:space="0" w:color="000000"/>
              <w:right w:val="dotted" w:sz="4" w:space="0" w:color="000000"/>
            </w:tcBorders>
          </w:tcPr>
          <w:p>
            <w:pPr/>
          </w:p>
        </w:tc>
        <w:tc>
          <w:tcPr>
            <w:tcW w:w="4499"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48"/>
              <w:ind w:left="105" w:right="0"/>
              <w:jc w:val="left"/>
              <w:rPr>
                <w:rFonts w:ascii="宋体" w:hAnsi="宋体" w:cs="宋体" w:eastAsia="宋体" w:hint="default"/>
                <w:sz w:val="18"/>
                <w:szCs w:val="18"/>
              </w:rPr>
            </w:pPr>
            <w:r>
              <w:rPr>
                <w:rFonts w:ascii="宋体" w:hAnsi="宋体" w:cs="宋体" w:eastAsia="宋体" w:hint="default"/>
                <w:sz w:val="18"/>
                <w:szCs w:val="18"/>
              </w:rPr>
              <w:t>部分为应交增值税</w:t>
            </w:r>
          </w:p>
        </w:tc>
        <w:tc>
          <w:tcPr>
            <w:tcW w:w="2979" w:type="dxa"/>
            <w:tcBorders>
              <w:top w:val="nil" w:sz="6" w:space="0" w:color="auto"/>
              <w:left w:val="dotted" w:sz="4" w:space="0" w:color="000000"/>
              <w:bottom w:val="dotted" w:sz="4" w:space="0" w:color="000000"/>
              <w:right w:val="nil" w:sz="6" w:space="0" w:color="auto"/>
            </w:tcBorders>
          </w:tcPr>
          <w:p>
            <w:pPr/>
          </w:p>
        </w:tc>
      </w:tr>
      <w:tr>
        <w:trPr>
          <w:trHeight w:val="490"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9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92" w:hRule="exact"/>
        </w:trPr>
        <w:tc>
          <w:tcPr>
            <w:tcW w:w="21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97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99" w:hRule="exact"/>
        </w:trPr>
        <w:tc>
          <w:tcPr>
            <w:tcW w:w="21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4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97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w:t>
            </w:r>
          </w:p>
        </w:tc>
      </w:tr>
    </w:tbl>
    <w:p>
      <w:pPr>
        <w:spacing w:line="235" w:lineRule="exact"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：根据财政部、税务总局、海关总署《关于深化增值税改革有关政策的公告</w:t>
      </w:r>
      <w:r>
        <w:rPr>
          <w:rFonts w:ascii="宋体" w:hAnsi="宋体" w:cs="宋体" w:eastAsia="宋体" w:hint="default"/>
          <w:spacing w:val="-92"/>
          <w:sz w:val="18"/>
          <w:szCs w:val="18"/>
        </w:rPr>
        <w:t>》</w:t>
      </w:r>
      <w:r>
        <w:rPr>
          <w:rFonts w:ascii="宋体" w:hAnsi="宋体" w:cs="宋体" w:eastAsia="宋体" w:hint="default"/>
          <w:sz w:val="18"/>
          <w:szCs w:val="18"/>
        </w:rPr>
        <w:t>（财政</w:t>
      </w:r>
      <w:r>
        <w:rPr>
          <w:rFonts w:ascii="宋体" w:hAnsi="宋体" w:cs="宋体" w:eastAsia="宋体" w:hint="default"/>
          <w:spacing w:val="2"/>
          <w:sz w:val="18"/>
          <w:szCs w:val="18"/>
        </w:rPr>
        <w:t>部</w:t>
      </w:r>
      <w:r>
        <w:rPr>
          <w:rFonts w:ascii="宋体" w:hAnsi="宋体" w:cs="宋体" w:eastAsia="宋体" w:hint="default"/>
          <w:sz w:val="18"/>
          <w:szCs w:val="18"/>
        </w:rPr>
        <w:t>、税务总局、海关总署公告</w:t>
      </w:r>
      <w:r>
        <w:rPr>
          <w:rFonts w:ascii="宋体" w:hAnsi="宋体" w:cs="宋体" w:eastAsia="宋体" w:hint="default"/>
          <w:spacing w:val="-41"/>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p>
    <w:p>
      <w:pPr>
        <w:spacing w:line="232" w:lineRule="exact" w:before="24"/>
        <w:ind w:left="152" w:right="1130" w:firstLine="0"/>
        <w:jc w:val="left"/>
        <w:rPr>
          <w:rFonts w:ascii="宋体" w:hAnsi="宋体" w:cs="宋体" w:eastAsia="宋体" w:hint="default"/>
          <w:sz w:val="18"/>
          <w:szCs w:val="18"/>
        </w:rPr>
      </w:pP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宋体" w:hAnsi="宋体" w:cs="宋体" w:eastAsia="宋体" w:hint="default"/>
          <w:sz w:val="18"/>
          <w:szCs w:val="18"/>
        </w:rPr>
        <w:t>39</w:t>
      </w:r>
      <w:r>
        <w:rPr>
          <w:rFonts w:ascii="宋体" w:hAnsi="宋体" w:cs="宋体" w:eastAsia="宋体" w:hint="default"/>
          <w:spacing w:val="-45"/>
          <w:sz w:val="18"/>
          <w:szCs w:val="18"/>
        </w:rPr>
        <w:t> </w:t>
      </w:r>
      <w:r>
        <w:rPr>
          <w:rFonts w:ascii="宋体" w:hAnsi="宋体" w:cs="宋体" w:eastAsia="宋体" w:hint="default"/>
          <w:sz w:val="18"/>
          <w:szCs w:val="18"/>
        </w:rPr>
        <w:t>号）的规定，本公司自</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日起发生增值税应税销售行为或者进口货物，原适用</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税率的，税率 分别调整为</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p>
    <w:p>
      <w:pPr>
        <w:spacing w:line="240" w:lineRule="auto" w:before="1"/>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：不同纳税主体所得税税率说明：</w:t>
      </w:r>
    </w:p>
    <w:p>
      <w:pPr>
        <w:spacing w:line="240" w:lineRule="auto" w:before="5"/>
        <w:rPr>
          <w:rFonts w:ascii="宋体" w:hAnsi="宋体" w:cs="宋体" w:eastAsia="宋体" w:hint="default"/>
          <w:sz w:val="4"/>
          <w:szCs w:val="4"/>
        </w:rPr>
      </w:pPr>
    </w:p>
    <w:tbl>
      <w:tblPr>
        <w:tblW w:w="0" w:type="auto"/>
        <w:jc w:val="left"/>
        <w:tblInd w:w="123" w:type="dxa"/>
        <w:tblLayout w:type="fixed"/>
        <w:tblCellMar>
          <w:top w:w="0" w:type="dxa"/>
          <w:left w:w="0" w:type="dxa"/>
          <w:bottom w:w="0" w:type="dxa"/>
          <w:right w:w="0" w:type="dxa"/>
        </w:tblCellMar>
        <w:tblLook w:val="01E0"/>
      </w:tblPr>
      <w:tblGrid>
        <w:gridCol w:w="4983"/>
        <w:gridCol w:w="4671"/>
      </w:tblGrid>
      <w:tr>
        <w:trPr>
          <w:trHeight w:val="360" w:hRule="exact"/>
        </w:trPr>
        <w:tc>
          <w:tcPr>
            <w:tcW w:w="49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67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92"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国盛证券有限责任公司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国盛期货有限责任公司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国盛证券资产管理有限公司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国盛弘远（上海）投资有限公司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深圳国盛前海投资有限公司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r>
      <w:tr>
        <w:trPr>
          <w:trHeight w:val="502" w:hRule="exact"/>
        </w:trPr>
        <w:tc>
          <w:tcPr>
            <w:tcW w:w="49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Guosheng</w:t>
            </w:r>
            <w:r>
              <w:rPr>
                <w:rFonts w:ascii="宋体" w:hAnsi="宋体" w:cs="宋体" w:eastAsia="宋体" w:hint="default"/>
                <w:sz w:val="18"/>
                <w:szCs w:val="18"/>
              </w:rPr>
              <w:t>（</w:t>
            </w:r>
            <w:r>
              <w:rPr>
                <w:rFonts w:ascii="Times New Roman" w:hAnsi="Times New Roman" w:cs="Times New Roman" w:eastAsia="Times New Roman" w:hint="default"/>
                <w:sz w:val="18"/>
                <w:szCs w:val="18"/>
              </w:rPr>
              <w:t>HongKong) Investmen</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tLimited</w:t>
            </w:r>
          </w:p>
        </w:tc>
        <w:tc>
          <w:tcPr>
            <w:tcW w:w="46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16.5%</w:t>
            </w:r>
          </w:p>
        </w:tc>
      </w:tr>
    </w:tbl>
    <w:p>
      <w:pPr>
        <w:spacing w:after="0" w:line="240" w:lineRule="auto"/>
        <w:jc w:val="center"/>
        <w:rPr>
          <w:rFonts w:ascii="Times New Roman" w:hAnsi="Times New Roman" w:cs="Times New Roman" w:eastAsia="Times New Roman" w:hint="default"/>
          <w:sz w:val="18"/>
          <w:szCs w:val="18"/>
        </w:rPr>
        <w:sectPr>
          <w:headerReference w:type="default" r:id="rId45"/>
          <w:footerReference w:type="default" r:id="rId46"/>
          <w:pgSz w:w="11910" w:h="16840"/>
          <w:pgMar w:header="877" w:footer="979" w:top="1100" w:bottom="1160" w:left="980" w:right="0"/>
          <w:pgNumType w:start="162"/>
        </w:sectPr>
      </w:pPr>
    </w:p>
    <w:p>
      <w:pPr>
        <w:spacing w:line="240" w:lineRule="auto" w:before="8"/>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4983"/>
        <w:gridCol w:w="4671"/>
      </w:tblGrid>
      <w:tr>
        <w:trPr>
          <w:trHeight w:val="360" w:hRule="exact"/>
        </w:trPr>
        <w:tc>
          <w:tcPr>
            <w:tcW w:w="49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67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Guosheng International Investment</w:t>
            </w:r>
            <w:r>
              <w:rPr>
                <w:rFonts w:ascii="Times New Roman"/>
                <w:spacing w:val="-11"/>
                <w:sz w:val="18"/>
              </w:rPr>
              <w:t> </w:t>
            </w:r>
            <w:r>
              <w:rPr>
                <w:rFonts w:ascii="Times New Roman"/>
                <w:sz w:val="18"/>
              </w:rPr>
              <w:t>Limited</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492"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Guosheng Internet Investment Management</w:t>
            </w:r>
            <w:r>
              <w:rPr>
                <w:rFonts w:ascii="Times New Roman"/>
                <w:spacing w:val="-13"/>
                <w:sz w:val="18"/>
              </w:rPr>
              <w:t> </w:t>
            </w:r>
            <w:r>
              <w:rPr>
                <w:rFonts w:ascii="Times New Roman"/>
                <w:sz w:val="18"/>
              </w:rPr>
              <w:t>Limited</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Kingley </w:t>
            </w:r>
            <w:r>
              <w:rPr>
                <w:rFonts w:ascii="Times New Roman"/>
                <w:spacing w:val="-3"/>
                <w:sz w:val="18"/>
              </w:rPr>
              <w:t>Ying </w:t>
            </w:r>
            <w:r>
              <w:rPr>
                <w:rFonts w:ascii="Times New Roman"/>
                <w:sz w:val="18"/>
              </w:rPr>
              <w:t>Fat Paper Products &amp; Printing</w:t>
            </w:r>
            <w:r>
              <w:rPr>
                <w:rFonts w:ascii="Times New Roman"/>
                <w:spacing w:val="-17"/>
                <w:sz w:val="18"/>
              </w:rPr>
              <w:t> </w:t>
            </w:r>
            <w:r>
              <w:rPr>
                <w:rFonts w:ascii="Times New Roman"/>
                <w:sz w:val="18"/>
              </w:rPr>
              <w:t>Limited</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16.5%</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Guosheng Global Investment</w:t>
            </w:r>
            <w:r>
              <w:rPr>
                <w:rFonts w:ascii="Times New Roman"/>
                <w:spacing w:val="-7"/>
                <w:sz w:val="18"/>
              </w:rPr>
              <w:t> </w:t>
            </w:r>
            <w:r>
              <w:rPr>
                <w:rFonts w:ascii="Times New Roman"/>
                <w:sz w:val="18"/>
              </w:rPr>
              <w:t>Limited</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珠海横琴极盛科技有限公司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深圳前海国盛科技有限公司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北京国盛互联信息咨询有限公司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r>
      <w:tr>
        <w:trPr>
          <w:trHeight w:val="492"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天津国盛信安科技有限公司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深圳前海弘大嘉豪资本管理有限公司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广州极盛融资租赁有限公司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r>
      <w:tr>
        <w:trPr>
          <w:trHeight w:val="490" w:hRule="exact"/>
        </w:trPr>
        <w:tc>
          <w:tcPr>
            <w:tcW w:w="49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上海钰信金融信息服务有限公司</w:t>
            </w:r>
          </w:p>
        </w:tc>
        <w:tc>
          <w:tcPr>
            <w:tcW w:w="46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r>
      <w:tr>
        <w:trPr>
          <w:trHeight w:val="360" w:hRule="exact"/>
        </w:trPr>
        <w:tc>
          <w:tcPr>
            <w:tcW w:w="49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上海多专科技有限公司</w:t>
            </w:r>
          </w:p>
        </w:tc>
        <w:tc>
          <w:tcPr>
            <w:tcW w:w="46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270" w:right="0"/>
              <w:jc w:val="center"/>
              <w:rPr>
                <w:rFonts w:ascii="Times New Roman" w:hAnsi="Times New Roman" w:cs="Times New Roman" w:eastAsia="Times New Roman" w:hint="default"/>
                <w:sz w:val="18"/>
                <w:szCs w:val="18"/>
              </w:rPr>
            </w:pPr>
            <w:r>
              <w:rPr>
                <w:rFonts w:ascii="Times New Roman"/>
                <w:sz w:val="18"/>
              </w:rPr>
              <w:t>20%</w:t>
            </w:r>
          </w:p>
        </w:tc>
      </w:tr>
    </w:tbl>
    <w:p>
      <w:pPr>
        <w:spacing w:line="240" w:lineRule="auto" w:before="6"/>
        <w:rPr>
          <w:rFonts w:ascii="宋体" w:hAnsi="宋体" w:cs="宋体" w:eastAsia="宋体" w:hint="default"/>
          <w:sz w:val="9"/>
          <w:szCs w:val="9"/>
        </w:rPr>
      </w:pPr>
    </w:p>
    <w:p>
      <w:pPr>
        <w:pStyle w:val="Heading4"/>
        <w:spacing w:line="335" w:lineRule="exact"/>
        <w:ind w:left="755" w:right="0"/>
        <w:jc w:val="left"/>
        <w:rPr>
          <w:b w:val="0"/>
          <w:bCs w:val="0"/>
        </w:rPr>
      </w:pPr>
      <w:r>
        <w:rPr/>
        <w:t>（二）税收优惠政策及依据</w:t>
      </w:r>
      <w:r>
        <w:rPr>
          <w:b w:val="0"/>
          <w:bCs w:val="0"/>
        </w:rPr>
      </w:r>
    </w:p>
    <w:p>
      <w:pPr>
        <w:pStyle w:val="BodyText"/>
        <w:spacing w:line="240" w:lineRule="auto" w:before="153"/>
        <w:ind w:left="573" w:right="0"/>
        <w:jc w:val="left"/>
        <w:rPr>
          <w:rFonts w:ascii="Times New Roman" w:hAnsi="Times New Roman" w:cs="Times New Roman" w:eastAsia="Times New Roman" w:hint="default"/>
        </w:rPr>
      </w:pPr>
      <w:r>
        <w:rPr/>
        <w:t>根据财税〔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77</w:t>
      </w:r>
      <w:r>
        <w:rPr>
          <w:rFonts w:ascii="Times New Roman" w:hAnsi="Times New Roman" w:cs="Times New Roman" w:eastAsia="Times New Roman" w:hint="default"/>
          <w:spacing w:val="-3"/>
        </w:rPr>
        <w:t> </w:t>
      </w:r>
      <w:r>
        <w:rPr/>
        <w:t>号，国家税务总局公告</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年第</w:t>
      </w:r>
      <w:r>
        <w:rPr>
          <w:spacing w:val="-52"/>
        </w:rPr>
        <w:t>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spacing w:val="-3"/>
        </w:rPr>
        <w:t>号等文件规定，自</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2020</w:t>
      </w:r>
    </w:p>
    <w:p>
      <w:pPr>
        <w:pStyle w:val="BodyText"/>
        <w:spacing w:line="336" w:lineRule="auto" w:before="117"/>
        <w:ind w:right="1126"/>
        <w:jc w:val="both"/>
      </w:pP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3"/>
        </w:rPr>
        <w:t>日，符合条件（包括资产总额、从业人数）的小型微利企业，其应纳税所得税额低于</w:t>
      </w:r>
      <w:r>
        <w:rPr>
          <w:spacing w:val="-38"/>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万元</w:t>
      </w:r>
      <w:r>
        <w:rPr>
          <w:spacing w:val="-99"/>
        </w:rPr>
        <w:t> </w:t>
      </w:r>
      <w:r>
        <w:rPr>
          <w:spacing w:val="-8"/>
        </w:rPr>
        <w:t>的，所得减按</w:t>
      </w:r>
      <w:r>
        <w:rPr>
          <w:spacing w:val="-40"/>
        </w:rPr>
        <w:t> </w:t>
      </w:r>
      <w:r>
        <w:rPr>
          <w:rFonts w:ascii="Times New Roman" w:hAnsi="Times New Roman" w:cs="Times New Roman" w:eastAsia="Times New Roman" w:hint="default"/>
        </w:rPr>
        <w:t>50%</w:t>
      </w:r>
      <w:r>
        <w:rPr/>
        <w:t>计入应纳税所得额并按</w:t>
      </w:r>
      <w:r>
        <w:rPr>
          <w:spacing w:val="-40"/>
        </w:rPr>
        <w:t> </w:t>
      </w:r>
      <w:r>
        <w:rPr>
          <w:rFonts w:ascii="Times New Roman" w:hAnsi="Times New Roman" w:cs="Times New Roman" w:eastAsia="Times New Roman" w:hint="default"/>
          <w:spacing w:val="-4"/>
        </w:rPr>
        <w:t>20%</w:t>
      </w:r>
      <w:r>
        <w:rPr>
          <w:spacing w:val="-4"/>
        </w:rPr>
        <w:t>的税率计算缴纳企业所得税。上述适用</w:t>
      </w:r>
      <w:r>
        <w:rPr>
          <w:spacing w:val="-40"/>
        </w:rPr>
        <w:t> </w:t>
      </w:r>
      <w:r>
        <w:rPr>
          <w:rFonts w:ascii="Times New Roman" w:hAnsi="Times New Roman" w:cs="Times New Roman" w:eastAsia="Times New Roman" w:hint="default"/>
        </w:rPr>
        <w:t>20%</w:t>
      </w:r>
      <w:r>
        <w:rPr/>
        <w:t>企业所得税税率</w:t>
      </w:r>
      <w:r>
        <w:rPr>
          <w:spacing w:val="-100"/>
        </w:rPr>
        <w:t> </w:t>
      </w:r>
      <w:r>
        <w:rPr>
          <w:spacing w:val="-100"/>
        </w:rPr>
      </w:r>
      <w:r>
        <w:rPr/>
        <w:t>的子公司均享受此税收优惠政策。</w:t>
      </w:r>
    </w:p>
    <w:p>
      <w:pPr>
        <w:pStyle w:val="BodyText"/>
        <w:spacing w:line="240" w:lineRule="auto" w:before="92"/>
        <w:ind w:left="573" w:right="0"/>
        <w:jc w:val="left"/>
        <w:rPr>
          <w:rFonts w:ascii="Times New Roman" w:hAnsi="Times New Roman" w:cs="Times New Roman" w:eastAsia="Times New Roman" w:hint="default"/>
        </w:rPr>
      </w:pPr>
      <w:r>
        <w:rPr>
          <w:w w:val="100"/>
        </w:rPr>
        <w:t>根据</w:t>
      </w:r>
      <w:r>
        <w:rPr>
          <w:spacing w:val="-3"/>
          <w:w w:val="100"/>
        </w:rPr>
        <w:t>国</w:t>
      </w:r>
      <w:r>
        <w:rPr>
          <w:w w:val="100"/>
        </w:rPr>
        <w:t>家</w:t>
      </w:r>
      <w:r>
        <w:rPr>
          <w:spacing w:val="-3"/>
          <w:w w:val="100"/>
        </w:rPr>
        <w:t>税</w:t>
      </w:r>
      <w:r>
        <w:rPr>
          <w:w w:val="100"/>
        </w:rPr>
        <w:t>务</w:t>
      </w:r>
      <w:r>
        <w:rPr>
          <w:spacing w:val="-3"/>
          <w:w w:val="100"/>
        </w:rPr>
        <w:t>总</w:t>
      </w:r>
      <w:r>
        <w:rPr>
          <w:spacing w:val="-92"/>
          <w:w w:val="100"/>
        </w:rPr>
        <w:t>局</w:t>
      </w:r>
      <w:r>
        <w:rPr>
          <w:w w:val="100"/>
        </w:rPr>
        <w:t>《</w:t>
      </w:r>
      <w:r>
        <w:rPr>
          <w:spacing w:val="-3"/>
          <w:w w:val="100"/>
        </w:rPr>
        <w:t>关</w:t>
      </w:r>
      <w:r>
        <w:rPr>
          <w:w w:val="100"/>
        </w:rPr>
        <w:t>于</w:t>
      </w:r>
      <w:r>
        <w:rPr>
          <w:spacing w:val="-3"/>
          <w:w w:val="100"/>
        </w:rPr>
        <w:t>小</w:t>
      </w:r>
      <w:r>
        <w:rPr>
          <w:w w:val="100"/>
        </w:rPr>
        <w:t>规模</w:t>
      </w:r>
      <w:r>
        <w:rPr>
          <w:spacing w:val="-3"/>
          <w:w w:val="100"/>
        </w:rPr>
        <w:t>纳</w:t>
      </w:r>
      <w:r>
        <w:rPr>
          <w:w w:val="100"/>
        </w:rPr>
        <w:t>税</w:t>
      </w:r>
      <w:r>
        <w:rPr>
          <w:spacing w:val="-3"/>
          <w:w w:val="100"/>
        </w:rPr>
        <w:t>人</w:t>
      </w:r>
      <w:r>
        <w:rPr>
          <w:w w:val="100"/>
        </w:rPr>
        <w:t>免</w:t>
      </w:r>
      <w:r>
        <w:rPr>
          <w:spacing w:val="-3"/>
          <w:w w:val="100"/>
        </w:rPr>
        <w:t>征</w:t>
      </w:r>
      <w:r>
        <w:rPr>
          <w:w w:val="100"/>
        </w:rPr>
        <w:t>增</w:t>
      </w:r>
      <w:r>
        <w:rPr>
          <w:spacing w:val="-3"/>
          <w:w w:val="100"/>
        </w:rPr>
        <w:t>值</w:t>
      </w:r>
      <w:r>
        <w:rPr>
          <w:w w:val="100"/>
        </w:rPr>
        <w:t>税</w:t>
      </w:r>
      <w:r>
        <w:rPr>
          <w:spacing w:val="-3"/>
          <w:w w:val="100"/>
        </w:rPr>
        <w:t>政</w:t>
      </w:r>
      <w:r>
        <w:rPr>
          <w:w w:val="100"/>
        </w:rPr>
        <w:t>策有</w:t>
      </w:r>
      <w:r>
        <w:rPr>
          <w:spacing w:val="-3"/>
          <w:w w:val="100"/>
        </w:rPr>
        <w:t>关</w:t>
      </w:r>
      <w:r>
        <w:rPr>
          <w:w w:val="100"/>
        </w:rPr>
        <w:t>征</w:t>
      </w:r>
      <w:r>
        <w:rPr>
          <w:spacing w:val="-3"/>
          <w:w w:val="100"/>
        </w:rPr>
        <w:t>管</w:t>
      </w:r>
      <w:r>
        <w:rPr>
          <w:w w:val="100"/>
        </w:rPr>
        <w:t>问</w:t>
      </w:r>
      <w:r>
        <w:rPr>
          <w:spacing w:val="-3"/>
          <w:w w:val="100"/>
        </w:rPr>
        <w:t>题</w:t>
      </w:r>
      <w:r>
        <w:rPr>
          <w:w w:val="100"/>
        </w:rPr>
        <w:t>的</w:t>
      </w:r>
      <w:r>
        <w:rPr>
          <w:spacing w:val="-3"/>
          <w:w w:val="100"/>
        </w:rPr>
        <w:t>公</w:t>
      </w:r>
      <w:r>
        <w:rPr>
          <w:w w:val="100"/>
        </w:rPr>
        <w:t>告</w:t>
      </w:r>
      <w:r>
        <w:rPr>
          <w:spacing w:val="-197"/>
          <w:w w:val="100"/>
        </w:rPr>
        <w:t>》</w:t>
      </w:r>
      <w:r>
        <w:rPr>
          <w:spacing w:val="-3"/>
          <w:w w:val="100"/>
        </w:rPr>
        <w:t>（</w:t>
      </w:r>
      <w:r>
        <w:rPr>
          <w:w w:val="100"/>
        </w:rPr>
        <w:t>国家</w:t>
      </w:r>
      <w:r>
        <w:rPr>
          <w:spacing w:val="-3"/>
          <w:w w:val="100"/>
        </w:rPr>
        <w:t>税</w:t>
      </w:r>
      <w:r>
        <w:rPr>
          <w:w w:val="100"/>
        </w:rPr>
        <w:t>务</w:t>
      </w:r>
      <w:r>
        <w:rPr>
          <w:spacing w:val="-3"/>
          <w:w w:val="100"/>
        </w:rPr>
        <w:t>总</w:t>
      </w:r>
      <w:r>
        <w:rPr>
          <w:w w:val="100"/>
        </w:rPr>
        <w:t>局</w:t>
      </w:r>
      <w:r>
        <w:rPr>
          <w:spacing w:val="-3"/>
          <w:w w:val="100"/>
        </w:rPr>
        <w:t>公</w:t>
      </w:r>
      <w:r>
        <w:rPr>
          <w:w w:val="100"/>
        </w:rPr>
        <w:t>告</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p>
    <w:p>
      <w:pPr>
        <w:pStyle w:val="BodyText"/>
        <w:spacing w:line="240" w:lineRule="auto" w:before="117"/>
        <w:ind w:right="0"/>
        <w:jc w:val="both"/>
      </w:pPr>
      <w:r>
        <w:rPr>
          <w:w w:val="100"/>
        </w:rPr>
        <w:t>年第</w:t>
      </w:r>
      <w:r>
        <w:rPr>
          <w:spacing w:val="-52"/>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号</w:t>
      </w:r>
      <w:r>
        <w:rPr>
          <w:spacing w:val="-108"/>
          <w:w w:val="100"/>
        </w:rPr>
        <w:t>）</w:t>
      </w:r>
      <w:r>
        <w:rPr>
          <w:spacing w:val="-8"/>
          <w:w w:val="100"/>
        </w:rPr>
        <w:t>，</w:t>
      </w:r>
      <w:r>
        <w:rPr>
          <w:spacing w:val="-3"/>
          <w:w w:val="100"/>
        </w:rPr>
        <w:t>小</w:t>
      </w:r>
      <w:r>
        <w:rPr>
          <w:w w:val="100"/>
        </w:rPr>
        <w:t>规</w:t>
      </w:r>
      <w:r>
        <w:rPr>
          <w:spacing w:val="-3"/>
          <w:w w:val="100"/>
        </w:rPr>
        <w:t>模</w:t>
      </w:r>
      <w:r>
        <w:rPr>
          <w:w w:val="100"/>
        </w:rPr>
        <w:t>纳</w:t>
      </w:r>
      <w:r>
        <w:rPr>
          <w:spacing w:val="-3"/>
          <w:w w:val="100"/>
        </w:rPr>
        <w:t>税人</w:t>
      </w:r>
      <w:r>
        <w:rPr>
          <w:w w:val="100"/>
        </w:rPr>
        <w:t>发生</w:t>
      </w:r>
      <w:r>
        <w:rPr>
          <w:spacing w:val="-3"/>
          <w:w w:val="100"/>
        </w:rPr>
        <w:t>增</w:t>
      </w:r>
      <w:r>
        <w:rPr>
          <w:w w:val="100"/>
        </w:rPr>
        <w:t>值</w:t>
      </w:r>
      <w:r>
        <w:rPr>
          <w:spacing w:val="-3"/>
          <w:w w:val="100"/>
        </w:rPr>
        <w:t>税</w:t>
      </w:r>
      <w:r>
        <w:rPr>
          <w:w w:val="100"/>
        </w:rPr>
        <w:t>应</w:t>
      </w:r>
      <w:r>
        <w:rPr>
          <w:spacing w:val="-3"/>
          <w:w w:val="100"/>
        </w:rPr>
        <w:t>税</w:t>
      </w:r>
      <w:r>
        <w:rPr>
          <w:w w:val="100"/>
        </w:rPr>
        <w:t>销</w:t>
      </w:r>
      <w:r>
        <w:rPr>
          <w:spacing w:val="-3"/>
          <w:w w:val="100"/>
        </w:rPr>
        <w:t>售</w:t>
      </w:r>
      <w:r>
        <w:rPr>
          <w:w w:val="100"/>
        </w:rPr>
        <w:t>行</w:t>
      </w:r>
      <w:r>
        <w:rPr>
          <w:spacing w:val="-3"/>
          <w:w w:val="100"/>
        </w:rPr>
        <w:t>为</w:t>
      </w:r>
      <w:r>
        <w:rPr>
          <w:spacing w:val="-8"/>
          <w:w w:val="100"/>
        </w:rPr>
        <w:t>，</w:t>
      </w:r>
      <w:r>
        <w:rPr>
          <w:spacing w:val="-3"/>
          <w:w w:val="100"/>
        </w:rPr>
        <w:t>合</w:t>
      </w:r>
      <w:r>
        <w:rPr>
          <w:w w:val="100"/>
        </w:rPr>
        <w:t>计</w:t>
      </w:r>
      <w:r>
        <w:rPr>
          <w:spacing w:val="-3"/>
          <w:w w:val="100"/>
        </w:rPr>
        <w:t>月</w:t>
      </w:r>
      <w:r>
        <w:rPr>
          <w:w w:val="100"/>
        </w:rPr>
        <w:t>销</w:t>
      </w:r>
      <w:r>
        <w:rPr>
          <w:spacing w:val="-3"/>
          <w:w w:val="100"/>
        </w:rPr>
        <w:t>售</w:t>
      </w:r>
      <w:r>
        <w:rPr>
          <w:w w:val="100"/>
        </w:rPr>
        <w:t>额未</w:t>
      </w:r>
      <w:r>
        <w:rPr>
          <w:spacing w:val="-3"/>
          <w:w w:val="100"/>
        </w:rPr>
        <w:t>超</w:t>
      </w:r>
      <w:r>
        <w:rPr>
          <w:w w:val="100"/>
        </w:rPr>
        <w:t>过</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rPr>
        <w:t> </w:t>
      </w:r>
      <w:r>
        <w:rPr>
          <w:w w:val="100"/>
        </w:rPr>
        <w:t>万</w:t>
      </w:r>
      <w:r>
        <w:rPr>
          <w:spacing w:val="-10"/>
          <w:w w:val="100"/>
        </w:rPr>
        <w:t>元</w:t>
      </w:r>
      <w:r>
        <w:rPr>
          <w:w w:val="100"/>
        </w:rPr>
        <w:t>（以</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个</w:t>
      </w:r>
      <w:r>
        <w:rPr>
          <w:w w:val="100"/>
        </w:rPr>
        <w:t>季</w:t>
      </w:r>
      <w:r>
        <w:rPr>
          <w:spacing w:val="-3"/>
          <w:w w:val="100"/>
        </w:rPr>
        <w:t>度</w:t>
      </w:r>
      <w:r>
        <w:rPr>
          <w:w w:val="100"/>
        </w:rPr>
        <w:t>为</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个纳</w:t>
      </w:r>
      <w:r>
        <w:rPr>
          <w:w w:val="100"/>
        </w:rPr>
      </w:r>
    </w:p>
    <w:p>
      <w:pPr>
        <w:pStyle w:val="BodyText"/>
        <w:spacing w:line="240" w:lineRule="auto" w:before="115"/>
        <w:ind w:right="0"/>
        <w:jc w:val="both"/>
      </w:pPr>
      <w:r>
        <w:rPr/>
        <w:t>税期的，季度销售额未超过</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万元，下同）的，免征增值税。</w:t>
      </w:r>
    </w:p>
    <w:p>
      <w:pPr>
        <w:pStyle w:val="BodyText"/>
        <w:spacing w:line="336" w:lineRule="auto" w:before="160"/>
        <w:ind w:right="1150" w:firstLine="420"/>
        <w:jc w:val="left"/>
      </w:pPr>
      <w:r>
        <w:rPr/>
        <w:t>子公司极盛科技获得广东省 </w:t>
      </w:r>
      <w:r>
        <w:rPr>
          <w:rFonts w:ascii="Times New Roman" w:hAnsi="Times New Roman" w:cs="Times New Roman" w:eastAsia="Times New Roman" w:hint="default"/>
        </w:rPr>
        <w:t>2019 </w:t>
      </w:r>
      <w:r>
        <w:rPr/>
        <w:t>年高新技术企业认定，证书编码为</w:t>
      </w:r>
      <w:r>
        <w:rPr>
          <w:spacing w:val="-6"/>
        </w:rPr>
        <w:t> </w:t>
      </w:r>
      <w:r>
        <w:rPr>
          <w:rFonts w:ascii="Times New Roman" w:hAnsi="Times New Roman" w:cs="Times New Roman" w:eastAsia="Times New Roman" w:hint="default"/>
        </w:rPr>
        <w:t>GR201944001392</w:t>
      </w:r>
      <w:r>
        <w:rPr/>
        <w:t>，发证日期为</w:t>
      </w:r>
      <w:r>
        <w:rPr>
          <w:w w:val="10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日，自</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年起三年内将享受相关优惠政策，按</w:t>
      </w:r>
      <w:r>
        <w:rPr>
          <w:spacing w:val="-53"/>
        </w:rPr>
        <w:t> </w:t>
      </w:r>
      <w:r>
        <w:rPr>
          <w:rFonts w:ascii="Times New Roman" w:hAnsi="Times New Roman" w:cs="Times New Roman" w:eastAsia="Times New Roman" w:hint="default"/>
        </w:rPr>
        <w:t>15%</w:t>
      </w:r>
      <w:r>
        <w:rPr/>
        <w:t>的税率缴纳企业所得税。</w:t>
      </w:r>
    </w:p>
    <w:p>
      <w:pPr>
        <w:spacing w:line="240" w:lineRule="auto" w:before="0"/>
        <w:rPr>
          <w:rFonts w:ascii="宋体" w:hAnsi="宋体" w:cs="宋体" w:eastAsia="宋体" w:hint="default"/>
          <w:sz w:val="22"/>
          <w:szCs w:val="22"/>
        </w:rPr>
      </w:pPr>
    </w:p>
    <w:p>
      <w:pPr>
        <w:pStyle w:val="Heading4"/>
        <w:spacing w:line="240" w:lineRule="auto" w:before="159"/>
        <w:ind w:left="152" w:right="0"/>
        <w:jc w:val="both"/>
        <w:rPr>
          <w:b w:val="0"/>
          <w:bCs w:val="0"/>
        </w:rPr>
      </w:pPr>
      <w:r>
        <w:rPr/>
        <w:t>六、</w:t>
      </w:r>
      <w:r>
        <w:rPr>
          <w:spacing w:val="47"/>
        </w:rPr>
        <w:t> </w:t>
      </w:r>
      <w:r>
        <w:rPr/>
        <w:t>合并财务报表主要项目注释</w:t>
      </w:r>
      <w:r>
        <w:rPr>
          <w:b w:val="0"/>
          <w:bCs w:val="0"/>
        </w:rPr>
      </w:r>
    </w:p>
    <w:p>
      <w:pPr>
        <w:pStyle w:val="BodyText"/>
        <w:spacing w:line="240" w:lineRule="auto" w:before="150"/>
        <w:ind w:left="573" w:right="0"/>
        <w:jc w:val="left"/>
      </w:pPr>
      <w:r>
        <w:rPr/>
        <w:t>（以下金额单位若未特别注明者均为人民币元，期初均为</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spacing w:val="-3"/>
        </w:rPr>
        <w:t>日）</w:t>
      </w:r>
      <w:r>
        <w:rPr/>
      </w:r>
    </w:p>
    <w:p>
      <w:pPr>
        <w:pStyle w:val="Heading4"/>
        <w:spacing w:line="295" w:lineRule="auto" w:before="107"/>
        <w:ind w:left="575" w:right="8696"/>
        <w:jc w:val="left"/>
        <w:rPr>
          <w:b w:val="0"/>
          <w:bCs w:val="0"/>
        </w:rPr>
      </w:pPr>
      <w:r>
        <w:rPr/>
        <w:t>注释 </w:t>
      </w:r>
      <w:r>
        <w:rPr>
          <w:rFonts w:ascii="Trebuchet MS" w:hAnsi="Trebuchet MS" w:cs="Trebuchet MS" w:eastAsia="Trebuchet MS" w:hint="default"/>
        </w:rPr>
        <w:t>1.</w:t>
      </w:r>
      <w:r>
        <w:rPr>
          <w:rFonts w:ascii="Trebuchet MS" w:hAnsi="Trebuchet MS" w:cs="Trebuchet MS" w:eastAsia="Trebuchet MS" w:hint="default"/>
          <w:spacing w:val="59"/>
        </w:rPr>
        <w:t> </w:t>
      </w:r>
      <w:r>
        <w:rPr/>
        <w:t>货币资金</w:t>
      </w:r>
      <w:r>
        <w:rPr>
          <w:w w:val="100"/>
        </w:rPr>
        <w:t> </w:t>
      </w:r>
      <w:r>
        <w:rPr>
          <w:rFonts w:ascii="Trebuchet MS" w:hAnsi="Trebuchet MS" w:cs="Trebuchet MS" w:eastAsia="Trebuchet MS" w:hint="default"/>
        </w:rPr>
        <w:t>1</w:t>
      </w:r>
      <w:r>
        <w:rPr/>
        <w:t>．</w:t>
      </w:r>
      <w:r>
        <w:rPr>
          <w:spacing w:val="-21"/>
        </w:rPr>
        <w:t> </w:t>
      </w:r>
      <w:r>
        <w:rPr/>
        <w:t>按类别列示</w:t>
      </w:r>
      <w:r>
        <w:rPr>
          <w:b w:val="0"/>
          <w:bCs w:val="0"/>
        </w:rPr>
      </w:r>
    </w:p>
    <w:p>
      <w:pPr>
        <w:spacing w:line="240" w:lineRule="auto" w:before="0"/>
        <w:rPr>
          <w:rFonts w:ascii="Microsoft JhengHei" w:hAnsi="Microsoft JhengHei" w:cs="Microsoft JhengHei" w:eastAsia="Microsoft JhengHei" w:hint="default"/>
          <w:b/>
          <w:bCs/>
          <w:sz w:val="7"/>
          <w:szCs w:val="7"/>
        </w:rPr>
      </w:pPr>
    </w:p>
    <w:tbl>
      <w:tblPr>
        <w:tblW w:w="0" w:type="auto"/>
        <w:jc w:val="left"/>
        <w:tblInd w:w="123" w:type="dxa"/>
        <w:tblLayout w:type="fixed"/>
        <w:tblCellMar>
          <w:top w:w="0" w:type="dxa"/>
          <w:left w:w="0" w:type="dxa"/>
          <w:bottom w:w="0" w:type="dxa"/>
          <w:right w:w="0" w:type="dxa"/>
        </w:tblCellMar>
        <w:tblLook w:val="01E0"/>
      </w:tblPr>
      <w:tblGrid>
        <w:gridCol w:w="3227"/>
        <w:gridCol w:w="3214"/>
        <w:gridCol w:w="3214"/>
      </w:tblGrid>
      <w:tr>
        <w:trPr>
          <w:trHeight w:val="360" w:hRule="exact"/>
        </w:trPr>
        <w:tc>
          <w:tcPr>
            <w:tcW w:w="32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2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28,200.53</w:t>
            </w:r>
          </w:p>
        </w:tc>
        <w:tc>
          <w:tcPr>
            <w:tcW w:w="32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34,537.37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227"/>
        <w:gridCol w:w="3214"/>
        <w:gridCol w:w="3214"/>
      </w:tblGrid>
      <w:tr>
        <w:trPr>
          <w:trHeight w:val="360" w:hRule="exact"/>
        </w:trPr>
        <w:tc>
          <w:tcPr>
            <w:tcW w:w="32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7,329,565,905.70</w:t>
            </w:r>
          </w:p>
        </w:tc>
        <w:tc>
          <w:tcPr>
            <w:tcW w:w="32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5,280,802,007.07</w:t>
            </w:r>
          </w:p>
        </w:tc>
      </w:tr>
      <w:tr>
        <w:trPr>
          <w:trHeight w:val="401"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其中：客户资金存款</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6,234,037,530.05</w:t>
            </w:r>
          </w:p>
        </w:tc>
        <w:tc>
          <w:tcPr>
            <w:tcW w:w="32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3,490,905,999.83</w:t>
            </w:r>
          </w:p>
        </w:tc>
      </w:tr>
      <w:tr>
        <w:trPr>
          <w:trHeight w:val="403"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自有资金存款</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1,095,528,375.65</w:t>
            </w:r>
          </w:p>
        </w:tc>
        <w:tc>
          <w:tcPr>
            <w:tcW w:w="32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1,789,896,007.24</w:t>
            </w:r>
          </w:p>
        </w:tc>
      </w:tr>
      <w:tr>
        <w:trPr>
          <w:trHeight w:val="401"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794,086.18</w:t>
            </w:r>
          </w:p>
        </w:tc>
        <w:tc>
          <w:tcPr>
            <w:tcW w:w="32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71,937.72</w:t>
            </w:r>
          </w:p>
        </w:tc>
      </w:tr>
      <w:tr>
        <w:trPr>
          <w:trHeight w:val="403" w:hRule="exact"/>
        </w:trPr>
        <w:tc>
          <w:tcPr>
            <w:tcW w:w="3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7,330,388,192.41</w:t>
            </w:r>
          </w:p>
        </w:tc>
        <w:tc>
          <w:tcPr>
            <w:tcW w:w="32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5,280,908,482.16</w:t>
            </w:r>
          </w:p>
        </w:tc>
      </w:tr>
      <w:tr>
        <w:trPr>
          <w:trHeight w:val="413" w:hRule="exact"/>
        </w:trPr>
        <w:tc>
          <w:tcPr>
            <w:tcW w:w="32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3,418,458.34</w:t>
            </w:r>
            <w:r>
              <w:rPr>
                <w:rFonts w:ascii="Times New Roman"/>
                <w:sz w:val="18"/>
              </w:rPr>
            </w:r>
          </w:p>
        </w:tc>
        <w:tc>
          <w:tcPr>
            <w:tcW w:w="32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267,031.84</w:t>
            </w:r>
          </w:p>
        </w:tc>
      </w:tr>
    </w:tbl>
    <w:p>
      <w:pPr>
        <w:spacing w:line="20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日，公司无因抵押、质押或冻结等安排导致的使用有限制的款项。</w:t>
      </w:r>
    </w:p>
    <w:p>
      <w:pPr>
        <w:spacing w:line="23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：其他货币资金包括定期存款计提的应收利息</w:t>
      </w:r>
      <w:r>
        <w:rPr>
          <w:rFonts w:ascii="宋体" w:hAnsi="宋体" w:cs="宋体" w:eastAsia="宋体" w:hint="default"/>
          <w:spacing w:val="-47"/>
          <w:sz w:val="18"/>
          <w:szCs w:val="18"/>
        </w:rPr>
        <w:t> </w:t>
      </w:r>
      <w:r>
        <w:rPr>
          <w:rFonts w:ascii="宋体" w:hAnsi="宋体" w:cs="宋体" w:eastAsia="宋体" w:hint="default"/>
          <w:sz w:val="18"/>
          <w:szCs w:val="18"/>
        </w:rPr>
        <w:t>498,191.66</w:t>
      </w:r>
      <w:r>
        <w:rPr>
          <w:rFonts w:ascii="宋体" w:hAnsi="宋体" w:cs="宋体" w:eastAsia="宋体" w:hint="default"/>
          <w:spacing w:val="-46"/>
          <w:sz w:val="18"/>
          <w:szCs w:val="18"/>
        </w:rPr>
        <w:t> </w:t>
      </w:r>
      <w:r>
        <w:rPr>
          <w:rFonts w:ascii="宋体" w:hAnsi="宋体" w:cs="宋体" w:eastAsia="宋体" w:hint="default"/>
          <w:sz w:val="18"/>
          <w:szCs w:val="18"/>
        </w:rPr>
        <w:t>元，该款项金额不计入期末现金及现金等价物余额。</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left="573" w:right="0"/>
        <w:jc w:val="left"/>
        <w:rPr>
          <w:b w:val="0"/>
          <w:bCs w:val="0"/>
        </w:rPr>
      </w:pPr>
      <w:r>
        <w:rPr>
          <w:rFonts w:ascii="Trebuchet MS" w:hAnsi="Trebuchet MS" w:cs="Trebuchet MS" w:eastAsia="Trebuchet MS" w:hint="default"/>
        </w:rPr>
        <w:t>2</w:t>
      </w:r>
      <w:r>
        <w:rPr/>
        <w:t>．</w:t>
      </w:r>
      <w:r>
        <w:rPr>
          <w:spacing w:val="-23"/>
        </w:rPr>
        <w:t> </w:t>
      </w:r>
      <w:r>
        <w:rPr/>
        <w:t>按币种列示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1774"/>
        <w:gridCol w:w="1501"/>
        <w:gridCol w:w="857"/>
        <w:gridCol w:w="1642"/>
        <w:gridCol w:w="1289"/>
        <w:gridCol w:w="953"/>
        <w:gridCol w:w="1639"/>
      </w:tblGrid>
      <w:tr>
        <w:trPr>
          <w:trHeight w:val="499" w:hRule="exact"/>
        </w:trPr>
        <w:tc>
          <w:tcPr>
            <w:tcW w:w="1774"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8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1774" w:type="dxa"/>
            <w:vMerge/>
            <w:tcBorders>
              <w:left w:val="nil" w:sz="6" w:space="0" w:color="auto"/>
              <w:bottom w:val="dotted" w:sz="4" w:space="0" w:color="000000"/>
              <w:right w:val="dotted" w:sz="4" w:space="0" w:color="000000"/>
            </w:tcBorders>
          </w:tcPr>
          <w:p>
            <w:pP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折算率</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28,200.53</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34,537.37</w:t>
            </w:r>
          </w:p>
        </w:tc>
      </w:tr>
      <w:tr>
        <w:trPr>
          <w:trHeight w:val="492"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23,813.06</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34,537.37</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美元</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628.92</w:t>
            </w:r>
          </w:p>
        </w:tc>
        <w:tc>
          <w:tcPr>
            <w:tcW w:w="8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w w:val="95"/>
                <w:sz w:val="18"/>
              </w:rPr>
              <w:t>4,387.47</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7,329,565,905.70</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5,280,802,007.07</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其中：自有资金</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1,095,528,375.65</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1,789,896,007.24</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75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spacing w:val="-1"/>
                <w:sz w:val="18"/>
              </w:rPr>
              <w:t>1,073,284,243.41</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1,771,657,164.88</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pacing w:val="-1"/>
                <w:sz w:val="18"/>
              </w:rPr>
              <w:t>1,839,345.38</w:t>
            </w:r>
          </w:p>
        </w:tc>
        <w:tc>
          <w:tcPr>
            <w:tcW w:w="8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12,831,641.23</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1,766,891.24</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6.8632</w:t>
            </w: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12,126,527.94</w:t>
            </w:r>
          </w:p>
        </w:tc>
      </w:tr>
      <w:tr>
        <w:trPr>
          <w:trHeight w:val="492"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spacing w:val="-1"/>
                <w:sz w:val="18"/>
              </w:rPr>
              <w:t>10,507,357.67</w:t>
            </w:r>
          </w:p>
        </w:tc>
        <w:tc>
          <w:tcPr>
            <w:tcW w:w="8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0.8958</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9,412,491.01</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6,975,935.19</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0.8762</w:t>
            </w: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6,112,314.42</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客户资金</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6,234,037,530.05</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3,490,905,999.83</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6,215,253,289.96</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3,470,303,530.39</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spacing w:val="-1"/>
                <w:sz w:val="18"/>
              </w:rPr>
              <w:t>1,953,878.12</w:t>
            </w:r>
          </w:p>
        </w:tc>
        <w:tc>
          <w:tcPr>
            <w:tcW w:w="8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pacing w:val="-1"/>
                <w:sz w:val="18"/>
              </w:rPr>
              <w:t>6.9762</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13,630,644.54</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2,301,845.09</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6.8632</w:t>
            </w: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15,798,023.22</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97"/>
              <w:jc w:val="right"/>
              <w:rPr>
                <w:rFonts w:ascii="Times New Roman" w:hAnsi="Times New Roman" w:cs="Times New Roman" w:eastAsia="Times New Roman" w:hint="default"/>
                <w:sz w:val="18"/>
                <w:szCs w:val="18"/>
              </w:rPr>
            </w:pPr>
            <w:r>
              <w:rPr>
                <w:rFonts w:ascii="Times New Roman"/>
                <w:spacing w:val="-1"/>
                <w:sz w:val="18"/>
              </w:rPr>
              <w:t>5,753,064.91</w:t>
            </w:r>
          </w:p>
        </w:tc>
        <w:tc>
          <w:tcPr>
            <w:tcW w:w="8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0.8958</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5,153,595.55</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5,483,275.76</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0.8762</w:t>
            </w: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4,804,446.22</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794,086.18</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71,937.72</w:t>
            </w:r>
          </w:p>
        </w:tc>
      </w:tr>
      <w:tr>
        <w:trPr>
          <w:trHeight w:val="492"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770,089.72</w:t>
            </w: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48,330.03</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美元</w:t>
            </w:r>
          </w:p>
        </w:tc>
        <w:tc>
          <w:tcPr>
            <w:tcW w:w="15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w w:val="95"/>
                <w:sz w:val="18"/>
              </w:rPr>
              <w:t>3,439.75</w:t>
            </w:r>
          </w:p>
        </w:tc>
        <w:tc>
          <w:tcPr>
            <w:tcW w:w="8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pacing w:val="-1"/>
                <w:sz w:val="18"/>
              </w:rPr>
              <w:t>6.9762</w:t>
            </w:r>
          </w:p>
        </w:tc>
        <w:tc>
          <w:tcPr>
            <w:tcW w:w="16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23,996.46</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3,439.75</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6.8632</w:t>
            </w:r>
          </w:p>
        </w:tc>
        <w:tc>
          <w:tcPr>
            <w:tcW w:w="16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23,607.69</w:t>
            </w:r>
          </w:p>
        </w:tc>
      </w:tr>
      <w:tr>
        <w:trPr>
          <w:trHeight w:val="490" w:hRule="exact"/>
        </w:trPr>
        <w:tc>
          <w:tcPr>
            <w:tcW w:w="17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76"/>
              <w:jc w:val="center"/>
              <w:rPr>
                <w:rFonts w:ascii="宋体" w:hAnsi="宋体" w:cs="宋体" w:eastAsia="宋体" w:hint="default"/>
                <w:sz w:val="18"/>
                <w:szCs w:val="18"/>
              </w:rPr>
            </w:pPr>
            <w:r>
              <w:rPr>
                <w:rFonts w:ascii="宋体" w:hAnsi="宋体" w:cs="宋体" w:eastAsia="宋体" w:hint="default"/>
                <w:sz w:val="18"/>
                <w:szCs w:val="18"/>
              </w:rPr>
              <w:t>港币</w:t>
            </w:r>
          </w:p>
        </w:tc>
        <w:tc>
          <w:tcPr>
            <w:tcW w:w="1501" w:type="dxa"/>
            <w:tcBorders>
              <w:top w:val="dotted" w:sz="4" w:space="0" w:color="000000"/>
              <w:left w:val="dotted" w:sz="4" w:space="0" w:color="000000"/>
              <w:bottom w:val="dotted" w:sz="4" w:space="0" w:color="000000"/>
              <w:right w:val="dotted" w:sz="4" w:space="0" w:color="000000"/>
            </w:tcBorders>
          </w:tcPr>
          <w:p>
            <w:pPr/>
          </w:p>
        </w:tc>
        <w:tc>
          <w:tcPr>
            <w:tcW w:w="857" w:type="dxa"/>
            <w:tcBorders>
              <w:top w:val="dotted" w:sz="4" w:space="0" w:color="000000"/>
              <w:left w:val="dotted" w:sz="4" w:space="0" w:color="000000"/>
              <w:bottom w:val="dotted" w:sz="4" w:space="0" w:color="000000"/>
              <w:right w:val="dotted" w:sz="4" w:space="0" w:color="000000"/>
            </w:tcBorders>
          </w:tcPr>
          <w:p>
            <w:pPr/>
          </w:p>
        </w:tc>
        <w:tc>
          <w:tcPr>
            <w:tcW w:w="1642" w:type="dxa"/>
            <w:tcBorders>
              <w:top w:val="dotted" w:sz="4" w:space="0" w:color="000000"/>
              <w:left w:val="dotted" w:sz="4" w:space="0" w:color="000000"/>
              <w:bottom w:val="dotted" w:sz="4" w:space="0" w:color="000000"/>
              <w:right w:val="dotted" w:sz="4" w:space="0" w:color="000000"/>
            </w:tcBorders>
          </w:tcPr>
          <w:p>
            <w:pPr/>
          </w:p>
        </w:tc>
        <w:tc>
          <w:tcPr>
            <w:tcW w:w="1289"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639" w:type="dxa"/>
            <w:tcBorders>
              <w:top w:val="dotted" w:sz="4" w:space="0" w:color="000000"/>
              <w:left w:val="dotted" w:sz="4" w:space="0" w:color="000000"/>
              <w:bottom w:val="dotted" w:sz="4" w:space="0" w:color="000000"/>
              <w:right w:val="nil" w:sz="6" w:space="0" w:color="auto"/>
            </w:tcBorders>
          </w:tcPr>
          <w:p>
            <w:pPr/>
          </w:p>
        </w:tc>
      </w:tr>
      <w:tr>
        <w:trPr>
          <w:trHeight w:val="502" w:hRule="exact"/>
        </w:trPr>
        <w:tc>
          <w:tcPr>
            <w:tcW w:w="17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1" w:type="dxa"/>
            <w:tcBorders>
              <w:top w:val="dotted" w:sz="4" w:space="0" w:color="000000"/>
              <w:left w:val="dotted" w:sz="4" w:space="0" w:color="000000"/>
              <w:bottom w:val="single" w:sz="12" w:space="0" w:color="000000"/>
              <w:right w:val="dotted" w:sz="4" w:space="0" w:color="000000"/>
            </w:tcBorders>
          </w:tcPr>
          <w:p>
            <w:pPr/>
          </w:p>
        </w:tc>
        <w:tc>
          <w:tcPr>
            <w:tcW w:w="857" w:type="dxa"/>
            <w:tcBorders>
              <w:top w:val="dotted" w:sz="4" w:space="0" w:color="000000"/>
              <w:left w:val="dotted" w:sz="4" w:space="0" w:color="000000"/>
              <w:bottom w:val="single" w:sz="12" w:space="0" w:color="000000"/>
              <w:right w:val="dotted" w:sz="4" w:space="0" w:color="000000"/>
            </w:tcBorders>
          </w:tcPr>
          <w:p>
            <w:pPr/>
          </w:p>
        </w:tc>
        <w:tc>
          <w:tcPr>
            <w:tcW w:w="16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7,330,388,192.41</w:t>
            </w:r>
          </w:p>
        </w:tc>
        <w:tc>
          <w:tcPr>
            <w:tcW w:w="1289" w:type="dxa"/>
            <w:tcBorders>
              <w:top w:val="dotted" w:sz="4" w:space="0" w:color="000000"/>
              <w:left w:val="dotted" w:sz="4" w:space="0" w:color="000000"/>
              <w:bottom w:val="single" w:sz="12" w:space="0" w:color="000000"/>
              <w:right w:val="dotted" w:sz="4" w:space="0" w:color="000000"/>
            </w:tcBorders>
          </w:tcPr>
          <w:p>
            <w:pPr/>
          </w:p>
        </w:tc>
        <w:tc>
          <w:tcPr>
            <w:tcW w:w="953" w:type="dxa"/>
            <w:tcBorders>
              <w:top w:val="dotted" w:sz="4" w:space="0" w:color="000000"/>
              <w:left w:val="dotted" w:sz="4" w:space="0" w:color="000000"/>
              <w:bottom w:val="single" w:sz="12" w:space="0" w:color="000000"/>
              <w:right w:val="dotted" w:sz="4" w:space="0" w:color="000000"/>
            </w:tcBorders>
          </w:tcPr>
          <w:p>
            <w:pPr/>
          </w:p>
        </w:tc>
        <w:tc>
          <w:tcPr>
            <w:tcW w:w="16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5,280,908,482.16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Microsoft JhengHei" w:hAnsi="Microsoft JhengHei" w:cs="Microsoft JhengHei" w:eastAsia="Microsoft JhengHei" w:hint="default"/>
          <w:b/>
          <w:bCs/>
          <w:sz w:val="14"/>
          <w:szCs w:val="14"/>
        </w:rPr>
      </w:pPr>
    </w:p>
    <w:p>
      <w:pPr>
        <w:pStyle w:val="Heading4"/>
        <w:spacing w:line="335" w:lineRule="exact"/>
        <w:ind w:left="755" w:right="0"/>
        <w:jc w:val="left"/>
        <w:rPr>
          <w:b w:val="0"/>
          <w:bCs w:val="0"/>
        </w:rPr>
      </w:pPr>
      <w:r>
        <w:rPr/>
        <w:t>注释 </w:t>
      </w:r>
      <w:r>
        <w:rPr>
          <w:rFonts w:ascii="Times New Roman" w:hAnsi="Times New Roman" w:cs="Times New Roman" w:eastAsia="Times New Roman" w:hint="default"/>
        </w:rPr>
        <w:t>2. </w:t>
      </w:r>
      <w:r>
        <w:rPr>
          <w:rFonts w:ascii="Times New Roman" w:hAnsi="Times New Roman" w:cs="Times New Roman" w:eastAsia="Times New Roman" w:hint="default"/>
          <w:spacing w:val="7"/>
        </w:rPr>
        <w:t> </w:t>
      </w:r>
      <w:r>
        <w:rPr/>
        <w:t>结算备付金</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1695"/>
        <w:gridCol w:w="1265"/>
        <w:gridCol w:w="1147"/>
        <w:gridCol w:w="1522"/>
        <w:gridCol w:w="1416"/>
        <w:gridCol w:w="997"/>
        <w:gridCol w:w="1613"/>
      </w:tblGrid>
      <w:tr>
        <w:trPr>
          <w:trHeight w:val="418" w:hRule="exact"/>
        </w:trPr>
        <w:tc>
          <w:tcPr>
            <w:tcW w:w="1695"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35"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2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95" w:type="dxa"/>
            <w:vMerge/>
            <w:tcBorders>
              <w:left w:val="nil" w:sz="6" w:space="0" w:color="auto"/>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1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08"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公司自有备付金</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192,870,598.19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7" w:type="dxa"/>
            <w:tcBorders>
              <w:top w:val="dotted" w:sz="4" w:space="0" w:color="000000"/>
              <w:left w:val="dotted" w:sz="4" w:space="0" w:color="000000"/>
              <w:bottom w:val="dotted" w:sz="4" w:space="0" w:color="000000"/>
              <w:right w:val="dotted" w:sz="4" w:space="0" w:color="000000"/>
            </w:tcBorders>
          </w:tcPr>
          <w:p>
            <w:pP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w w:val="95"/>
                <w:sz w:val="18"/>
              </w:rPr>
              <w:t>402,296,933.25</w:t>
            </w:r>
          </w:p>
        </w:tc>
      </w:tr>
      <w:tr>
        <w:trPr>
          <w:trHeight w:val="408"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192,870,598.19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7" w:type="dxa"/>
            <w:tcBorders>
              <w:top w:val="dotted" w:sz="4" w:space="0" w:color="000000"/>
              <w:left w:val="dotted" w:sz="4" w:space="0" w:color="000000"/>
              <w:bottom w:val="dotted" w:sz="4" w:space="0" w:color="000000"/>
              <w:right w:val="dotted" w:sz="4" w:space="0" w:color="000000"/>
            </w:tcBorders>
          </w:tcPr>
          <w:p>
            <w:pP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w w:val="95"/>
                <w:sz w:val="18"/>
              </w:rPr>
              <w:t>402,296,933.25</w:t>
            </w:r>
          </w:p>
        </w:tc>
      </w:tr>
      <w:tr>
        <w:trPr>
          <w:trHeight w:val="406"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客户普通备付金</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537,149,742.93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7" w:type="dxa"/>
            <w:tcBorders>
              <w:top w:val="dotted" w:sz="4" w:space="0" w:color="000000"/>
              <w:left w:val="dotted" w:sz="4" w:space="0" w:color="000000"/>
              <w:bottom w:val="dotted" w:sz="4" w:space="0" w:color="000000"/>
              <w:right w:val="dotted" w:sz="4" w:space="0" w:color="000000"/>
            </w:tcBorders>
          </w:tcPr>
          <w:p>
            <w:pP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w w:val="95"/>
                <w:sz w:val="18"/>
              </w:rPr>
              <w:t>477,870,132.47</w:t>
            </w:r>
          </w:p>
        </w:tc>
      </w:tr>
      <w:tr>
        <w:trPr>
          <w:trHeight w:val="408"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528,053,453.07</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7" w:type="dxa"/>
            <w:tcBorders>
              <w:top w:val="dotted" w:sz="4" w:space="0" w:color="000000"/>
              <w:left w:val="dotted" w:sz="4" w:space="0" w:color="000000"/>
              <w:bottom w:val="dotted" w:sz="4" w:space="0" w:color="000000"/>
              <w:right w:val="dotted" w:sz="4" w:space="0" w:color="000000"/>
            </w:tcBorders>
          </w:tcPr>
          <w:p>
            <w:pP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w w:val="95"/>
                <w:sz w:val="18"/>
              </w:rPr>
              <w:t>466,984,483.72</w:t>
            </w:r>
          </w:p>
        </w:tc>
      </w:tr>
      <w:tr>
        <w:trPr>
          <w:trHeight w:val="406"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美元</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946,657.99</w:t>
            </w:r>
          </w:p>
        </w:tc>
        <w:tc>
          <w:tcPr>
            <w:tcW w:w="11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6.9762</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6,604,075.47</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57" w:right="0"/>
              <w:jc w:val="left"/>
              <w:rPr>
                <w:rFonts w:ascii="Times New Roman" w:hAnsi="Times New Roman" w:cs="Times New Roman" w:eastAsia="Times New Roman" w:hint="default"/>
                <w:sz w:val="18"/>
                <w:szCs w:val="18"/>
              </w:rPr>
            </w:pPr>
            <w:r>
              <w:rPr>
                <w:rFonts w:ascii="Times New Roman"/>
                <w:sz w:val="18"/>
              </w:rPr>
              <w:t>1,260,503.65</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6.8632</w:t>
            </w: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w w:val="95"/>
                <w:sz w:val="18"/>
              </w:rPr>
              <w:t>8,651,088.65</w:t>
            </w:r>
          </w:p>
        </w:tc>
      </w:tr>
      <w:tr>
        <w:trPr>
          <w:trHeight w:val="409"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港币</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2,782,110.29</w:t>
            </w:r>
          </w:p>
        </w:tc>
        <w:tc>
          <w:tcPr>
            <w:tcW w:w="11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pacing w:val="-1"/>
                <w:sz w:val="18"/>
              </w:rPr>
              <w:t>0.8958</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2,492,214.39</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left="357" w:right="0"/>
              <w:jc w:val="left"/>
              <w:rPr>
                <w:rFonts w:ascii="Times New Roman" w:hAnsi="Times New Roman" w:cs="Times New Roman" w:eastAsia="Times New Roman" w:hint="default"/>
                <w:sz w:val="18"/>
                <w:szCs w:val="18"/>
              </w:rPr>
            </w:pPr>
            <w:r>
              <w:rPr>
                <w:rFonts w:ascii="Times New Roman"/>
                <w:sz w:val="18"/>
              </w:rPr>
              <w:t>2,550,285.44</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0.8762</w:t>
            </w: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2,234,560.10</w:t>
            </w:r>
          </w:p>
        </w:tc>
      </w:tr>
      <w:tr>
        <w:trPr>
          <w:trHeight w:val="406"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客户信用备付金</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94,437,678.55</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7" w:type="dxa"/>
            <w:tcBorders>
              <w:top w:val="dotted" w:sz="4" w:space="0" w:color="000000"/>
              <w:left w:val="dotted" w:sz="4" w:space="0" w:color="000000"/>
              <w:bottom w:val="dotted" w:sz="4" w:space="0" w:color="000000"/>
              <w:right w:val="dotted" w:sz="4" w:space="0" w:color="000000"/>
            </w:tcBorders>
          </w:tcPr>
          <w:p>
            <w:pP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57,592,171.21</w:t>
            </w:r>
          </w:p>
        </w:tc>
      </w:tr>
      <w:tr>
        <w:trPr>
          <w:trHeight w:val="408" w:hRule="exact"/>
        </w:trPr>
        <w:tc>
          <w:tcPr>
            <w:tcW w:w="16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65"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94,437,678.55</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7" w:type="dxa"/>
            <w:tcBorders>
              <w:top w:val="dotted" w:sz="4" w:space="0" w:color="000000"/>
              <w:left w:val="dotted" w:sz="4" w:space="0" w:color="000000"/>
              <w:bottom w:val="dotted" w:sz="4" w:space="0" w:color="000000"/>
              <w:right w:val="dotted" w:sz="4" w:space="0" w:color="000000"/>
            </w:tcBorders>
          </w:tcPr>
          <w:p>
            <w:pPr/>
          </w:p>
        </w:tc>
        <w:tc>
          <w:tcPr>
            <w:tcW w:w="16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57,592,171.21</w:t>
            </w:r>
          </w:p>
        </w:tc>
      </w:tr>
      <w:tr>
        <w:trPr>
          <w:trHeight w:val="418" w:hRule="exact"/>
        </w:trPr>
        <w:tc>
          <w:tcPr>
            <w:tcW w:w="16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dotted" w:sz="4" w:space="0" w:color="000000"/>
              <w:left w:val="dotted" w:sz="4" w:space="0" w:color="000000"/>
              <w:bottom w:val="single" w:sz="12" w:space="0" w:color="000000"/>
              <w:right w:val="dotted" w:sz="4" w:space="0" w:color="000000"/>
            </w:tcBorders>
          </w:tcPr>
          <w:p>
            <w:pPr/>
          </w:p>
        </w:tc>
        <w:tc>
          <w:tcPr>
            <w:tcW w:w="1147" w:type="dxa"/>
            <w:tcBorders>
              <w:top w:val="dotted" w:sz="4" w:space="0" w:color="000000"/>
              <w:left w:val="dotted" w:sz="4" w:space="0" w:color="000000"/>
              <w:bottom w:val="single" w:sz="12" w:space="0" w:color="000000"/>
              <w:right w:val="dotted" w:sz="4" w:space="0" w:color="000000"/>
            </w:tcBorders>
          </w:tcPr>
          <w:p>
            <w:pP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824,458,019.67</w:t>
            </w:r>
          </w:p>
        </w:tc>
        <w:tc>
          <w:tcPr>
            <w:tcW w:w="1416" w:type="dxa"/>
            <w:tcBorders>
              <w:top w:val="dotted" w:sz="4" w:space="0" w:color="000000"/>
              <w:left w:val="dotted" w:sz="4" w:space="0" w:color="000000"/>
              <w:bottom w:val="single" w:sz="12" w:space="0" w:color="000000"/>
              <w:right w:val="dotted" w:sz="4" w:space="0" w:color="000000"/>
            </w:tcBorders>
          </w:tcPr>
          <w:p>
            <w:pPr/>
          </w:p>
        </w:tc>
        <w:tc>
          <w:tcPr>
            <w:tcW w:w="997" w:type="dxa"/>
            <w:tcBorders>
              <w:top w:val="dotted" w:sz="4" w:space="0" w:color="000000"/>
              <w:left w:val="dotted" w:sz="4" w:space="0" w:color="000000"/>
              <w:bottom w:val="single" w:sz="12" w:space="0" w:color="000000"/>
              <w:right w:val="dotted" w:sz="4" w:space="0" w:color="000000"/>
            </w:tcBorders>
          </w:tcPr>
          <w:p>
            <w:pPr/>
          </w:p>
        </w:tc>
        <w:tc>
          <w:tcPr>
            <w:tcW w:w="16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937,759,236.93</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755" w:right="0"/>
        <w:jc w:val="left"/>
        <w:rPr>
          <w:b w:val="0"/>
          <w:bCs w:val="0"/>
        </w:rPr>
      </w:pPr>
      <w:r>
        <w:rPr/>
        <w:t>注释 </w:t>
      </w:r>
      <w:r>
        <w:rPr>
          <w:rFonts w:ascii="Times New Roman" w:hAnsi="Times New Roman" w:cs="Times New Roman" w:eastAsia="Times New Roman" w:hint="default"/>
        </w:rPr>
        <w:t>3. </w:t>
      </w:r>
      <w:r>
        <w:rPr>
          <w:rFonts w:ascii="Times New Roman" w:hAnsi="Times New Roman" w:cs="Times New Roman" w:eastAsia="Times New Roman" w:hint="default"/>
          <w:spacing w:val="6"/>
        </w:rPr>
        <w:t> </w:t>
      </w:r>
      <w:r>
        <w:rPr/>
        <w:t>融出资金</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3860"/>
        <w:gridCol w:w="2703"/>
        <w:gridCol w:w="3092"/>
      </w:tblGrid>
      <w:tr>
        <w:trPr>
          <w:trHeight w:val="389" w:hRule="exact"/>
        </w:trPr>
        <w:tc>
          <w:tcPr>
            <w:tcW w:w="38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9"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2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4,039,902,164.73</w:t>
            </w:r>
          </w:p>
        </w:tc>
        <w:tc>
          <w:tcPr>
            <w:tcW w:w="3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1,731,231,750.24</w:t>
            </w:r>
          </w:p>
        </w:tc>
      </w:tr>
      <w:tr>
        <w:trPr>
          <w:trHeight w:val="380"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其中：个人</w:t>
            </w:r>
          </w:p>
        </w:tc>
        <w:tc>
          <w:tcPr>
            <w:tcW w:w="2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4,028,118,461.61</w:t>
            </w:r>
          </w:p>
        </w:tc>
        <w:tc>
          <w:tcPr>
            <w:tcW w:w="3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1,699,579,912.57</w:t>
            </w:r>
          </w:p>
        </w:tc>
      </w:tr>
      <w:tr>
        <w:trPr>
          <w:trHeight w:val="379"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66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11,783,703.12</w:t>
            </w:r>
          </w:p>
        </w:tc>
        <w:tc>
          <w:tcPr>
            <w:tcW w:w="3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31,651,837.67</w:t>
            </w:r>
          </w:p>
        </w:tc>
      </w:tr>
      <w:tr>
        <w:trPr>
          <w:trHeight w:val="379" w:hRule="exact"/>
        </w:trPr>
        <w:tc>
          <w:tcPr>
            <w:tcW w:w="38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957,987.24</w:t>
            </w:r>
          </w:p>
        </w:tc>
        <w:tc>
          <w:tcPr>
            <w:tcW w:w="3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861,798.92</w:t>
            </w:r>
          </w:p>
        </w:tc>
      </w:tr>
      <w:tr>
        <w:trPr>
          <w:trHeight w:val="389" w:hRule="exact"/>
        </w:trPr>
        <w:tc>
          <w:tcPr>
            <w:tcW w:w="38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账面价值合计</w:t>
            </w:r>
          </w:p>
        </w:tc>
        <w:tc>
          <w:tcPr>
            <w:tcW w:w="27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4,038,944,177.49</w:t>
            </w:r>
          </w:p>
        </w:tc>
        <w:tc>
          <w:tcPr>
            <w:tcW w:w="30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1,730,369,951.32</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注：因执行新金融工具准则，该项目期初余额与上年末余额存在差异。差异情况详见附注四（四十二）</w:t>
      </w: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BodyText"/>
        <w:spacing w:line="240" w:lineRule="auto"/>
        <w:ind w:left="573" w:right="0"/>
        <w:jc w:val="left"/>
      </w:pPr>
      <w:r>
        <w:rPr/>
        <w:t>客户因融资融券业务向公司提供的担保物公允价值情况：</w:t>
      </w:r>
    </w:p>
    <w:p>
      <w:pPr>
        <w:spacing w:line="240" w:lineRule="auto" w:before="12"/>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875"/>
        <w:gridCol w:w="2688"/>
        <w:gridCol w:w="3092"/>
      </w:tblGrid>
      <w:tr>
        <w:trPr>
          <w:trHeight w:val="360" w:hRule="exact"/>
        </w:trPr>
        <w:tc>
          <w:tcPr>
            <w:tcW w:w="38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担保物类别</w:t>
            </w:r>
          </w:p>
        </w:tc>
        <w:tc>
          <w:tcPr>
            <w:tcW w:w="26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79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000"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51" w:hRule="exact"/>
        </w:trPr>
        <w:tc>
          <w:tcPr>
            <w:tcW w:w="38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26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806,095,614.65</w:t>
            </w:r>
          </w:p>
        </w:tc>
        <w:tc>
          <w:tcPr>
            <w:tcW w:w="3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339,105,144.54</w:t>
            </w:r>
          </w:p>
        </w:tc>
      </w:tr>
      <w:tr>
        <w:trPr>
          <w:trHeight w:val="350" w:hRule="exact"/>
        </w:trPr>
        <w:tc>
          <w:tcPr>
            <w:tcW w:w="38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26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1,875,251.20</w:t>
            </w:r>
          </w:p>
        </w:tc>
        <w:tc>
          <w:tcPr>
            <w:tcW w:w="3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1,608,708.23</w:t>
            </w:r>
          </w:p>
        </w:tc>
      </w:tr>
      <w:tr>
        <w:trPr>
          <w:trHeight w:val="350" w:hRule="exact"/>
        </w:trPr>
        <w:tc>
          <w:tcPr>
            <w:tcW w:w="38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26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11,946,940,784.05</w:t>
            </w:r>
          </w:p>
        </w:tc>
        <w:tc>
          <w:tcPr>
            <w:tcW w:w="3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4,489,772,087.91</w:t>
            </w:r>
          </w:p>
        </w:tc>
      </w:tr>
      <w:tr>
        <w:trPr>
          <w:trHeight w:val="350" w:hRule="exact"/>
        </w:trPr>
        <w:tc>
          <w:tcPr>
            <w:tcW w:w="38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6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47,154,000.97</w:t>
            </w:r>
          </w:p>
        </w:tc>
        <w:tc>
          <w:tcPr>
            <w:tcW w:w="30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109,357,415.06</w:t>
            </w:r>
          </w:p>
        </w:tc>
      </w:tr>
      <w:tr>
        <w:trPr>
          <w:trHeight w:val="360" w:hRule="exact"/>
        </w:trPr>
        <w:tc>
          <w:tcPr>
            <w:tcW w:w="38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12,802,065,650.87</w:t>
            </w:r>
          </w:p>
        </w:tc>
        <w:tc>
          <w:tcPr>
            <w:tcW w:w="30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4,939,843,355.74</w:t>
            </w:r>
          </w:p>
        </w:tc>
      </w:tr>
    </w:tbl>
    <w:p>
      <w:pPr>
        <w:spacing w:line="240" w:lineRule="auto" w:before="2"/>
        <w:rPr>
          <w:rFonts w:ascii="宋体" w:hAnsi="宋体" w:cs="宋体" w:eastAsia="宋体" w:hint="default"/>
          <w:sz w:val="28"/>
          <w:szCs w:val="28"/>
        </w:rPr>
      </w:pPr>
    </w:p>
    <w:p>
      <w:pPr>
        <w:pStyle w:val="Heading4"/>
        <w:spacing w:line="335" w:lineRule="exact"/>
        <w:ind w:left="755" w:right="0"/>
        <w:jc w:val="left"/>
        <w:rPr>
          <w:b w:val="0"/>
          <w:bCs w:val="0"/>
        </w:rPr>
      </w:pPr>
      <w:r>
        <w:rPr/>
        <w:t>注释 </w:t>
      </w:r>
      <w:r>
        <w:rPr>
          <w:rFonts w:ascii="Times New Roman" w:hAnsi="Times New Roman" w:cs="Times New Roman" w:eastAsia="Times New Roman" w:hint="default"/>
        </w:rPr>
        <w:t>4. </w:t>
      </w:r>
      <w:r>
        <w:rPr>
          <w:rFonts w:ascii="Times New Roman" w:hAnsi="Times New Roman" w:cs="Times New Roman" w:eastAsia="Times New Roman" w:hint="default"/>
          <w:spacing w:val="9"/>
        </w:rPr>
        <w:t> </w:t>
      </w:r>
      <w:r>
        <w:rPr/>
        <w:t>交易性金融资产</w:t>
      </w:r>
      <w:r>
        <w:rPr>
          <w:b w:val="0"/>
          <w:bCs w:val="0"/>
        </w:rPr>
      </w:r>
    </w:p>
    <w:p>
      <w:pPr>
        <w:spacing w:after="0" w:line="335" w:lineRule="exact"/>
        <w:jc w:val="left"/>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p>
      <w:pPr>
        <w:spacing w:line="28" w:lineRule="exact"/>
        <w:ind w:left="13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83.5pt;height:1.45pt;mso-position-horizontal-relative:char;mso-position-vertical-relative:line" coordorigin="0,0" coordsize="9670,29">
            <v:group style="position:absolute;left:14;top:14;width:9641;height:2" coordorigin="14,14" coordsize="9641,2">
              <v:shape style="position:absolute;left:14;top:14;width:9641;height:2" coordorigin="14,14" coordsize="9641,0" path="m14,14l9655,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before="67"/>
        <w:ind w:left="0" w:right="978" w:firstLine="0"/>
        <w:jc w:val="center"/>
        <w:rPr>
          <w:rFonts w:ascii="宋体" w:hAnsi="宋体" w:cs="宋体" w:eastAsia="宋体" w:hint="default"/>
          <w:sz w:val="18"/>
          <w:szCs w:val="18"/>
        </w:rPr>
      </w:pPr>
      <w:r>
        <w:rPr/>
        <w:pict>
          <v:group style="position:absolute;margin-left:181.220001pt;margin-top:42.18169pt;width:.5pt;height:.1pt;mso-position-horizontal-relative:page;mso-position-vertical-relative:paragraph;z-index:-1329112" coordorigin="3624,844" coordsize="10,2">
            <v:shape style="position:absolute;left:3624;top:844;width:10;height:2" coordorigin="3624,844" coordsize="10,0" path="m3624,844l3634,844e" filled="false" stroked="true" strokeweight=".72pt" strokecolor="#000000">
              <v:path arrowok="t"/>
              <v:stroke dashstyle="dash"/>
            </v:shape>
            <w10:wrap type="none"/>
          </v:group>
        </w:pict>
      </w:r>
      <w:r>
        <w:rPr/>
        <w:pict>
          <v:group style="position:absolute;margin-left:238.009995pt;margin-top:42.18169pt;width:.5pt;height:.1pt;mso-position-horizontal-relative:page;mso-position-vertical-relative:paragraph;z-index:-1329088" coordorigin="4760,844" coordsize="10,2">
            <v:shape style="position:absolute;left:4760;top:844;width:10;height:2" coordorigin="4760,844" coordsize="10,0" path="m4760,844l4770,844e" filled="false" stroked="true" strokeweight=".72pt" strokecolor="#000000">
              <v:path arrowok="t"/>
              <v:stroke dashstyle="dash"/>
            </v:shape>
            <w10:wrap type="none"/>
          </v:group>
        </w:pict>
      </w:r>
      <w:r>
        <w:rPr/>
        <w:pict>
          <v:group style="position:absolute;margin-left:396.910004pt;margin-top:42.18169pt;width:.5pt;height:.1pt;mso-position-horizontal-relative:page;mso-position-vertical-relative:paragraph;z-index:-1329064" coordorigin="7938,844" coordsize="10,2">
            <v:shape style="position:absolute;left:7938;top:844;width:10;height:2" coordorigin="7938,844" coordsize="10,0" path="m7938,844l7948,844e" filled="false" stroked="true" strokeweight=".72pt" strokecolor="#000000">
              <v:path arrowok="t"/>
              <v:stroke dashstyle="dash"/>
            </v:shape>
            <w10:wrap type="none"/>
          </v:group>
        </w:pict>
      </w:r>
      <w:r>
        <w:rPr/>
        <w:pict>
          <v:group style="position:absolute;margin-left:452.019989pt;margin-top:42.18169pt;width:.5pt;height:.1pt;mso-position-horizontal-relative:page;mso-position-vertical-relative:paragraph;z-index:-1329040" coordorigin="9040,844" coordsize="10,2">
            <v:shape style="position:absolute;left:9040;top:844;width:10;height:2" coordorigin="9040,844" coordsize="10,0" path="m9040,844l9050,844e" filled="false" stroked="true" strokeweight=".72pt" strokecolor="#000000">
              <v:path arrowok="t"/>
              <v:stroke dashstyle="dash"/>
            </v:shape>
            <w10:wrap type="none"/>
          </v:group>
        </w:pict>
      </w:r>
      <w:r>
        <w:rPr>
          <w:rFonts w:ascii="宋体" w:hAnsi="宋体" w:cs="宋体" w:eastAsia="宋体" w:hint="default"/>
          <w:sz w:val="18"/>
          <w:szCs w:val="18"/>
        </w:rPr>
        <w:t>期末余额</w:t>
      </w:r>
    </w:p>
    <w:p>
      <w:pPr>
        <w:spacing w:line="240" w:lineRule="auto" w:before="2"/>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891"/>
        <w:gridCol w:w="1620"/>
        <w:gridCol w:w="1136"/>
        <w:gridCol w:w="1623"/>
        <w:gridCol w:w="1555"/>
        <w:gridCol w:w="1102"/>
        <w:gridCol w:w="1728"/>
      </w:tblGrid>
      <w:tr>
        <w:trPr>
          <w:trHeight w:val="418" w:hRule="exact"/>
        </w:trPr>
        <w:tc>
          <w:tcPr>
            <w:tcW w:w="891"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379"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4385" w:type="dxa"/>
            <w:gridSpan w:val="3"/>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初始成本</w:t>
            </w:r>
          </w:p>
        </w:tc>
      </w:tr>
      <w:tr>
        <w:trPr>
          <w:trHeight w:val="1666" w:hRule="exact"/>
        </w:trPr>
        <w:tc>
          <w:tcPr>
            <w:tcW w:w="891" w:type="dxa"/>
            <w:vMerge/>
            <w:tcBorders>
              <w:left w:val="nil" w:sz="6" w:space="0" w:color="auto"/>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84" w:right="84"/>
              <w:jc w:val="center"/>
              <w:rPr>
                <w:rFonts w:ascii="宋体" w:hAnsi="宋体" w:cs="宋体" w:eastAsia="宋体" w:hint="default"/>
                <w:sz w:val="18"/>
                <w:szCs w:val="18"/>
              </w:rPr>
            </w:pPr>
            <w:r>
              <w:rPr>
                <w:rFonts w:ascii="宋体" w:hAnsi="宋体" w:cs="宋体" w:eastAsia="宋体" w:hint="default"/>
                <w:sz w:val="18"/>
                <w:szCs w:val="18"/>
              </w:rPr>
              <w:t>分类为以公允价值 计量且其变动计入 当期损益的金融资 产</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23" w:right="20"/>
              <w:jc w:val="center"/>
              <w:rPr>
                <w:rFonts w:ascii="宋体" w:hAnsi="宋体" w:cs="宋体" w:eastAsia="宋体" w:hint="default"/>
                <w:sz w:val="18"/>
                <w:szCs w:val="18"/>
              </w:rPr>
            </w:pPr>
            <w:r>
              <w:rPr>
                <w:rFonts w:ascii="宋体" w:hAnsi="宋体" w:cs="宋体" w:eastAsia="宋体" w:hint="default"/>
                <w:sz w:val="18"/>
                <w:szCs w:val="18"/>
              </w:rPr>
              <w:t>指定为以公允 价值计量且其 变动计入当期 损益的金融资 产</w:t>
            </w: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公允价值合计</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分类为以公允价值 计量且其变动计入 当期损益的金融资 产</w:t>
            </w:r>
          </w:p>
        </w:tc>
        <w:tc>
          <w:tcPr>
            <w:tcW w:w="1102"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96" w:right="94"/>
              <w:jc w:val="both"/>
              <w:rPr>
                <w:rFonts w:ascii="宋体" w:hAnsi="宋体" w:cs="宋体" w:eastAsia="宋体" w:hint="default"/>
                <w:sz w:val="18"/>
                <w:szCs w:val="18"/>
              </w:rPr>
            </w:pPr>
            <w:r>
              <w:rPr>
                <w:rFonts w:ascii="宋体" w:hAnsi="宋体" w:cs="宋体" w:eastAsia="宋体" w:hint="default"/>
                <w:sz w:val="18"/>
                <w:szCs w:val="18"/>
              </w:rPr>
              <w:t>指定为以公 允价值计量 且其变动计 入当期损益 的金融资产</w:t>
            </w: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初始成本合计</w:t>
            </w:r>
          </w:p>
        </w:tc>
      </w:tr>
      <w:tr>
        <w:trPr>
          <w:trHeight w:val="415" w:hRule="exact"/>
        </w:trPr>
        <w:tc>
          <w:tcPr>
            <w:tcW w:w="8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7,345,659,341.28</w:t>
            </w:r>
          </w:p>
        </w:tc>
        <w:tc>
          <w:tcPr>
            <w:tcW w:w="1136"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7,345,659,341.28</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7,291,133,669.01</w:t>
            </w:r>
          </w:p>
        </w:tc>
        <w:tc>
          <w:tcPr>
            <w:tcW w:w="1102"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7,291,133,669.01</w:t>
            </w:r>
          </w:p>
        </w:tc>
      </w:tr>
      <w:tr>
        <w:trPr>
          <w:trHeight w:val="418" w:hRule="exact"/>
        </w:trPr>
        <w:tc>
          <w:tcPr>
            <w:tcW w:w="8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1,738,140,648.16</w:t>
            </w:r>
          </w:p>
        </w:tc>
        <w:tc>
          <w:tcPr>
            <w:tcW w:w="1136"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1,738,140,648.16</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1,829,813,925.81</w:t>
            </w:r>
          </w:p>
        </w:tc>
        <w:tc>
          <w:tcPr>
            <w:tcW w:w="1102"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1,829,813,925.81</w:t>
            </w:r>
          </w:p>
        </w:tc>
      </w:tr>
      <w:tr>
        <w:trPr>
          <w:trHeight w:val="418" w:hRule="exact"/>
        </w:trPr>
        <w:tc>
          <w:tcPr>
            <w:tcW w:w="8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公募基金</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347,181,794.63</w:t>
            </w:r>
          </w:p>
        </w:tc>
        <w:tc>
          <w:tcPr>
            <w:tcW w:w="1136"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347,181,794.63</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344,495,241.42</w:t>
            </w:r>
          </w:p>
        </w:tc>
        <w:tc>
          <w:tcPr>
            <w:tcW w:w="1102"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344,495,241.42</w:t>
            </w:r>
          </w:p>
        </w:tc>
      </w:tr>
      <w:tr>
        <w:trPr>
          <w:trHeight w:val="730" w:hRule="exact"/>
        </w:trPr>
        <w:tc>
          <w:tcPr>
            <w:tcW w:w="891"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29"/>
              <w:jc w:val="left"/>
              <w:rPr>
                <w:rFonts w:ascii="宋体" w:hAnsi="宋体" w:cs="宋体" w:eastAsia="宋体" w:hint="default"/>
                <w:sz w:val="18"/>
                <w:szCs w:val="18"/>
              </w:rPr>
            </w:pPr>
            <w:r>
              <w:rPr>
                <w:rFonts w:ascii="宋体" w:hAnsi="宋体" w:cs="宋体" w:eastAsia="宋体" w:hint="default"/>
                <w:spacing w:val="30"/>
                <w:sz w:val="18"/>
                <w:szCs w:val="18"/>
              </w:rPr>
              <w:t>银行理财</w:t>
            </w:r>
            <w:r>
              <w:rPr>
                <w:rFonts w:ascii="宋体" w:hAnsi="宋体" w:cs="宋体" w:eastAsia="宋体" w:hint="default"/>
                <w:spacing w:val="-50"/>
                <w:sz w:val="18"/>
                <w:szCs w:val="18"/>
              </w:rPr>
              <w:t> </w:t>
            </w:r>
            <w:r>
              <w:rPr>
                <w:rFonts w:ascii="宋体" w:hAnsi="宋体" w:cs="宋体" w:eastAsia="宋体" w:hint="default"/>
                <w:sz w:val="18"/>
                <w:szCs w:val="18"/>
              </w:rPr>
              <w:t>产品</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93,679,426.97</w:t>
            </w:r>
          </w:p>
        </w:tc>
        <w:tc>
          <w:tcPr>
            <w:tcW w:w="1136"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93,679,426.97</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92,894,168.00</w:t>
            </w:r>
          </w:p>
        </w:tc>
        <w:tc>
          <w:tcPr>
            <w:tcW w:w="1102"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92,894,168.00</w:t>
            </w:r>
          </w:p>
        </w:tc>
      </w:tr>
      <w:tr>
        <w:trPr>
          <w:trHeight w:val="727" w:hRule="exact"/>
        </w:trPr>
        <w:tc>
          <w:tcPr>
            <w:tcW w:w="891"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31" w:right="-29"/>
              <w:jc w:val="left"/>
              <w:rPr>
                <w:rFonts w:ascii="宋体" w:hAnsi="宋体" w:cs="宋体" w:eastAsia="宋体" w:hint="default"/>
                <w:sz w:val="18"/>
                <w:szCs w:val="18"/>
              </w:rPr>
            </w:pPr>
            <w:r>
              <w:rPr>
                <w:rFonts w:ascii="宋体" w:hAnsi="宋体" w:cs="宋体" w:eastAsia="宋体" w:hint="default"/>
                <w:spacing w:val="30"/>
                <w:sz w:val="18"/>
                <w:szCs w:val="18"/>
              </w:rPr>
              <w:t>券商资管</w:t>
            </w:r>
            <w:r>
              <w:rPr>
                <w:rFonts w:ascii="宋体" w:hAnsi="宋体" w:cs="宋体" w:eastAsia="宋体" w:hint="default"/>
                <w:spacing w:val="-50"/>
                <w:sz w:val="18"/>
                <w:szCs w:val="18"/>
              </w:rPr>
              <w:t> </w:t>
            </w:r>
            <w:r>
              <w:rPr>
                <w:rFonts w:ascii="宋体" w:hAnsi="宋体" w:cs="宋体" w:eastAsia="宋体" w:hint="default"/>
                <w:sz w:val="18"/>
                <w:szCs w:val="18"/>
              </w:rPr>
              <w:t>产品</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245,965,417.62</w:t>
            </w:r>
          </w:p>
        </w:tc>
        <w:tc>
          <w:tcPr>
            <w:tcW w:w="1136"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245,965,417.62</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240,000,000.00</w:t>
            </w:r>
          </w:p>
        </w:tc>
        <w:tc>
          <w:tcPr>
            <w:tcW w:w="1102"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18" w:hRule="exact"/>
        </w:trPr>
        <w:tc>
          <w:tcPr>
            <w:tcW w:w="8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379,914,007.67</w:t>
            </w:r>
          </w:p>
        </w:tc>
        <w:tc>
          <w:tcPr>
            <w:tcW w:w="1136" w:type="dxa"/>
            <w:tcBorders>
              <w:top w:val="dotted" w:sz="4" w:space="0" w:color="000000"/>
              <w:left w:val="dotted" w:sz="4" w:space="0" w:color="000000"/>
              <w:bottom w:val="dotted" w:sz="4" w:space="0" w:color="000000"/>
              <w:right w:val="dotted" w:sz="4" w:space="0" w:color="000000"/>
            </w:tcBorders>
          </w:tcPr>
          <w:p>
            <w:pPr/>
          </w:p>
        </w:tc>
        <w:tc>
          <w:tcPr>
            <w:tcW w:w="16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379,914,007.67</w:t>
            </w:r>
          </w:p>
        </w:tc>
        <w:tc>
          <w:tcPr>
            <w:tcW w:w="15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500,596,148.97</w:t>
            </w:r>
          </w:p>
        </w:tc>
        <w:tc>
          <w:tcPr>
            <w:tcW w:w="1102"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500,596,148.97</w:t>
            </w:r>
          </w:p>
        </w:tc>
      </w:tr>
      <w:tr>
        <w:trPr>
          <w:trHeight w:val="427" w:hRule="exact"/>
        </w:trPr>
        <w:tc>
          <w:tcPr>
            <w:tcW w:w="8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7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10,150,540,636.33</w:t>
            </w:r>
          </w:p>
        </w:tc>
        <w:tc>
          <w:tcPr>
            <w:tcW w:w="1136" w:type="dxa"/>
            <w:tcBorders>
              <w:top w:val="dotted" w:sz="4" w:space="0" w:color="000000"/>
              <w:left w:val="dotted" w:sz="4" w:space="0" w:color="000000"/>
              <w:bottom w:val="single" w:sz="12" w:space="0" w:color="000000"/>
              <w:right w:val="dotted" w:sz="4" w:space="0" w:color="000000"/>
            </w:tcBorders>
          </w:tcPr>
          <w:p>
            <w:pPr/>
          </w:p>
        </w:tc>
        <w:tc>
          <w:tcPr>
            <w:tcW w:w="16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pacing w:val="-1"/>
                <w:sz w:val="18"/>
              </w:rPr>
              <w:t>10,150,540,636.33</w:t>
            </w:r>
          </w:p>
        </w:tc>
        <w:tc>
          <w:tcPr>
            <w:tcW w:w="15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10,298,933,153.21</w:t>
            </w:r>
          </w:p>
        </w:tc>
        <w:tc>
          <w:tcPr>
            <w:tcW w:w="1102" w:type="dxa"/>
            <w:tcBorders>
              <w:top w:val="dotted" w:sz="4" w:space="0" w:color="000000"/>
              <w:left w:val="dotted" w:sz="4" w:space="0" w:color="000000"/>
              <w:bottom w:val="single" w:sz="12" w:space="0" w:color="000000"/>
              <w:right w:val="dotted" w:sz="4" w:space="0" w:color="000000"/>
            </w:tcBorders>
          </w:tcPr>
          <w:p>
            <w:pPr/>
          </w:p>
        </w:tc>
        <w:tc>
          <w:tcPr>
            <w:tcW w:w="17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10,298,933,153.21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8" w:lineRule="exact"/>
        <w:ind w:left="13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3.5pt;height:1.45pt;mso-position-horizontal-relative:char;mso-position-vertical-relative:line" coordorigin="0,0" coordsize="9670,29">
            <v:group style="position:absolute;left:14;top:14;width:9641;height:2" coordorigin="14,14" coordsize="9641,2">
              <v:shape style="position:absolute;left:14;top:14;width:9641;height:2" coordorigin="14,14" coordsize="9641,0" path="m14,14l9655,14e" filled="false" stroked="true" strokeweight="1.44pt" strokecolor="#000000">
                <v:path arrowok="t"/>
              </v:shape>
            </v:group>
          </v:group>
        </w:pict>
      </w:r>
      <w:r>
        <w:rPr>
          <w:rFonts w:ascii="宋体" w:hAnsi="宋体" w:cs="宋体" w:eastAsia="宋体" w:hint="default"/>
          <w:position w:val="0"/>
          <w:sz w:val="2"/>
          <w:szCs w:val="2"/>
        </w:rPr>
      </w:r>
    </w:p>
    <w:p>
      <w:pPr>
        <w:spacing w:before="67"/>
        <w:ind w:left="0" w:right="978" w:firstLine="0"/>
        <w:jc w:val="center"/>
        <w:rPr>
          <w:rFonts w:ascii="宋体" w:hAnsi="宋体" w:cs="宋体" w:eastAsia="宋体" w:hint="default"/>
          <w:sz w:val="18"/>
          <w:szCs w:val="18"/>
        </w:rPr>
      </w:pPr>
      <w:r>
        <w:rPr/>
        <w:pict>
          <v:group style="position:absolute;margin-left:538.059998pt;margin-top:-43.75827pt;width:1.2pt;height:1.2pt;mso-position-horizontal-relative:page;mso-position-vertical-relative:paragraph;z-index:-1329016" coordorigin="10761,-875" coordsize="24,24">
            <v:group style="position:absolute;left:10768;top:-858;width:10;height:2" coordorigin="10768,-858" coordsize="10,2">
              <v:shape style="position:absolute;left:10768;top:-858;width:10;height:2" coordorigin="10768,-858" coordsize="10,0" path="m10768,-858l10778,-858e" filled="false" stroked="true" strokeweight=".72pt" strokecolor="#000000">
                <v:path arrowok="t"/>
                <v:stroke dashstyle="dash"/>
              </v:shape>
            </v:group>
            <v:group style="position:absolute;left:10768;top:-870;width:10;height:2" coordorigin="10768,-870" coordsize="10,2">
              <v:shape style="position:absolute;left:10768;top:-870;width:10;height:2" coordorigin="10768,-870" coordsize="10,0" path="m10768,-870l10778,-870e" filled="false" stroked="true" strokeweight=".48pt" strokecolor="#000000">
                <v:path arrowok="t"/>
                <v:stroke dashstyle="dash"/>
              </v:shape>
            </v:group>
            <w10:wrap type="none"/>
          </v:group>
        </w:pict>
      </w:r>
      <w:r>
        <w:rPr/>
        <w:pict>
          <v:group style="position:absolute;margin-left:190.850006pt;margin-top:42.181728pt;width:.5pt;height:.1pt;mso-position-horizontal-relative:page;mso-position-vertical-relative:paragraph;z-index:-1328992" coordorigin="3817,844" coordsize="10,2">
            <v:shape style="position:absolute;left:3817;top:844;width:10;height:2" coordorigin="3817,844" coordsize="10,0" path="m3817,844l3827,844e" filled="false" stroked="true" strokeweight=".72pt" strokecolor="#000000">
              <v:path arrowok="t"/>
              <v:stroke dashstyle="dash"/>
            </v:shape>
            <w10:wrap type="none"/>
          </v:group>
        </w:pict>
      </w:r>
      <w:r>
        <w:rPr/>
        <w:pict>
          <v:group style="position:absolute;margin-left:253.009995pt;margin-top:42.181728pt;width:.5pt;height:.1pt;mso-position-horizontal-relative:page;mso-position-vertical-relative:paragraph;z-index:-1328968" coordorigin="5060,844" coordsize="10,2">
            <v:shape style="position:absolute;left:5060;top:844;width:10;height:2" coordorigin="5060,844" coordsize="10,0" path="m5060,844l5070,844e" filled="false" stroked="true" strokeweight=".72pt" strokecolor="#000000">
              <v:path arrowok="t"/>
              <v:stroke dashstyle="dash"/>
            </v:shape>
            <w10:wrap type="none"/>
          </v:group>
        </w:pict>
      </w:r>
      <w:r>
        <w:rPr/>
        <w:pict>
          <v:group style="position:absolute;margin-left:401.829987pt;margin-top:42.181728pt;width:.5pt;height:.1pt;mso-position-horizontal-relative:page;mso-position-vertical-relative:paragraph;z-index:-1328944" coordorigin="8037,844" coordsize="10,2">
            <v:shape style="position:absolute;left:8037;top:844;width:10;height:2" coordorigin="8037,844" coordsize="10,0" path="m8037,844l8046,844e" filled="false" stroked="true" strokeweight=".72pt" strokecolor="#000000">
              <v:path arrowok="t"/>
              <v:stroke dashstyle="dash"/>
            </v:shape>
            <w10:wrap type="none"/>
          </v:group>
        </w:pict>
      </w:r>
      <w:r>
        <w:rPr/>
        <w:pict>
          <v:group style="position:absolute;margin-left:464.619995pt;margin-top:42.181728pt;width:.5pt;height:.1pt;mso-position-horizontal-relative:page;mso-position-vertical-relative:paragraph;z-index:-1328920" coordorigin="9292,844" coordsize="10,2">
            <v:shape style="position:absolute;left:9292;top:844;width:10;height:2" coordorigin="9292,844" coordsize="10,0" path="m9292,844l9302,844e" filled="false" stroked="true" strokeweight=".72pt" strokecolor="#000000">
              <v:path arrowok="t"/>
              <v:stroke dashstyle="dash"/>
            </v:shape>
            <w10:wrap type="none"/>
          </v:group>
        </w:pict>
      </w:r>
      <w:r>
        <w:rPr>
          <w:rFonts w:ascii="宋体" w:hAnsi="宋体" w:cs="宋体" w:eastAsia="宋体" w:hint="default"/>
          <w:sz w:val="18"/>
          <w:szCs w:val="18"/>
        </w:rPr>
        <w:t>期初余额</w:t>
      </w:r>
    </w:p>
    <w:p>
      <w:pPr>
        <w:spacing w:line="240" w:lineRule="auto" w:before="2"/>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1227"/>
        <w:gridCol w:w="1477"/>
        <w:gridCol w:w="1243"/>
        <w:gridCol w:w="1488"/>
        <w:gridCol w:w="1488"/>
        <w:gridCol w:w="1256"/>
        <w:gridCol w:w="1476"/>
      </w:tblGrid>
      <w:tr>
        <w:trPr>
          <w:trHeight w:val="418" w:hRule="exact"/>
        </w:trPr>
        <w:tc>
          <w:tcPr>
            <w:tcW w:w="1227"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08"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4220" w:type="dxa"/>
            <w:gridSpan w:val="3"/>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初始成本</w:t>
            </w:r>
          </w:p>
        </w:tc>
      </w:tr>
      <w:tr>
        <w:trPr>
          <w:trHeight w:val="1666" w:hRule="exact"/>
        </w:trPr>
        <w:tc>
          <w:tcPr>
            <w:tcW w:w="1227" w:type="dxa"/>
            <w:vMerge/>
            <w:tcBorders>
              <w:left w:val="nil" w:sz="6" w:space="0" w:color="auto"/>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14" w:right="10"/>
              <w:jc w:val="center"/>
              <w:rPr>
                <w:rFonts w:ascii="宋体" w:hAnsi="宋体" w:cs="宋体" w:eastAsia="宋体" w:hint="default"/>
                <w:sz w:val="18"/>
                <w:szCs w:val="18"/>
              </w:rPr>
            </w:pPr>
            <w:r>
              <w:rPr>
                <w:rFonts w:ascii="宋体" w:hAnsi="宋体" w:cs="宋体" w:eastAsia="宋体" w:hint="default"/>
                <w:sz w:val="18"/>
                <w:szCs w:val="18"/>
              </w:rPr>
              <w:t>分类为以公允价值 计量且其变动计入 当期损益的金融资 产</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76" w:right="74"/>
              <w:jc w:val="center"/>
              <w:rPr>
                <w:rFonts w:ascii="宋体" w:hAnsi="宋体" w:cs="宋体" w:eastAsia="宋体" w:hint="default"/>
                <w:sz w:val="18"/>
                <w:szCs w:val="18"/>
              </w:rPr>
            </w:pPr>
            <w:r>
              <w:rPr>
                <w:rFonts w:ascii="宋体" w:hAnsi="宋体" w:cs="宋体" w:eastAsia="宋体" w:hint="default"/>
                <w:sz w:val="18"/>
                <w:szCs w:val="18"/>
              </w:rPr>
              <w:t>指定为以公允 价值计量且其 变动计入当期 损益的金融资 产</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公允价值合计</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1" w:right="14"/>
              <w:jc w:val="center"/>
              <w:rPr>
                <w:rFonts w:ascii="宋体" w:hAnsi="宋体" w:cs="宋体" w:eastAsia="宋体" w:hint="default"/>
                <w:sz w:val="18"/>
                <w:szCs w:val="18"/>
              </w:rPr>
            </w:pPr>
            <w:r>
              <w:rPr>
                <w:rFonts w:ascii="宋体" w:hAnsi="宋体" w:cs="宋体" w:eastAsia="宋体" w:hint="default"/>
                <w:sz w:val="18"/>
                <w:szCs w:val="18"/>
              </w:rPr>
              <w:t>分类为以公允价值 计量且其变动计入 当期损益的金融资 产</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83" w:right="80"/>
              <w:jc w:val="center"/>
              <w:rPr>
                <w:rFonts w:ascii="宋体" w:hAnsi="宋体" w:cs="宋体" w:eastAsia="宋体" w:hint="default"/>
                <w:sz w:val="18"/>
                <w:szCs w:val="18"/>
              </w:rPr>
            </w:pPr>
            <w:r>
              <w:rPr>
                <w:rFonts w:ascii="宋体" w:hAnsi="宋体" w:cs="宋体" w:eastAsia="宋体" w:hint="default"/>
                <w:sz w:val="18"/>
                <w:szCs w:val="18"/>
              </w:rPr>
              <w:t>指定为以公允 价值计量且其 变动计入当期 损益的金融资 产</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初始成本合计</w:t>
            </w:r>
          </w:p>
        </w:tc>
      </w:tr>
      <w:tr>
        <w:trPr>
          <w:trHeight w:val="415" w:hRule="exact"/>
        </w:trPr>
        <w:tc>
          <w:tcPr>
            <w:tcW w:w="1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pacing w:val="-1"/>
                <w:sz w:val="18"/>
              </w:rPr>
              <w:t>9,651,799,170.46</w:t>
            </w:r>
          </w:p>
        </w:tc>
        <w:tc>
          <w:tcPr>
            <w:tcW w:w="1243"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9,651,799,170.46</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9,445,383,661.08</w:t>
            </w:r>
          </w:p>
        </w:tc>
        <w:tc>
          <w:tcPr>
            <w:tcW w:w="1256"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9,445,383,661.08</w:t>
            </w:r>
          </w:p>
        </w:tc>
      </w:tr>
      <w:tr>
        <w:trPr>
          <w:trHeight w:val="418" w:hRule="exact"/>
        </w:trPr>
        <w:tc>
          <w:tcPr>
            <w:tcW w:w="1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6"/>
              <w:jc w:val="right"/>
              <w:rPr>
                <w:rFonts w:ascii="Times New Roman" w:hAnsi="Times New Roman" w:cs="Times New Roman" w:eastAsia="Times New Roman" w:hint="default"/>
                <w:sz w:val="18"/>
                <w:szCs w:val="18"/>
              </w:rPr>
            </w:pPr>
            <w:r>
              <w:rPr>
                <w:rFonts w:ascii="Times New Roman"/>
                <w:spacing w:val="-1"/>
                <w:sz w:val="18"/>
              </w:rPr>
              <w:t>3,171,357,331.98</w:t>
            </w:r>
          </w:p>
        </w:tc>
        <w:tc>
          <w:tcPr>
            <w:tcW w:w="1243"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3,171,357,331.98</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3,683,435,868.53</w:t>
            </w:r>
          </w:p>
        </w:tc>
        <w:tc>
          <w:tcPr>
            <w:tcW w:w="1256"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3,683,435,868.53</w:t>
            </w:r>
          </w:p>
        </w:tc>
      </w:tr>
      <w:tr>
        <w:trPr>
          <w:trHeight w:val="418" w:hRule="exact"/>
        </w:trPr>
        <w:tc>
          <w:tcPr>
            <w:tcW w:w="1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公募基金</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343,679,904.71</w:t>
            </w:r>
          </w:p>
        </w:tc>
        <w:tc>
          <w:tcPr>
            <w:tcW w:w="1243"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pacing w:val="-1"/>
                <w:sz w:val="18"/>
              </w:rPr>
              <w:t>343,679,904.71</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347,743,745.92</w:t>
            </w:r>
          </w:p>
        </w:tc>
        <w:tc>
          <w:tcPr>
            <w:tcW w:w="1256"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347,743,745.92</w:t>
            </w:r>
          </w:p>
        </w:tc>
      </w:tr>
      <w:tr>
        <w:trPr>
          <w:trHeight w:val="418" w:hRule="exact"/>
        </w:trPr>
        <w:tc>
          <w:tcPr>
            <w:tcW w:w="1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130,068,089.81</w:t>
            </w:r>
          </w:p>
        </w:tc>
        <w:tc>
          <w:tcPr>
            <w:tcW w:w="1243"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130,068,089.81</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130,000,000.00</w:t>
            </w:r>
          </w:p>
        </w:tc>
        <w:tc>
          <w:tcPr>
            <w:tcW w:w="1256"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15" w:hRule="exact"/>
        </w:trPr>
        <w:tc>
          <w:tcPr>
            <w:tcW w:w="1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券商资管产品</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205,406,198.45</w:t>
            </w:r>
          </w:p>
        </w:tc>
        <w:tc>
          <w:tcPr>
            <w:tcW w:w="1243"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205,406,198.45</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205,000,000.00</w:t>
            </w:r>
          </w:p>
        </w:tc>
        <w:tc>
          <w:tcPr>
            <w:tcW w:w="1256"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418" w:hRule="exact"/>
        </w:trPr>
        <w:tc>
          <w:tcPr>
            <w:tcW w:w="1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1477"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
        </w:tc>
        <w:tc>
          <w:tcPr>
            <w:tcW w:w="1256"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2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10,000.00</w:t>
            </w:r>
          </w:p>
        </w:tc>
        <w:tc>
          <w:tcPr>
            <w:tcW w:w="1243"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10,000.00</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10,000.00</w:t>
            </w:r>
          </w:p>
        </w:tc>
        <w:tc>
          <w:tcPr>
            <w:tcW w:w="1256"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27" w:hRule="exact"/>
        </w:trPr>
        <w:tc>
          <w:tcPr>
            <w:tcW w:w="12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pacing w:val="-1"/>
                <w:sz w:val="18"/>
              </w:rPr>
              <w:t>13,502,320,695.41</w:t>
            </w:r>
          </w:p>
        </w:tc>
        <w:tc>
          <w:tcPr>
            <w:tcW w:w="1243" w:type="dxa"/>
            <w:tcBorders>
              <w:top w:val="dotted" w:sz="4" w:space="0" w:color="000000"/>
              <w:left w:val="dotted" w:sz="4" w:space="0" w:color="000000"/>
              <w:bottom w:val="single" w:sz="12" w:space="0" w:color="000000"/>
              <w:right w:val="dotted" w:sz="4" w:space="0" w:color="000000"/>
            </w:tcBorders>
          </w:tcPr>
          <w:p>
            <w:pP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13,502,320,695.41</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13,811,573,275.53</w:t>
            </w:r>
          </w:p>
        </w:tc>
        <w:tc>
          <w:tcPr>
            <w:tcW w:w="1256" w:type="dxa"/>
            <w:tcBorders>
              <w:top w:val="dotted" w:sz="4" w:space="0" w:color="000000"/>
              <w:left w:val="dotted" w:sz="4" w:space="0" w:color="000000"/>
              <w:bottom w:val="single" w:sz="12" w:space="0" w:color="000000"/>
              <w:right w:val="dotted" w:sz="4" w:space="0" w:color="000000"/>
            </w:tcBorders>
          </w:tcPr>
          <w:p>
            <w:pP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13,811,563,275.53</w:t>
            </w:r>
          </w:p>
        </w:tc>
      </w:tr>
    </w:tbl>
    <w:p>
      <w:pPr>
        <w:spacing w:line="211" w:lineRule="exact" w:before="0"/>
        <w:ind w:left="513" w:right="0" w:firstLine="0"/>
        <w:jc w:val="left"/>
        <w:rPr>
          <w:rFonts w:ascii="宋体" w:hAnsi="宋体" w:cs="宋体" w:eastAsia="宋体" w:hint="default"/>
          <w:sz w:val="18"/>
          <w:szCs w:val="18"/>
        </w:rPr>
      </w:pPr>
      <w:r>
        <w:rPr/>
        <w:pict>
          <v:group style="position:absolute;margin-left:538.059998pt;margin-top:-22.32pt;width:1.2pt;height:1.2pt;mso-position-horizontal-relative:page;mso-position-vertical-relative:paragraph;z-index:-1328896" coordorigin="10761,-446" coordsize="24,24">
            <v:group style="position:absolute;left:10768;top:-430;width:10;height:2" coordorigin="10768,-430" coordsize="10,2">
              <v:shape style="position:absolute;left:10768;top:-430;width:10;height:2" coordorigin="10768,-430" coordsize="10,0" path="m10768,-430l10778,-430e" filled="false" stroked="true" strokeweight=".72pt" strokecolor="#000000">
                <v:path arrowok="t"/>
                <v:stroke dashstyle="dash"/>
              </v:shape>
            </v:group>
            <v:group style="position:absolute;left:10768;top:-442;width:10;height:2" coordorigin="10768,-442" coordsize="10,2">
              <v:shape style="position:absolute;left:10768;top:-442;width:10;height:2" coordorigin="10768,-442" coordsize="10,0" path="m10768,-442l10778,-442e" filled="false" stroked="true" strokeweight=".48pt" strokecolor="#000000">
                <v:path arrowok="t"/>
                <v:stroke dashstyle="dash"/>
              </v:shape>
            </v:group>
            <w10:wrap type="none"/>
          </v:group>
        </w:pic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：因执行新金融工具准则，该项目期初余额与上年末余额存在差异。差异情况详见附注四（四十二）</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w:t>
      </w:r>
    </w:p>
    <w:p>
      <w:pPr>
        <w:spacing w:line="227"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内容。</w:t>
      </w:r>
    </w:p>
    <w:p>
      <w:pPr>
        <w:spacing w:line="232" w:lineRule="exact" w:before="24"/>
        <w:ind w:left="152" w:right="1217"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：报告期内，公司新增信托计划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 </w:t>
      </w:r>
      <w:r>
        <w:rPr>
          <w:rFonts w:ascii="宋体" w:hAnsi="宋体" w:cs="宋体" w:eastAsia="宋体" w:hint="default"/>
          <w:sz w:val="18"/>
          <w:szCs w:val="18"/>
        </w:rPr>
        <w:t>亿元，因到期时间不足一年自其它非流动金融资产调整至本科目的信托计划 公允价值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spacing w:line="218" w:lineRule="exact"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：报告期末，交易性金融资产受限金额为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6,107,340,649.31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元，其中作为卖出回购等业务的质押品受限金额</w:t>
      </w:r>
    </w:p>
    <w:p>
      <w:pPr>
        <w:spacing w:line="241" w:lineRule="exact"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6,107,117,350.54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after="0" w:line="241" w:lineRule="exact"/>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4"/>
        <w:spacing w:line="335" w:lineRule="exact"/>
        <w:ind w:left="755" w:right="0"/>
        <w:jc w:val="left"/>
        <w:rPr>
          <w:b w:val="0"/>
          <w:bCs w:val="0"/>
        </w:rPr>
      </w:pPr>
      <w:r>
        <w:rPr/>
        <w:t>注释 </w:t>
      </w:r>
      <w:r>
        <w:rPr>
          <w:rFonts w:ascii="Trebuchet MS" w:hAnsi="Trebuchet MS" w:cs="Trebuchet MS" w:eastAsia="Trebuchet MS" w:hint="default"/>
        </w:rPr>
        <w:t>5. </w:t>
      </w:r>
      <w:r>
        <w:rPr>
          <w:rFonts w:ascii="Trebuchet MS" w:hAnsi="Trebuchet MS" w:cs="Trebuchet MS" w:eastAsia="Trebuchet MS" w:hint="default"/>
          <w:spacing w:val="9"/>
        </w:rPr>
        <w:t> </w:t>
      </w:r>
      <w:r>
        <w:rPr/>
        <w:t>以公允价值计量且其变动计入当期损益的金融资产</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1556"/>
        <w:gridCol w:w="1964"/>
        <w:gridCol w:w="1920"/>
        <w:gridCol w:w="2263"/>
        <w:gridCol w:w="1952"/>
      </w:tblGrid>
      <w:tr>
        <w:trPr>
          <w:trHeight w:val="430" w:hRule="exact"/>
        </w:trPr>
        <w:tc>
          <w:tcPr>
            <w:tcW w:w="155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99"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415" w:hRule="exact"/>
        </w:trPr>
        <w:tc>
          <w:tcPr>
            <w:tcW w:w="1556" w:type="dxa"/>
            <w:vMerge/>
            <w:tcBorders>
              <w:left w:val="nil" w:sz="6" w:space="0" w:color="auto"/>
              <w:right w:val="dotted" w:sz="4" w:space="0" w:color="000000"/>
            </w:tcBorders>
          </w:tcPr>
          <w:p>
            <w:pPr/>
          </w:p>
        </w:tc>
        <w:tc>
          <w:tcPr>
            <w:tcW w:w="388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4215"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初始投资成本</w:t>
            </w:r>
          </w:p>
        </w:tc>
      </w:tr>
      <w:tr>
        <w:trPr>
          <w:trHeight w:val="730" w:hRule="exact"/>
        </w:trPr>
        <w:tc>
          <w:tcPr>
            <w:tcW w:w="1556" w:type="dxa"/>
            <w:vMerge/>
            <w:tcBorders>
              <w:left w:val="nil" w:sz="6" w:space="0" w:color="auto"/>
              <w:bottom w:val="dotted" w:sz="4" w:space="0" w:color="000000"/>
              <w:right w:val="dotted" w:sz="4" w:space="0" w:color="000000"/>
            </w:tcBorders>
          </w:tcPr>
          <w:p>
            <w:pP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314" w:lineRule="auto" w:before="63"/>
              <w:ind w:left="708" w:right="75" w:hanging="632"/>
              <w:jc w:val="left"/>
              <w:rPr>
                <w:rFonts w:ascii="宋体" w:hAnsi="宋体" w:cs="宋体" w:eastAsia="宋体" w:hint="default"/>
                <w:sz w:val="18"/>
                <w:szCs w:val="18"/>
              </w:rPr>
            </w:pPr>
            <w:r>
              <w:rPr>
                <w:rFonts w:ascii="宋体" w:hAnsi="宋体" w:cs="宋体" w:eastAsia="宋体" w:hint="default"/>
                <w:sz w:val="18"/>
                <w:szCs w:val="18"/>
              </w:rPr>
              <w:t>为交易目的而持有的金 融资产</w:t>
            </w: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公允价值合计</w:t>
            </w:r>
          </w:p>
        </w:tc>
        <w:tc>
          <w:tcPr>
            <w:tcW w:w="2263" w:type="dxa"/>
            <w:tcBorders>
              <w:top w:val="dotted" w:sz="4" w:space="0" w:color="000000"/>
              <w:left w:val="dotted" w:sz="4" w:space="0" w:color="000000"/>
              <w:bottom w:val="dotted" w:sz="4" w:space="0" w:color="000000"/>
              <w:right w:val="dotted" w:sz="4" w:space="0" w:color="000000"/>
            </w:tcBorders>
          </w:tcPr>
          <w:p>
            <w:pPr>
              <w:pStyle w:val="TableParagraph"/>
              <w:spacing w:line="314" w:lineRule="auto" w:before="63"/>
              <w:ind w:left="1036" w:right="47" w:hanging="992"/>
              <w:jc w:val="left"/>
              <w:rPr>
                <w:rFonts w:ascii="宋体" w:hAnsi="宋体" w:cs="宋体" w:eastAsia="宋体" w:hint="default"/>
                <w:sz w:val="18"/>
                <w:szCs w:val="18"/>
              </w:rPr>
            </w:pPr>
            <w:r>
              <w:rPr>
                <w:rFonts w:ascii="宋体" w:hAnsi="宋体" w:cs="宋体" w:eastAsia="宋体" w:hint="default"/>
                <w:sz w:val="18"/>
                <w:szCs w:val="18"/>
              </w:rPr>
              <w:t>为交易目的而持有的金融资 产</w:t>
            </w:r>
          </w:p>
        </w:tc>
        <w:tc>
          <w:tcPr>
            <w:tcW w:w="1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初始投资成本合计</w:t>
            </w:r>
          </w:p>
        </w:tc>
      </w:tr>
      <w:tr>
        <w:trPr>
          <w:trHeight w:val="418" w:hRule="exact"/>
        </w:trPr>
        <w:tc>
          <w:tcPr>
            <w:tcW w:w="1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1964"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
        </w:tc>
        <w:tc>
          <w:tcPr>
            <w:tcW w:w="2263" w:type="dxa"/>
            <w:tcBorders>
              <w:top w:val="dotted" w:sz="4" w:space="0" w:color="000000"/>
              <w:left w:val="dotted" w:sz="4" w:space="0" w:color="000000"/>
              <w:bottom w:val="dotted" w:sz="4" w:space="0" w:color="000000"/>
              <w:right w:val="dotted" w:sz="4" w:space="0" w:color="000000"/>
            </w:tcBorders>
          </w:tcPr>
          <w:p>
            <w:pPr/>
          </w:p>
        </w:tc>
        <w:tc>
          <w:tcPr>
            <w:tcW w:w="195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9,405,037,530.13</w:t>
            </w: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9,405,037,530.13</w:t>
            </w:r>
          </w:p>
        </w:tc>
        <w:tc>
          <w:tcPr>
            <w:tcW w:w="2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9,372,407,716.80</w:t>
            </w:r>
          </w:p>
        </w:tc>
        <w:tc>
          <w:tcPr>
            <w:tcW w:w="1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9,372,407,716.80</w:t>
            </w:r>
          </w:p>
        </w:tc>
      </w:tr>
      <w:tr>
        <w:trPr>
          <w:trHeight w:val="416" w:hRule="exact"/>
        </w:trPr>
        <w:tc>
          <w:tcPr>
            <w:tcW w:w="1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964"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
        </w:tc>
        <w:tc>
          <w:tcPr>
            <w:tcW w:w="2263" w:type="dxa"/>
            <w:tcBorders>
              <w:top w:val="dotted" w:sz="4" w:space="0" w:color="000000"/>
              <w:left w:val="dotted" w:sz="4" w:space="0" w:color="000000"/>
              <w:bottom w:val="dotted" w:sz="4" w:space="0" w:color="000000"/>
              <w:right w:val="dotted" w:sz="4" w:space="0" w:color="000000"/>
            </w:tcBorders>
          </w:tcPr>
          <w:p>
            <w:pPr/>
          </w:p>
        </w:tc>
        <w:tc>
          <w:tcPr>
            <w:tcW w:w="195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2,531,746,439.99</w:t>
            </w: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2,531,746,439.99</w:t>
            </w:r>
          </w:p>
        </w:tc>
        <w:tc>
          <w:tcPr>
            <w:tcW w:w="2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2,941,040,224.52</w:t>
            </w:r>
          </w:p>
        </w:tc>
        <w:tc>
          <w:tcPr>
            <w:tcW w:w="1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2,941,040,224.52</w:t>
            </w:r>
          </w:p>
        </w:tc>
      </w:tr>
      <w:tr>
        <w:trPr>
          <w:trHeight w:val="418" w:hRule="exact"/>
        </w:trPr>
        <w:tc>
          <w:tcPr>
            <w:tcW w:w="1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4" w:type="dxa"/>
            <w:tcBorders>
              <w:top w:val="dotted" w:sz="4" w:space="0" w:color="000000"/>
              <w:left w:val="dotted" w:sz="4" w:space="0" w:color="000000"/>
              <w:bottom w:val="dotted" w:sz="4" w:space="0" w:color="000000"/>
              <w:right w:val="dotted" w:sz="4" w:space="0" w:color="000000"/>
            </w:tcBorders>
          </w:tcPr>
          <w:p>
            <w:pPr/>
          </w:p>
        </w:tc>
        <w:tc>
          <w:tcPr>
            <w:tcW w:w="1920" w:type="dxa"/>
            <w:tcBorders>
              <w:top w:val="dotted" w:sz="4" w:space="0" w:color="000000"/>
              <w:left w:val="dotted" w:sz="4" w:space="0" w:color="000000"/>
              <w:bottom w:val="dotted" w:sz="4" w:space="0" w:color="000000"/>
              <w:right w:val="dotted" w:sz="4" w:space="0" w:color="000000"/>
            </w:tcBorders>
          </w:tcPr>
          <w:p>
            <w:pPr/>
          </w:p>
        </w:tc>
        <w:tc>
          <w:tcPr>
            <w:tcW w:w="2263" w:type="dxa"/>
            <w:tcBorders>
              <w:top w:val="dotted" w:sz="4" w:space="0" w:color="000000"/>
              <w:left w:val="dotted" w:sz="4" w:space="0" w:color="000000"/>
              <w:bottom w:val="dotted" w:sz="4" w:space="0" w:color="000000"/>
              <w:right w:val="dotted" w:sz="4" w:space="0" w:color="000000"/>
            </w:tcBorders>
          </w:tcPr>
          <w:p>
            <w:pPr/>
          </w:p>
        </w:tc>
        <w:tc>
          <w:tcPr>
            <w:tcW w:w="195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142,181,488.61</w:t>
            </w: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142,181,488.61</w:t>
            </w:r>
          </w:p>
        </w:tc>
        <w:tc>
          <w:tcPr>
            <w:tcW w:w="2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146,245,329.82</w:t>
            </w:r>
          </w:p>
        </w:tc>
        <w:tc>
          <w:tcPr>
            <w:tcW w:w="1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146,245,329.82</w:t>
            </w:r>
          </w:p>
        </w:tc>
      </w:tr>
      <w:tr>
        <w:trPr>
          <w:trHeight w:val="415" w:hRule="exact"/>
        </w:trPr>
        <w:tc>
          <w:tcPr>
            <w:tcW w:w="1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130,000,000.00</w:t>
            </w:r>
          </w:p>
        </w:tc>
        <w:tc>
          <w:tcPr>
            <w:tcW w:w="19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130,000,000.00</w:t>
            </w:r>
          </w:p>
        </w:tc>
        <w:tc>
          <w:tcPr>
            <w:tcW w:w="2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130,000,000.00</w:t>
            </w:r>
          </w:p>
        </w:tc>
        <w:tc>
          <w:tcPr>
            <w:tcW w:w="1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30" w:hRule="exact"/>
        </w:trPr>
        <w:tc>
          <w:tcPr>
            <w:tcW w:w="15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12,208,965,458.73</w:t>
            </w:r>
          </w:p>
        </w:tc>
        <w:tc>
          <w:tcPr>
            <w:tcW w:w="19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12,208,965,458.73</w:t>
            </w:r>
          </w:p>
        </w:tc>
        <w:tc>
          <w:tcPr>
            <w:tcW w:w="22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12,589,693,271.14</w:t>
            </w:r>
          </w:p>
        </w:tc>
        <w:tc>
          <w:tcPr>
            <w:tcW w:w="19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12,589,693,271.14</w:t>
            </w:r>
          </w:p>
        </w:tc>
      </w:tr>
    </w:tbl>
    <w:p>
      <w:pPr>
        <w:spacing w:line="240" w:lineRule="auto" w:before="4"/>
        <w:rPr>
          <w:rFonts w:ascii="Microsoft JhengHei" w:hAnsi="Microsoft JhengHei" w:cs="Microsoft JhengHei" w:eastAsia="Microsoft JhengHei" w:hint="default"/>
          <w:b/>
          <w:bCs/>
          <w:sz w:val="5"/>
          <w:szCs w:val="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注：因执行新金融工具准则，该项目无期末余额，详见附注四（四十二）</w:t>
      </w: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）相关内容。</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before="15"/>
        <w:ind w:left="0" w:right="133" w:firstLine="0"/>
        <w:jc w:val="righ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8"/>
          <w:szCs w:val="28"/>
        </w:rPr>
      </w:pPr>
    </w:p>
    <w:p>
      <w:pPr>
        <w:pStyle w:val="Heading4"/>
        <w:spacing w:line="335" w:lineRule="exact"/>
        <w:ind w:left="742" w:right="0"/>
        <w:jc w:val="left"/>
        <w:rPr>
          <w:b w:val="0"/>
          <w:bCs w:val="0"/>
        </w:rPr>
      </w:pPr>
      <w:r>
        <w:rPr/>
        <w:t>注释 </w:t>
      </w:r>
      <w:r>
        <w:rPr>
          <w:rFonts w:ascii="Times New Roman" w:hAnsi="Times New Roman" w:cs="Times New Roman" w:eastAsia="Times New Roman" w:hint="default"/>
        </w:rPr>
        <w:t>6. </w:t>
      </w:r>
      <w:r>
        <w:rPr>
          <w:rFonts w:ascii="Times New Roman" w:hAnsi="Times New Roman" w:cs="Times New Roman" w:eastAsia="Times New Roman" w:hint="default"/>
          <w:spacing w:val="8"/>
        </w:rPr>
        <w:t> </w:t>
      </w:r>
      <w:r>
        <w:rPr/>
        <w:t>衍生金融工具</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1400"/>
        <w:gridCol w:w="1020"/>
        <w:gridCol w:w="878"/>
        <w:gridCol w:w="953"/>
        <w:gridCol w:w="1531"/>
        <w:gridCol w:w="1205"/>
        <w:gridCol w:w="1392"/>
        <w:gridCol w:w="950"/>
        <w:gridCol w:w="805"/>
        <w:gridCol w:w="730"/>
        <w:gridCol w:w="1301"/>
        <w:gridCol w:w="1066"/>
        <w:gridCol w:w="744"/>
      </w:tblGrid>
      <w:tr>
        <w:trPr>
          <w:trHeight w:val="418" w:hRule="exact"/>
        </w:trPr>
        <w:tc>
          <w:tcPr>
            <w:tcW w:w="140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980"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595"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400" w:type="dxa"/>
            <w:vMerge/>
            <w:tcBorders>
              <w:left w:val="nil" w:sz="6" w:space="0" w:color="auto"/>
              <w:right w:val="dotted" w:sz="4" w:space="0" w:color="000000"/>
            </w:tcBorders>
          </w:tcPr>
          <w:p>
            <w:pPr/>
          </w:p>
        </w:tc>
        <w:tc>
          <w:tcPr>
            <w:tcW w:w="2852"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套期工具</w:t>
            </w:r>
          </w:p>
        </w:tc>
        <w:tc>
          <w:tcPr>
            <w:tcW w:w="4128"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非套期工具</w:t>
            </w:r>
          </w:p>
        </w:tc>
        <w:tc>
          <w:tcPr>
            <w:tcW w:w="2485"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套期工具</w:t>
            </w:r>
          </w:p>
        </w:tc>
        <w:tc>
          <w:tcPr>
            <w:tcW w:w="3111" w:type="dxa"/>
            <w:gridSpan w:val="3"/>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非套期工具</w:t>
            </w:r>
          </w:p>
        </w:tc>
      </w:tr>
      <w:tr>
        <w:trPr>
          <w:trHeight w:val="408" w:hRule="exact"/>
        </w:trPr>
        <w:tc>
          <w:tcPr>
            <w:tcW w:w="1400" w:type="dxa"/>
            <w:vMerge/>
            <w:tcBorders>
              <w:left w:val="nil" w:sz="6" w:space="0" w:color="auto"/>
              <w:right w:val="dotted" w:sz="4" w:space="0" w:color="000000"/>
            </w:tcBorders>
          </w:tcPr>
          <w:p>
            <w:pPr/>
          </w:p>
        </w:tc>
        <w:tc>
          <w:tcPr>
            <w:tcW w:w="1020" w:type="dxa"/>
            <w:vMerge w:val="restart"/>
            <w:tcBorders>
              <w:top w:val="dotted" w:sz="4"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名义金额</w:t>
            </w:r>
          </w:p>
        </w:tc>
        <w:tc>
          <w:tcPr>
            <w:tcW w:w="183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54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531" w:type="dxa"/>
            <w:vMerge w:val="restart"/>
            <w:tcBorders>
              <w:top w:val="dotted" w:sz="4"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名义金额</w:t>
            </w:r>
          </w:p>
        </w:tc>
        <w:tc>
          <w:tcPr>
            <w:tcW w:w="259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950" w:type="dxa"/>
            <w:vMerge w:val="restart"/>
            <w:tcBorders>
              <w:top w:val="dotted" w:sz="4"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名义金额</w:t>
            </w:r>
          </w:p>
        </w:tc>
        <w:tc>
          <w:tcPr>
            <w:tcW w:w="153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01" w:type="dxa"/>
            <w:vMerge w:val="restart"/>
            <w:tcBorders>
              <w:top w:val="dotted" w:sz="4"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名义金额</w:t>
            </w:r>
          </w:p>
        </w:tc>
        <w:tc>
          <w:tcPr>
            <w:tcW w:w="1810"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406" w:hRule="exact"/>
        </w:trPr>
        <w:tc>
          <w:tcPr>
            <w:tcW w:w="1400" w:type="dxa"/>
            <w:vMerge/>
            <w:tcBorders>
              <w:left w:val="nil" w:sz="6" w:space="0" w:color="auto"/>
              <w:bottom w:val="dotted" w:sz="4" w:space="0" w:color="000000"/>
              <w:right w:val="dotted" w:sz="4" w:space="0" w:color="000000"/>
            </w:tcBorders>
          </w:tcPr>
          <w:p>
            <w:pPr/>
          </w:p>
        </w:tc>
        <w:tc>
          <w:tcPr>
            <w:tcW w:w="1020" w:type="dxa"/>
            <w:vMerge/>
            <w:tcBorders>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9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531" w:type="dxa"/>
            <w:vMerge/>
            <w:tcBorders>
              <w:left w:val="dotted" w:sz="4" w:space="0" w:color="000000"/>
              <w:bottom w:val="dotted" w:sz="4" w:space="0" w:color="000000"/>
              <w:right w:val="dotted" w:sz="4" w:space="0" w:color="000000"/>
            </w:tcBorders>
          </w:tcPr>
          <w:p>
            <w:pP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950" w:type="dxa"/>
            <w:vMerge/>
            <w:tcBorders>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01" w:type="dxa"/>
            <w:vMerge/>
            <w:tcBorders>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7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9"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right="69"/>
              <w:jc w:val="center"/>
              <w:rPr>
                <w:rFonts w:ascii="宋体" w:hAnsi="宋体" w:cs="宋体" w:eastAsia="宋体" w:hint="default"/>
                <w:sz w:val="18"/>
                <w:szCs w:val="18"/>
              </w:rPr>
            </w:pPr>
            <w:r>
              <w:rPr>
                <w:rFonts w:ascii="宋体" w:hAnsi="宋体" w:cs="宋体" w:eastAsia="宋体" w:hint="default"/>
                <w:sz w:val="18"/>
                <w:szCs w:val="18"/>
              </w:rPr>
              <w:t>利率衍生工具</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163,040,300.00</w:t>
            </w:r>
            <w:r>
              <w:rPr>
                <w:rFonts w:ascii="Arial"/>
                <w:spacing w:val="-1"/>
                <w:sz w:val="18"/>
              </w:rPr>
            </w:r>
          </w:p>
        </w:tc>
        <w:tc>
          <w:tcPr>
            <w:tcW w:w="1205" w:type="dxa"/>
            <w:tcBorders>
              <w:top w:val="dotted" w:sz="4" w:space="0" w:color="000000"/>
              <w:left w:val="dotted" w:sz="4" w:space="0" w:color="000000"/>
              <w:bottom w:val="dotted" w:sz="4" w:space="0" w:color="000000"/>
              <w:right w:val="dotted" w:sz="4" w:space="0" w:color="000000"/>
            </w:tcBorders>
          </w:tcPr>
          <w:p>
            <w:pPr/>
          </w:p>
        </w:tc>
        <w:tc>
          <w:tcPr>
            <w:tcW w:w="1392"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宋体" w:hAnsi="宋体" w:cs="宋体" w:eastAsia="宋体" w:hint="default"/>
                <w:sz w:val="18"/>
                <w:szCs w:val="18"/>
              </w:rPr>
              <w:t>国债期货</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163,040,300.00</w:t>
            </w:r>
            <w:r>
              <w:rPr>
                <w:rFonts w:ascii="Arial"/>
                <w:spacing w:val="-1"/>
                <w:sz w:val="18"/>
              </w:rPr>
            </w:r>
          </w:p>
        </w:tc>
        <w:tc>
          <w:tcPr>
            <w:tcW w:w="1205" w:type="dxa"/>
            <w:tcBorders>
              <w:top w:val="dotted" w:sz="4" w:space="0" w:color="000000"/>
              <w:left w:val="dotted" w:sz="4" w:space="0" w:color="000000"/>
              <w:bottom w:val="dotted" w:sz="4" w:space="0" w:color="000000"/>
              <w:right w:val="dotted" w:sz="4" w:space="0" w:color="000000"/>
            </w:tcBorders>
          </w:tcPr>
          <w:p>
            <w:pPr/>
          </w:p>
        </w:tc>
        <w:tc>
          <w:tcPr>
            <w:tcW w:w="1392"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69"/>
              <w:jc w:val="center"/>
              <w:rPr>
                <w:rFonts w:ascii="宋体" w:hAnsi="宋体" w:cs="宋体" w:eastAsia="宋体" w:hint="default"/>
                <w:sz w:val="18"/>
                <w:szCs w:val="18"/>
              </w:rPr>
            </w:pPr>
            <w:r>
              <w:rPr>
                <w:rFonts w:ascii="宋体" w:hAnsi="宋体" w:cs="宋体" w:eastAsia="宋体" w:hint="default"/>
                <w:sz w:val="18"/>
                <w:szCs w:val="18"/>
              </w:rPr>
              <w:t>权益衍生工具</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4"/>
              <w:jc w:val="right"/>
              <w:rPr>
                <w:rFonts w:ascii="Arial" w:hAnsi="Arial" w:cs="Arial" w:eastAsia="Arial" w:hint="default"/>
                <w:sz w:val="18"/>
                <w:szCs w:val="18"/>
              </w:rPr>
            </w:pPr>
            <w:r>
              <w:rPr>
                <w:rFonts w:ascii="Arial"/>
                <w:spacing w:val="-1"/>
                <w:w w:val="80"/>
                <w:sz w:val="18"/>
              </w:rPr>
              <w:t>3,800,230,193.70</w:t>
            </w:r>
            <w:r>
              <w:rPr>
                <w:rFonts w:ascii="Arial"/>
                <w:spacing w:val="-1"/>
                <w:sz w:val="18"/>
              </w:rPr>
            </w:r>
          </w:p>
        </w:tc>
        <w:tc>
          <w:tcPr>
            <w:tcW w:w="1205" w:type="dxa"/>
            <w:tcBorders>
              <w:top w:val="dotted" w:sz="4" w:space="0" w:color="000000"/>
              <w:left w:val="dotted" w:sz="4" w:space="0" w:color="000000"/>
              <w:bottom w:val="dotted" w:sz="4" w:space="0" w:color="000000"/>
              <w:right w:val="dotted" w:sz="4" w:space="0" w:color="000000"/>
            </w:tcBorders>
          </w:tcPr>
          <w:p>
            <w:pP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w w:val="80"/>
                <w:sz w:val="18"/>
              </w:rPr>
              <w:t>109,252,358.02</w:t>
            </w:r>
            <w:r>
              <w:rPr>
                <w:rFonts w:ascii="Arial"/>
                <w:spacing w:val="-1"/>
                <w:sz w:val="18"/>
              </w:rPr>
            </w:r>
          </w:p>
        </w:tc>
        <w:tc>
          <w:tcPr>
            <w:tcW w:w="950" w:type="dxa"/>
            <w:tcBorders>
              <w:top w:val="dotted" w:sz="4" w:space="0" w:color="000000"/>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14,417,280.00</w:t>
            </w:r>
            <w:r>
              <w:rPr>
                <w:rFonts w:ascii="Arial"/>
                <w:spacing w:val="-1"/>
                <w:sz w:val="18"/>
              </w:rPr>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left="113" w:right="0"/>
              <w:jc w:val="center"/>
              <w:rPr>
                <w:rFonts w:ascii="Arial" w:hAnsi="Arial" w:cs="Arial" w:eastAsia="Arial" w:hint="default"/>
                <w:sz w:val="18"/>
                <w:szCs w:val="18"/>
              </w:rPr>
            </w:pPr>
            <w:r>
              <w:rPr>
                <w:rFonts w:ascii="Arial"/>
                <w:w w:val="85"/>
                <w:sz w:val="18"/>
              </w:rPr>
              <w:t>943,500.00</w:t>
            </w:r>
            <w:r>
              <w:rPr>
                <w:rFonts w:ascii="Arial"/>
                <w:sz w:val="18"/>
              </w:rPr>
            </w:r>
          </w:p>
        </w:tc>
        <w:tc>
          <w:tcPr>
            <w:tcW w:w="74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宋体" w:hAnsi="宋体" w:cs="宋体" w:eastAsia="宋体" w:hint="default"/>
                <w:sz w:val="18"/>
                <w:szCs w:val="18"/>
              </w:rPr>
              <w:t>股指期货</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90,325,180.00</w:t>
            </w:r>
            <w:r>
              <w:rPr>
                <w:rFonts w:ascii="Arial"/>
                <w:spacing w:val="-1"/>
                <w:sz w:val="18"/>
              </w:rPr>
            </w:r>
          </w:p>
        </w:tc>
        <w:tc>
          <w:tcPr>
            <w:tcW w:w="1205" w:type="dxa"/>
            <w:tcBorders>
              <w:top w:val="dotted" w:sz="4" w:space="0" w:color="000000"/>
              <w:left w:val="dotted" w:sz="4" w:space="0" w:color="000000"/>
              <w:bottom w:val="dotted" w:sz="4" w:space="0" w:color="000000"/>
              <w:right w:val="dotted" w:sz="4" w:space="0" w:color="000000"/>
            </w:tcBorders>
          </w:tcPr>
          <w:p>
            <w:pPr/>
          </w:p>
        </w:tc>
        <w:tc>
          <w:tcPr>
            <w:tcW w:w="1392"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14,417,280.00</w:t>
            </w:r>
            <w:r>
              <w:rPr>
                <w:rFonts w:ascii="Arial"/>
                <w:spacing w:val="-1"/>
                <w:sz w:val="18"/>
              </w:rPr>
            </w:r>
          </w:p>
        </w:tc>
        <w:tc>
          <w:tcPr>
            <w:tcW w:w="10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left="108" w:right="0"/>
              <w:jc w:val="center"/>
              <w:rPr>
                <w:rFonts w:ascii="Arial" w:hAnsi="Arial" w:cs="Arial" w:eastAsia="Arial" w:hint="default"/>
                <w:sz w:val="18"/>
                <w:szCs w:val="18"/>
              </w:rPr>
            </w:pPr>
            <w:r>
              <w:rPr>
                <w:rFonts w:ascii="Arial"/>
                <w:w w:val="85"/>
                <w:sz w:val="18"/>
              </w:rPr>
              <w:t>943,500.00</w:t>
            </w:r>
            <w:r>
              <w:rPr>
                <w:rFonts w:ascii="Arial"/>
                <w:sz w:val="18"/>
              </w:rPr>
            </w:r>
          </w:p>
        </w:tc>
        <w:tc>
          <w:tcPr>
            <w:tcW w:w="74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67"/>
              <w:jc w:val="center"/>
              <w:rPr>
                <w:rFonts w:ascii="宋体" w:hAnsi="宋体" w:cs="宋体" w:eastAsia="宋体" w:hint="default"/>
                <w:sz w:val="18"/>
                <w:szCs w:val="18"/>
              </w:rPr>
            </w:pPr>
            <w:r>
              <w:rPr>
                <w:rFonts w:ascii="宋体" w:hAnsi="宋体" w:cs="宋体" w:eastAsia="宋体" w:hint="default"/>
                <w:sz w:val="18"/>
                <w:szCs w:val="18"/>
              </w:rPr>
              <w:t>股指期权</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w w:val="80"/>
                <w:sz w:val="18"/>
              </w:rPr>
              <w:t>3,709,905,013.70</w:t>
            </w:r>
            <w:r>
              <w:rPr>
                <w:rFonts w:ascii="Arial"/>
                <w:spacing w:val="-1"/>
                <w:sz w:val="18"/>
              </w:rPr>
            </w:r>
          </w:p>
        </w:tc>
        <w:tc>
          <w:tcPr>
            <w:tcW w:w="1205" w:type="dxa"/>
            <w:tcBorders>
              <w:top w:val="dotted" w:sz="4" w:space="0" w:color="000000"/>
              <w:left w:val="dotted" w:sz="4" w:space="0" w:color="000000"/>
              <w:bottom w:val="dotted" w:sz="4" w:space="0" w:color="000000"/>
              <w:right w:val="dotted" w:sz="4" w:space="0" w:color="000000"/>
            </w:tcBorders>
          </w:tcPr>
          <w:p>
            <w:pP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109,252,358.02</w:t>
            </w:r>
            <w:r>
              <w:rPr>
                <w:rFonts w:ascii="Arial"/>
                <w:spacing w:val="-1"/>
                <w:sz w:val="18"/>
              </w:rPr>
            </w:r>
          </w:p>
        </w:tc>
        <w:tc>
          <w:tcPr>
            <w:tcW w:w="950" w:type="dxa"/>
            <w:tcBorders>
              <w:top w:val="dotted" w:sz="4" w:space="0" w:color="000000"/>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69"/>
              <w:jc w:val="center"/>
              <w:rPr>
                <w:rFonts w:ascii="宋体" w:hAnsi="宋体" w:cs="宋体" w:eastAsia="宋体" w:hint="default"/>
                <w:sz w:val="18"/>
                <w:szCs w:val="18"/>
              </w:rPr>
            </w:pPr>
            <w:r>
              <w:rPr>
                <w:rFonts w:ascii="宋体" w:hAnsi="宋体" w:cs="宋体" w:eastAsia="宋体" w:hint="default"/>
                <w:sz w:val="18"/>
                <w:szCs w:val="18"/>
              </w:rPr>
              <w:t>其他衍生工具</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332,345,876.97</w:t>
            </w:r>
            <w:r>
              <w:rPr>
                <w:rFonts w:ascii="Arial"/>
                <w:spacing w:val="-1"/>
                <w:sz w:val="18"/>
              </w:rPr>
            </w: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left="125" w:right="0"/>
              <w:jc w:val="center"/>
              <w:rPr>
                <w:rFonts w:ascii="Arial" w:hAnsi="Arial" w:cs="Arial" w:eastAsia="Arial" w:hint="default"/>
                <w:sz w:val="18"/>
                <w:szCs w:val="18"/>
              </w:rPr>
            </w:pPr>
            <w:r>
              <w:rPr>
                <w:rFonts w:ascii="Arial"/>
                <w:w w:val="85"/>
                <w:sz w:val="18"/>
              </w:rPr>
              <w:t>1,809,616.27</w:t>
            </w:r>
            <w:r>
              <w:rPr>
                <w:rFonts w:ascii="Arial"/>
                <w:sz w:val="18"/>
              </w:rPr>
            </w:r>
          </w:p>
        </w:tc>
        <w:tc>
          <w:tcPr>
            <w:tcW w:w="1392"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67"/>
              <w:jc w:val="center"/>
              <w:rPr>
                <w:rFonts w:ascii="宋体" w:hAnsi="宋体" w:cs="宋体" w:eastAsia="宋体" w:hint="default"/>
                <w:sz w:val="18"/>
                <w:szCs w:val="18"/>
              </w:rPr>
            </w:pPr>
            <w:r>
              <w:rPr>
                <w:rFonts w:ascii="宋体" w:hAnsi="宋体" w:cs="宋体" w:eastAsia="宋体" w:hint="default"/>
                <w:sz w:val="18"/>
                <w:szCs w:val="18"/>
              </w:rPr>
              <w:t>收益互换</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Arial" w:hAnsi="Arial" w:cs="Arial" w:eastAsia="Arial" w:hint="default"/>
                <w:sz w:val="18"/>
                <w:szCs w:val="18"/>
              </w:rPr>
            </w:pPr>
            <w:r>
              <w:rPr>
                <w:rFonts w:ascii="Arial"/>
                <w:spacing w:val="-1"/>
                <w:w w:val="80"/>
                <w:sz w:val="18"/>
              </w:rPr>
              <w:t>307,809,956.97</w:t>
            </w:r>
            <w:r>
              <w:rPr>
                <w:rFonts w:ascii="Arial"/>
                <w:spacing w:val="-1"/>
                <w:sz w:val="18"/>
              </w:rPr>
            </w:r>
          </w:p>
        </w:tc>
        <w:tc>
          <w:tcPr>
            <w:tcW w:w="12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left="125" w:right="0"/>
              <w:jc w:val="center"/>
              <w:rPr>
                <w:rFonts w:ascii="Arial" w:hAnsi="Arial" w:cs="Arial" w:eastAsia="Arial" w:hint="default"/>
                <w:sz w:val="18"/>
                <w:szCs w:val="18"/>
              </w:rPr>
            </w:pPr>
            <w:r>
              <w:rPr>
                <w:rFonts w:ascii="Arial"/>
                <w:w w:val="85"/>
                <w:sz w:val="18"/>
              </w:rPr>
              <w:t>1,809,616.27</w:t>
            </w:r>
            <w:r>
              <w:rPr>
                <w:rFonts w:ascii="Arial"/>
                <w:sz w:val="18"/>
              </w:rPr>
            </w:r>
          </w:p>
        </w:tc>
        <w:tc>
          <w:tcPr>
            <w:tcW w:w="1392"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67"/>
              <w:jc w:val="center"/>
              <w:rPr>
                <w:rFonts w:ascii="宋体" w:hAnsi="宋体" w:cs="宋体" w:eastAsia="宋体" w:hint="default"/>
                <w:sz w:val="18"/>
                <w:szCs w:val="18"/>
              </w:rPr>
            </w:pPr>
            <w:r>
              <w:rPr>
                <w:rFonts w:ascii="宋体" w:hAnsi="宋体" w:cs="宋体" w:eastAsia="宋体" w:hint="default"/>
                <w:sz w:val="18"/>
                <w:szCs w:val="18"/>
              </w:rPr>
              <w:t>商品期货</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
        </w:tc>
        <w:tc>
          <w:tcPr>
            <w:tcW w:w="953"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5"/>
              <w:ind w:right="103"/>
              <w:jc w:val="right"/>
              <w:rPr>
                <w:rFonts w:ascii="Arial" w:hAnsi="Arial" w:cs="Arial" w:eastAsia="Arial" w:hint="default"/>
                <w:sz w:val="18"/>
                <w:szCs w:val="18"/>
              </w:rPr>
            </w:pPr>
            <w:r>
              <w:rPr>
                <w:rFonts w:ascii="Arial"/>
                <w:spacing w:val="-1"/>
                <w:w w:val="80"/>
                <w:sz w:val="18"/>
              </w:rPr>
              <w:t>24,535,920.00</w:t>
            </w:r>
            <w:r>
              <w:rPr>
                <w:rFonts w:ascii="Arial"/>
                <w:spacing w:val="-1"/>
                <w:sz w:val="18"/>
              </w:rPr>
            </w:r>
          </w:p>
        </w:tc>
        <w:tc>
          <w:tcPr>
            <w:tcW w:w="1205" w:type="dxa"/>
            <w:tcBorders>
              <w:top w:val="dotted" w:sz="4" w:space="0" w:color="000000"/>
              <w:left w:val="dotted" w:sz="4" w:space="0" w:color="000000"/>
              <w:bottom w:val="dotted" w:sz="4" w:space="0" w:color="000000"/>
              <w:right w:val="dotted" w:sz="4" w:space="0" w:color="000000"/>
            </w:tcBorders>
          </w:tcPr>
          <w:p>
            <w:pPr/>
          </w:p>
        </w:tc>
        <w:tc>
          <w:tcPr>
            <w:tcW w:w="1392"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805" w:type="dxa"/>
            <w:tcBorders>
              <w:top w:val="dotted" w:sz="4" w:space="0" w:color="000000"/>
              <w:left w:val="dotted" w:sz="4" w:space="0" w:color="000000"/>
              <w:bottom w:val="dotted" w:sz="4" w:space="0" w:color="000000"/>
              <w:right w:val="dotted" w:sz="4" w:space="0" w:color="000000"/>
            </w:tcBorders>
          </w:tcPr>
          <w:p>
            <w:pPr/>
          </w:p>
        </w:tc>
        <w:tc>
          <w:tcPr>
            <w:tcW w:w="730"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4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dotted" w:sz="4" w:space="0" w:color="000000"/>
              <w:left w:val="dotted" w:sz="4" w:space="0" w:color="000000"/>
              <w:bottom w:val="single" w:sz="12" w:space="0" w:color="000000"/>
              <w:right w:val="dotted" w:sz="4" w:space="0" w:color="000000"/>
            </w:tcBorders>
          </w:tcPr>
          <w:p>
            <w:pPr/>
          </w:p>
        </w:tc>
        <w:tc>
          <w:tcPr>
            <w:tcW w:w="878" w:type="dxa"/>
            <w:tcBorders>
              <w:top w:val="dotted" w:sz="4" w:space="0" w:color="000000"/>
              <w:left w:val="dotted" w:sz="4" w:space="0" w:color="000000"/>
              <w:bottom w:val="single" w:sz="12" w:space="0" w:color="000000"/>
              <w:right w:val="dotted" w:sz="4" w:space="0" w:color="000000"/>
            </w:tcBorders>
          </w:tcPr>
          <w:p>
            <w:pPr/>
          </w:p>
        </w:tc>
        <w:tc>
          <w:tcPr>
            <w:tcW w:w="953" w:type="dxa"/>
            <w:tcBorders>
              <w:top w:val="dotted" w:sz="4" w:space="0" w:color="000000"/>
              <w:left w:val="dotted" w:sz="4" w:space="0" w:color="000000"/>
              <w:bottom w:val="single" w:sz="12" w:space="0" w:color="000000"/>
              <w:right w:val="dotted" w:sz="4" w:space="0" w:color="000000"/>
            </w:tcBorders>
          </w:tcPr>
          <w:p>
            <w:pPr/>
          </w:p>
        </w:tc>
        <w:tc>
          <w:tcPr>
            <w:tcW w:w="15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w w:val="80"/>
                <w:sz w:val="18"/>
              </w:rPr>
              <w:t>4,295,616,370.67</w:t>
            </w:r>
            <w:r>
              <w:rPr>
                <w:rFonts w:ascii="Arial"/>
                <w:spacing w:val="-1"/>
                <w:sz w:val="18"/>
              </w:rPr>
            </w:r>
          </w:p>
        </w:tc>
        <w:tc>
          <w:tcPr>
            <w:tcW w:w="12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left="125" w:right="0"/>
              <w:jc w:val="center"/>
              <w:rPr>
                <w:rFonts w:ascii="Arial" w:hAnsi="Arial" w:cs="Arial" w:eastAsia="Arial" w:hint="default"/>
                <w:sz w:val="18"/>
                <w:szCs w:val="18"/>
              </w:rPr>
            </w:pPr>
            <w:r>
              <w:rPr>
                <w:rFonts w:ascii="Arial"/>
                <w:w w:val="85"/>
                <w:sz w:val="18"/>
              </w:rPr>
              <w:t>1,809,616.27</w:t>
            </w:r>
            <w:r>
              <w:rPr>
                <w:rFonts w:ascii="Arial"/>
                <w:sz w:val="18"/>
              </w:rPr>
            </w:r>
          </w:p>
        </w:tc>
        <w:tc>
          <w:tcPr>
            <w:tcW w:w="13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109,252,358.02</w:t>
            </w:r>
            <w:r>
              <w:rPr>
                <w:rFonts w:ascii="Arial"/>
                <w:spacing w:val="-1"/>
                <w:sz w:val="18"/>
              </w:rPr>
            </w:r>
          </w:p>
        </w:tc>
        <w:tc>
          <w:tcPr>
            <w:tcW w:w="950" w:type="dxa"/>
            <w:tcBorders>
              <w:top w:val="dotted" w:sz="4" w:space="0" w:color="000000"/>
              <w:left w:val="dotted" w:sz="4" w:space="0" w:color="000000"/>
              <w:bottom w:val="single" w:sz="12" w:space="0" w:color="000000"/>
              <w:right w:val="dotted" w:sz="4" w:space="0" w:color="000000"/>
            </w:tcBorders>
          </w:tcPr>
          <w:p>
            <w:pPr/>
          </w:p>
        </w:tc>
        <w:tc>
          <w:tcPr>
            <w:tcW w:w="805" w:type="dxa"/>
            <w:tcBorders>
              <w:top w:val="dotted" w:sz="4" w:space="0" w:color="000000"/>
              <w:left w:val="dotted" w:sz="4" w:space="0" w:color="000000"/>
              <w:bottom w:val="single" w:sz="12" w:space="0" w:color="000000"/>
              <w:right w:val="dotted" w:sz="4" w:space="0" w:color="000000"/>
            </w:tcBorders>
          </w:tcPr>
          <w:p>
            <w:pPr/>
          </w:p>
        </w:tc>
        <w:tc>
          <w:tcPr>
            <w:tcW w:w="730" w:type="dxa"/>
            <w:tcBorders>
              <w:top w:val="dotted" w:sz="4" w:space="0" w:color="000000"/>
              <w:left w:val="dotted" w:sz="4" w:space="0" w:color="000000"/>
              <w:bottom w:val="single" w:sz="12" w:space="0" w:color="000000"/>
              <w:right w:val="dotted" w:sz="4" w:space="0" w:color="000000"/>
            </w:tcBorders>
          </w:tcPr>
          <w:p>
            <w:pPr/>
          </w:p>
        </w:tc>
        <w:tc>
          <w:tcPr>
            <w:tcW w:w="13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right="103"/>
              <w:jc w:val="right"/>
              <w:rPr>
                <w:rFonts w:ascii="Arial" w:hAnsi="Arial" w:cs="Arial" w:eastAsia="Arial" w:hint="default"/>
                <w:sz w:val="18"/>
                <w:szCs w:val="18"/>
              </w:rPr>
            </w:pPr>
            <w:r>
              <w:rPr>
                <w:rFonts w:ascii="Arial"/>
                <w:spacing w:val="-1"/>
                <w:w w:val="80"/>
                <w:sz w:val="18"/>
              </w:rPr>
              <w:t>14,417,280.00</w:t>
            </w:r>
            <w:r>
              <w:rPr>
                <w:rFonts w:ascii="Arial"/>
                <w:spacing w:val="-1"/>
                <w:sz w:val="18"/>
              </w:rPr>
            </w:r>
          </w:p>
        </w:tc>
        <w:tc>
          <w:tcPr>
            <w:tcW w:w="10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2"/>
              <w:ind w:left="108" w:right="0"/>
              <w:jc w:val="center"/>
              <w:rPr>
                <w:rFonts w:ascii="Arial" w:hAnsi="Arial" w:cs="Arial" w:eastAsia="Arial" w:hint="default"/>
                <w:sz w:val="18"/>
                <w:szCs w:val="18"/>
              </w:rPr>
            </w:pPr>
            <w:r>
              <w:rPr>
                <w:rFonts w:ascii="Arial"/>
                <w:w w:val="85"/>
                <w:sz w:val="18"/>
              </w:rPr>
              <w:t>943,500.00</w:t>
            </w:r>
            <w:r>
              <w:rPr>
                <w:rFonts w:ascii="Arial"/>
                <w:sz w:val="18"/>
              </w:rPr>
            </w:r>
          </w:p>
        </w:tc>
        <w:tc>
          <w:tcPr>
            <w:tcW w:w="744" w:type="dxa"/>
            <w:tcBorders>
              <w:top w:val="dotted" w:sz="4" w:space="0" w:color="000000"/>
              <w:left w:val="dotted" w:sz="4" w:space="0" w:color="000000"/>
              <w:bottom w:val="single" w:sz="12" w:space="0" w:color="000000"/>
              <w:right w:val="nil" w:sz="6" w:space="0" w:color="auto"/>
            </w:tcBorders>
          </w:tcPr>
          <w:p>
            <w:pPr/>
          </w:p>
        </w:tc>
      </w:tr>
    </w:tbl>
    <w:p>
      <w:pPr>
        <w:spacing w:before="8"/>
        <w:ind w:left="140" w:right="0" w:firstLine="0"/>
        <w:jc w:val="left"/>
        <w:rPr>
          <w:rFonts w:ascii="宋体" w:hAnsi="宋体" w:cs="宋体" w:eastAsia="宋体" w:hint="default"/>
          <w:sz w:val="18"/>
          <w:szCs w:val="18"/>
        </w:rPr>
      </w:pPr>
      <w:r>
        <w:rPr>
          <w:rFonts w:ascii="宋体" w:hAnsi="宋体" w:cs="宋体" w:eastAsia="宋体" w:hint="default"/>
          <w:sz w:val="18"/>
          <w:szCs w:val="18"/>
        </w:rPr>
        <w:t>注：期货交易实行当日无负债结算制度，每日进行结算，无资产或负债余额。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33" w:firstLine="0"/>
        <w:jc w:val="right"/>
        <w:rPr>
          <w:rFonts w:ascii="Times New Roman" w:hAnsi="Times New Roman" w:cs="Times New Roman" w:eastAsia="Times New Roman" w:hint="default"/>
          <w:sz w:val="18"/>
          <w:szCs w:val="18"/>
        </w:rPr>
      </w:pPr>
      <w:r>
        <w:rPr>
          <w:rFonts w:ascii="Times New Roman"/>
          <w:sz w:val="18"/>
        </w:rPr>
        <w:t>168</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47"/>
          <w:footerReference w:type="default" r:id="rId48"/>
          <w:pgSz w:w="16840" w:h="11910" w:orient="landscape"/>
          <w:pgMar w:header="0" w:footer="0" w:top="800" w:bottom="0" w:left="1300" w:right="1300"/>
        </w:sectPr>
      </w:pPr>
    </w:p>
    <w:p>
      <w:pPr>
        <w:spacing w:line="240" w:lineRule="auto" w:before="3"/>
        <w:rPr>
          <w:rFonts w:ascii="Times New Roman" w:hAnsi="Times New Roman" w:cs="Times New Roman" w:eastAsia="Times New Roman" w:hint="default"/>
          <w:sz w:val="25"/>
          <w:szCs w:val="25"/>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7. </w:t>
      </w:r>
      <w:r>
        <w:rPr>
          <w:rFonts w:ascii="Times New Roman" w:hAnsi="Times New Roman" w:cs="Times New Roman" w:eastAsia="Times New Roman" w:hint="default"/>
          <w:spacing w:val="7"/>
        </w:rPr>
        <w:t> </w:t>
      </w:r>
      <w:r>
        <w:rPr/>
        <w:t>存出保证金</w:t>
      </w:r>
      <w:r>
        <w:rPr>
          <w:b w:val="0"/>
          <w:bCs w:val="0"/>
        </w:rPr>
      </w:r>
    </w:p>
    <w:p>
      <w:pPr>
        <w:spacing w:line="240" w:lineRule="auto" w:before="13"/>
        <w:rPr>
          <w:rFonts w:ascii="Microsoft JhengHei" w:hAnsi="Microsoft JhengHei" w:cs="Microsoft JhengHei" w:eastAsia="Microsoft JhengHei"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78"/>
        <w:gridCol w:w="1045"/>
        <w:gridCol w:w="809"/>
        <w:gridCol w:w="1364"/>
        <w:gridCol w:w="1243"/>
        <w:gridCol w:w="811"/>
        <w:gridCol w:w="1378"/>
      </w:tblGrid>
      <w:tr>
        <w:trPr>
          <w:trHeight w:val="418" w:hRule="exact"/>
        </w:trPr>
        <w:tc>
          <w:tcPr>
            <w:tcW w:w="1678"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7"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3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78" w:type="dxa"/>
            <w:vMerge/>
            <w:tcBorders>
              <w:left w:val="nil" w:sz="6" w:space="0" w:color="auto"/>
              <w:bottom w:val="dotted" w:sz="4" w:space="0" w:color="000000"/>
              <w:right w:val="dotted" w:sz="4" w:space="0" w:color="000000"/>
            </w:tcBorders>
          </w:tcPr>
          <w:p>
            <w:pP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原币金额</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31"/>
              <w:jc w:val="right"/>
              <w:rPr>
                <w:rFonts w:ascii="宋体" w:hAnsi="宋体" w:cs="宋体" w:eastAsia="宋体" w:hint="default"/>
                <w:sz w:val="18"/>
                <w:szCs w:val="18"/>
              </w:rPr>
            </w:pPr>
            <w:r>
              <w:rPr>
                <w:rFonts w:ascii="宋体" w:hAnsi="宋体" w:cs="宋体" w:eastAsia="宋体" w:hint="default"/>
                <w:sz w:val="18"/>
                <w:szCs w:val="18"/>
              </w:rPr>
              <w:t>折算率</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折人民币金额</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08" w:hRule="exact"/>
        </w:trPr>
        <w:tc>
          <w:tcPr>
            <w:tcW w:w="16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交易保证金</w:t>
            </w:r>
          </w:p>
        </w:tc>
        <w:tc>
          <w:tcPr>
            <w:tcW w:w="1045" w:type="dxa"/>
            <w:tcBorders>
              <w:top w:val="dotted" w:sz="4" w:space="0" w:color="000000"/>
              <w:left w:val="dotted" w:sz="4" w:space="0" w:color="000000"/>
              <w:bottom w:val="dotted" w:sz="4" w:space="0" w:color="000000"/>
              <w:right w:val="dotted" w:sz="4" w:space="0" w:color="000000"/>
            </w:tcBorders>
          </w:tcPr>
          <w:p>
            <w:pPr/>
          </w:p>
        </w:tc>
        <w:tc>
          <w:tcPr>
            <w:tcW w:w="80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124,940,977.56</w:t>
            </w:r>
          </w:p>
        </w:tc>
        <w:tc>
          <w:tcPr>
            <w:tcW w:w="1243"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105,088,266.74</w:t>
            </w:r>
          </w:p>
        </w:tc>
      </w:tr>
      <w:tr>
        <w:trPr>
          <w:trHeight w:val="406" w:hRule="exact"/>
        </w:trPr>
        <w:tc>
          <w:tcPr>
            <w:tcW w:w="16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045" w:type="dxa"/>
            <w:tcBorders>
              <w:top w:val="dotted" w:sz="4" w:space="0" w:color="000000"/>
              <w:left w:val="dotted" w:sz="4" w:space="0" w:color="000000"/>
              <w:bottom w:val="dotted" w:sz="4" w:space="0" w:color="000000"/>
              <w:right w:val="dotted" w:sz="4" w:space="0" w:color="000000"/>
            </w:tcBorders>
          </w:tcPr>
          <w:p>
            <w:pPr/>
          </w:p>
        </w:tc>
        <w:tc>
          <w:tcPr>
            <w:tcW w:w="80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122,609,503.56</w:t>
            </w:r>
          </w:p>
        </w:tc>
        <w:tc>
          <w:tcPr>
            <w:tcW w:w="1243"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102,797,102.74</w:t>
            </w:r>
          </w:p>
        </w:tc>
      </w:tr>
      <w:tr>
        <w:trPr>
          <w:trHeight w:val="408" w:hRule="exact"/>
        </w:trPr>
        <w:tc>
          <w:tcPr>
            <w:tcW w:w="16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 w:right="0"/>
              <w:jc w:val="center"/>
              <w:rPr>
                <w:rFonts w:ascii="Times New Roman" w:hAnsi="Times New Roman" w:cs="Times New Roman" w:eastAsia="Times New Roman" w:hint="default"/>
                <w:sz w:val="18"/>
                <w:szCs w:val="18"/>
              </w:rPr>
            </w:pPr>
            <w:r>
              <w:rPr>
                <w:rFonts w:ascii="Times New Roman"/>
                <w:sz w:val="18"/>
              </w:rPr>
              <w:t>270,000.00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1,883,574.00</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16" w:right="0"/>
              <w:jc w:val="left"/>
              <w:rPr>
                <w:rFonts w:ascii="Times New Roman" w:hAnsi="Times New Roman" w:cs="Times New Roman" w:eastAsia="Times New Roman" w:hint="default"/>
                <w:sz w:val="18"/>
                <w:szCs w:val="18"/>
              </w:rPr>
            </w:pPr>
            <w:r>
              <w:rPr>
                <w:rFonts w:ascii="Times New Roman"/>
                <w:sz w:val="18"/>
              </w:rPr>
              <w:t>270,000.00</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1" w:right="0"/>
              <w:jc w:val="center"/>
              <w:rPr>
                <w:rFonts w:ascii="Times New Roman" w:hAnsi="Times New Roman" w:cs="Times New Roman" w:eastAsia="Times New Roman" w:hint="default"/>
                <w:sz w:val="18"/>
                <w:szCs w:val="18"/>
              </w:rPr>
            </w:pPr>
            <w:r>
              <w:rPr>
                <w:rFonts w:ascii="Times New Roman"/>
                <w:sz w:val="18"/>
              </w:rPr>
              <w:t>6.8632</w:t>
            </w: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1,853,064.00</w:t>
            </w:r>
          </w:p>
        </w:tc>
      </w:tr>
      <w:tr>
        <w:trPr>
          <w:trHeight w:val="408" w:hRule="exact"/>
        </w:trPr>
        <w:tc>
          <w:tcPr>
            <w:tcW w:w="16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0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1" w:right="0"/>
              <w:jc w:val="center"/>
              <w:rPr>
                <w:rFonts w:ascii="Times New Roman" w:hAnsi="Times New Roman" w:cs="Times New Roman" w:eastAsia="Times New Roman" w:hint="default"/>
                <w:sz w:val="18"/>
                <w:szCs w:val="18"/>
              </w:rPr>
            </w:pPr>
            <w:r>
              <w:rPr>
                <w:rFonts w:ascii="Times New Roman"/>
                <w:sz w:val="18"/>
              </w:rPr>
              <w:t>500,000.00</w:t>
            </w:r>
          </w:p>
        </w:tc>
        <w:tc>
          <w:tcPr>
            <w:tcW w:w="8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0.8958</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447,900.00</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16" w:right="0"/>
              <w:jc w:val="left"/>
              <w:rPr>
                <w:rFonts w:ascii="Times New Roman" w:hAnsi="Times New Roman" w:cs="Times New Roman" w:eastAsia="Times New Roman" w:hint="default"/>
                <w:sz w:val="18"/>
                <w:szCs w:val="18"/>
              </w:rPr>
            </w:pPr>
            <w:r>
              <w:rPr>
                <w:rFonts w:ascii="Times New Roman"/>
                <w:sz w:val="18"/>
              </w:rPr>
              <w:t>500,000.00</w:t>
            </w:r>
          </w:p>
        </w:tc>
        <w:tc>
          <w:tcPr>
            <w:tcW w:w="8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1" w:right="0"/>
              <w:jc w:val="center"/>
              <w:rPr>
                <w:rFonts w:ascii="Times New Roman" w:hAnsi="Times New Roman" w:cs="Times New Roman" w:eastAsia="Times New Roman" w:hint="default"/>
                <w:sz w:val="18"/>
                <w:szCs w:val="18"/>
              </w:rPr>
            </w:pPr>
            <w:r>
              <w:rPr>
                <w:rFonts w:ascii="Times New Roman"/>
                <w:sz w:val="18"/>
              </w:rPr>
              <w:t>0.8762</w:t>
            </w: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438,100.00</w:t>
            </w:r>
          </w:p>
        </w:tc>
      </w:tr>
      <w:tr>
        <w:trPr>
          <w:trHeight w:val="406" w:hRule="exact"/>
        </w:trPr>
        <w:tc>
          <w:tcPr>
            <w:tcW w:w="16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信用保证金</w:t>
            </w:r>
          </w:p>
        </w:tc>
        <w:tc>
          <w:tcPr>
            <w:tcW w:w="1045" w:type="dxa"/>
            <w:tcBorders>
              <w:top w:val="dotted" w:sz="4" w:space="0" w:color="000000"/>
              <w:left w:val="dotted" w:sz="4" w:space="0" w:color="000000"/>
              <w:bottom w:val="dotted" w:sz="4" w:space="0" w:color="000000"/>
              <w:right w:val="dotted" w:sz="4" w:space="0" w:color="000000"/>
            </w:tcBorders>
          </w:tcPr>
          <w:p>
            <w:pPr/>
          </w:p>
        </w:tc>
        <w:tc>
          <w:tcPr>
            <w:tcW w:w="80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529,296,260.29</w:t>
            </w:r>
          </w:p>
        </w:tc>
        <w:tc>
          <w:tcPr>
            <w:tcW w:w="1243"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55,872,048.29</w:t>
            </w:r>
          </w:p>
        </w:tc>
      </w:tr>
      <w:tr>
        <w:trPr>
          <w:trHeight w:val="408" w:hRule="exact"/>
        </w:trPr>
        <w:tc>
          <w:tcPr>
            <w:tcW w:w="16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045" w:type="dxa"/>
            <w:tcBorders>
              <w:top w:val="dotted" w:sz="4" w:space="0" w:color="000000"/>
              <w:left w:val="dotted" w:sz="4" w:space="0" w:color="000000"/>
              <w:bottom w:val="dotted" w:sz="4" w:space="0" w:color="000000"/>
              <w:right w:val="dotted" w:sz="4" w:space="0" w:color="000000"/>
            </w:tcBorders>
          </w:tcPr>
          <w:p>
            <w:pPr/>
          </w:p>
        </w:tc>
        <w:tc>
          <w:tcPr>
            <w:tcW w:w="80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529,296,260.29</w:t>
            </w:r>
          </w:p>
        </w:tc>
        <w:tc>
          <w:tcPr>
            <w:tcW w:w="1243"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55,872,048.29</w:t>
            </w:r>
          </w:p>
        </w:tc>
      </w:tr>
      <w:tr>
        <w:trPr>
          <w:trHeight w:val="406" w:hRule="exact"/>
        </w:trPr>
        <w:tc>
          <w:tcPr>
            <w:tcW w:w="16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045" w:type="dxa"/>
            <w:tcBorders>
              <w:top w:val="dotted" w:sz="4" w:space="0" w:color="000000"/>
              <w:left w:val="dotted" w:sz="4" w:space="0" w:color="000000"/>
              <w:bottom w:val="dotted" w:sz="4" w:space="0" w:color="000000"/>
              <w:right w:val="dotted" w:sz="4" w:space="0" w:color="000000"/>
            </w:tcBorders>
          </w:tcPr>
          <w:p>
            <w:pPr/>
          </w:p>
        </w:tc>
        <w:tc>
          <w:tcPr>
            <w:tcW w:w="80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4,631,644.00</w:t>
            </w:r>
          </w:p>
        </w:tc>
      </w:tr>
      <w:tr>
        <w:trPr>
          <w:trHeight w:val="408" w:hRule="exact"/>
        </w:trPr>
        <w:tc>
          <w:tcPr>
            <w:tcW w:w="16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045" w:type="dxa"/>
            <w:tcBorders>
              <w:top w:val="dotted" w:sz="4" w:space="0" w:color="000000"/>
              <w:left w:val="dotted" w:sz="4" w:space="0" w:color="000000"/>
              <w:bottom w:val="dotted" w:sz="4" w:space="0" w:color="000000"/>
              <w:right w:val="dotted" w:sz="4" w:space="0" w:color="000000"/>
            </w:tcBorders>
          </w:tcPr>
          <w:p>
            <w:pPr/>
          </w:p>
        </w:tc>
        <w:tc>
          <w:tcPr>
            <w:tcW w:w="80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
        </w:tc>
        <w:tc>
          <w:tcPr>
            <w:tcW w:w="811"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4,631,644.00</w:t>
            </w:r>
          </w:p>
        </w:tc>
      </w:tr>
      <w:tr>
        <w:trPr>
          <w:trHeight w:val="418" w:hRule="exact"/>
        </w:trPr>
        <w:tc>
          <w:tcPr>
            <w:tcW w:w="16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dotted" w:sz="4" w:space="0" w:color="000000"/>
              <w:left w:val="dotted" w:sz="4" w:space="0" w:color="000000"/>
              <w:bottom w:val="single" w:sz="12" w:space="0" w:color="000000"/>
              <w:right w:val="dotted" w:sz="4" w:space="0" w:color="000000"/>
            </w:tcBorders>
          </w:tcPr>
          <w:p>
            <w:pPr/>
          </w:p>
        </w:tc>
        <w:tc>
          <w:tcPr>
            <w:tcW w:w="809" w:type="dxa"/>
            <w:tcBorders>
              <w:top w:val="dotted" w:sz="4" w:space="0" w:color="000000"/>
              <w:left w:val="dotted" w:sz="4" w:space="0" w:color="000000"/>
              <w:bottom w:val="single" w:sz="12" w:space="0" w:color="000000"/>
              <w:right w:val="dotted" w:sz="4" w:space="0" w:color="000000"/>
            </w:tcBorders>
          </w:tcPr>
          <w:p>
            <w:pPr/>
          </w:p>
        </w:tc>
        <w:tc>
          <w:tcPr>
            <w:tcW w:w="13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654,237,237.85</w:t>
            </w:r>
          </w:p>
        </w:tc>
        <w:tc>
          <w:tcPr>
            <w:tcW w:w="1243" w:type="dxa"/>
            <w:tcBorders>
              <w:top w:val="dotted" w:sz="4" w:space="0" w:color="000000"/>
              <w:left w:val="dotted" w:sz="4" w:space="0" w:color="000000"/>
              <w:bottom w:val="single" w:sz="12" w:space="0" w:color="000000"/>
              <w:right w:val="dotted" w:sz="4" w:space="0" w:color="000000"/>
            </w:tcBorders>
          </w:tcPr>
          <w:p>
            <w:pPr/>
          </w:p>
        </w:tc>
        <w:tc>
          <w:tcPr>
            <w:tcW w:w="811" w:type="dxa"/>
            <w:tcBorders>
              <w:top w:val="dotted" w:sz="4" w:space="0" w:color="000000"/>
              <w:left w:val="dotted" w:sz="4" w:space="0" w:color="000000"/>
              <w:bottom w:val="single" w:sz="12" w:space="0" w:color="000000"/>
              <w:right w:val="dotted" w:sz="4" w:space="0" w:color="000000"/>
            </w:tcBorders>
          </w:tcPr>
          <w:p>
            <w:pPr/>
          </w:p>
        </w:tc>
        <w:tc>
          <w:tcPr>
            <w:tcW w:w="13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165,591,959.03</w:t>
            </w:r>
          </w:p>
        </w:tc>
      </w:tr>
    </w:tbl>
    <w:p>
      <w:pPr>
        <w:spacing w:before="8"/>
        <w:ind w:left="138" w:right="1786" w:firstLine="0"/>
        <w:jc w:val="left"/>
        <w:rPr>
          <w:rFonts w:ascii="宋体" w:hAnsi="宋体" w:cs="宋体" w:eastAsia="宋体" w:hint="default"/>
          <w:sz w:val="18"/>
          <w:szCs w:val="18"/>
        </w:rPr>
      </w:pPr>
      <w:r>
        <w:rPr>
          <w:rFonts w:ascii="宋体" w:hAnsi="宋体" w:cs="宋体" w:eastAsia="宋体" w:hint="default"/>
          <w:sz w:val="18"/>
          <w:szCs w:val="18"/>
        </w:rPr>
        <w:t>注：报告期末，存出保证金中作为转融通业务担保品的受限金额为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519,847,023.49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Heading4"/>
        <w:spacing w:line="240" w:lineRule="auto"/>
        <w:ind w:left="538" w:right="1786"/>
        <w:jc w:val="left"/>
        <w:rPr>
          <w:b w:val="0"/>
          <w:bCs w:val="0"/>
        </w:rPr>
      </w:pPr>
      <w:r>
        <w:rPr/>
        <w:t>注释 </w:t>
      </w:r>
      <w:r>
        <w:rPr>
          <w:rFonts w:ascii="Times New Roman" w:hAnsi="Times New Roman" w:cs="Times New Roman" w:eastAsia="Times New Roman" w:hint="default"/>
        </w:rPr>
        <w:t>8. </w:t>
      </w:r>
      <w:r>
        <w:rPr>
          <w:rFonts w:ascii="Times New Roman" w:hAnsi="Times New Roman" w:cs="Times New Roman" w:eastAsia="Times New Roman" w:hint="default"/>
          <w:spacing w:val="6"/>
        </w:rPr>
        <w:t> </w:t>
      </w:r>
      <w:r>
        <w:rPr/>
        <w:t>应收账款</w:t>
      </w:r>
      <w:r>
        <w:rPr>
          <w:b w:val="0"/>
          <w:bCs w:val="0"/>
        </w:rPr>
      </w:r>
    </w:p>
    <w:p>
      <w:pPr>
        <w:pStyle w:val="Heading4"/>
        <w:spacing w:line="240" w:lineRule="auto" w:before="83"/>
        <w:ind w:left="538" w:right="178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t>按坏账准备计提方法分类披露</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016"/>
        <w:gridCol w:w="1549"/>
        <w:gridCol w:w="845"/>
        <w:gridCol w:w="1551"/>
        <w:gridCol w:w="845"/>
        <w:gridCol w:w="1522"/>
      </w:tblGrid>
      <w:tr>
        <w:trPr>
          <w:trHeight w:val="360" w:hRule="exact"/>
        </w:trPr>
        <w:tc>
          <w:tcPr>
            <w:tcW w:w="201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11"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016" w:type="dxa"/>
            <w:vMerge/>
            <w:tcBorders>
              <w:left w:val="nil" w:sz="6" w:space="0" w:color="auto"/>
              <w:right w:val="dotted" w:sz="4" w:space="0" w:color="000000"/>
            </w:tcBorders>
          </w:tcPr>
          <w:p>
            <w:pPr/>
          </w:p>
        </w:tc>
        <w:tc>
          <w:tcPr>
            <w:tcW w:w="23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22" w:type="dxa"/>
            <w:vMerge w:val="restart"/>
            <w:tcBorders>
              <w:top w:val="dotted" w:sz="4" w:space="0" w:color="000000"/>
              <w:left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016" w:type="dxa"/>
            <w:vMerge/>
            <w:tcBorders>
              <w:left w:val="nil" w:sz="6" w:space="0" w:color="auto"/>
              <w:bottom w:val="dotted" w:sz="4" w:space="0" w:color="000000"/>
              <w:right w:val="dotted" w:sz="4" w:space="0" w:color="000000"/>
            </w:tcBorders>
          </w:tcPr>
          <w:p>
            <w:pPr/>
          </w:p>
        </w:tc>
        <w:tc>
          <w:tcPr>
            <w:tcW w:w="15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left="2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7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22" w:type="dxa"/>
            <w:vMerge/>
            <w:tcBorders>
              <w:left w:val="dotted" w:sz="4" w:space="0" w:color="000000"/>
              <w:bottom w:val="dotted" w:sz="4" w:space="0" w:color="000000"/>
              <w:right w:val="nil" w:sz="6" w:space="0" w:color="auto"/>
            </w:tcBorders>
          </w:tcPr>
          <w:p>
            <w:pPr/>
          </w:p>
        </w:tc>
      </w:tr>
      <w:tr>
        <w:trPr>
          <w:trHeight w:val="348" w:hRule="exact"/>
        </w:trPr>
        <w:tc>
          <w:tcPr>
            <w:tcW w:w="20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按“一般方法”计提：</w:t>
            </w:r>
          </w:p>
        </w:tc>
        <w:tc>
          <w:tcPr>
            <w:tcW w:w="1549" w:type="dxa"/>
            <w:tcBorders>
              <w:top w:val="dotted" w:sz="4" w:space="0" w:color="000000"/>
              <w:left w:val="dotted" w:sz="4" w:space="0" w:color="000000"/>
              <w:bottom w:val="dotted" w:sz="4" w:space="0" w:color="000000"/>
              <w:right w:val="dotted" w:sz="4" w:space="0" w:color="000000"/>
            </w:tcBorders>
          </w:tcPr>
          <w:p>
            <w:pPr/>
          </w:p>
        </w:tc>
        <w:tc>
          <w:tcPr>
            <w:tcW w:w="845" w:type="dxa"/>
            <w:tcBorders>
              <w:top w:val="dotted" w:sz="4" w:space="0" w:color="000000"/>
              <w:left w:val="dotted" w:sz="4" w:space="0" w:color="000000"/>
              <w:bottom w:val="dotted" w:sz="4" w:space="0" w:color="000000"/>
              <w:right w:val="dotted" w:sz="4" w:space="0" w:color="000000"/>
            </w:tcBorders>
          </w:tcPr>
          <w:p>
            <w:pPr/>
          </w:p>
        </w:tc>
        <w:tc>
          <w:tcPr>
            <w:tcW w:w="1551" w:type="dxa"/>
            <w:tcBorders>
              <w:top w:val="dotted" w:sz="4" w:space="0" w:color="000000"/>
              <w:left w:val="dotted" w:sz="4" w:space="0" w:color="000000"/>
              <w:bottom w:val="dotted" w:sz="4" w:space="0" w:color="000000"/>
              <w:right w:val="dotted" w:sz="4" w:space="0" w:color="000000"/>
            </w:tcBorders>
          </w:tcPr>
          <w:p>
            <w:pPr/>
          </w:p>
        </w:tc>
        <w:tc>
          <w:tcPr>
            <w:tcW w:w="845"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01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122" w:right="74" w:firstLine="179"/>
              <w:jc w:val="left"/>
              <w:rPr>
                <w:rFonts w:ascii="宋体" w:hAnsi="宋体" w:cs="宋体" w:eastAsia="宋体" w:hint="default"/>
                <w:sz w:val="18"/>
                <w:szCs w:val="18"/>
              </w:rPr>
            </w:pPr>
            <w:r>
              <w:rPr>
                <w:rFonts w:ascii="宋体" w:hAnsi="宋体" w:cs="宋体" w:eastAsia="宋体" w:hint="default"/>
                <w:spacing w:val="21"/>
                <w:sz w:val="18"/>
                <w:szCs w:val="18"/>
              </w:rPr>
              <w:t>单项计提预期信用</w:t>
            </w:r>
            <w:r>
              <w:rPr>
                <w:rFonts w:ascii="宋体" w:hAnsi="宋体" w:cs="宋体" w:eastAsia="宋体" w:hint="default"/>
                <w:spacing w:val="-66"/>
                <w:sz w:val="18"/>
                <w:szCs w:val="18"/>
              </w:rPr>
              <w:t> </w:t>
            </w:r>
            <w:r>
              <w:rPr>
                <w:rFonts w:ascii="宋体" w:hAnsi="宋体" w:cs="宋体" w:eastAsia="宋体" w:hint="default"/>
                <w:sz w:val="18"/>
                <w:szCs w:val="18"/>
              </w:rPr>
              <w:t>损失的应收账款</w:t>
            </w:r>
          </w:p>
        </w:tc>
        <w:tc>
          <w:tcPr>
            <w:tcW w:w="15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5,305,015.32</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2.47</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5,305,015.32</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1522" w:type="dxa"/>
            <w:tcBorders>
              <w:top w:val="dotted" w:sz="4" w:space="0" w:color="000000"/>
              <w:left w:val="dotted" w:sz="4" w:space="0" w:color="000000"/>
              <w:bottom w:val="dotted" w:sz="4" w:space="0" w:color="000000"/>
              <w:right w:val="nil" w:sz="6" w:space="0" w:color="auto"/>
            </w:tcBorders>
          </w:tcPr>
          <w:p>
            <w:pPr/>
          </w:p>
        </w:tc>
      </w:tr>
      <w:tr>
        <w:trPr>
          <w:trHeight w:val="792" w:hRule="exact"/>
        </w:trPr>
        <w:tc>
          <w:tcPr>
            <w:tcW w:w="2016"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12"/>
              <w:ind w:left="122" w:right="74" w:firstLine="179"/>
              <w:jc w:val="both"/>
              <w:rPr>
                <w:rFonts w:ascii="宋体" w:hAnsi="宋体" w:cs="宋体" w:eastAsia="宋体" w:hint="default"/>
                <w:sz w:val="18"/>
                <w:szCs w:val="18"/>
              </w:rPr>
            </w:pPr>
            <w:r>
              <w:rPr>
                <w:rFonts w:ascii="宋体" w:hAnsi="宋体" w:cs="宋体" w:eastAsia="宋体" w:hint="default"/>
                <w:spacing w:val="21"/>
                <w:sz w:val="18"/>
                <w:szCs w:val="18"/>
              </w:rPr>
              <w:t>单项金额非重大并</w:t>
            </w:r>
            <w:r>
              <w:rPr>
                <w:rFonts w:ascii="宋体" w:hAnsi="宋体" w:cs="宋体" w:eastAsia="宋体" w:hint="default"/>
                <w:spacing w:val="-66"/>
                <w:sz w:val="18"/>
                <w:szCs w:val="18"/>
              </w:rPr>
              <w:t> </w:t>
            </w:r>
            <w:r>
              <w:rPr>
                <w:rFonts w:ascii="宋体" w:hAnsi="宋体" w:cs="宋体" w:eastAsia="宋体" w:hint="default"/>
                <w:spacing w:val="18"/>
                <w:sz w:val="18"/>
                <w:szCs w:val="18"/>
              </w:rPr>
              <w:t>已单独计提坏账准备</w:t>
            </w:r>
            <w:r>
              <w:rPr>
                <w:rFonts w:ascii="宋体" w:hAnsi="宋体" w:cs="宋体" w:eastAsia="宋体" w:hint="default"/>
                <w:sz w:val="18"/>
                <w:szCs w:val="18"/>
              </w:rPr>
              <w:t> 的款项</w:t>
            </w:r>
          </w:p>
        </w:tc>
        <w:tc>
          <w:tcPr>
            <w:tcW w:w="15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6,311,978.62</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2.93</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3,525,889.49</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55.86</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2,786,089.13</w:t>
            </w:r>
          </w:p>
        </w:tc>
      </w:tr>
      <w:tr>
        <w:trPr>
          <w:trHeight w:val="401" w:hRule="exact"/>
        </w:trPr>
        <w:tc>
          <w:tcPr>
            <w:tcW w:w="20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按“简化方法”计提：</w:t>
            </w:r>
          </w:p>
        </w:tc>
        <w:tc>
          <w:tcPr>
            <w:tcW w:w="1549" w:type="dxa"/>
            <w:tcBorders>
              <w:top w:val="dotted" w:sz="4" w:space="0" w:color="000000"/>
              <w:left w:val="dotted" w:sz="4" w:space="0" w:color="000000"/>
              <w:bottom w:val="dotted" w:sz="4" w:space="0" w:color="000000"/>
              <w:right w:val="dotted" w:sz="4" w:space="0" w:color="000000"/>
            </w:tcBorders>
          </w:tcPr>
          <w:p>
            <w:pPr/>
          </w:p>
        </w:tc>
        <w:tc>
          <w:tcPr>
            <w:tcW w:w="845" w:type="dxa"/>
            <w:tcBorders>
              <w:top w:val="dotted" w:sz="4" w:space="0" w:color="000000"/>
              <w:left w:val="dotted" w:sz="4" w:space="0" w:color="000000"/>
              <w:bottom w:val="dotted" w:sz="4" w:space="0" w:color="000000"/>
              <w:right w:val="dotted" w:sz="4" w:space="0" w:color="000000"/>
            </w:tcBorders>
          </w:tcPr>
          <w:p>
            <w:pPr/>
          </w:p>
        </w:tc>
        <w:tc>
          <w:tcPr>
            <w:tcW w:w="1551" w:type="dxa"/>
            <w:tcBorders>
              <w:top w:val="dotted" w:sz="4" w:space="0" w:color="000000"/>
              <w:left w:val="dotted" w:sz="4" w:space="0" w:color="000000"/>
              <w:bottom w:val="dotted" w:sz="4" w:space="0" w:color="000000"/>
              <w:right w:val="dotted" w:sz="4" w:space="0" w:color="000000"/>
            </w:tcBorders>
          </w:tcPr>
          <w:p>
            <w:pPr/>
          </w:p>
        </w:tc>
        <w:tc>
          <w:tcPr>
            <w:tcW w:w="845"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01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74" w:firstLine="179"/>
              <w:jc w:val="left"/>
              <w:rPr>
                <w:rFonts w:ascii="宋体" w:hAnsi="宋体" w:cs="宋体" w:eastAsia="宋体" w:hint="default"/>
                <w:sz w:val="18"/>
                <w:szCs w:val="18"/>
              </w:rPr>
            </w:pPr>
            <w:r>
              <w:rPr>
                <w:rFonts w:ascii="宋体" w:hAnsi="宋体" w:cs="宋体" w:eastAsia="宋体" w:hint="default"/>
                <w:spacing w:val="21"/>
                <w:sz w:val="18"/>
                <w:szCs w:val="18"/>
              </w:rPr>
              <w:t>按组合计提预期信</w:t>
            </w:r>
            <w:r>
              <w:rPr>
                <w:rFonts w:ascii="宋体" w:hAnsi="宋体" w:cs="宋体" w:eastAsia="宋体" w:hint="default"/>
                <w:spacing w:val="-66"/>
                <w:sz w:val="18"/>
                <w:szCs w:val="18"/>
              </w:rPr>
              <w:t> </w:t>
            </w:r>
            <w:r>
              <w:rPr>
                <w:rFonts w:ascii="宋体" w:hAnsi="宋体" w:cs="宋体" w:eastAsia="宋体" w:hint="default"/>
                <w:sz w:val="18"/>
                <w:szCs w:val="18"/>
              </w:rPr>
              <w:t>用损失的应收账款</w:t>
            </w:r>
          </w:p>
        </w:tc>
        <w:tc>
          <w:tcPr>
            <w:tcW w:w="15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203,482,702.66</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94.60</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389,073.00</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0.19</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203,093,629.66</w:t>
            </w:r>
          </w:p>
        </w:tc>
      </w:tr>
      <w:tr>
        <w:trPr>
          <w:trHeight w:val="403" w:hRule="exact"/>
        </w:trPr>
        <w:tc>
          <w:tcPr>
            <w:tcW w:w="20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Arial" w:hAnsi="Arial" w:cs="Arial" w:eastAsia="Arial" w:hint="default"/>
                <w:sz w:val="18"/>
                <w:szCs w:val="18"/>
              </w:rPr>
            </w:pPr>
            <w:r>
              <w:rPr>
                <w:rFonts w:ascii="宋体" w:hAnsi="宋体" w:cs="宋体" w:eastAsia="宋体" w:hint="default"/>
                <w:sz w:val="18"/>
                <w:szCs w:val="18"/>
              </w:rPr>
              <w:t>其中：组合</w:t>
            </w:r>
            <w:r>
              <w:rPr>
                <w:rFonts w:ascii="宋体" w:hAnsi="宋体" w:cs="宋体" w:eastAsia="宋体" w:hint="default"/>
                <w:spacing w:val="-63"/>
                <w:sz w:val="18"/>
                <w:szCs w:val="18"/>
              </w:rPr>
              <w:t> </w:t>
            </w:r>
            <w:r>
              <w:rPr>
                <w:rFonts w:ascii="Arial" w:hAnsi="Arial" w:cs="Arial" w:eastAsia="Arial" w:hint="default"/>
                <w:sz w:val="18"/>
                <w:szCs w:val="18"/>
              </w:rPr>
              <w:t>1</w:t>
            </w:r>
          </w:p>
        </w:tc>
        <w:tc>
          <w:tcPr>
            <w:tcW w:w="15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4"/>
              <w:jc w:val="right"/>
              <w:rPr>
                <w:rFonts w:ascii="Times New Roman" w:hAnsi="Times New Roman" w:cs="Times New Roman" w:eastAsia="Times New Roman" w:hint="default"/>
                <w:sz w:val="18"/>
                <w:szCs w:val="18"/>
              </w:rPr>
            </w:pPr>
            <w:r>
              <w:rPr>
                <w:rFonts w:ascii="Times New Roman"/>
                <w:spacing w:val="-1"/>
                <w:sz w:val="18"/>
              </w:rPr>
              <w:t>440.97</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440.97</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1522"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0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662"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63"/>
                <w:sz w:val="18"/>
                <w:szCs w:val="18"/>
              </w:rPr>
              <w:t> </w:t>
            </w:r>
            <w:r>
              <w:rPr>
                <w:rFonts w:ascii="Arial" w:hAnsi="Arial" w:cs="Arial" w:eastAsia="Arial" w:hint="default"/>
                <w:sz w:val="18"/>
                <w:szCs w:val="18"/>
              </w:rPr>
              <w:t>2</w:t>
            </w:r>
          </w:p>
        </w:tc>
        <w:tc>
          <w:tcPr>
            <w:tcW w:w="15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77,134,551.98</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35.86</w:t>
            </w: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388,632.03</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0.50</w:t>
            </w: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76,745,919.95</w:t>
            </w:r>
          </w:p>
        </w:tc>
      </w:tr>
      <w:tr>
        <w:trPr>
          <w:trHeight w:val="403" w:hRule="exact"/>
        </w:trPr>
        <w:tc>
          <w:tcPr>
            <w:tcW w:w="20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62"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63"/>
                <w:sz w:val="18"/>
                <w:szCs w:val="18"/>
              </w:rPr>
              <w:t> </w:t>
            </w:r>
            <w:r>
              <w:rPr>
                <w:rFonts w:ascii="Arial" w:hAnsi="Arial" w:cs="Arial" w:eastAsia="Arial" w:hint="default"/>
                <w:sz w:val="18"/>
                <w:szCs w:val="18"/>
              </w:rPr>
              <w:t>3</w:t>
            </w:r>
          </w:p>
        </w:tc>
        <w:tc>
          <w:tcPr>
            <w:tcW w:w="15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126,347,709.71</w:t>
            </w:r>
          </w:p>
        </w:tc>
        <w:tc>
          <w:tcPr>
            <w:tcW w:w="8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58.74</w:t>
            </w:r>
          </w:p>
        </w:tc>
        <w:tc>
          <w:tcPr>
            <w:tcW w:w="1551" w:type="dxa"/>
            <w:tcBorders>
              <w:top w:val="dotted" w:sz="4" w:space="0" w:color="000000"/>
              <w:left w:val="dotted" w:sz="4" w:space="0" w:color="000000"/>
              <w:bottom w:val="dotted" w:sz="4" w:space="0" w:color="000000"/>
              <w:right w:val="dotted" w:sz="4" w:space="0" w:color="000000"/>
            </w:tcBorders>
          </w:tcPr>
          <w:p>
            <w:pPr/>
          </w:p>
        </w:tc>
        <w:tc>
          <w:tcPr>
            <w:tcW w:w="845"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126,347,709.71</w:t>
            </w:r>
          </w:p>
        </w:tc>
      </w:tr>
      <w:tr>
        <w:trPr>
          <w:trHeight w:val="413" w:hRule="exact"/>
        </w:trPr>
        <w:tc>
          <w:tcPr>
            <w:tcW w:w="20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215,099,696.60</w:t>
            </w:r>
          </w:p>
        </w:tc>
        <w:tc>
          <w:tcPr>
            <w:tcW w:w="8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9,219,977.81</w:t>
            </w:r>
          </w:p>
        </w:tc>
        <w:tc>
          <w:tcPr>
            <w:tcW w:w="845" w:type="dxa"/>
            <w:tcBorders>
              <w:top w:val="dotted" w:sz="4" w:space="0" w:color="000000"/>
              <w:left w:val="dotted" w:sz="4" w:space="0" w:color="000000"/>
              <w:bottom w:val="single" w:sz="12" w:space="0" w:color="000000"/>
              <w:right w:val="dotted" w:sz="4" w:space="0" w:color="000000"/>
            </w:tcBorders>
          </w:tcPr>
          <w:p>
            <w:pPr/>
          </w:p>
        </w:tc>
        <w:tc>
          <w:tcPr>
            <w:tcW w:w="15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205,879,718.79</w:t>
            </w:r>
          </w:p>
        </w:tc>
      </w:tr>
    </w:tbl>
    <w:p>
      <w:pPr>
        <w:pStyle w:val="BodyText"/>
        <w:spacing w:line="240" w:lineRule="auto" w:before="4"/>
        <w:ind w:left="169" w:right="1786"/>
        <w:jc w:val="left"/>
      </w:pPr>
      <w:r>
        <w:rPr/>
        <w:t>续：</w:t>
      </w:r>
    </w:p>
    <w:p>
      <w:pPr>
        <w:spacing w:line="240" w:lineRule="auto" w:before="12"/>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786"/>
        <w:gridCol w:w="2605"/>
        <w:gridCol w:w="2410"/>
        <w:gridCol w:w="1513"/>
      </w:tblGrid>
      <w:tr>
        <w:trPr>
          <w:trHeight w:val="428" w:hRule="exact"/>
        </w:trPr>
        <w:tc>
          <w:tcPr>
            <w:tcW w:w="1786" w:type="dxa"/>
            <w:vMerge w:val="restart"/>
            <w:tcBorders>
              <w:top w:val="single" w:sz="12" w:space="0" w:color="000000"/>
              <w:left w:val="nil" w:sz="6" w:space="0" w:color="auto"/>
              <w:right w:val="dotted"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52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66"/>
              <w:ind w:right="4"/>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39" w:hRule="exact"/>
        </w:trPr>
        <w:tc>
          <w:tcPr>
            <w:tcW w:w="1786" w:type="dxa"/>
            <w:vMerge/>
            <w:tcBorders>
              <w:left w:val="nil" w:sz="6" w:space="0" w:color="auto"/>
              <w:bottom w:val="dotted" w:sz="4" w:space="0" w:color="000000"/>
              <w:right w:val="dotted" w:sz="4" w:space="0" w:color="000000"/>
            </w:tcBorders>
          </w:tcPr>
          <w:p>
            <w:pPr/>
          </w:p>
        </w:tc>
        <w:tc>
          <w:tcPr>
            <w:tcW w:w="26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5"/>
              <w:ind w:left="3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headerReference w:type="default" r:id="rId49"/>
          <w:footerReference w:type="default" r:id="rId50"/>
          <w:pgSz w:w="11910" w:h="16840"/>
          <w:pgMar w:header="877" w:footer="979" w:top="1100" w:bottom="1160" w:left="1660" w:right="0"/>
          <w:pgNumType w:start="169"/>
        </w:sectPr>
      </w:pPr>
    </w:p>
    <w:p>
      <w:pPr>
        <w:spacing w:line="240" w:lineRule="auto" w:before="11"/>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800"/>
        <w:gridCol w:w="1229"/>
        <w:gridCol w:w="1375"/>
        <w:gridCol w:w="1256"/>
        <w:gridCol w:w="1154"/>
        <w:gridCol w:w="1513"/>
      </w:tblGrid>
      <w:tr>
        <w:trPr>
          <w:trHeight w:val="749" w:hRule="exact"/>
        </w:trPr>
        <w:tc>
          <w:tcPr>
            <w:tcW w:w="1800" w:type="dxa"/>
            <w:tcBorders>
              <w:top w:val="single" w:sz="12" w:space="0" w:color="000000"/>
              <w:left w:val="nil" w:sz="6" w:space="0" w:color="auto"/>
              <w:bottom w:val="single" w:sz="12" w:space="0" w:color="000000"/>
              <w:right w:val="dotted" w:sz="4" w:space="0" w:color="000000"/>
            </w:tcBorders>
          </w:tcPr>
          <w:p>
            <w:pP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13" w:type="dxa"/>
            <w:tcBorders>
              <w:top w:val="dotted" w:sz="4" w:space="0" w:color="000000"/>
              <w:left w:val="dotted" w:sz="4" w:space="0" w:color="000000"/>
              <w:bottom w:val="dotted" w:sz="4" w:space="0" w:color="000000"/>
              <w:right w:val="nil" w:sz="6" w:space="0" w:color="auto"/>
            </w:tcBorders>
          </w:tcPr>
          <w:p>
            <w:pPr/>
          </w:p>
        </w:tc>
      </w:tr>
      <w:tr>
        <w:trPr>
          <w:trHeight w:val="749" w:hRule="exact"/>
        </w:trPr>
        <w:tc>
          <w:tcPr>
            <w:tcW w:w="1800" w:type="dxa"/>
            <w:tcBorders>
              <w:top w:val="single" w:sz="12" w:space="0" w:color="000000"/>
              <w:left w:val="nil" w:sz="6" w:space="0" w:color="auto"/>
              <w:bottom w:val="dotted" w:sz="4" w:space="0" w:color="000000"/>
              <w:right w:val="dotted" w:sz="4" w:space="0" w:color="000000"/>
            </w:tcBorders>
          </w:tcPr>
          <w:p>
            <w:pPr>
              <w:pStyle w:val="TableParagraph"/>
              <w:spacing w:line="314" w:lineRule="auto" w:before="75"/>
              <w:ind w:left="727" w:right="165" w:hanging="540"/>
              <w:jc w:val="left"/>
              <w:rPr>
                <w:rFonts w:ascii="宋体" w:hAnsi="宋体" w:cs="宋体" w:eastAsia="宋体" w:hint="default"/>
                <w:sz w:val="18"/>
                <w:szCs w:val="18"/>
              </w:rPr>
            </w:pPr>
            <w:r>
              <w:rPr>
                <w:rFonts w:ascii="宋体" w:hAnsi="宋体" w:cs="宋体" w:eastAsia="宋体" w:hint="default"/>
                <w:sz w:val="18"/>
                <w:szCs w:val="18"/>
              </w:rPr>
              <w:t>按“一般方法”计 提：</w:t>
            </w:r>
          </w:p>
        </w:tc>
        <w:tc>
          <w:tcPr>
            <w:tcW w:w="1229"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dotted" w:sz="4" w:space="0" w:color="000000"/>
            </w:tcBorders>
          </w:tcPr>
          <w:p>
            <w:pPr/>
          </w:p>
        </w:tc>
        <w:tc>
          <w:tcPr>
            <w:tcW w:w="125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513" w:type="dxa"/>
            <w:tcBorders>
              <w:top w:val="dotted" w:sz="4" w:space="0" w:color="000000"/>
              <w:left w:val="dotted" w:sz="4" w:space="0" w:color="000000"/>
              <w:bottom w:val="dotted" w:sz="4" w:space="0" w:color="000000"/>
              <w:right w:val="nil" w:sz="6" w:space="0" w:color="auto"/>
            </w:tcBorders>
          </w:tcPr>
          <w:p>
            <w:pPr/>
          </w:p>
        </w:tc>
      </w:tr>
      <w:tr>
        <w:trPr>
          <w:trHeight w:val="1042"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5"/>
              <w:ind w:left="28" w:right="-8" w:firstLine="180"/>
              <w:jc w:val="both"/>
              <w:rPr>
                <w:rFonts w:ascii="宋体" w:hAnsi="宋体" w:cs="宋体" w:eastAsia="宋体" w:hint="default"/>
                <w:sz w:val="18"/>
                <w:szCs w:val="18"/>
              </w:rPr>
            </w:pPr>
            <w:r>
              <w:rPr>
                <w:rFonts w:ascii="宋体" w:hAnsi="宋体" w:cs="宋体" w:eastAsia="宋体" w:hint="default"/>
                <w:spacing w:val="16"/>
                <w:sz w:val="18"/>
                <w:szCs w:val="18"/>
              </w:rPr>
              <w:t>单项金额重大并已</w:t>
            </w:r>
            <w:r>
              <w:rPr>
                <w:rFonts w:ascii="宋体" w:hAnsi="宋体" w:cs="宋体" w:eastAsia="宋体" w:hint="default"/>
                <w:spacing w:val="-71"/>
                <w:sz w:val="18"/>
                <w:szCs w:val="18"/>
              </w:rPr>
              <w:t> </w:t>
            </w:r>
            <w:r>
              <w:rPr>
                <w:rFonts w:ascii="宋体" w:hAnsi="宋体" w:cs="宋体" w:eastAsia="宋体" w:hint="default"/>
                <w:spacing w:val="14"/>
                <w:sz w:val="18"/>
                <w:szCs w:val="18"/>
              </w:rPr>
              <w:t>单独计提坏账准备的</w:t>
            </w:r>
            <w:r>
              <w:rPr>
                <w:rFonts w:ascii="宋体" w:hAnsi="宋体" w:cs="宋体" w:eastAsia="宋体" w:hint="default"/>
                <w:spacing w:val="-74"/>
                <w:sz w:val="18"/>
                <w:szCs w:val="18"/>
              </w:rPr>
              <w:t> </w:t>
            </w:r>
            <w:r>
              <w:rPr>
                <w:rFonts w:ascii="宋体" w:hAnsi="宋体" w:cs="宋体" w:eastAsia="宋体" w:hint="default"/>
                <w:sz w:val="18"/>
                <w:szCs w:val="18"/>
              </w:rPr>
              <w:t>款项</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5,305,015.32</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1.94</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5,305,015.32</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51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42"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8" w:firstLine="180"/>
              <w:jc w:val="both"/>
              <w:rPr>
                <w:rFonts w:ascii="宋体" w:hAnsi="宋体" w:cs="宋体" w:eastAsia="宋体" w:hint="default"/>
                <w:sz w:val="18"/>
                <w:szCs w:val="18"/>
              </w:rPr>
            </w:pPr>
            <w:r>
              <w:rPr>
                <w:rFonts w:ascii="宋体" w:hAnsi="宋体" w:cs="宋体" w:eastAsia="宋体" w:hint="default"/>
                <w:spacing w:val="16"/>
                <w:sz w:val="18"/>
                <w:szCs w:val="18"/>
              </w:rPr>
              <w:t>单项金额非重大并</w:t>
            </w:r>
            <w:r>
              <w:rPr>
                <w:rFonts w:ascii="宋体" w:hAnsi="宋体" w:cs="宋体" w:eastAsia="宋体" w:hint="default"/>
                <w:spacing w:val="-71"/>
                <w:sz w:val="18"/>
                <w:szCs w:val="18"/>
              </w:rPr>
              <w:t> </w:t>
            </w:r>
            <w:r>
              <w:rPr>
                <w:rFonts w:ascii="宋体" w:hAnsi="宋体" w:cs="宋体" w:eastAsia="宋体" w:hint="default"/>
                <w:spacing w:val="14"/>
                <w:sz w:val="18"/>
                <w:szCs w:val="18"/>
              </w:rPr>
              <w:t>已单独计提坏账准备</w:t>
            </w:r>
            <w:r>
              <w:rPr>
                <w:rFonts w:ascii="宋体" w:hAnsi="宋体" w:cs="宋体" w:eastAsia="宋体" w:hint="default"/>
                <w:spacing w:val="-74"/>
                <w:sz w:val="18"/>
                <w:szCs w:val="18"/>
              </w:rPr>
              <w:t> </w:t>
            </w:r>
            <w:r>
              <w:rPr>
                <w:rFonts w:ascii="宋体" w:hAnsi="宋体" w:cs="宋体" w:eastAsia="宋体" w:hint="default"/>
                <w:sz w:val="18"/>
                <w:szCs w:val="18"/>
              </w:rPr>
              <w:t>的款项</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4,681,580.68</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1.71</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2,106,022.73</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44.99</w:t>
            </w:r>
          </w:p>
        </w:tc>
        <w:tc>
          <w:tcPr>
            <w:tcW w:w="151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2,575,557.95</w:t>
            </w:r>
          </w:p>
        </w:tc>
      </w:tr>
      <w:tr>
        <w:trPr>
          <w:trHeight w:val="475"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2"/>
              <w:ind w:left="28" w:right="-34"/>
              <w:jc w:val="left"/>
              <w:rPr>
                <w:rFonts w:ascii="宋体" w:hAnsi="宋体" w:cs="宋体" w:eastAsia="宋体" w:hint="default"/>
                <w:sz w:val="18"/>
                <w:szCs w:val="18"/>
              </w:rPr>
            </w:pPr>
            <w:r>
              <w:rPr>
                <w:rFonts w:ascii="宋体" w:hAnsi="宋体" w:cs="宋体" w:eastAsia="宋体" w:hint="default"/>
                <w:sz w:val="18"/>
                <w:szCs w:val="18"/>
              </w:rPr>
              <w:t>按“简化方法”计提：</w:t>
            </w:r>
          </w:p>
        </w:tc>
        <w:tc>
          <w:tcPr>
            <w:tcW w:w="1229"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dotted" w:sz="4" w:space="0" w:color="000000"/>
            </w:tcBorders>
          </w:tcPr>
          <w:p>
            <w:pPr/>
          </w:p>
        </w:tc>
        <w:tc>
          <w:tcPr>
            <w:tcW w:w="125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513" w:type="dxa"/>
            <w:tcBorders>
              <w:top w:val="dotted" w:sz="4" w:space="0" w:color="000000"/>
              <w:left w:val="dotted" w:sz="4" w:space="0" w:color="000000"/>
              <w:bottom w:val="dotted" w:sz="4" w:space="0" w:color="000000"/>
              <w:right w:val="nil" w:sz="6" w:space="0" w:color="auto"/>
            </w:tcBorders>
          </w:tcPr>
          <w:p>
            <w:pPr/>
          </w:p>
        </w:tc>
      </w:tr>
      <w:tr>
        <w:trPr>
          <w:trHeight w:val="727"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8" w:firstLine="180"/>
              <w:jc w:val="left"/>
              <w:rPr>
                <w:rFonts w:ascii="宋体" w:hAnsi="宋体" w:cs="宋体" w:eastAsia="宋体" w:hint="default"/>
                <w:sz w:val="18"/>
                <w:szCs w:val="18"/>
              </w:rPr>
            </w:pPr>
            <w:r>
              <w:rPr>
                <w:rFonts w:ascii="宋体" w:hAnsi="宋体" w:cs="宋体" w:eastAsia="宋体" w:hint="default"/>
                <w:spacing w:val="16"/>
                <w:sz w:val="18"/>
                <w:szCs w:val="18"/>
              </w:rPr>
              <w:t>按组合计提预期信</w:t>
            </w:r>
            <w:r>
              <w:rPr>
                <w:rFonts w:ascii="宋体" w:hAnsi="宋体" w:cs="宋体" w:eastAsia="宋体" w:hint="default"/>
                <w:spacing w:val="-71"/>
                <w:sz w:val="18"/>
                <w:szCs w:val="18"/>
              </w:rPr>
              <w:t> </w:t>
            </w:r>
            <w:r>
              <w:rPr>
                <w:rFonts w:ascii="宋体" w:hAnsi="宋体" w:cs="宋体" w:eastAsia="宋体" w:hint="default"/>
                <w:sz w:val="18"/>
                <w:szCs w:val="18"/>
              </w:rPr>
              <w:t>用损失的应收账款</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263,893,491.02</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96.35</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102,271.24</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0.04</w:t>
            </w:r>
          </w:p>
        </w:tc>
        <w:tc>
          <w:tcPr>
            <w:tcW w:w="15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263,791,219.78</w:t>
            </w:r>
          </w:p>
        </w:tc>
      </w:tr>
      <w:tr>
        <w:trPr>
          <w:trHeight w:val="418"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28" w:right="0"/>
              <w:jc w:val="left"/>
              <w:rPr>
                <w:rFonts w:ascii="Arial" w:hAnsi="Arial" w:cs="Arial" w:eastAsia="Arial" w:hint="default"/>
                <w:sz w:val="18"/>
                <w:szCs w:val="18"/>
              </w:rPr>
            </w:pPr>
            <w:r>
              <w:rPr>
                <w:rFonts w:ascii="宋体" w:hAnsi="宋体" w:cs="宋体" w:eastAsia="宋体" w:hint="default"/>
                <w:sz w:val="18"/>
                <w:szCs w:val="18"/>
              </w:rPr>
              <w:t>其中：组合</w:t>
            </w:r>
            <w:r>
              <w:rPr>
                <w:rFonts w:ascii="宋体" w:hAnsi="宋体" w:cs="宋体" w:eastAsia="宋体" w:hint="default"/>
                <w:spacing w:val="-63"/>
                <w:sz w:val="18"/>
                <w:szCs w:val="18"/>
              </w:rPr>
              <w:t> </w:t>
            </w:r>
            <w:r>
              <w:rPr>
                <w:rFonts w:ascii="Arial" w:hAnsi="Arial" w:cs="Arial" w:eastAsia="Arial" w:hint="default"/>
                <w:sz w:val="18"/>
                <w:szCs w:val="18"/>
              </w:rPr>
              <w:t>1</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433.82</w:t>
            </w:r>
          </w:p>
        </w:tc>
        <w:tc>
          <w:tcPr>
            <w:tcW w:w="1375" w:type="dxa"/>
            <w:tcBorders>
              <w:top w:val="dotted" w:sz="4" w:space="0" w:color="000000"/>
              <w:left w:val="dotted" w:sz="4" w:space="0" w:color="000000"/>
              <w:bottom w:val="dotted" w:sz="4" w:space="0" w:color="000000"/>
              <w:right w:val="dotted" w:sz="4" w:space="0" w:color="000000"/>
            </w:tcBorders>
          </w:tcPr>
          <w:p>
            <w:pP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433.82</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5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8"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568"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63"/>
                <w:sz w:val="18"/>
                <w:szCs w:val="18"/>
              </w:rPr>
              <w:t> </w:t>
            </w:r>
            <w:r>
              <w:rPr>
                <w:rFonts w:ascii="Arial" w:hAnsi="Arial" w:cs="Arial" w:eastAsia="Arial" w:hint="default"/>
                <w:sz w:val="18"/>
                <w:szCs w:val="18"/>
              </w:rPr>
              <w:t>2</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18,328,232.74</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6.69</w:t>
            </w:r>
          </w:p>
        </w:tc>
        <w:tc>
          <w:tcPr>
            <w:tcW w:w="12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101,837.42</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0.56</w:t>
            </w:r>
          </w:p>
        </w:tc>
        <w:tc>
          <w:tcPr>
            <w:tcW w:w="15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18,226,395.32</w:t>
            </w:r>
          </w:p>
        </w:tc>
      </w:tr>
      <w:tr>
        <w:trPr>
          <w:trHeight w:val="418"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568"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63"/>
                <w:sz w:val="18"/>
                <w:szCs w:val="18"/>
              </w:rPr>
              <w:t> </w:t>
            </w:r>
            <w:r>
              <w:rPr>
                <w:rFonts w:ascii="Arial" w:hAnsi="Arial" w:cs="Arial" w:eastAsia="Arial" w:hint="default"/>
                <w:sz w:val="18"/>
                <w:szCs w:val="18"/>
              </w:rPr>
              <w:t>3</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245,564,824.46</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z w:val="18"/>
              </w:rPr>
              <w:t>89.66</w:t>
            </w:r>
          </w:p>
        </w:tc>
        <w:tc>
          <w:tcPr>
            <w:tcW w:w="125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5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245,564,824.46</w:t>
            </w:r>
          </w:p>
        </w:tc>
      </w:tr>
      <w:tr>
        <w:trPr>
          <w:trHeight w:val="427" w:hRule="exact"/>
        </w:trPr>
        <w:tc>
          <w:tcPr>
            <w:tcW w:w="18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273,880,087.02</w:t>
            </w:r>
          </w:p>
        </w:tc>
        <w:tc>
          <w:tcPr>
            <w:tcW w:w="13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12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7,513,309.29</w:t>
            </w:r>
          </w:p>
        </w:tc>
        <w:tc>
          <w:tcPr>
            <w:tcW w:w="1154" w:type="dxa"/>
            <w:tcBorders>
              <w:top w:val="dotted" w:sz="4" w:space="0" w:color="000000"/>
              <w:left w:val="dotted" w:sz="4" w:space="0" w:color="000000"/>
              <w:bottom w:val="single" w:sz="12" w:space="0" w:color="000000"/>
              <w:right w:val="dotted" w:sz="4" w:space="0" w:color="000000"/>
            </w:tcBorders>
          </w:tcPr>
          <w:p>
            <w:pPr/>
          </w:p>
        </w:tc>
        <w:tc>
          <w:tcPr>
            <w:tcW w:w="15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266,366,777.73</w:t>
            </w:r>
          </w:p>
        </w:tc>
      </w:tr>
    </w:tbl>
    <w:p>
      <w:pPr>
        <w:spacing w:line="336" w:lineRule="auto" w:before="8"/>
        <w:ind w:left="169" w:right="1786" w:firstLine="0"/>
        <w:jc w:val="left"/>
        <w:rPr>
          <w:rFonts w:ascii="宋体" w:hAnsi="宋体" w:cs="宋体" w:eastAsia="宋体" w:hint="default"/>
          <w:sz w:val="18"/>
          <w:szCs w:val="18"/>
        </w:rPr>
      </w:pPr>
      <w:r>
        <w:rPr>
          <w:rFonts w:ascii="宋体" w:hAnsi="宋体" w:cs="宋体" w:eastAsia="宋体" w:hint="default"/>
          <w:spacing w:val="-8"/>
          <w:sz w:val="18"/>
          <w:szCs w:val="18"/>
        </w:rPr>
        <w:t>注：因执行新金融工具准则，该项目期初余额与上年末余额存在差异。差异情况详见附注四（四十二）</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pStyle w:val="Heading4"/>
        <w:spacing w:line="240" w:lineRule="auto" w:before="128"/>
        <w:ind w:left="498" w:right="1786"/>
        <w:jc w:val="left"/>
        <w:rPr>
          <w:b w:val="0"/>
          <w:bCs w:val="0"/>
        </w:rPr>
      </w:pPr>
      <w:r>
        <w:rPr/>
        <w:t>（</w:t>
      </w:r>
      <w:r>
        <w:rPr>
          <w:rFonts w:ascii="Times New Roman" w:hAnsi="Times New Roman" w:cs="Times New Roman" w:eastAsia="Times New Roman" w:hint="default"/>
        </w:rPr>
        <w:t>1</w:t>
      </w:r>
      <w:r>
        <w:rPr/>
        <w:t>）单项金额重大并已单独计提坏账准备的款项</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480"/>
        <w:gridCol w:w="1634"/>
        <w:gridCol w:w="1426"/>
        <w:gridCol w:w="970"/>
        <w:gridCol w:w="1817"/>
      </w:tblGrid>
      <w:tr>
        <w:trPr>
          <w:trHeight w:val="360" w:hRule="exact"/>
        </w:trPr>
        <w:tc>
          <w:tcPr>
            <w:tcW w:w="2480"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84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2480" w:type="dxa"/>
            <w:vMerge/>
            <w:tcBorders>
              <w:left w:val="nil" w:sz="6" w:space="0" w:color="auto"/>
              <w:bottom w:val="dotted" w:sz="4" w:space="0" w:color="000000"/>
              <w:right w:val="dotted" w:sz="4" w:space="0" w:color="000000"/>
            </w:tcBorders>
          </w:tcPr>
          <w:p>
            <w:pP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54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0"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5,305,015.32</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5,305,015.32</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100.00</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客户违约</w:t>
            </w:r>
          </w:p>
        </w:tc>
      </w:tr>
      <w:tr>
        <w:trPr>
          <w:trHeight w:val="360" w:hRule="exact"/>
        </w:trPr>
        <w:tc>
          <w:tcPr>
            <w:tcW w:w="24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5,305,015.32</w:t>
            </w:r>
          </w:p>
        </w:tc>
        <w:tc>
          <w:tcPr>
            <w:tcW w:w="14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5,305,015.32</w:t>
            </w:r>
          </w:p>
        </w:tc>
        <w:tc>
          <w:tcPr>
            <w:tcW w:w="970" w:type="dxa"/>
            <w:tcBorders>
              <w:top w:val="dotted" w:sz="4" w:space="0" w:color="000000"/>
              <w:left w:val="dotted" w:sz="4" w:space="0" w:color="000000"/>
              <w:bottom w:val="single" w:sz="12" w:space="0" w:color="000000"/>
              <w:right w:val="dotted" w:sz="4" w:space="0" w:color="000000"/>
            </w:tcBorders>
          </w:tcPr>
          <w:p>
            <w:pPr/>
          </w:p>
        </w:tc>
        <w:tc>
          <w:tcPr>
            <w:tcW w:w="181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left="498" w:right="1786"/>
        <w:jc w:val="left"/>
        <w:rPr>
          <w:b w:val="0"/>
          <w:bCs w:val="0"/>
        </w:rPr>
      </w:pPr>
      <w:r>
        <w:rPr/>
        <w:t>（</w:t>
      </w:r>
      <w:r>
        <w:rPr>
          <w:rFonts w:ascii="Times New Roman" w:hAnsi="Times New Roman" w:cs="Times New Roman" w:eastAsia="Times New Roman" w:hint="default"/>
        </w:rPr>
        <w:t>2</w:t>
      </w:r>
      <w:r>
        <w:rPr/>
        <w:t>）单项金额非重大并已单独计提坏账准备的款项</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480"/>
        <w:gridCol w:w="1634"/>
        <w:gridCol w:w="1426"/>
        <w:gridCol w:w="970"/>
        <w:gridCol w:w="1817"/>
      </w:tblGrid>
      <w:tr>
        <w:trPr>
          <w:trHeight w:val="362" w:hRule="exact"/>
        </w:trPr>
        <w:tc>
          <w:tcPr>
            <w:tcW w:w="2480"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84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2480" w:type="dxa"/>
            <w:vMerge/>
            <w:tcBorders>
              <w:left w:val="nil" w:sz="6" w:space="0" w:color="auto"/>
              <w:bottom w:val="dotted" w:sz="4" w:space="0" w:color="000000"/>
              <w:right w:val="dotted" w:sz="4" w:space="0" w:color="000000"/>
            </w:tcBorders>
          </w:tcPr>
          <w:p>
            <w:pP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left="54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213,169.62</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1,065.85</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客户违约</w:t>
            </w:r>
          </w:p>
        </w:tc>
      </w:tr>
      <w:tr>
        <w:trPr>
          <w:trHeight w:val="403"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4,679,973.38</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2,105,988.02</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45.00</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客户违约</w:t>
            </w:r>
          </w:p>
        </w:tc>
      </w:tr>
      <w:tr>
        <w:trPr>
          <w:trHeight w:val="401" w:hRule="exact"/>
        </w:trPr>
        <w:tc>
          <w:tcPr>
            <w:tcW w:w="24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6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1,418,835.62</w:t>
            </w:r>
          </w:p>
        </w:tc>
        <w:tc>
          <w:tcPr>
            <w:tcW w:w="14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1,418,835.62</w:t>
            </w:r>
          </w:p>
        </w:tc>
        <w:tc>
          <w:tcPr>
            <w:tcW w:w="9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8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13" w:hRule="exact"/>
        </w:trPr>
        <w:tc>
          <w:tcPr>
            <w:tcW w:w="24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6,311,978.62</w:t>
            </w:r>
          </w:p>
        </w:tc>
        <w:tc>
          <w:tcPr>
            <w:tcW w:w="14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3,525,889.49</w:t>
            </w:r>
          </w:p>
        </w:tc>
        <w:tc>
          <w:tcPr>
            <w:tcW w:w="970" w:type="dxa"/>
            <w:tcBorders>
              <w:top w:val="dotted" w:sz="4" w:space="0" w:color="000000"/>
              <w:left w:val="dotted" w:sz="4" w:space="0" w:color="000000"/>
              <w:bottom w:val="single" w:sz="12" w:space="0" w:color="000000"/>
              <w:right w:val="dotted" w:sz="4" w:space="0" w:color="000000"/>
            </w:tcBorders>
          </w:tcPr>
          <w:p>
            <w:pPr/>
          </w:p>
        </w:tc>
        <w:tc>
          <w:tcPr>
            <w:tcW w:w="181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left="498" w:right="1786"/>
        <w:jc w:val="left"/>
        <w:rPr>
          <w:b w:val="0"/>
          <w:bCs w:val="0"/>
        </w:rPr>
      </w:pPr>
      <w:r>
        <w:rPr/>
        <w:t>（</w:t>
      </w:r>
      <w:r>
        <w:rPr>
          <w:rFonts w:ascii="Times New Roman" w:hAnsi="Times New Roman" w:cs="Times New Roman" w:eastAsia="Times New Roman" w:hint="default"/>
        </w:rPr>
        <w:t>3</w:t>
      </w:r>
      <w:r>
        <w:rPr/>
        <w:t>）按组合计提预期信用损失的应收账款</w:t>
      </w:r>
      <w:r>
        <w:rPr>
          <w:b w:val="0"/>
          <w:bCs w:val="0"/>
        </w:rPr>
      </w:r>
    </w:p>
    <w:p>
      <w:pPr>
        <w:spacing w:after="0" w:line="335" w:lineRule="exact"/>
        <w:jc w:val="left"/>
        <w:sectPr>
          <w:pgSz w:w="11910" w:h="16840"/>
          <w:pgMar w:header="877" w:footer="979" w:top="1100" w:bottom="1160" w:left="1660" w:right="0"/>
        </w:sectPr>
      </w:pPr>
    </w:p>
    <w:p>
      <w:pPr>
        <w:spacing w:line="240" w:lineRule="auto" w:before="6"/>
        <w:rPr>
          <w:rFonts w:ascii="Microsoft JhengHei" w:hAnsi="Microsoft JhengHei" w:cs="Microsoft JhengHei" w:eastAsia="Microsoft JhengHei" w:hint="default"/>
          <w:b/>
          <w:bCs/>
          <w:sz w:val="14"/>
          <w:szCs w:val="14"/>
        </w:rPr>
      </w:pPr>
    </w:p>
    <w:p>
      <w:pPr>
        <w:pStyle w:val="Heading4"/>
        <w:spacing w:line="335" w:lineRule="exact"/>
        <w:ind w:left="138" w:right="1786"/>
        <w:jc w:val="left"/>
        <w:rPr>
          <w:b w:val="0"/>
          <w:bCs w:val="0"/>
        </w:rPr>
      </w:pPr>
      <w:r>
        <w:rPr>
          <w:w w:val="100"/>
        </w:rPr>
        <w:t>组合</w:t>
      </w:r>
      <w:r>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中，按账龄分析</w:t>
      </w:r>
      <w:r>
        <w:rPr>
          <w:spacing w:val="-3"/>
          <w:w w:val="100"/>
        </w:rPr>
        <w:t>法</w:t>
      </w:r>
      <w:r>
        <w:rPr>
          <w:w w:val="100"/>
        </w:rPr>
        <w:t>计提坏账准备的应</w:t>
      </w:r>
      <w:r>
        <w:rPr>
          <w:spacing w:val="-3"/>
          <w:w w:val="100"/>
        </w:rPr>
        <w:t>收</w:t>
      </w:r>
      <w:r>
        <w:rPr>
          <w:w w:val="100"/>
        </w:rPr>
        <w:t>账</w:t>
      </w:r>
      <w:r>
        <w:rPr>
          <w:spacing w:val="-3"/>
          <w:w w:val="100"/>
        </w:rPr>
        <w:t>款</w:t>
      </w:r>
      <w:r>
        <w:rPr>
          <w:w w:val="100"/>
        </w:rPr>
        <w:t>（非证券业务</w:t>
      </w:r>
      <w:r>
        <w:rPr>
          <w:spacing w:val="-106"/>
          <w:w w:val="100"/>
        </w:rPr>
        <w:t>）</w:t>
      </w:r>
      <w:r>
        <w:rPr>
          <w:w w:val="100"/>
        </w:rPr>
        <w:t>：</w:t>
      </w:r>
      <w:r>
        <w:rPr>
          <w:b w:val="0"/>
          <w:bCs w:val="0"/>
          <w:w w:val="10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504"/>
        <w:gridCol w:w="1942"/>
        <w:gridCol w:w="1942"/>
        <w:gridCol w:w="1940"/>
      </w:tblGrid>
      <w:tr>
        <w:trPr>
          <w:trHeight w:val="360" w:hRule="exact"/>
        </w:trPr>
        <w:tc>
          <w:tcPr>
            <w:tcW w:w="250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2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04" w:type="dxa"/>
            <w:vMerge/>
            <w:tcBorders>
              <w:left w:val="nil" w:sz="6" w:space="0" w:color="auto"/>
              <w:bottom w:val="dotted" w:sz="4" w:space="0" w:color="000000"/>
              <w:right w:val="dotted" w:sz="4" w:space="0" w:color="000000"/>
            </w:tcBorders>
          </w:tcPr>
          <w:p>
            <w:pP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50"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440.97</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440.97</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4"/>
              <w:ind w:right="8"/>
              <w:jc w:val="center"/>
              <w:rPr>
                <w:rFonts w:ascii="Arial" w:hAnsi="Arial" w:cs="Arial" w:eastAsia="Arial" w:hint="default"/>
                <w:sz w:val="18"/>
                <w:szCs w:val="18"/>
              </w:rPr>
            </w:pPr>
            <w:r>
              <w:rPr>
                <w:rFonts w:ascii="Arial"/>
                <w:spacing w:val="-2"/>
                <w:w w:val="90"/>
                <w:sz w:val="18"/>
              </w:rPr>
              <w:t>100</w:t>
            </w:r>
            <w:r>
              <w:rPr>
                <w:rFonts w:ascii="Arial"/>
                <w:sz w:val="18"/>
              </w:rPr>
            </w:r>
          </w:p>
        </w:tc>
      </w:tr>
      <w:tr>
        <w:trPr>
          <w:trHeight w:val="360" w:hRule="exact"/>
        </w:trPr>
        <w:tc>
          <w:tcPr>
            <w:tcW w:w="25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440.97</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440.97</w:t>
            </w:r>
          </w:p>
        </w:tc>
        <w:tc>
          <w:tcPr>
            <w:tcW w:w="194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138" w:right="1786"/>
        <w:jc w:val="left"/>
        <w:rPr>
          <w:b w:val="0"/>
          <w:bCs w:val="0"/>
        </w:rPr>
      </w:pPr>
      <w:r>
        <w:rPr>
          <w:w w:val="100"/>
        </w:rPr>
        <w:t>组合</w:t>
      </w:r>
      <w:r>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中，按账龄分析</w:t>
      </w:r>
      <w:r>
        <w:rPr>
          <w:spacing w:val="-3"/>
          <w:w w:val="100"/>
        </w:rPr>
        <w:t>法</w:t>
      </w:r>
      <w:r>
        <w:rPr>
          <w:w w:val="100"/>
        </w:rPr>
        <w:t>计提坏账准备的应</w:t>
      </w:r>
      <w:r>
        <w:rPr>
          <w:spacing w:val="-3"/>
          <w:w w:val="100"/>
        </w:rPr>
        <w:t>收</w:t>
      </w:r>
      <w:r>
        <w:rPr>
          <w:w w:val="100"/>
        </w:rPr>
        <w:t>账</w:t>
      </w:r>
      <w:r>
        <w:rPr>
          <w:spacing w:val="-3"/>
          <w:w w:val="100"/>
        </w:rPr>
        <w:t>款</w:t>
      </w:r>
      <w:r>
        <w:rPr>
          <w:w w:val="100"/>
        </w:rPr>
        <w:t>（证券业务</w:t>
      </w:r>
      <w:r>
        <w:rPr>
          <w:spacing w:val="-106"/>
          <w:w w:val="100"/>
        </w:rPr>
        <w:t>）</w:t>
      </w:r>
      <w:r>
        <w:rPr>
          <w:w w:val="100"/>
        </w:rPr>
        <w:t>：</w:t>
      </w:r>
      <w:r>
        <w:rPr>
          <w:b w:val="0"/>
          <w:bCs w:val="0"/>
          <w:w w:val="10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504"/>
        <w:gridCol w:w="1942"/>
        <w:gridCol w:w="1942"/>
        <w:gridCol w:w="1940"/>
      </w:tblGrid>
      <w:tr>
        <w:trPr>
          <w:trHeight w:val="360" w:hRule="exact"/>
        </w:trPr>
        <w:tc>
          <w:tcPr>
            <w:tcW w:w="250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2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1" w:hRule="exact"/>
        </w:trPr>
        <w:tc>
          <w:tcPr>
            <w:tcW w:w="2504" w:type="dxa"/>
            <w:vMerge/>
            <w:tcBorders>
              <w:left w:val="nil" w:sz="6" w:space="0" w:color="auto"/>
              <w:bottom w:val="dotted" w:sz="4" w:space="0" w:color="000000"/>
              <w:right w:val="dotted" w:sz="4" w:space="0" w:color="000000"/>
            </w:tcBorders>
          </w:tcPr>
          <w:p>
            <w:pP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3"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76,542,697.69</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382,713.49</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3"/>
              <w:jc w:val="center"/>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75,124,108.27</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375,620.54</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494"/>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1,418,589.42</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7,092.95</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404"/>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2" w:type="dxa"/>
            <w:tcBorders>
              <w:top w:val="dotted" w:sz="4" w:space="0" w:color="000000"/>
              <w:left w:val="dotted" w:sz="4" w:space="0" w:color="000000"/>
              <w:bottom w:val="dotted" w:sz="4" w:space="0" w:color="000000"/>
              <w:right w:val="dotted" w:sz="4" w:space="0" w:color="000000"/>
            </w:tcBorders>
          </w:tcPr>
          <w:p>
            <w:pPr/>
          </w:p>
        </w:tc>
        <w:tc>
          <w:tcPr>
            <w:tcW w:w="1942"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w:t>
            </w:r>
            <w:r>
              <w:rPr>
                <w:rFonts w:ascii="Arial" w:hAnsi="Arial" w:cs="Arial" w:eastAsia="Arial" w:hint="default"/>
                <w:w w:val="95"/>
                <w:sz w:val="18"/>
                <w:szCs w:val="18"/>
              </w:rPr>
              <w:t>2</w:t>
            </w:r>
            <w:r>
              <w:rPr>
                <w:rFonts w:ascii="Arial" w:hAnsi="Arial" w:cs="Arial" w:eastAsia="Arial" w:hint="default"/>
                <w:spacing w:val="-13"/>
                <w:w w:val="95"/>
                <w:sz w:val="18"/>
                <w:szCs w:val="18"/>
              </w:rPr>
              <w:t> </w:t>
            </w:r>
            <w:r>
              <w:rPr>
                <w:rFonts w:ascii="宋体" w:hAnsi="宋体" w:cs="宋体" w:eastAsia="宋体" w:hint="default"/>
                <w:w w:val="95"/>
                <w:sz w:val="18"/>
                <w:szCs w:val="18"/>
              </w:rPr>
              <w:t>年</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591,854.29</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5,918.54</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3"/>
              <w:jc w:val="center"/>
              <w:rPr>
                <w:rFonts w:ascii="Times New Roman" w:hAnsi="Times New Roman" w:cs="Times New Roman" w:eastAsia="Times New Roman" w:hint="default"/>
                <w:sz w:val="18"/>
                <w:szCs w:val="18"/>
              </w:rPr>
            </w:pPr>
            <w:r>
              <w:rPr>
                <w:rFonts w:ascii="Times New Roman"/>
                <w:sz w:val="18"/>
              </w:rPr>
              <w:t>1.00</w:t>
            </w:r>
          </w:p>
        </w:tc>
      </w:tr>
      <w:tr>
        <w:trPr>
          <w:trHeight w:val="360" w:hRule="exact"/>
        </w:trPr>
        <w:tc>
          <w:tcPr>
            <w:tcW w:w="25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77,134,551.98</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388,632.03</w:t>
            </w:r>
          </w:p>
        </w:tc>
        <w:tc>
          <w:tcPr>
            <w:tcW w:w="194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138" w:right="1786"/>
        <w:jc w:val="left"/>
        <w:rPr>
          <w:b w:val="0"/>
          <w:bCs w:val="0"/>
        </w:rPr>
      </w:pPr>
      <w:r>
        <w:rPr>
          <w:w w:val="100"/>
        </w:rPr>
        <w:t>组合</w:t>
      </w:r>
      <w:r>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中，按特定组合</w:t>
      </w:r>
      <w:r>
        <w:rPr>
          <w:spacing w:val="-3"/>
          <w:w w:val="100"/>
        </w:rPr>
        <w:t>法</w:t>
      </w:r>
      <w:r>
        <w:rPr>
          <w:w w:val="100"/>
        </w:rPr>
        <w:t>计提坏账准备的应</w:t>
      </w:r>
      <w:r>
        <w:rPr>
          <w:spacing w:val="-3"/>
          <w:w w:val="100"/>
        </w:rPr>
        <w:t>收</w:t>
      </w:r>
      <w:r>
        <w:rPr>
          <w:w w:val="100"/>
        </w:rPr>
        <w:t>账</w:t>
      </w:r>
      <w:r>
        <w:rPr>
          <w:spacing w:val="-3"/>
          <w:w w:val="100"/>
        </w:rPr>
        <w:t>款</w:t>
      </w:r>
      <w:r>
        <w:rPr>
          <w:w w:val="100"/>
        </w:rPr>
        <w:t>（证券业务</w:t>
      </w:r>
      <w:r>
        <w:rPr>
          <w:spacing w:val="-106"/>
          <w:w w:val="100"/>
        </w:rPr>
        <w:t>）</w:t>
      </w:r>
      <w:r>
        <w:rPr>
          <w:w w:val="100"/>
        </w:rPr>
        <w:t>：</w:t>
      </w:r>
      <w:r>
        <w:rPr>
          <w:b w:val="0"/>
          <w:bCs w:val="0"/>
          <w:w w:val="10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504"/>
        <w:gridCol w:w="1942"/>
        <w:gridCol w:w="1942"/>
        <w:gridCol w:w="1940"/>
      </w:tblGrid>
      <w:tr>
        <w:trPr>
          <w:trHeight w:val="360" w:hRule="exact"/>
        </w:trPr>
        <w:tc>
          <w:tcPr>
            <w:tcW w:w="250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2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04" w:type="dxa"/>
            <w:vMerge/>
            <w:tcBorders>
              <w:left w:val="nil" w:sz="6" w:space="0" w:color="auto"/>
              <w:bottom w:val="dotted" w:sz="4" w:space="0" w:color="000000"/>
              <w:right w:val="dotted" w:sz="4" w:space="0" w:color="000000"/>
            </w:tcBorders>
          </w:tcPr>
          <w:p>
            <w:pP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3"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126,347,709.71</w:t>
            </w:r>
          </w:p>
        </w:tc>
        <w:tc>
          <w:tcPr>
            <w:tcW w:w="1942"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126,347,709.71</w:t>
            </w:r>
          </w:p>
        </w:tc>
        <w:tc>
          <w:tcPr>
            <w:tcW w:w="1942"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1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42" w:type="dxa"/>
            <w:tcBorders>
              <w:top w:val="dotted" w:sz="4" w:space="0" w:color="000000"/>
              <w:left w:val="dotted" w:sz="4" w:space="0" w:color="000000"/>
              <w:bottom w:val="dotted" w:sz="4" w:space="0" w:color="000000"/>
              <w:right w:val="dotted" w:sz="4" w:space="0" w:color="000000"/>
            </w:tcBorders>
          </w:tcPr>
          <w:p>
            <w:pPr/>
          </w:p>
        </w:tc>
        <w:tc>
          <w:tcPr>
            <w:tcW w:w="1942"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1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2" w:type="dxa"/>
            <w:tcBorders>
              <w:top w:val="dotted" w:sz="4" w:space="0" w:color="000000"/>
              <w:left w:val="dotted" w:sz="4" w:space="0" w:color="000000"/>
              <w:bottom w:val="dotted" w:sz="4" w:space="0" w:color="000000"/>
              <w:right w:val="dotted" w:sz="4" w:space="0" w:color="000000"/>
            </w:tcBorders>
          </w:tcPr>
          <w:p>
            <w:pPr/>
          </w:p>
        </w:tc>
        <w:tc>
          <w:tcPr>
            <w:tcW w:w="1942" w:type="dxa"/>
            <w:tcBorders>
              <w:top w:val="dotted" w:sz="4" w:space="0" w:color="000000"/>
              <w:left w:val="dotted" w:sz="4" w:space="0" w:color="000000"/>
              <w:bottom w:val="dotted" w:sz="4" w:space="0" w:color="000000"/>
              <w:right w:val="dotted" w:sz="4" w:space="0" w:color="000000"/>
            </w:tcBorders>
          </w:tcPr>
          <w:p>
            <w:pPr/>
          </w:p>
        </w:tc>
        <w:tc>
          <w:tcPr>
            <w:tcW w:w="1940"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5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126,347,709.71</w:t>
            </w:r>
          </w:p>
        </w:tc>
        <w:tc>
          <w:tcPr>
            <w:tcW w:w="1942" w:type="dxa"/>
            <w:tcBorders>
              <w:top w:val="dotted" w:sz="4" w:space="0" w:color="000000"/>
              <w:left w:val="dotted" w:sz="4" w:space="0" w:color="000000"/>
              <w:bottom w:val="single" w:sz="12" w:space="0" w:color="000000"/>
              <w:right w:val="dotted" w:sz="4" w:space="0" w:color="000000"/>
            </w:tcBorders>
          </w:tcPr>
          <w:p>
            <w:pPr/>
          </w:p>
        </w:tc>
        <w:tc>
          <w:tcPr>
            <w:tcW w:w="194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16"/>
          <w:szCs w:val="16"/>
        </w:rPr>
      </w:pPr>
    </w:p>
    <w:p>
      <w:pPr>
        <w:pStyle w:val="Heading4"/>
        <w:spacing w:line="335" w:lineRule="exact"/>
        <w:ind w:right="1786"/>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按账龄披露应收账款</w:t>
      </w:r>
      <w:r>
        <w:rPr>
          <w:b w:val="0"/>
          <w:bCs w:val="0"/>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2614"/>
        <w:gridCol w:w="2835"/>
        <w:gridCol w:w="2878"/>
      </w:tblGrid>
      <w:tr>
        <w:trPr>
          <w:trHeight w:val="360" w:hRule="exact"/>
        </w:trPr>
        <w:tc>
          <w:tcPr>
            <w:tcW w:w="26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114"/>
              <w:jc w:val="right"/>
              <w:rPr>
                <w:rFonts w:ascii="宋体" w:hAnsi="宋体" w:cs="宋体" w:eastAsia="宋体" w:hint="default"/>
                <w:sz w:val="18"/>
                <w:szCs w:val="18"/>
              </w:rPr>
            </w:pPr>
            <w:r>
              <w:rPr>
                <w:rFonts w:ascii="宋体" w:hAnsi="宋体" w:cs="宋体" w:eastAsia="宋体" w:hint="default"/>
                <w:sz w:val="18"/>
                <w:szCs w:val="18"/>
              </w:rPr>
              <w:t>账龄</w:t>
            </w:r>
          </w:p>
        </w:tc>
        <w:tc>
          <w:tcPr>
            <w:tcW w:w="28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6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202,890,407.40</w:t>
            </w:r>
          </w:p>
        </w:tc>
        <w:tc>
          <w:tcPr>
            <w:tcW w:w="28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271,840,400.92</w:t>
            </w:r>
          </w:p>
        </w:tc>
      </w:tr>
      <w:tr>
        <w:trPr>
          <w:trHeight w:val="348" w:hRule="exact"/>
        </w:trPr>
        <w:tc>
          <w:tcPr>
            <w:tcW w:w="26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w:t>
            </w:r>
            <w:r>
              <w:rPr>
                <w:rFonts w:ascii="Arial" w:hAnsi="Arial" w:cs="Arial" w:eastAsia="Arial" w:hint="default"/>
                <w:w w:val="95"/>
                <w:sz w:val="18"/>
                <w:szCs w:val="18"/>
              </w:rPr>
              <w:t>2</w:t>
            </w:r>
            <w:r>
              <w:rPr>
                <w:rFonts w:ascii="Arial" w:hAnsi="Arial" w:cs="Arial" w:eastAsia="Arial" w:hint="default"/>
                <w:spacing w:val="-13"/>
                <w:w w:val="95"/>
                <w:sz w:val="18"/>
                <w:szCs w:val="18"/>
              </w:rPr>
              <w:t> </w:t>
            </w:r>
            <w:r>
              <w:rPr>
                <w:rFonts w:ascii="宋体" w:hAnsi="宋体" w:cs="宋体" w:eastAsia="宋体" w:hint="default"/>
                <w:w w:val="95"/>
                <w:sz w:val="18"/>
                <w:szCs w:val="18"/>
              </w:rPr>
              <w:t>年</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10,576,842.99</w:t>
            </w:r>
          </w:p>
        </w:tc>
        <w:tc>
          <w:tcPr>
            <w:tcW w:w="28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2,039,252.28</w:t>
            </w:r>
          </w:p>
        </w:tc>
      </w:tr>
      <w:tr>
        <w:trPr>
          <w:trHeight w:val="350" w:hRule="exact"/>
        </w:trPr>
        <w:tc>
          <w:tcPr>
            <w:tcW w:w="26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w:t>
            </w:r>
            <w:r>
              <w:rPr>
                <w:rFonts w:ascii="Arial" w:hAnsi="Arial" w:cs="Arial" w:eastAsia="Arial" w:hint="default"/>
                <w:w w:val="95"/>
                <w:sz w:val="18"/>
                <w:szCs w:val="18"/>
              </w:rPr>
              <w:t>3</w:t>
            </w:r>
            <w:r>
              <w:rPr>
                <w:rFonts w:ascii="Arial" w:hAnsi="Arial" w:cs="Arial" w:eastAsia="Arial" w:hint="default"/>
                <w:spacing w:val="-13"/>
                <w:w w:val="95"/>
                <w:sz w:val="18"/>
                <w:szCs w:val="18"/>
              </w:rPr>
              <w:t> </w:t>
            </w:r>
            <w:r>
              <w:rPr>
                <w:rFonts w:ascii="宋体" w:hAnsi="宋体" w:cs="宋体" w:eastAsia="宋体" w:hint="default"/>
                <w:w w:val="95"/>
                <w:sz w:val="18"/>
                <w:szCs w:val="18"/>
              </w:rPr>
              <w:t>年</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1,632,005.24</w:t>
            </w:r>
          </w:p>
        </w:tc>
        <w:tc>
          <w:tcPr>
            <w:tcW w:w="287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6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440.97</w:t>
            </w:r>
          </w:p>
        </w:tc>
        <w:tc>
          <w:tcPr>
            <w:tcW w:w="28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433.82</w:t>
            </w:r>
          </w:p>
        </w:tc>
      </w:tr>
      <w:tr>
        <w:trPr>
          <w:trHeight w:val="350" w:hRule="exact"/>
        </w:trPr>
        <w:tc>
          <w:tcPr>
            <w:tcW w:w="26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1114"/>
              <w:jc w:val="right"/>
              <w:rPr>
                <w:rFonts w:ascii="宋体" w:hAnsi="宋体" w:cs="宋体" w:eastAsia="宋体" w:hint="default"/>
                <w:sz w:val="18"/>
                <w:szCs w:val="18"/>
              </w:rPr>
            </w:pPr>
            <w:r>
              <w:rPr>
                <w:rFonts w:ascii="宋体" w:hAnsi="宋体" w:cs="宋体" w:eastAsia="宋体" w:hint="default"/>
                <w:sz w:val="18"/>
                <w:szCs w:val="18"/>
              </w:rPr>
              <w:t>小计</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215,099,696.60</w:t>
            </w:r>
          </w:p>
        </w:tc>
        <w:tc>
          <w:tcPr>
            <w:tcW w:w="28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273,880,087.02</w:t>
            </w:r>
          </w:p>
        </w:tc>
      </w:tr>
      <w:tr>
        <w:trPr>
          <w:trHeight w:val="350" w:hRule="exact"/>
        </w:trPr>
        <w:tc>
          <w:tcPr>
            <w:tcW w:w="26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9,219,977.81</w:t>
            </w:r>
          </w:p>
        </w:tc>
        <w:tc>
          <w:tcPr>
            <w:tcW w:w="28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7,513,309.29</w:t>
            </w:r>
          </w:p>
        </w:tc>
      </w:tr>
      <w:tr>
        <w:trPr>
          <w:trHeight w:val="360" w:hRule="exact"/>
        </w:trPr>
        <w:tc>
          <w:tcPr>
            <w:tcW w:w="26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114"/>
              <w:jc w:val="righ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205,879,718.79</w:t>
            </w:r>
          </w:p>
        </w:tc>
        <w:tc>
          <w:tcPr>
            <w:tcW w:w="28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266,366,777.73</w:t>
            </w: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6"/>
        </w:rPr>
        <w:t> </w:t>
      </w:r>
      <w:r>
        <w:rPr/>
        <w:t>本期计提、收回或转回的坏账准备情况</w:t>
      </w:r>
      <w:r>
        <w:rPr>
          <w:b w:val="0"/>
          <w:bCs w:val="0"/>
        </w:rPr>
      </w:r>
    </w:p>
    <w:p>
      <w:pPr>
        <w:spacing w:after="0" w:line="335" w:lineRule="exact"/>
        <w:jc w:val="left"/>
        <w:sectPr>
          <w:pgSz w:w="11910" w:h="16840"/>
          <w:pgMar w:header="877" w:footer="979" w:top="1100" w:bottom="1160" w:left="16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1934"/>
        <w:gridCol w:w="1232"/>
        <w:gridCol w:w="1114"/>
        <w:gridCol w:w="1181"/>
        <w:gridCol w:w="938"/>
        <w:gridCol w:w="994"/>
        <w:gridCol w:w="1147"/>
      </w:tblGrid>
      <w:tr>
        <w:trPr>
          <w:trHeight w:val="428" w:hRule="exact"/>
        </w:trPr>
        <w:tc>
          <w:tcPr>
            <w:tcW w:w="193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32"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227"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本期变动情况</w:t>
            </w:r>
          </w:p>
        </w:tc>
        <w:tc>
          <w:tcPr>
            <w:tcW w:w="1147" w:type="dxa"/>
            <w:vMerge w:val="restart"/>
            <w:tcBorders>
              <w:top w:val="single" w:sz="12" w:space="0" w:color="000000"/>
              <w:left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7" w:hRule="exact"/>
        </w:trPr>
        <w:tc>
          <w:tcPr>
            <w:tcW w:w="1934" w:type="dxa"/>
            <w:vMerge/>
            <w:tcBorders>
              <w:left w:val="nil" w:sz="6" w:space="0" w:color="auto"/>
              <w:bottom w:val="single" w:sz="12" w:space="0" w:color="000000"/>
              <w:right w:val="dotted" w:sz="4" w:space="0" w:color="000000"/>
            </w:tcBorders>
          </w:tcPr>
          <w:p>
            <w:pPr/>
          </w:p>
        </w:tc>
        <w:tc>
          <w:tcPr>
            <w:tcW w:w="1232" w:type="dxa"/>
            <w:vMerge/>
            <w:tcBorders>
              <w:left w:val="dotted" w:sz="4" w:space="0" w:color="000000"/>
              <w:bottom w:val="single" w:sz="12" w:space="0" w:color="000000"/>
              <w:right w:val="dotted" w:sz="4" w:space="0" w:color="000000"/>
            </w:tcBorders>
          </w:tcPr>
          <w:p>
            <w:pP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34"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283"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3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47" w:type="dxa"/>
            <w:vMerge/>
            <w:tcBorders>
              <w:left w:val="dotted" w:sz="4" w:space="0" w:color="000000"/>
              <w:bottom w:val="dotted" w:sz="4" w:space="0" w:color="000000"/>
              <w:right w:val="nil" w:sz="6" w:space="0" w:color="auto"/>
            </w:tcBorders>
          </w:tcPr>
          <w:p>
            <w:pPr/>
          </w:p>
        </w:tc>
      </w:tr>
      <w:tr>
        <w:trPr>
          <w:trHeight w:val="437" w:hRule="exact"/>
        </w:trPr>
        <w:tc>
          <w:tcPr>
            <w:tcW w:w="19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5"/>
              <w:ind w:right="53"/>
              <w:jc w:val="right"/>
              <w:rPr>
                <w:rFonts w:ascii="宋体" w:hAnsi="宋体" w:cs="宋体" w:eastAsia="宋体" w:hint="default"/>
                <w:sz w:val="18"/>
                <w:szCs w:val="18"/>
              </w:rPr>
            </w:pPr>
            <w:r>
              <w:rPr>
                <w:rFonts w:ascii="宋体" w:hAnsi="宋体" w:cs="宋体" w:eastAsia="宋体" w:hint="default"/>
                <w:sz w:val="18"/>
                <w:szCs w:val="18"/>
              </w:rPr>
              <w:t>按“一般方法”计提：</w:t>
            </w:r>
          </w:p>
        </w:tc>
        <w:tc>
          <w:tcPr>
            <w:tcW w:w="1232" w:type="dxa"/>
            <w:tcBorders>
              <w:top w:val="single" w:sz="12" w:space="0" w:color="000000"/>
              <w:left w:val="dotted" w:sz="4" w:space="0" w:color="000000"/>
              <w:bottom w:val="dotted" w:sz="4" w:space="0" w:color="000000"/>
              <w:right w:val="dotted" w:sz="4" w:space="0" w:color="000000"/>
            </w:tcBorders>
          </w:tcPr>
          <w:p>
            <w:pPr/>
          </w:p>
        </w:tc>
        <w:tc>
          <w:tcPr>
            <w:tcW w:w="1114" w:type="dxa"/>
            <w:tcBorders>
              <w:top w:val="dotted" w:sz="4" w:space="0" w:color="000000"/>
              <w:left w:val="dotted" w:sz="4" w:space="0" w:color="000000"/>
              <w:bottom w:val="dotted" w:sz="4" w:space="0" w:color="000000"/>
              <w:right w:val="dotted" w:sz="4" w:space="0" w:color="000000"/>
            </w:tcBorders>
          </w:tcPr>
          <w:p>
            <w:pPr/>
          </w:p>
        </w:tc>
        <w:tc>
          <w:tcPr>
            <w:tcW w:w="1181"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6" w:firstLine="180"/>
              <w:jc w:val="left"/>
              <w:rPr>
                <w:rFonts w:ascii="宋体" w:hAnsi="宋体" w:cs="宋体" w:eastAsia="宋体" w:hint="default"/>
                <w:sz w:val="18"/>
                <w:szCs w:val="18"/>
              </w:rPr>
            </w:pPr>
            <w:r>
              <w:rPr>
                <w:rFonts w:ascii="宋体" w:hAnsi="宋体" w:cs="宋体" w:eastAsia="宋体" w:hint="default"/>
                <w:spacing w:val="9"/>
                <w:sz w:val="18"/>
                <w:szCs w:val="18"/>
              </w:rPr>
              <w:t>单项金额重大并已单</w:t>
            </w:r>
            <w:r>
              <w:rPr>
                <w:rFonts w:ascii="宋体" w:hAnsi="宋体" w:cs="宋体" w:eastAsia="宋体" w:hint="default"/>
                <w:sz w:val="18"/>
                <w:szCs w:val="18"/>
              </w:rPr>
              <w:t> 独计提坏账准备的款项</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5,305,015.32</w:t>
            </w:r>
          </w:p>
        </w:tc>
        <w:tc>
          <w:tcPr>
            <w:tcW w:w="1114" w:type="dxa"/>
            <w:tcBorders>
              <w:top w:val="dotted" w:sz="4" w:space="0" w:color="000000"/>
              <w:left w:val="dotted" w:sz="4" w:space="0" w:color="000000"/>
              <w:bottom w:val="dotted" w:sz="4" w:space="0" w:color="000000"/>
              <w:right w:val="dotted" w:sz="4" w:space="0" w:color="000000"/>
            </w:tcBorders>
          </w:tcPr>
          <w:p>
            <w:pPr/>
          </w:p>
        </w:tc>
        <w:tc>
          <w:tcPr>
            <w:tcW w:w="1181"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vMerge w:val="restart"/>
            <w:tcBorders>
              <w:top w:val="dotted" w:sz="4" w:space="0" w:color="000000"/>
              <w:left w:val="dotted" w:sz="4" w:space="0" w:color="000000"/>
              <w:right w:val="dotted" w:sz="4" w:space="0" w:color="000000"/>
            </w:tcBorders>
          </w:tcPr>
          <w:p>
            <w:pPr/>
          </w:p>
        </w:tc>
        <w:tc>
          <w:tcPr>
            <w:tcW w:w="1147" w:type="dxa"/>
            <w:tcBorders>
              <w:top w:val="dotted" w:sz="4" w:space="0" w:color="000000"/>
              <w:left w:val="dotted" w:sz="4" w:space="0" w:color="000000"/>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5,305,015.32</w:t>
            </w:r>
          </w:p>
        </w:tc>
      </w:tr>
      <w:tr>
        <w:trPr>
          <w:trHeight w:val="360" w:hRule="exact"/>
        </w:trPr>
        <w:tc>
          <w:tcPr>
            <w:tcW w:w="1934" w:type="dxa"/>
            <w:tcBorders>
              <w:top w:val="dotted" w:sz="4" w:space="0" w:color="000000"/>
              <w:left w:val="nil" w:sz="6" w:space="0" w:color="auto"/>
              <w:bottom w:val="nil" w:sz="6" w:space="0" w:color="auto"/>
              <w:right w:val="dotted" w:sz="4" w:space="0" w:color="000000"/>
            </w:tcBorders>
          </w:tcPr>
          <w:p>
            <w:pPr>
              <w:pStyle w:val="TableParagraph"/>
              <w:spacing w:line="240" w:lineRule="auto" w:before="53"/>
              <w:ind w:right="6"/>
              <w:jc w:val="right"/>
              <w:rPr>
                <w:rFonts w:ascii="宋体" w:hAnsi="宋体" w:cs="宋体" w:eastAsia="宋体" w:hint="default"/>
                <w:sz w:val="18"/>
                <w:szCs w:val="18"/>
              </w:rPr>
            </w:pPr>
            <w:r>
              <w:rPr>
                <w:rFonts w:ascii="宋体" w:hAnsi="宋体" w:cs="宋体" w:eastAsia="宋体" w:hint="default"/>
                <w:spacing w:val="9"/>
                <w:sz w:val="18"/>
                <w:szCs w:val="18"/>
              </w:rPr>
              <w:t>单项金额非重大并已</w:t>
            </w:r>
          </w:p>
        </w:tc>
        <w:tc>
          <w:tcPr>
            <w:tcW w:w="1232" w:type="dxa"/>
            <w:tcBorders>
              <w:top w:val="dotted" w:sz="4" w:space="0" w:color="000000"/>
              <w:left w:val="dotted" w:sz="4" w:space="0" w:color="000000"/>
              <w:bottom w:val="nil" w:sz="6" w:space="0" w:color="auto"/>
              <w:right w:val="dotted" w:sz="4" w:space="0" w:color="000000"/>
            </w:tcBorders>
          </w:tcPr>
          <w:p>
            <w:pPr/>
          </w:p>
        </w:tc>
        <w:tc>
          <w:tcPr>
            <w:tcW w:w="1114" w:type="dxa"/>
            <w:tcBorders>
              <w:top w:val="dotted" w:sz="4" w:space="0" w:color="000000"/>
              <w:left w:val="dotted" w:sz="4" w:space="0" w:color="000000"/>
              <w:bottom w:val="nil" w:sz="6" w:space="0" w:color="auto"/>
              <w:right w:val="dotted" w:sz="4" w:space="0" w:color="000000"/>
            </w:tcBorders>
          </w:tcPr>
          <w:p>
            <w:pPr/>
          </w:p>
        </w:tc>
        <w:tc>
          <w:tcPr>
            <w:tcW w:w="1181" w:type="dxa"/>
            <w:vMerge w:val="restart"/>
            <w:tcBorders>
              <w:top w:val="dotted" w:sz="4" w:space="0" w:color="000000"/>
              <w:left w:val="dotted" w:sz="4" w:space="0" w:color="000000"/>
              <w:right w:val="dotted" w:sz="4" w:space="0" w:color="000000"/>
            </w:tcBorders>
          </w:tcPr>
          <w:p>
            <w:pPr/>
          </w:p>
        </w:tc>
        <w:tc>
          <w:tcPr>
            <w:tcW w:w="938" w:type="dxa"/>
            <w:vMerge w:val="restart"/>
            <w:tcBorders>
              <w:top w:val="dotted" w:sz="4" w:space="0" w:color="000000"/>
              <w:left w:val="dotted" w:sz="4" w:space="0" w:color="000000"/>
              <w:right w:val="dotted" w:sz="4" w:space="0" w:color="000000"/>
            </w:tcBorders>
          </w:tcPr>
          <w:p>
            <w:pPr/>
          </w:p>
        </w:tc>
        <w:tc>
          <w:tcPr>
            <w:tcW w:w="994" w:type="dxa"/>
            <w:vMerge/>
            <w:tcBorders>
              <w:left w:val="dotted" w:sz="4" w:space="0" w:color="000000"/>
              <w:right w:val="dotted" w:sz="4" w:space="0" w:color="000000"/>
            </w:tcBorders>
          </w:tcPr>
          <w:p>
            <w:pPr/>
          </w:p>
        </w:tc>
        <w:tc>
          <w:tcPr>
            <w:tcW w:w="1147" w:type="dxa"/>
            <w:tcBorders>
              <w:top w:val="nil" w:sz="6" w:space="0" w:color="auto"/>
              <w:left w:val="dotted" w:sz="4" w:space="0" w:color="000000"/>
              <w:bottom w:val="nil" w:sz="6" w:space="0" w:color="auto"/>
              <w:right w:val="nil" w:sz="6" w:space="0" w:color="auto"/>
            </w:tcBorders>
          </w:tcPr>
          <w:p>
            <w:pPr/>
          </w:p>
        </w:tc>
      </w:tr>
      <w:tr>
        <w:trPr>
          <w:trHeight w:val="317" w:hRule="exact"/>
        </w:trPr>
        <w:tc>
          <w:tcPr>
            <w:tcW w:w="1934" w:type="dxa"/>
            <w:tcBorders>
              <w:top w:val="nil" w:sz="6" w:space="0" w:color="auto"/>
              <w:left w:val="nil" w:sz="6" w:space="0" w:color="auto"/>
              <w:bottom w:val="nil" w:sz="6" w:space="0" w:color="auto"/>
              <w:right w:val="dotted"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pacing w:val="9"/>
                <w:sz w:val="18"/>
                <w:szCs w:val="18"/>
              </w:rPr>
              <w:t>单独计提坏账准备的款</w:t>
            </w:r>
            <w:r>
              <w:rPr>
                <w:rFonts w:ascii="宋体" w:hAnsi="宋体" w:cs="宋体" w:eastAsia="宋体" w:hint="default"/>
                <w:sz w:val="18"/>
                <w:szCs w:val="18"/>
              </w:rPr>
            </w:r>
          </w:p>
        </w:tc>
        <w:tc>
          <w:tcPr>
            <w:tcW w:w="1232" w:type="dxa"/>
            <w:tcBorders>
              <w:top w:val="nil" w:sz="6" w:space="0" w:color="auto"/>
              <w:left w:val="dotted" w:sz="4" w:space="0" w:color="000000"/>
              <w:bottom w:val="nil" w:sz="6" w:space="0" w:color="auto"/>
              <w:right w:val="dotted" w:sz="4"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2,106,022.73</w:t>
            </w:r>
          </w:p>
        </w:tc>
        <w:tc>
          <w:tcPr>
            <w:tcW w:w="1114" w:type="dxa"/>
            <w:tcBorders>
              <w:top w:val="nil" w:sz="6" w:space="0" w:color="auto"/>
              <w:left w:val="dotted" w:sz="4" w:space="0" w:color="000000"/>
              <w:bottom w:val="nil" w:sz="6" w:space="0" w:color="auto"/>
              <w:right w:val="dotted" w:sz="4" w:space="0" w:color="000000"/>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1,419,866.76</w:t>
            </w:r>
          </w:p>
        </w:tc>
        <w:tc>
          <w:tcPr>
            <w:tcW w:w="1181" w:type="dxa"/>
            <w:vMerge/>
            <w:tcBorders>
              <w:left w:val="dotted" w:sz="4" w:space="0" w:color="000000"/>
              <w:right w:val="dotted" w:sz="4" w:space="0" w:color="000000"/>
            </w:tcBorders>
          </w:tcPr>
          <w:p>
            <w:pPr/>
          </w:p>
        </w:tc>
        <w:tc>
          <w:tcPr>
            <w:tcW w:w="938" w:type="dxa"/>
            <w:vMerge/>
            <w:tcBorders>
              <w:left w:val="dotted" w:sz="4" w:space="0" w:color="000000"/>
              <w:right w:val="dotted" w:sz="4" w:space="0" w:color="000000"/>
            </w:tcBorders>
          </w:tcPr>
          <w:p>
            <w:pPr/>
          </w:p>
        </w:tc>
        <w:tc>
          <w:tcPr>
            <w:tcW w:w="994" w:type="dxa"/>
            <w:vMerge/>
            <w:tcBorders>
              <w:left w:val="dotted" w:sz="4" w:space="0" w:color="000000"/>
              <w:right w:val="dotted" w:sz="4" w:space="0" w:color="000000"/>
            </w:tcBorders>
          </w:tcPr>
          <w:p>
            <w:pPr/>
          </w:p>
        </w:tc>
        <w:tc>
          <w:tcPr>
            <w:tcW w:w="1147" w:type="dxa"/>
            <w:tcBorders>
              <w:top w:val="nil" w:sz="6" w:space="0" w:color="auto"/>
              <w:left w:val="dotted" w:sz="4" w:space="0" w:color="000000"/>
              <w:bottom w:val="nil" w:sz="6" w:space="0" w:color="auto"/>
              <w:right w:val="nil" w:sz="6" w:space="0" w:color="auto"/>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3,525,889.49</w:t>
            </w:r>
          </w:p>
        </w:tc>
      </w:tr>
      <w:tr>
        <w:trPr>
          <w:trHeight w:val="355" w:hRule="exact"/>
        </w:trPr>
        <w:tc>
          <w:tcPr>
            <w:tcW w:w="1934" w:type="dxa"/>
            <w:tcBorders>
              <w:top w:val="nil" w:sz="6" w:space="0" w:color="auto"/>
              <w:left w:val="nil" w:sz="6" w:space="0" w:color="auto"/>
              <w:bottom w:val="dotted" w:sz="4" w:space="0" w:color="000000"/>
              <w:right w:val="dotted"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232" w:type="dxa"/>
            <w:tcBorders>
              <w:top w:val="nil" w:sz="6" w:space="0" w:color="auto"/>
              <w:left w:val="dotted" w:sz="4" w:space="0" w:color="000000"/>
              <w:bottom w:val="dotted" w:sz="4" w:space="0" w:color="000000"/>
              <w:right w:val="dotted" w:sz="4" w:space="0" w:color="000000"/>
            </w:tcBorders>
          </w:tcPr>
          <w:p>
            <w:pPr/>
          </w:p>
        </w:tc>
        <w:tc>
          <w:tcPr>
            <w:tcW w:w="1114" w:type="dxa"/>
            <w:tcBorders>
              <w:top w:val="nil" w:sz="6" w:space="0" w:color="auto"/>
              <w:left w:val="dotted" w:sz="4" w:space="0" w:color="000000"/>
              <w:bottom w:val="dotted" w:sz="4" w:space="0" w:color="000000"/>
              <w:right w:val="dotted" w:sz="4" w:space="0" w:color="000000"/>
            </w:tcBorders>
          </w:tcPr>
          <w:p>
            <w:pPr/>
          </w:p>
        </w:tc>
        <w:tc>
          <w:tcPr>
            <w:tcW w:w="1181" w:type="dxa"/>
            <w:vMerge/>
            <w:tcBorders>
              <w:left w:val="dotted" w:sz="4" w:space="0" w:color="000000"/>
              <w:bottom w:val="dotted" w:sz="4" w:space="0" w:color="000000"/>
              <w:right w:val="dotted" w:sz="4" w:space="0" w:color="000000"/>
            </w:tcBorders>
          </w:tcPr>
          <w:p>
            <w:pPr/>
          </w:p>
        </w:tc>
        <w:tc>
          <w:tcPr>
            <w:tcW w:w="938" w:type="dxa"/>
            <w:vMerge/>
            <w:tcBorders>
              <w:left w:val="dotted" w:sz="4" w:space="0" w:color="000000"/>
              <w:bottom w:val="dotted" w:sz="4" w:space="0" w:color="000000"/>
              <w:right w:val="dotted" w:sz="4" w:space="0" w:color="000000"/>
            </w:tcBorders>
          </w:tcPr>
          <w:p>
            <w:pPr/>
          </w:p>
        </w:tc>
        <w:tc>
          <w:tcPr>
            <w:tcW w:w="994" w:type="dxa"/>
            <w:vMerge/>
            <w:tcBorders>
              <w:left w:val="dotted" w:sz="4" w:space="0" w:color="000000"/>
              <w:bottom w:val="dotted" w:sz="4" w:space="0" w:color="000000"/>
              <w:right w:val="dotted" w:sz="4" w:space="0" w:color="000000"/>
            </w:tcBorders>
          </w:tcPr>
          <w:p>
            <w:pPr/>
          </w:p>
        </w:tc>
        <w:tc>
          <w:tcPr>
            <w:tcW w:w="1147" w:type="dxa"/>
            <w:tcBorders>
              <w:top w:val="nil" w:sz="6" w:space="0" w:color="auto"/>
              <w:left w:val="dotted" w:sz="4" w:space="0" w:color="000000"/>
              <w:bottom w:val="dotted" w:sz="4" w:space="0" w:color="000000"/>
              <w:right w:val="nil" w:sz="6" w:space="0" w:color="auto"/>
            </w:tcBorders>
          </w:tcPr>
          <w:p>
            <w:pPr/>
          </w:p>
        </w:tc>
      </w:tr>
      <w:tr>
        <w:trPr>
          <w:trHeight w:val="689"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按“简化方法”计提：</w:t>
            </w:r>
          </w:p>
        </w:tc>
        <w:tc>
          <w:tcPr>
            <w:tcW w:w="1232" w:type="dxa"/>
            <w:tcBorders>
              <w:top w:val="dotted" w:sz="4" w:space="0" w:color="000000"/>
              <w:left w:val="dotted" w:sz="4" w:space="0" w:color="000000"/>
              <w:bottom w:val="dotted" w:sz="4" w:space="0" w:color="000000"/>
              <w:right w:val="dotted" w:sz="4" w:space="0" w:color="000000"/>
            </w:tcBorders>
          </w:tcPr>
          <w:p>
            <w:pPr/>
          </w:p>
        </w:tc>
        <w:tc>
          <w:tcPr>
            <w:tcW w:w="1114" w:type="dxa"/>
            <w:tcBorders>
              <w:top w:val="dotted" w:sz="4" w:space="0" w:color="000000"/>
              <w:left w:val="dotted" w:sz="4" w:space="0" w:color="000000"/>
              <w:bottom w:val="dotted" w:sz="4" w:space="0" w:color="000000"/>
              <w:right w:val="dotted" w:sz="4" w:space="0" w:color="000000"/>
            </w:tcBorders>
          </w:tcPr>
          <w:p>
            <w:pPr/>
          </w:p>
        </w:tc>
        <w:tc>
          <w:tcPr>
            <w:tcW w:w="1181"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nil" w:sz="6" w:space="0" w:color="auto"/>
            </w:tcBorders>
          </w:tcPr>
          <w:p>
            <w:pPr/>
          </w:p>
        </w:tc>
      </w:tr>
      <w:tr>
        <w:trPr>
          <w:trHeight w:val="720"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53"/>
              <w:ind w:left="28" w:right="6" w:firstLine="180"/>
              <w:jc w:val="left"/>
              <w:rPr>
                <w:rFonts w:ascii="宋体" w:hAnsi="宋体" w:cs="宋体" w:eastAsia="宋体" w:hint="default"/>
                <w:sz w:val="18"/>
                <w:szCs w:val="18"/>
              </w:rPr>
            </w:pPr>
            <w:r>
              <w:rPr>
                <w:rFonts w:ascii="宋体" w:hAnsi="宋体" w:cs="宋体" w:eastAsia="宋体" w:hint="default"/>
                <w:spacing w:val="9"/>
                <w:sz w:val="18"/>
                <w:szCs w:val="18"/>
              </w:rPr>
              <w:t>按组合计提预期信用</w:t>
            </w:r>
            <w:r>
              <w:rPr>
                <w:rFonts w:ascii="宋体" w:hAnsi="宋体" w:cs="宋体" w:eastAsia="宋体" w:hint="default"/>
                <w:sz w:val="18"/>
                <w:szCs w:val="18"/>
              </w:rPr>
              <w:t> 损失的应收账款</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102,271.24</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286,807.86</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6.10</w:t>
            </w: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389,073.00</w:t>
            </w:r>
          </w:p>
        </w:tc>
      </w:tr>
      <w:tr>
        <w:trPr>
          <w:trHeight w:val="406"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其中：组合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433.82</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13.25</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6.10</w:t>
            </w: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440.97</w:t>
            </w:r>
          </w:p>
        </w:tc>
      </w:tr>
      <w:tr>
        <w:trPr>
          <w:trHeight w:val="408"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宋体" w:hAnsi="宋体" w:cs="宋体" w:eastAsia="宋体" w:hint="default"/>
                <w:sz w:val="18"/>
                <w:szCs w:val="18"/>
              </w:rPr>
              <w:t>2</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101,837.42</w:t>
            </w:r>
          </w:p>
        </w:tc>
        <w:tc>
          <w:tcPr>
            <w:tcW w:w="11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286,794.61</w:t>
            </w:r>
          </w:p>
        </w:tc>
        <w:tc>
          <w:tcPr>
            <w:tcW w:w="1181"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14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388,632.03</w:t>
            </w:r>
          </w:p>
        </w:tc>
      </w:tr>
      <w:tr>
        <w:trPr>
          <w:trHeight w:val="418" w:hRule="exact"/>
        </w:trPr>
        <w:tc>
          <w:tcPr>
            <w:tcW w:w="19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7,513,309.29</w:t>
            </w:r>
          </w:p>
        </w:tc>
        <w:tc>
          <w:tcPr>
            <w:tcW w:w="11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1,706,674.62</w:t>
            </w:r>
          </w:p>
        </w:tc>
        <w:tc>
          <w:tcPr>
            <w:tcW w:w="11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6.10</w:t>
            </w:r>
          </w:p>
        </w:tc>
        <w:tc>
          <w:tcPr>
            <w:tcW w:w="938"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14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9,219,977.81</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10"/>
        </w:rPr>
        <w:t> </w:t>
      </w:r>
      <w:r>
        <w:rPr/>
        <w:t>本期无实际核销的应收账款</w:t>
      </w:r>
      <w:r>
        <w:rPr>
          <w:b w:val="0"/>
          <w:bCs w:val="0"/>
        </w:rPr>
      </w:r>
    </w:p>
    <w:p>
      <w:pPr>
        <w:spacing w:line="240" w:lineRule="auto" w:before="17"/>
        <w:rPr>
          <w:rFonts w:ascii="Microsoft JhengHei" w:hAnsi="Microsoft JhengHei" w:cs="Microsoft JhengHei" w:eastAsia="Microsoft JhengHei" w:hint="default"/>
          <w:b/>
          <w:bCs/>
          <w:sz w:val="27"/>
          <w:szCs w:val="27"/>
        </w:rPr>
      </w:pPr>
    </w:p>
    <w:p>
      <w:pPr>
        <w:pStyle w:val="Heading4"/>
        <w:spacing w:line="240" w:lineRule="auto"/>
        <w:ind w:right="1786"/>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7"/>
        </w:rPr>
        <w:t> </w:t>
      </w:r>
      <w:r>
        <w:rPr/>
        <w:t>按欠款方归集的期末余额前五名应收账款</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161"/>
        <w:gridCol w:w="1704"/>
        <w:gridCol w:w="1666"/>
        <w:gridCol w:w="1796"/>
      </w:tblGrid>
      <w:tr>
        <w:trPr>
          <w:trHeight w:val="739" w:hRule="exact"/>
        </w:trPr>
        <w:tc>
          <w:tcPr>
            <w:tcW w:w="316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66" w:type="dxa"/>
            <w:tcBorders>
              <w:top w:val="single" w:sz="12" w:space="0" w:color="000000"/>
              <w:left w:val="dotted" w:sz="4" w:space="0" w:color="000000"/>
              <w:bottom w:val="dotted" w:sz="4" w:space="0" w:color="000000"/>
              <w:right w:val="dotted" w:sz="4" w:space="0" w:color="000000"/>
            </w:tcBorders>
          </w:tcPr>
          <w:p>
            <w:pPr>
              <w:pStyle w:val="TableParagraph"/>
              <w:spacing w:line="316" w:lineRule="auto" w:before="63"/>
              <w:ind w:left="422" w:right="17" w:hanging="406"/>
              <w:jc w:val="left"/>
              <w:rPr>
                <w:rFonts w:ascii="宋体" w:hAnsi="宋体" w:cs="宋体" w:eastAsia="宋体" w:hint="default"/>
                <w:sz w:val="18"/>
                <w:szCs w:val="18"/>
              </w:rPr>
            </w:pPr>
            <w:r>
              <w:rPr>
                <w:rFonts w:ascii="宋体" w:hAnsi="宋体" w:cs="宋体" w:eastAsia="宋体" w:hint="default"/>
                <w:sz w:val="18"/>
                <w:szCs w:val="18"/>
              </w:rPr>
              <w:t>占应收账款期末余额 的比例</w:t>
            </w:r>
            <w:r>
              <w:rPr>
                <w:rFonts w:ascii="宋体" w:hAnsi="宋体" w:cs="宋体" w:eastAsia="宋体" w:hint="default"/>
                <w:sz w:val="18"/>
                <w:szCs w:val="18"/>
              </w:rPr>
              <w:t>(%)</w:t>
            </w:r>
          </w:p>
        </w:tc>
        <w:tc>
          <w:tcPr>
            <w:tcW w:w="17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406"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126,347,709.71</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58.74</w:t>
            </w:r>
          </w:p>
        </w:tc>
        <w:tc>
          <w:tcPr>
            <w:tcW w:w="179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16,764,678.91</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7.79</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83,823.39</w:t>
            </w:r>
          </w:p>
        </w:tc>
      </w:tr>
      <w:tr>
        <w:trPr>
          <w:trHeight w:val="406"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5,305,015.32</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2.47</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5,305,015.32</w:t>
            </w:r>
          </w:p>
        </w:tc>
      </w:tr>
      <w:tr>
        <w:trPr>
          <w:trHeight w:val="408"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10"/>
              <w:jc w:val="right"/>
              <w:rPr>
                <w:rFonts w:ascii="Times New Roman" w:hAnsi="Times New Roman" w:cs="Times New Roman" w:eastAsia="Times New Roman" w:hint="default"/>
                <w:sz w:val="18"/>
                <w:szCs w:val="18"/>
              </w:rPr>
            </w:pPr>
            <w:r>
              <w:rPr>
                <w:rFonts w:ascii="Times New Roman"/>
                <w:spacing w:val="-1"/>
                <w:sz w:val="18"/>
              </w:rPr>
              <w:t>4,679,973.38</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9"/>
              <w:jc w:val="right"/>
              <w:rPr>
                <w:rFonts w:ascii="Times New Roman" w:hAnsi="Times New Roman" w:cs="Times New Roman" w:eastAsia="Times New Roman" w:hint="default"/>
                <w:sz w:val="18"/>
                <w:szCs w:val="18"/>
              </w:rPr>
            </w:pPr>
            <w:r>
              <w:rPr>
                <w:rFonts w:ascii="Times New Roman"/>
                <w:spacing w:val="-1"/>
                <w:sz w:val="18"/>
              </w:rPr>
              <w:t>2.18</w:t>
            </w:r>
          </w:p>
        </w:tc>
        <w:tc>
          <w:tcPr>
            <w:tcW w:w="17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2,105,988.02</w:t>
            </w:r>
          </w:p>
        </w:tc>
      </w:tr>
      <w:tr>
        <w:trPr>
          <w:trHeight w:val="409" w:hRule="exact"/>
        </w:trPr>
        <w:tc>
          <w:tcPr>
            <w:tcW w:w="31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1,729,593.74</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0.80</w:t>
            </w:r>
          </w:p>
        </w:tc>
        <w:tc>
          <w:tcPr>
            <w:tcW w:w="179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16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154,826,971.06</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71.98</w:t>
            </w:r>
          </w:p>
        </w:tc>
        <w:tc>
          <w:tcPr>
            <w:tcW w:w="17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7,494,826.73</w:t>
            </w:r>
          </w:p>
        </w:tc>
      </w:tr>
    </w:tbl>
    <w:p>
      <w:pPr>
        <w:spacing w:line="240" w:lineRule="auto" w:before="1"/>
        <w:rPr>
          <w:rFonts w:ascii="Microsoft JhengHei" w:hAnsi="Microsoft JhengHei" w:cs="Microsoft JhengHei" w:eastAsia="Microsoft JhengHei" w:hint="default"/>
          <w:b/>
          <w:bCs/>
          <w:sz w:val="5"/>
          <w:szCs w:val="5"/>
        </w:rPr>
      </w:pPr>
    </w:p>
    <w:p>
      <w:pPr>
        <w:pStyle w:val="Heading4"/>
        <w:spacing w:line="335" w:lineRule="exact"/>
        <w:ind w:left="498" w:right="1786"/>
        <w:jc w:val="left"/>
        <w:rPr>
          <w:b w:val="0"/>
          <w:bCs w:val="0"/>
        </w:rPr>
      </w:pPr>
      <w:r>
        <w:rPr>
          <w:rFonts w:ascii="Times New Roman" w:hAnsi="Times New Roman" w:cs="Times New Roman" w:eastAsia="Times New Roman" w:hint="default"/>
        </w:rPr>
        <w:t>6.</w:t>
      </w:r>
      <w:r>
        <w:rPr/>
        <w:t>本期无因金融资产转移而终止确认的应收款项。</w:t>
      </w:r>
      <w:r>
        <w:rPr>
          <w:b w:val="0"/>
          <w:bCs w:val="0"/>
        </w:rPr>
      </w:r>
    </w:p>
    <w:p>
      <w:pPr>
        <w:pStyle w:val="Heading4"/>
        <w:spacing w:line="852" w:lineRule="exact" w:before="114"/>
        <w:ind w:right="4386" w:hanging="63"/>
        <w:jc w:val="left"/>
        <w:rPr>
          <w:b w:val="0"/>
          <w:bCs w:val="0"/>
        </w:rPr>
      </w:pPr>
      <w:r>
        <w:rPr>
          <w:rFonts w:ascii="Times New Roman" w:hAnsi="Times New Roman" w:cs="Times New Roman" w:eastAsia="Times New Roman" w:hint="default"/>
          <w:spacing w:val="-1"/>
        </w:rPr>
        <w:t>7.</w:t>
      </w:r>
      <w:r>
        <w:rPr>
          <w:spacing w:val="-1"/>
        </w:rPr>
        <w:t>本期无转移应收款项且继续涉入形成的资产、负债。</w:t>
      </w:r>
      <w:r>
        <w:rPr>
          <w:spacing w:val="-11"/>
        </w:rPr>
        <w:t> </w:t>
      </w:r>
      <w:r>
        <w:rPr>
          <w:spacing w:val="-11"/>
        </w:rPr>
      </w:r>
      <w:r>
        <w:rPr/>
        <w:t>注释 </w:t>
      </w:r>
      <w:r>
        <w:rPr>
          <w:rFonts w:ascii="Times New Roman" w:hAnsi="Times New Roman" w:cs="Times New Roman" w:eastAsia="Times New Roman" w:hint="default"/>
        </w:rPr>
        <w:t>9. </w:t>
      </w:r>
      <w:r>
        <w:rPr>
          <w:rFonts w:ascii="Times New Roman" w:hAnsi="Times New Roman" w:cs="Times New Roman" w:eastAsia="Times New Roman" w:hint="default"/>
          <w:spacing w:val="6"/>
        </w:rPr>
        <w:t> </w:t>
      </w:r>
      <w:r>
        <w:rPr/>
        <w:t>预付款项</w:t>
      </w:r>
      <w:r>
        <w:rPr>
          <w:b w:val="0"/>
          <w:bCs w:val="0"/>
        </w:rPr>
      </w:r>
    </w:p>
    <w:p>
      <w:pPr>
        <w:pStyle w:val="Heading4"/>
        <w:spacing w:line="329" w:lineRule="exact"/>
        <w:ind w:right="178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9"/>
        </w:rPr>
        <w:t> </w:t>
      </w:r>
      <w:r>
        <w:rPr/>
        <w:t>预付款项按账龄列示</w:t>
      </w:r>
      <w:r>
        <w:rPr>
          <w:b w:val="0"/>
          <w:bCs w:val="0"/>
        </w:rPr>
      </w:r>
    </w:p>
    <w:p>
      <w:pPr>
        <w:spacing w:after="0" w:line="329" w:lineRule="exact"/>
        <w:jc w:val="left"/>
        <w:sectPr>
          <w:pgSz w:w="11910" w:h="16840"/>
          <w:pgMar w:header="877" w:footer="979" w:top="1100" w:bottom="1160" w:left="16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2149"/>
        <w:gridCol w:w="2064"/>
        <w:gridCol w:w="1025"/>
        <w:gridCol w:w="2053"/>
        <w:gridCol w:w="1037"/>
      </w:tblGrid>
      <w:tr>
        <w:trPr>
          <w:trHeight w:val="360" w:hRule="exact"/>
        </w:trPr>
        <w:tc>
          <w:tcPr>
            <w:tcW w:w="2149"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08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149" w:type="dxa"/>
            <w:vMerge/>
            <w:tcBorders>
              <w:left w:val="nil" w:sz="6" w:space="0" w:color="auto"/>
              <w:bottom w:val="dotted" w:sz="4" w:space="0" w:color="000000"/>
              <w:right w:val="dotted" w:sz="4" w:space="0" w:color="000000"/>
            </w:tcBorders>
          </w:tcPr>
          <w:p>
            <w:pPr/>
          </w:p>
        </w:tc>
        <w:tc>
          <w:tcPr>
            <w:tcW w:w="2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13"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20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218"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r>
      <w:tr>
        <w:trPr>
          <w:trHeight w:val="350"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35,699,487.28</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88.15</w:t>
            </w:r>
          </w:p>
        </w:tc>
        <w:tc>
          <w:tcPr>
            <w:tcW w:w="20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34,102,113.97</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82.20</w:t>
            </w:r>
          </w:p>
        </w:tc>
      </w:tr>
      <w:tr>
        <w:trPr>
          <w:trHeight w:val="350" w:hRule="exact"/>
        </w:trPr>
        <w:tc>
          <w:tcPr>
            <w:tcW w:w="2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20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4,800,238.37</w:t>
            </w:r>
          </w:p>
        </w:tc>
        <w:tc>
          <w:tcPr>
            <w:tcW w:w="10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11.85</w:t>
            </w:r>
          </w:p>
        </w:tc>
        <w:tc>
          <w:tcPr>
            <w:tcW w:w="20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7,383,358.63</w:t>
            </w:r>
          </w:p>
        </w:tc>
        <w:tc>
          <w:tcPr>
            <w:tcW w:w="10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17.80</w:t>
            </w:r>
          </w:p>
        </w:tc>
      </w:tr>
      <w:tr>
        <w:trPr>
          <w:trHeight w:val="360" w:hRule="exact"/>
        </w:trPr>
        <w:tc>
          <w:tcPr>
            <w:tcW w:w="21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40,499,725.65</w:t>
            </w:r>
          </w:p>
        </w:tc>
        <w:tc>
          <w:tcPr>
            <w:tcW w:w="10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0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41,485,472.60</w:t>
            </w:r>
          </w:p>
        </w:tc>
        <w:tc>
          <w:tcPr>
            <w:tcW w:w="10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Microsoft JhengHei" w:hAnsi="Microsoft JhengHei" w:cs="Microsoft JhengHei" w:eastAsia="Microsoft JhengHei" w:hint="default"/>
          <w:b/>
          <w:bCs/>
          <w:sz w:val="12"/>
          <w:szCs w:val="12"/>
        </w:rPr>
      </w:pPr>
    </w:p>
    <w:p>
      <w:pPr>
        <w:pStyle w:val="Heading4"/>
        <w:spacing w:line="335" w:lineRule="exact"/>
        <w:ind w:right="1786"/>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t>按预付对象归集的期末余额前五名的预付款情况</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632"/>
        <w:gridCol w:w="1395"/>
        <w:gridCol w:w="1255"/>
        <w:gridCol w:w="1121"/>
        <w:gridCol w:w="1392"/>
        <w:gridCol w:w="1532"/>
      </w:tblGrid>
      <w:tr>
        <w:trPr>
          <w:trHeight w:val="1037" w:hRule="exact"/>
        </w:trPr>
        <w:tc>
          <w:tcPr>
            <w:tcW w:w="16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316" w:lineRule="auto" w:before="51"/>
              <w:ind w:left="172" w:right="170"/>
              <w:jc w:val="center"/>
              <w:rPr>
                <w:rFonts w:ascii="宋体" w:hAnsi="宋体" w:cs="宋体" w:eastAsia="宋体" w:hint="default"/>
                <w:sz w:val="18"/>
                <w:szCs w:val="18"/>
              </w:rPr>
            </w:pPr>
            <w:r>
              <w:rPr>
                <w:rFonts w:ascii="宋体" w:hAnsi="宋体" w:cs="宋体" w:eastAsia="宋体" w:hint="default"/>
                <w:sz w:val="18"/>
                <w:szCs w:val="18"/>
              </w:rPr>
              <w:t>占预付款项 总额的比例 </w:t>
            </w:r>
            <w:r>
              <w:rPr>
                <w:rFonts w:ascii="宋体" w:hAnsi="宋体" w:cs="宋体" w:eastAsia="宋体" w:hint="default"/>
                <w:sz w:val="18"/>
                <w:szCs w:val="18"/>
              </w:rPr>
              <w:t>(%)</w:t>
            </w:r>
          </w:p>
        </w:tc>
        <w:tc>
          <w:tcPr>
            <w:tcW w:w="11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53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6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3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4,468,605.23</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11.03</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软件维护费</w:t>
            </w: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316" w:lineRule="auto" w:before="49"/>
              <w:ind w:left="398" w:right="135" w:hanging="270"/>
              <w:jc w:val="left"/>
              <w:rPr>
                <w:rFonts w:ascii="宋体" w:hAnsi="宋体" w:cs="宋体" w:eastAsia="宋体" w:hint="default"/>
                <w:sz w:val="18"/>
                <w:szCs w:val="18"/>
              </w:rPr>
            </w:pPr>
            <w:r>
              <w:rPr>
                <w:rFonts w:ascii="宋体" w:hAnsi="宋体" w:cs="宋体" w:eastAsia="宋体" w:hint="default"/>
                <w:sz w:val="18"/>
                <w:szCs w:val="18"/>
              </w:rPr>
              <w:t>服务期未满，尚 未结转完</w:t>
            </w:r>
          </w:p>
        </w:tc>
      </w:tr>
      <w:tr>
        <w:trPr>
          <w:trHeight w:val="715" w:hRule="exact"/>
        </w:trPr>
        <w:tc>
          <w:tcPr>
            <w:tcW w:w="16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3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3,882,000.74</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9.59</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机柜托管费等</w:t>
            </w: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314" w:lineRule="auto" w:before="51"/>
              <w:ind w:left="398" w:right="135" w:hanging="270"/>
              <w:jc w:val="left"/>
              <w:rPr>
                <w:rFonts w:ascii="宋体" w:hAnsi="宋体" w:cs="宋体" w:eastAsia="宋体" w:hint="default"/>
                <w:sz w:val="18"/>
                <w:szCs w:val="18"/>
              </w:rPr>
            </w:pPr>
            <w:r>
              <w:rPr>
                <w:rFonts w:ascii="宋体" w:hAnsi="宋体" w:cs="宋体" w:eastAsia="宋体" w:hint="default"/>
                <w:sz w:val="18"/>
                <w:szCs w:val="18"/>
              </w:rPr>
              <w:t>服务期未满，尚 未结转完</w:t>
            </w:r>
          </w:p>
        </w:tc>
      </w:tr>
      <w:tr>
        <w:trPr>
          <w:trHeight w:val="713" w:hRule="exact"/>
        </w:trPr>
        <w:tc>
          <w:tcPr>
            <w:tcW w:w="16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3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2,055,588.02</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5.08</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49"/>
              <w:ind w:left="237" w:right="151" w:hanging="89"/>
              <w:jc w:val="left"/>
              <w:rPr>
                <w:rFonts w:ascii="宋体" w:hAnsi="宋体" w:cs="宋体" w:eastAsia="宋体" w:hint="default"/>
                <w:sz w:val="18"/>
                <w:szCs w:val="18"/>
              </w:rPr>
            </w:pPr>
            <w:r>
              <w:rPr>
                <w:rFonts w:ascii="宋体" w:hAnsi="宋体" w:cs="宋体" w:eastAsia="宋体" w:hint="default"/>
                <w:sz w:val="18"/>
                <w:szCs w:val="18"/>
              </w:rPr>
              <w:t>软件服务费、 机柜租赁费</w:t>
            </w: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316" w:lineRule="auto" w:before="49"/>
              <w:ind w:left="398" w:right="135" w:hanging="270"/>
              <w:jc w:val="left"/>
              <w:rPr>
                <w:rFonts w:ascii="宋体" w:hAnsi="宋体" w:cs="宋体" w:eastAsia="宋体" w:hint="default"/>
                <w:sz w:val="18"/>
                <w:szCs w:val="18"/>
              </w:rPr>
            </w:pPr>
            <w:r>
              <w:rPr>
                <w:rFonts w:ascii="宋体" w:hAnsi="宋体" w:cs="宋体" w:eastAsia="宋体" w:hint="default"/>
                <w:sz w:val="18"/>
                <w:szCs w:val="18"/>
              </w:rPr>
              <w:t>服务期未满，尚 未结转完</w:t>
            </w:r>
          </w:p>
        </w:tc>
      </w:tr>
      <w:tr>
        <w:trPr>
          <w:trHeight w:val="715" w:hRule="exact"/>
        </w:trPr>
        <w:tc>
          <w:tcPr>
            <w:tcW w:w="16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3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1,869,540.22</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4.62</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项目款</w:t>
            </w: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314" w:lineRule="auto" w:before="51"/>
              <w:ind w:left="490" w:right="134" w:hanging="361"/>
              <w:jc w:val="left"/>
              <w:rPr>
                <w:rFonts w:ascii="宋体" w:hAnsi="宋体" w:cs="宋体" w:eastAsia="宋体" w:hint="default"/>
                <w:sz w:val="18"/>
                <w:szCs w:val="18"/>
              </w:rPr>
            </w:pPr>
            <w:r>
              <w:rPr>
                <w:rFonts w:ascii="宋体" w:hAnsi="宋体" w:cs="宋体" w:eastAsia="宋体" w:hint="default"/>
                <w:sz w:val="18"/>
                <w:szCs w:val="18"/>
              </w:rPr>
              <w:t>服务期未满，尚 未结算</w:t>
            </w:r>
          </w:p>
        </w:tc>
      </w:tr>
      <w:tr>
        <w:trPr>
          <w:trHeight w:val="713" w:hRule="exact"/>
        </w:trPr>
        <w:tc>
          <w:tcPr>
            <w:tcW w:w="16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3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1,562,561.58</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推荐服务费</w:t>
            </w: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319" w:lineRule="auto" w:before="49"/>
              <w:ind w:left="398" w:right="135" w:hanging="270"/>
              <w:jc w:val="left"/>
              <w:rPr>
                <w:rFonts w:ascii="宋体" w:hAnsi="宋体" w:cs="宋体" w:eastAsia="宋体" w:hint="default"/>
                <w:sz w:val="18"/>
                <w:szCs w:val="18"/>
              </w:rPr>
            </w:pPr>
            <w:r>
              <w:rPr>
                <w:rFonts w:ascii="宋体" w:hAnsi="宋体" w:cs="宋体" w:eastAsia="宋体" w:hint="default"/>
                <w:sz w:val="18"/>
                <w:szCs w:val="18"/>
              </w:rPr>
              <w:t>服务期未满，尚 未结转完</w:t>
            </w:r>
          </w:p>
        </w:tc>
      </w:tr>
      <w:tr>
        <w:trPr>
          <w:trHeight w:val="413" w:hRule="exact"/>
        </w:trPr>
        <w:tc>
          <w:tcPr>
            <w:tcW w:w="16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13,838,295.79</w:t>
            </w:r>
          </w:p>
        </w:tc>
        <w:tc>
          <w:tcPr>
            <w:tcW w:w="12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34.18</w:t>
            </w:r>
          </w:p>
        </w:tc>
        <w:tc>
          <w:tcPr>
            <w:tcW w:w="1121" w:type="dxa"/>
            <w:tcBorders>
              <w:top w:val="dotted" w:sz="4" w:space="0" w:color="000000"/>
              <w:left w:val="dotted" w:sz="4" w:space="0" w:color="000000"/>
              <w:bottom w:val="single" w:sz="12" w:space="0" w:color="000000"/>
              <w:right w:val="dotted" w:sz="4" w:space="0" w:color="000000"/>
            </w:tcBorders>
          </w:tcPr>
          <w:p>
            <w:pPr/>
          </w:p>
        </w:tc>
        <w:tc>
          <w:tcPr>
            <w:tcW w:w="1392" w:type="dxa"/>
            <w:tcBorders>
              <w:top w:val="dotted" w:sz="4" w:space="0" w:color="000000"/>
              <w:left w:val="dotted" w:sz="4" w:space="0" w:color="000000"/>
              <w:bottom w:val="single" w:sz="12" w:space="0" w:color="000000"/>
              <w:right w:val="dotted" w:sz="4" w:space="0" w:color="000000"/>
            </w:tcBorders>
          </w:tcPr>
          <w:p>
            <w:pPr/>
          </w:p>
        </w:tc>
        <w:tc>
          <w:tcPr>
            <w:tcW w:w="153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10. </w:t>
      </w:r>
      <w:r>
        <w:rPr>
          <w:rFonts w:ascii="Times New Roman" w:hAnsi="Times New Roman" w:cs="Times New Roman" w:eastAsia="Times New Roman" w:hint="default"/>
          <w:spacing w:val="6"/>
        </w:rPr>
        <w:t> </w:t>
      </w:r>
      <w:r>
        <w:rPr/>
        <w:t>应收利息</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780"/>
        <w:gridCol w:w="2748"/>
        <w:gridCol w:w="2799"/>
      </w:tblGrid>
      <w:tr>
        <w:trPr>
          <w:trHeight w:val="427" w:hRule="exact"/>
        </w:trPr>
        <w:tc>
          <w:tcPr>
            <w:tcW w:w="278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15" w:hRule="exact"/>
        </w:trPr>
        <w:tc>
          <w:tcPr>
            <w:tcW w:w="27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融资融券</w:t>
            </w:r>
          </w:p>
        </w:tc>
        <w:tc>
          <w:tcPr>
            <w:tcW w:w="2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3"/>
              <w:ind w:right="9"/>
              <w:jc w:val="right"/>
              <w:rPr>
                <w:rFonts w:ascii="Times New Roman" w:hAnsi="Times New Roman" w:cs="Times New Roman" w:eastAsia="Times New Roman" w:hint="default"/>
                <w:sz w:val="18"/>
                <w:szCs w:val="18"/>
              </w:rPr>
            </w:pPr>
            <w:r>
              <w:rPr>
                <w:rFonts w:ascii="Times New Roman"/>
                <w:spacing w:val="-1"/>
                <w:sz w:val="18"/>
              </w:rPr>
              <w:t>480,314.85</w:t>
            </w:r>
          </w:p>
        </w:tc>
        <w:tc>
          <w:tcPr>
            <w:tcW w:w="27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501,498.51</w:t>
            </w:r>
          </w:p>
        </w:tc>
      </w:tr>
      <w:tr>
        <w:trPr>
          <w:trHeight w:val="418" w:hRule="exact"/>
        </w:trPr>
        <w:tc>
          <w:tcPr>
            <w:tcW w:w="27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买入返售</w:t>
            </w:r>
          </w:p>
        </w:tc>
        <w:tc>
          <w:tcPr>
            <w:tcW w:w="2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6"/>
              <w:ind w:right="9"/>
              <w:jc w:val="right"/>
              <w:rPr>
                <w:rFonts w:ascii="Times New Roman" w:hAnsi="Times New Roman" w:cs="Times New Roman" w:eastAsia="Times New Roman" w:hint="default"/>
                <w:sz w:val="18"/>
                <w:szCs w:val="18"/>
              </w:rPr>
            </w:pPr>
            <w:r>
              <w:rPr>
                <w:rFonts w:ascii="Times New Roman"/>
                <w:spacing w:val="-1"/>
                <w:sz w:val="18"/>
              </w:rPr>
              <w:t>2,315,028.40</w:t>
            </w:r>
          </w:p>
        </w:tc>
        <w:tc>
          <w:tcPr>
            <w:tcW w:w="27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236,478.40</w:t>
            </w:r>
          </w:p>
        </w:tc>
      </w:tr>
      <w:tr>
        <w:trPr>
          <w:trHeight w:val="418" w:hRule="exact"/>
        </w:trPr>
        <w:tc>
          <w:tcPr>
            <w:tcW w:w="27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2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right="10"/>
              <w:jc w:val="right"/>
              <w:rPr>
                <w:rFonts w:ascii="Times New Roman" w:hAnsi="Times New Roman" w:cs="Times New Roman" w:eastAsia="Times New Roman" w:hint="default"/>
                <w:sz w:val="18"/>
                <w:szCs w:val="18"/>
              </w:rPr>
            </w:pPr>
            <w:r>
              <w:rPr>
                <w:rFonts w:ascii="Times New Roman"/>
                <w:spacing w:val="-1"/>
                <w:sz w:val="18"/>
              </w:rPr>
              <w:t>12,888,740.00</w:t>
            </w:r>
          </w:p>
        </w:tc>
        <w:tc>
          <w:tcPr>
            <w:tcW w:w="279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7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3"/>
              <w:ind w:right="10"/>
              <w:jc w:val="right"/>
              <w:rPr>
                <w:rFonts w:ascii="Times New Roman" w:hAnsi="Times New Roman" w:cs="Times New Roman" w:eastAsia="Times New Roman" w:hint="default"/>
                <w:sz w:val="18"/>
                <w:szCs w:val="18"/>
              </w:rPr>
            </w:pPr>
            <w:r>
              <w:rPr>
                <w:rFonts w:ascii="Times New Roman"/>
                <w:spacing w:val="-1"/>
                <w:sz w:val="18"/>
              </w:rPr>
              <w:t>15,684,083.25</w:t>
            </w:r>
          </w:p>
        </w:tc>
        <w:tc>
          <w:tcPr>
            <w:tcW w:w="27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737,976.91</w:t>
            </w:r>
          </w:p>
        </w:tc>
      </w:tr>
      <w:tr>
        <w:trPr>
          <w:trHeight w:val="415" w:hRule="exact"/>
        </w:trPr>
        <w:tc>
          <w:tcPr>
            <w:tcW w:w="27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3"/>
              <w:ind w:right="10"/>
              <w:jc w:val="right"/>
              <w:rPr>
                <w:rFonts w:ascii="Times New Roman" w:hAnsi="Times New Roman" w:cs="Times New Roman" w:eastAsia="Times New Roman" w:hint="default"/>
                <w:sz w:val="18"/>
                <w:szCs w:val="18"/>
              </w:rPr>
            </w:pPr>
            <w:r>
              <w:rPr>
                <w:rFonts w:ascii="Times New Roman"/>
                <w:spacing w:val="-1"/>
                <w:sz w:val="18"/>
              </w:rPr>
              <w:t>14,022,934.79</w:t>
            </w:r>
          </w:p>
        </w:tc>
        <w:tc>
          <w:tcPr>
            <w:tcW w:w="27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423,674.91</w:t>
            </w:r>
          </w:p>
        </w:tc>
      </w:tr>
      <w:tr>
        <w:trPr>
          <w:trHeight w:val="430" w:hRule="exact"/>
        </w:trPr>
        <w:tc>
          <w:tcPr>
            <w:tcW w:w="27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856"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27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6"/>
              <w:ind w:right="9"/>
              <w:jc w:val="right"/>
              <w:rPr>
                <w:rFonts w:ascii="Times New Roman" w:hAnsi="Times New Roman" w:cs="Times New Roman" w:eastAsia="Times New Roman" w:hint="default"/>
                <w:sz w:val="18"/>
                <w:szCs w:val="18"/>
              </w:rPr>
            </w:pPr>
            <w:r>
              <w:rPr>
                <w:rFonts w:ascii="Times New Roman"/>
                <w:spacing w:val="-1"/>
                <w:sz w:val="18"/>
              </w:rPr>
              <w:t>1,661,148.46</w:t>
            </w:r>
          </w:p>
        </w:tc>
        <w:tc>
          <w:tcPr>
            <w:tcW w:w="27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314,302.00</w:t>
            </w:r>
          </w:p>
        </w:tc>
      </w:tr>
    </w:tbl>
    <w:p>
      <w:pPr>
        <w:spacing w:line="211"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：因执行新金融工具准则，该项目期初余额与上年末余额存在差异。差异情况详见附注四（四十二）</w:t>
      </w:r>
    </w:p>
    <w:p>
      <w:pPr>
        <w:spacing w:line="233" w:lineRule="exact" w:before="0"/>
        <w:ind w:left="138" w:right="17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line="241"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：公司对出现逾期的金融资产利息，根据预期信用风险特征及金融工具减值政策计提减值准备。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Heading4"/>
        <w:spacing w:line="240" w:lineRule="auto"/>
        <w:ind w:left="740" w:right="1786"/>
        <w:jc w:val="left"/>
        <w:rPr>
          <w:b w:val="0"/>
          <w:bCs w:val="0"/>
        </w:rPr>
      </w:pPr>
      <w:r>
        <w:rPr/>
        <w:t>注释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14"/>
        </w:rPr>
        <w:t> </w:t>
      </w:r>
      <w:r>
        <w:rPr/>
        <w:t>其他应收款</w:t>
      </w:r>
      <w:r>
        <w:rPr>
          <w:b w:val="0"/>
          <w:bCs w:val="0"/>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3356"/>
        <w:gridCol w:w="2302"/>
        <w:gridCol w:w="2669"/>
      </w:tblGrid>
      <w:tr>
        <w:trPr>
          <w:trHeight w:val="360" w:hRule="exact"/>
        </w:trPr>
        <w:tc>
          <w:tcPr>
            <w:tcW w:w="335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3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065" w:right="0"/>
              <w:jc w:val="left"/>
              <w:rPr>
                <w:rFonts w:ascii="Times New Roman" w:hAnsi="Times New Roman" w:cs="Times New Roman" w:eastAsia="Times New Roman" w:hint="default"/>
                <w:sz w:val="18"/>
                <w:szCs w:val="18"/>
              </w:rPr>
            </w:pPr>
            <w:r>
              <w:rPr>
                <w:rFonts w:ascii="Times New Roman"/>
                <w:sz w:val="18"/>
              </w:rPr>
              <w:t>117,041,447.86</w:t>
            </w:r>
          </w:p>
        </w:tc>
        <w:tc>
          <w:tcPr>
            <w:tcW w:w="26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1522" w:right="0"/>
              <w:jc w:val="left"/>
              <w:rPr>
                <w:rFonts w:ascii="Times New Roman" w:hAnsi="Times New Roman" w:cs="Times New Roman" w:eastAsia="Times New Roman" w:hint="default"/>
                <w:sz w:val="18"/>
                <w:szCs w:val="18"/>
              </w:rPr>
            </w:pPr>
            <w:r>
              <w:rPr>
                <w:rFonts w:ascii="Times New Roman"/>
                <w:sz w:val="18"/>
              </w:rPr>
              <w:t>37,291,051.13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3356"/>
        <w:gridCol w:w="2302"/>
        <w:gridCol w:w="2669"/>
      </w:tblGrid>
      <w:tr>
        <w:trPr>
          <w:trHeight w:val="360" w:hRule="exact"/>
        </w:trPr>
        <w:tc>
          <w:tcPr>
            <w:tcW w:w="335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right="1484"/>
              <w:jc w:val="right"/>
              <w:rPr>
                <w:rFonts w:ascii="宋体" w:hAnsi="宋体" w:cs="宋体" w:eastAsia="宋体" w:hint="default"/>
                <w:sz w:val="18"/>
                <w:szCs w:val="18"/>
              </w:rPr>
            </w:pPr>
            <w:r>
              <w:rPr>
                <w:rFonts w:ascii="宋体" w:hAnsi="宋体" w:cs="宋体" w:eastAsia="宋体" w:hint="default"/>
                <w:sz w:val="18"/>
                <w:szCs w:val="18"/>
              </w:rPr>
              <w:t>项目</w:t>
            </w:r>
          </w:p>
        </w:tc>
        <w:tc>
          <w:tcPr>
            <w:tcW w:w="23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33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1484"/>
              <w:jc w:val="righ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065" w:right="0"/>
              <w:jc w:val="left"/>
              <w:rPr>
                <w:rFonts w:ascii="Times New Roman" w:hAnsi="Times New Roman" w:cs="Times New Roman" w:eastAsia="Times New Roman" w:hint="default"/>
                <w:sz w:val="18"/>
                <w:szCs w:val="18"/>
              </w:rPr>
            </w:pPr>
            <w:r>
              <w:rPr>
                <w:rFonts w:ascii="Times New Roman"/>
                <w:sz w:val="18"/>
              </w:rPr>
              <w:t>117,041,447.86</w:t>
            </w:r>
          </w:p>
        </w:tc>
        <w:tc>
          <w:tcPr>
            <w:tcW w:w="26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1522" w:right="0"/>
              <w:jc w:val="left"/>
              <w:rPr>
                <w:rFonts w:ascii="Times New Roman" w:hAnsi="Times New Roman" w:cs="Times New Roman" w:eastAsia="Times New Roman" w:hint="default"/>
                <w:sz w:val="18"/>
                <w:szCs w:val="18"/>
              </w:rPr>
            </w:pPr>
            <w:r>
              <w:rPr>
                <w:rFonts w:ascii="Times New Roman"/>
                <w:sz w:val="18"/>
              </w:rPr>
              <w:t>37,291,051.13</w:t>
            </w:r>
          </w:p>
        </w:tc>
      </w:tr>
    </w:tbl>
    <w:p>
      <w:pPr>
        <w:spacing w:line="240" w:lineRule="exact" w:before="8"/>
        <w:ind w:left="138" w:right="17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注：因执行新金融工具准则，该项目期初余额与上年末余额存在差异。差异情况详见附注四（四十二）</w:t>
      </w:r>
      <w:r>
        <w:rPr>
          <w:rFonts w:ascii="Times New Roman" w:hAnsi="Times New Roman" w:cs="Times New Roman" w:eastAsia="Times New Roman" w:hint="default"/>
          <w:sz w:val="18"/>
          <w:szCs w:val="18"/>
        </w:rPr>
        <w:t>1</w:t>
      </w:r>
    </w:p>
    <w:p>
      <w:pPr>
        <w:spacing w:line="240"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line="240" w:lineRule="auto" w:before="3"/>
        <w:rPr>
          <w:rFonts w:ascii="宋体" w:hAnsi="宋体" w:cs="宋体" w:eastAsia="宋体" w:hint="default"/>
          <w:sz w:val="23"/>
          <w:szCs w:val="23"/>
        </w:rPr>
      </w:pPr>
    </w:p>
    <w:p>
      <w:pPr>
        <w:pStyle w:val="Heading4"/>
        <w:spacing w:line="240" w:lineRule="auto"/>
        <w:ind w:right="178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2"/>
        </w:rPr>
        <w:t> </w:t>
      </w:r>
      <w:r>
        <w:rPr/>
        <w:t>按坏账准备计提方法分类披露</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113"/>
        <w:gridCol w:w="1538"/>
        <w:gridCol w:w="840"/>
        <w:gridCol w:w="1541"/>
        <w:gridCol w:w="840"/>
        <w:gridCol w:w="1455"/>
      </w:tblGrid>
      <w:tr>
        <w:trPr>
          <w:trHeight w:val="360" w:hRule="exact"/>
        </w:trPr>
        <w:tc>
          <w:tcPr>
            <w:tcW w:w="2113"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0"/>
                <w:szCs w:val="2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1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113" w:type="dxa"/>
            <w:vMerge/>
            <w:tcBorders>
              <w:left w:val="nil" w:sz="6" w:space="0" w:color="auto"/>
              <w:right w:val="dotted" w:sz="4" w:space="0" w:color="000000"/>
            </w:tcBorders>
          </w:tcPr>
          <w:p>
            <w:pPr/>
          </w:p>
        </w:tc>
        <w:tc>
          <w:tcPr>
            <w:tcW w:w="237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55" w:type="dxa"/>
            <w:vMerge w:val="restart"/>
            <w:tcBorders>
              <w:top w:val="dotted" w:sz="4" w:space="0" w:color="000000"/>
              <w:left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113" w:type="dxa"/>
            <w:vMerge/>
            <w:tcBorders>
              <w:left w:val="nil" w:sz="6" w:space="0" w:color="auto"/>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left="23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67"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55" w:type="dxa"/>
            <w:vMerge/>
            <w:tcBorders>
              <w:left w:val="dotted" w:sz="4" w:space="0" w:color="000000"/>
              <w:bottom w:val="dotted" w:sz="4" w:space="0" w:color="000000"/>
              <w:right w:val="nil" w:sz="6" w:space="0" w:color="auto"/>
            </w:tcBorders>
          </w:tcPr>
          <w:p>
            <w:pPr/>
          </w:p>
        </w:tc>
      </w:tr>
      <w:tr>
        <w:trPr>
          <w:trHeight w:val="351"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按“一般方法”计提：</w:t>
            </w:r>
          </w:p>
        </w:tc>
        <w:tc>
          <w:tcPr>
            <w:tcW w:w="1538"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7" w:firstLine="179"/>
              <w:jc w:val="left"/>
              <w:rPr>
                <w:rFonts w:ascii="宋体" w:hAnsi="宋体" w:cs="宋体" w:eastAsia="宋体" w:hint="default"/>
                <w:sz w:val="18"/>
                <w:szCs w:val="18"/>
              </w:rPr>
            </w:pPr>
            <w:r>
              <w:rPr>
                <w:rFonts w:ascii="宋体" w:hAnsi="宋体" w:cs="宋体" w:eastAsia="宋体" w:hint="default"/>
                <w:spacing w:val="8"/>
                <w:sz w:val="18"/>
                <w:szCs w:val="18"/>
              </w:rPr>
              <w:t>单项金额重大并已单</w:t>
            </w:r>
            <w:r>
              <w:rPr>
                <w:rFonts w:ascii="宋体" w:hAnsi="宋体" w:cs="宋体" w:eastAsia="宋体" w:hint="default"/>
                <w:sz w:val="18"/>
                <w:szCs w:val="18"/>
              </w:rPr>
              <w:t> 独计提坏账准备的款项</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54,514,466.89</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37.83</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23,181,510.10</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42.52</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31,332,956.79</w:t>
            </w:r>
          </w:p>
        </w:tc>
      </w:tr>
      <w:tr>
        <w:trPr>
          <w:trHeight w:val="790"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10"/>
              <w:ind w:left="122" w:right="101" w:firstLine="179"/>
              <w:jc w:val="both"/>
              <w:rPr>
                <w:rFonts w:ascii="宋体" w:hAnsi="宋体" w:cs="宋体" w:eastAsia="宋体" w:hint="default"/>
                <w:sz w:val="18"/>
                <w:szCs w:val="18"/>
              </w:rPr>
            </w:pPr>
            <w:r>
              <w:rPr>
                <w:rFonts w:ascii="宋体" w:hAnsi="宋体" w:cs="宋体" w:eastAsia="宋体" w:hint="default"/>
                <w:spacing w:val="8"/>
                <w:sz w:val="18"/>
                <w:szCs w:val="18"/>
              </w:rPr>
              <w:t>单项金额非重大并已</w:t>
            </w:r>
            <w:r>
              <w:rPr>
                <w:rFonts w:ascii="宋体" w:hAnsi="宋体" w:cs="宋体" w:eastAsia="宋体" w:hint="default"/>
                <w:sz w:val="18"/>
                <w:szCs w:val="18"/>
              </w:rPr>
              <w:t> </w:t>
            </w:r>
            <w:r>
              <w:rPr>
                <w:rFonts w:ascii="宋体" w:hAnsi="宋体" w:cs="宋体" w:eastAsia="宋体" w:hint="default"/>
                <w:spacing w:val="7"/>
                <w:sz w:val="18"/>
                <w:szCs w:val="18"/>
              </w:rPr>
              <w:t>单独计提坏账准备的款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2,954,987.67</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2.05</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2,159,793.17</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73.09</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795,194.50</w:t>
            </w:r>
          </w:p>
        </w:tc>
      </w:tr>
      <w:tr>
        <w:trPr>
          <w:trHeight w:val="403"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按“简化方法”计提：</w:t>
            </w:r>
          </w:p>
        </w:tc>
        <w:tc>
          <w:tcPr>
            <w:tcW w:w="1538"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7" w:firstLine="179"/>
              <w:jc w:val="left"/>
              <w:rPr>
                <w:rFonts w:ascii="宋体" w:hAnsi="宋体" w:cs="宋体" w:eastAsia="宋体" w:hint="default"/>
                <w:sz w:val="18"/>
                <w:szCs w:val="18"/>
              </w:rPr>
            </w:pPr>
            <w:r>
              <w:rPr>
                <w:rFonts w:ascii="宋体" w:hAnsi="宋体" w:cs="宋体" w:eastAsia="宋体" w:hint="default"/>
                <w:spacing w:val="8"/>
                <w:sz w:val="18"/>
                <w:szCs w:val="18"/>
              </w:rPr>
              <w:t>按组合计提预期信用</w:t>
            </w:r>
            <w:r>
              <w:rPr>
                <w:rFonts w:ascii="宋体" w:hAnsi="宋体" w:cs="宋体" w:eastAsia="宋体" w:hint="default"/>
                <w:sz w:val="18"/>
                <w:szCs w:val="18"/>
              </w:rPr>
              <w:t> 损失的其他应收款</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86,628,228.19</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60.12</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1,714,931.62</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1.98</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84,913,296.57</w:t>
            </w:r>
          </w:p>
        </w:tc>
      </w:tr>
      <w:tr>
        <w:trPr>
          <w:trHeight w:val="401"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302" w:right="0"/>
              <w:jc w:val="left"/>
              <w:rPr>
                <w:rFonts w:ascii="Arial" w:hAnsi="Arial" w:cs="Arial" w:eastAsia="Arial" w:hint="default"/>
                <w:sz w:val="18"/>
                <w:szCs w:val="18"/>
              </w:rPr>
            </w:pPr>
            <w:r>
              <w:rPr>
                <w:rFonts w:ascii="宋体" w:hAnsi="宋体" w:cs="宋体" w:eastAsia="宋体" w:hint="default"/>
                <w:sz w:val="18"/>
                <w:szCs w:val="18"/>
              </w:rPr>
              <w:t>其中：组合</w:t>
            </w:r>
            <w:r>
              <w:rPr>
                <w:rFonts w:ascii="宋体" w:hAnsi="宋体" w:cs="宋体" w:eastAsia="宋体" w:hint="default"/>
                <w:spacing w:val="-63"/>
                <w:sz w:val="18"/>
                <w:szCs w:val="18"/>
              </w:rPr>
              <w:t> </w:t>
            </w:r>
            <w:r>
              <w:rPr>
                <w:rFonts w:ascii="Arial" w:hAnsi="Arial" w:cs="Arial" w:eastAsia="Arial" w:hint="default"/>
                <w:sz w:val="18"/>
                <w:szCs w:val="18"/>
              </w:rPr>
              <w:t>1</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7,200,238.33</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5.00</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822,698.07</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11.43</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6,377,540.26</w:t>
            </w:r>
          </w:p>
        </w:tc>
      </w:tr>
      <w:tr>
        <w:trPr>
          <w:trHeight w:val="404"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4" w:right="0"/>
              <w:jc w:val="center"/>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63"/>
                <w:sz w:val="18"/>
                <w:szCs w:val="18"/>
              </w:rPr>
              <w:t> </w:t>
            </w:r>
            <w:r>
              <w:rPr>
                <w:rFonts w:ascii="Arial" w:hAnsi="Arial" w:cs="Arial" w:eastAsia="Arial" w:hint="default"/>
                <w:sz w:val="18"/>
                <w:szCs w:val="18"/>
              </w:rPr>
              <w:t>2</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79,427,989.86</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55.12</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892,233.55</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1.12</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spacing w:val="-1"/>
                <w:sz w:val="18"/>
              </w:rPr>
              <w:t>78,535,756.31</w:t>
            </w:r>
          </w:p>
        </w:tc>
      </w:tr>
      <w:tr>
        <w:trPr>
          <w:trHeight w:val="413" w:hRule="exact"/>
        </w:trPr>
        <w:tc>
          <w:tcPr>
            <w:tcW w:w="21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144,097,682.75</w:t>
            </w:r>
          </w:p>
        </w:tc>
        <w:tc>
          <w:tcPr>
            <w:tcW w:w="8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27,056,234.89</w:t>
            </w:r>
          </w:p>
        </w:tc>
        <w:tc>
          <w:tcPr>
            <w:tcW w:w="840" w:type="dxa"/>
            <w:tcBorders>
              <w:top w:val="dotted" w:sz="4" w:space="0" w:color="000000"/>
              <w:left w:val="dotted" w:sz="4" w:space="0" w:color="000000"/>
              <w:bottom w:val="single" w:sz="12" w:space="0" w:color="000000"/>
              <w:right w:val="dotted" w:sz="4" w:space="0" w:color="000000"/>
            </w:tcBorders>
          </w:tcPr>
          <w:p>
            <w:pPr/>
          </w:p>
        </w:tc>
        <w:tc>
          <w:tcPr>
            <w:tcW w:w="14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117,041,447.86</w:t>
            </w:r>
          </w:p>
        </w:tc>
      </w:tr>
    </w:tbl>
    <w:p>
      <w:pPr>
        <w:spacing w:line="240" w:lineRule="auto" w:before="16"/>
        <w:rPr>
          <w:rFonts w:ascii="Microsoft JhengHei" w:hAnsi="Microsoft JhengHei" w:cs="Microsoft JhengHei" w:eastAsia="Microsoft JhengHei" w:hint="default"/>
          <w:b/>
          <w:bCs/>
          <w:sz w:val="4"/>
          <w:szCs w:val="4"/>
        </w:rPr>
      </w:pPr>
    </w:p>
    <w:p>
      <w:pPr>
        <w:pStyle w:val="BodyText"/>
        <w:spacing w:line="240" w:lineRule="auto" w:before="36"/>
        <w:ind w:left="558" w:right="1786"/>
        <w:jc w:val="left"/>
      </w:pPr>
      <w:r>
        <w:rPr/>
        <w:t>续：</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13"/>
        <w:gridCol w:w="1538"/>
        <w:gridCol w:w="840"/>
        <w:gridCol w:w="1541"/>
        <w:gridCol w:w="840"/>
        <w:gridCol w:w="1455"/>
      </w:tblGrid>
      <w:tr>
        <w:trPr>
          <w:trHeight w:val="360" w:hRule="exact"/>
        </w:trPr>
        <w:tc>
          <w:tcPr>
            <w:tcW w:w="211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1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113" w:type="dxa"/>
            <w:vMerge/>
            <w:tcBorders>
              <w:left w:val="nil" w:sz="6" w:space="0" w:color="auto"/>
              <w:right w:val="dotted" w:sz="4" w:space="0" w:color="000000"/>
            </w:tcBorders>
          </w:tcPr>
          <w:p>
            <w:pPr/>
          </w:p>
        </w:tc>
        <w:tc>
          <w:tcPr>
            <w:tcW w:w="237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55" w:type="dxa"/>
            <w:vMerge w:val="restart"/>
            <w:tcBorders>
              <w:top w:val="dotted" w:sz="4" w:space="0" w:color="000000"/>
              <w:left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113" w:type="dxa"/>
            <w:vMerge/>
            <w:tcBorders>
              <w:left w:val="nil" w:sz="6" w:space="0" w:color="auto"/>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left="23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67"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7"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55" w:type="dxa"/>
            <w:vMerge/>
            <w:tcBorders>
              <w:left w:val="dotted" w:sz="4" w:space="0" w:color="000000"/>
              <w:bottom w:val="dotted" w:sz="4" w:space="0" w:color="000000"/>
              <w:right w:val="nil" w:sz="6" w:space="0" w:color="auto"/>
            </w:tcBorders>
          </w:tcPr>
          <w:p>
            <w:pPr/>
          </w:p>
        </w:tc>
      </w:tr>
      <w:tr>
        <w:trPr>
          <w:trHeight w:val="350"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按“一般方法”计提：</w:t>
            </w:r>
          </w:p>
        </w:tc>
        <w:tc>
          <w:tcPr>
            <w:tcW w:w="1538"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nil" w:sz="6" w:space="0" w:color="auto"/>
            </w:tcBorders>
          </w:tcPr>
          <w:p>
            <w:pPr/>
          </w:p>
        </w:tc>
      </w:tr>
      <w:tr>
        <w:trPr>
          <w:trHeight w:val="790"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10"/>
              <w:ind w:left="122" w:right="100" w:firstLine="179"/>
              <w:jc w:val="both"/>
              <w:rPr>
                <w:rFonts w:ascii="宋体" w:hAnsi="宋体" w:cs="宋体" w:eastAsia="宋体" w:hint="default"/>
                <w:sz w:val="18"/>
                <w:szCs w:val="18"/>
              </w:rPr>
            </w:pPr>
            <w:r>
              <w:rPr>
                <w:rFonts w:ascii="宋体" w:hAnsi="宋体" w:cs="宋体" w:eastAsia="宋体" w:hint="default"/>
                <w:spacing w:val="8"/>
                <w:sz w:val="18"/>
                <w:szCs w:val="18"/>
              </w:rPr>
              <w:t>单项金额重大并已单</w:t>
            </w:r>
            <w:r>
              <w:rPr>
                <w:rFonts w:ascii="宋体" w:hAnsi="宋体" w:cs="宋体" w:eastAsia="宋体" w:hint="default"/>
                <w:sz w:val="18"/>
                <w:szCs w:val="18"/>
              </w:rPr>
              <w:t> </w:t>
            </w:r>
            <w:r>
              <w:rPr>
                <w:rFonts w:ascii="宋体" w:hAnsi="宋体" w:cs="宋体" w:eastAsia="宋体" w:hint="default"/>
                <w:spacing w:val="7"/>
                <w:sz w:val="18"/>
                <w:szCs w:val="18"/>
              </w:rPr>
              <w:t>独计提计提预期信用损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失的其他应收款</w:t>
            </w:r>
          </w:p>
        </w:tc>
        <w:tc>
          <w:tcPr>
            <w:tcW w:w="1538"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按“简化方法”计提：</w:t>
            </w:r>
          </w:p>
        </w:tc>
        <w:tc>
          <w:tcPr>
            <w:tcW w:w="1538"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dotted" w:sz="4" w:space="0" w:color="000000"/>
            </w:tcBorders>
          </w:tcPr>
          <w:p>
            <w:pPr/>
          </w:p>
        </w:tc>
        <w:tc>
          <w:tcPr>
            <w:tcW w:w="840" w:type="dxa"/>
            <w:tcBorders>
              <w:top w:val="dotted" w:sz="4" w:space="0" w:color="000000"/>
              <w:left w:val="dotted" w:sz="4" w:space="0" w:color="000000"/>
              <w:bottom w:val="dotted" w:sz="4" w:space="0" w:color="000000"/>
              <w:right w:val="dotted" w:sz="4" w:space="0" w:color="000000"/>
            </w:tcBorders>
          </w:tcPr>
          <w:p>
            <w:pPr/>
          </w:p>
        </w:tc>
        <w:tc>
          <w:tcPr>
            <w:tcW w:w="1455"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7" w:firstLine="179"/>
              <w:jc w:val="left"/>
              <w:rPr>
                <w:rFonts w:ascii="宋体" w:hAnsi="宋体" w:cs="宋体" w:eastAsia="宋体" w:hint="default"/>
                <w:sz w:val="18"/>
                <w:szCs w:val="18"/>
              </w:rPr>
            </w:pPr>
            <w:r>
              <w:rPr>
                <w:rFonts w:ascii="宋体" w:hAnsi="宋体" w:cs="宋体" w:eastAsia="宋体" w:hint="default"/>
                <w:spacing w:val="8"/>
                <w:sz w:val="18"/>
                <w:szCs w:val="18"/>
              </w:rPr>
              <w:t>按组合计提预期信用</w:t>
            </w:r>
            <w:r>
              <w:rPr>
                <w:rFonts w:ascii="宋体" w:hAnsi="宋体" w:cs="宋体" w:eastAsia="宋体" w:hint="default"/>
                <w:sz w:val="18"/>
                <w:szCs w:val="18"/>
              </w:rPr>
              <w:t> 损失的其他应收款</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39,105,417.91</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1,814,366.78</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4.64</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37,291,051.13</w:t>
            </w:r>
          </w:p>
        </w:tc>
      </w:tr>
      <w:tr>
        <w:trPr>
          <w:trHeight w:val="350"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2" w:right="0"/>
              <w:jc w:val="left"/>
              <w:rPr>
                <w:rFonts w:ascii="Arial" w:hAnsi="Arial" w:cs="Arial" w:eastAsia="Arial" w:hint="default"/>
                <w:sz w:val="18"/>
                <w:szCs w:val="18"/>
              </w:rPr>
            </w:pPr>
            <w:r>
              <w:rPr>
                <w:rFonts w:ascii="宋体" w:hAnsi="宋体" w:cs="宋体" w:eastAsia="宋体" w:hint="default"/>
                <w:sz w:val="18"/>
                <w:szCs w:val="18"/>
              </w:rPr>
              <w:t>其中：组合</w:t>
            </w:r>
            <w:r>
              <w:rPr>
                <w:rFonts w:ascii="宋体" w:hAnsi="宋体" w:cs="宋体" w:eastAsia="宋体" w:hint="default"/>
                <w:spacing w:val="-63"/>
                <w:sz w:val="18"/>
                <w:szCs w:val="18"/>
              </w:rPr>
              <w:t> </w:t>
            </w:r>
            <w:r>
              <w:rPr>
                <w:rFonts w:ascii="Arial" w:hAnsi="Arial" w:cs="Arial" w:eastAsia="Arial" w:hint="default"/>
                <w:sz w:val="18"/>
                <w:szCs w:val="18"/>
              </w:rPr>
              <w:t>1</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13,271,948.05</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33.94</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1,160,455.28</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8.74</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2"/>
                <w:sz w:val="18"/>
              </w:rPr>
              <w:t>12,111,492.77</w:t>
            </w:r>
          </w:p>
        </w:tc>
      </w:tr>
      <w:tr>
        <w:trPr>
          <w:trHeight w:val="350" w:hRule="exact"/>
        </w:trPr>
        <w:tc>
          <w:tcPr>
            <w:tcW w:w="21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64" w:right="0"/>
              <w:jc w:val="center"/>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63"/>
                <w:sz w:val="18"/>
                <w:szCs w:val="18"/>
              </w:rPr>
              <w:t> </w:t>
            </w:r>
            <w:r>
              <w:rPr>
                <w:rFonts w:ascii="Arial" w:hAnsi="Arial" w:cs="Arial" w:eastAsia="Arial" w:hint="default"/>
                <w:sz w:val="18"/>
                <w:szCs w:val="18"/>
              </w:rPr>
              <w:t>2</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25,833,469.86</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66.06</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653,911.50</w:t>
            </w:r>
          </w:p>
        </w:tc>
        <w:tc>
          <w:tcPr>
            <w:tcW w:w="8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2.53</w:t>
            </w:r>
          </w:p>
        </w:tc>
        <w:tc>
          <w:tcPr>
            <w:tcW w:w="14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25,179,558.36</w:t>
            </w:r>
          </w:p>
        </w:tc>
      </w:tr>
      <w:tr>
        <w:trPr>
          <w:trHeight w:val="360" w:hRule="exact"/>
        </w:trPr>
        <w:tc>
          <w:tcPr>
            <w:tcW w:w="21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39,105,417.91</w:t>
            </w:r>
          </w:p>
        </w:tc>
        <w:tc>
          <w:tcPr>
            <w:tcW w:w="8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1,814,366.78</w:t>
            </w:r>
          </w:p>
        </w:tc>
        <w:tc>
          <w:tcPr>
            <w:tcW w:w="840" w:type="dxa"/>
            <w:tcBorders>
              <w:top w:val="dotted" w:sz="4" w:space="0" w:color="000000"/>
              <w:left w:val="dotted" w:sz="4" w:space="0" w:color="000000"/>
              <w:bottom w:val="single" w:sz="12" w:space="0" w:color="000000"/>
              <w:right w:val="dotted" w:sz="4" w:space="0" w:color="000000"/>
            </w:tcBorders>
          </w:tcPr>
          <w:p>
            <w:pPr/>
          </w:p>
        </w:tc>
        <w:tc>
          <w:tcPr>
            <w:tcW w:w="14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37,291,051.13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4"/>
        <w:spacing w:line="335" w:lineRule="exact"/>
        <w:ind w:left="421" w:right="1786"/>
        <w:jc w:val="left"/>
        <w:rPr>
          <w:b w:val="0"/>
          <w:bCs w:val="0"/>
        </w:rPr>
      </w:pPr>
      <w:r>
        <w:rPr/>
        <w:t>（</w:t>
      </w:r>
      <w:r>
        <w:rPr>
          <w:rFonts w:ascii="Times New Roman" w:hAnsi="Times New Roman" w:cs="Times New Roman" w:eastAsia="Times New Roman" w:hint="default"/>
        </w:rPr>
        <w:t>1</w:t>
      </w:r>
      <w:r>
        <w:rPr/>
        <w:t>）单项金额重大并已单独计提坏账准备的款项</w:t>
      </w:r>
      <w:r>
        <w:rPr>
          <w:b w:val="0"/>
          <w:bCs w:val="0"/>
        </w:rPr>
      </w:r>
    </w:p>
    <w:p>
      <w:pPr>
        <w:spacing w:after="0" w:line="335" w:lineRule="exact"/>
        <w:jc w:val="left"/>
        <w:sectPr>
          <w:pgSz w:w="11910" w:h="16840"/>
          <w:pgMar w:header="877" w:footer="979" w:top="1100" w:bottom="1160" w:left="16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2355"/>
        <w:gridCol w:w="1620"/>
        <w:gridCol w:w="1414"/>
        <w:gridCol w:w="931"/>
        <w:gridCol w:w="2007"/>
      </w:tblGrid>
      <w:tr>
        <w:trPr>
          <w:trHeight w:val="360" w:hRule="exact"/>
        </w:trPr>
        <w:tc>
          <w:tcPr>
            <w:tcW w:w="2355"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972"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2355" w:type="dxa"/>
            <w:vMerge/>
            <w:tcBorders>
              <w:left w:val="nil" w:sz="6" w:space="0" w:color="auto"/>
              <w:bottom w:val="dotted" w:sz="4" w:space="0" w:color="000000"/>
              <w:right w:val="dotted" w:sz="4" w:space="0" w:color="000000"/>
            </w:tcBorders>
          </w:tcPr>
          <w:p>
            <w:pP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2"/>
              <w:ind w:left="124" w:right="125" w:firstLine="64"/>
              <w:jc w:val="left"/>
              <w:rPr>
                <w:rFonts w:ascii="宋体" w:hAnsi="宋体" w:cs="宋体" w:eastAsia="宋体" w:hint="default"/>
                <w:sz w:val="18"/>
                <w:szCs w:val="18"/>
              </w:rPr>
            </w:pPr>
            <w:r>
              <w:rPr>
                <w:rFonts w:ascii="宋体" w:hAnsi="宋体" w:cs="宋体" w:eastAsia="宋体" w:hint="default"/>
                <w:sz w:val="18"/>
                <w:szCs w:val="18"/>
              </w:rPr>
              <w:t>计提比 </w:t>
            </w:r>
            <w:r>
              <w:rPr>
                <w:rFonts w:ascii="宋体" w:hAnsi="宋体" w:cs="宋体" w:eastAsia="宋体" w:hint="default"/>
                <w:w w:val="95"/>
                <w:sz w:val="18"/>
                <w:szCs w:val="18"/>
              </w:rPr>
              <w:t>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63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23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6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51,514,466.89</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23,181,510.10</w:t>
            </w:r>
          </w:p>
        </w:tc>
        <w:tc>
          <w:tcPr>
            <w:tcW w:w="9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45.00</w:t>
            </w:r>
          </w:p>
        </w:tc>
        <w:tc>
          <w:tcPr>
            <w:tcW w:w="2007" w:type="dxa"/>
            <w:tcBorders>
              <w:top w:val="dotted" w:sz="4" w:space="0" w:color="000000"/>
              <w:left w:val="dotted" w:sz="4" w:space="0" w:color="000000"/>
              <w:bottom w:val="dotted" w:sz="4" w:space="0" w:color="000000"/>
              <w:right w:val="nil" w:sz="6" w:space="0" w:color="auto"/>
            </w:tcBorders>
          </w:tcPr>
          <w:p>
            <w:pPr>
              <w:pStyle w:val="TableParagraph"/>
              <w:spacing w:line="316" w:lineRule="auto" w:before="49"/>
              <w:ind w:left="103" w:right="83"/>
              <w:jc w:val="left"/>
              <w:rPr>
                <w:rFonts w:ascii="宋体" w:hAnsi="宋体" w:cs="宋体" w:eastAsia="宋体" w:hint="default"/>
                <w:sz w:val="18"/>
                <w:szCs w:val="18"/>
              </w:rPr>
            </w:pPr>
            <w:r>
              <w:rPr>
                <w:rFonts w:ascii="宋体" w:hAnsi="宋体" w:cs="宋体" w:eastAsia="宋体" w:hint="default"/>
                <w:spacing w:val="18"/>
                <w:sz w:val="18"/>
                <w:szCs w:val="18"/>
              </w:rPr>
              <w:t>部分款项预计无法收</w:t>
            </w:r>
            <w:r>
              <w:rPr>
                <w:rFonts w:ascii="宋体" w:hAnsi="宋体" w:cs="宋体" w:eastAsia="宋体" w:hint="default"/>
                <w:spacing w:val="-84"/>
                <w:sz w:val="18"/>
                <w:szCs w:val="18"/>
              </w:rPr>
              <w:t> </w:t>
            </w:r>
            <w:r>
              <w:rPr>
                <w:rFonts w:ascii="宋体" w:hAnsi="宋体" w:cs="宋体" w:eastAsia="宋体" w:hint="default"/>
                <w:sz w:val="18"/>
                <w:szCs w:val="18"/>
              </w:rPr>
              <w:t>回</w:t>
            </w:r>
          </w:p>
        </w:tc>
      </w:tr>
      <w:tr>
        <w:trPr>
          <w:trHeight w:val="413" w:hRule="exact"/>
        </w:trPr>
        <w:tc>
          <w:tcPr>
            <w:tcW w:w="23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51,514,466.89</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23,181,510.10</w:t>
            </w:r>
          </w:p>
        </w:tc>
        <w:tc>
          <w:tcPr>
            <w:tcW w:w="931" w:type="dxa"/>
            <w:tcBorders>
              <w:top w:val="dotted" w:sz="4" w:space="0" w:color="000000"/>
              <w:left w:val="dotted" w:sz="4" w:space="0" w:color="000000"/>
              <w:bottom w:val="single" w:sz="12" w:space="0" w:color="000000"/>
              <w:right w:val="dotted" w:sz="4" w:space="0" w:color="000000"/>
            </w:tcBorders>
          </w:tcPr>
          <w:p>
            <w:pPr/>
          </w:p>
        </w:tc>
        <w:tc>
          <w:tcPr>
            <w:tcW w:w="200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421" w:right="1786"/>
        <w:jc w:val="left"/>
        <w:rPr>
          <w:b w:val="0"/>
          <w:bCs w:val="0"/>
        </w:rPr>
      </w:pPr>
      <w:r>
        <w:rPr/>
        <w:t>（</w:t>
      </w:r>
      <w:r>
        <w:rPr>
          <w:rFonts w:ascii="Times New Roman" w:hAnsi="Times New Roman" w:cs="Times New Roman" w:eastAsia="Times New Roman" w:hint="default"/>
        </w:rPr>
        <w:t>2</w:t>
      </w:r>
      <w:r>
        <w:rPr/>
        <w:t>）单项金额不重大并已单独计提坏账准备的款项</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094"/>
        <w:gridCol w:w="1592"/>
        <w:gridCol w:w="1214"/>
        <w:gridCol w:w="1515"/>
        <w:gridCol w:w="3080"/>
      </w:tblGrid>
      <w:tr>
        <w:trPr>
          <w:trHeight w:val="427" w:hRule="exact"/>
        </w:trPr>
        <w:tc>
          <w:tcPr>
            <w:tcW w:w="109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401"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7" w:hRule="exact"/>
        </w:trPr>
        <w:tc>
          <w:tcPr>
            <w:tcW w:w="1094" w:type="dxa"/>
            <w:vMerge/>
            <w:tcBorders>
              <w:left w:val="nil" w:sz="6" w:space="0" w:color="auto"/>
              <w:bottom w:val="dotted" w:sz="4" w:space="0" w:color="000000"/>
              <w:right w:val="dotted" w:sz="4" w:space="0" w:color="000000"/>
            </w:tcBorders>
          </w:tcPr>
          <w:p>
            <w:pP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4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c>
          <w:tcPr>
            <w:tcW w:w="30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0" w:hRule="exact"/>
        </w:trPr>
        <w:tc>
          <w:tcPr>
            <w:tcW w:w="10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2,312,101.00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1,516,906.50</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65.61</w:t>
            </w:r>
          </w:p>
        </w:tc>
        <w:tc>
          <w:tcPr>
            <w:tcW w:w="3080" w:type="dxa"/>
            <w:tcBorders>
              <w:top w:val="dotted" w:sz="4" w:space="0" w:color="000000"/>
              <w:left w:val="dotted" w:sz="4" w:space="0" w:color="000000"/>
              <w:bottom w:val="dotted" w:sz="4" w:space="0" w:color="000000"/>
              <w:right w:val="nil" w:sz="6" w:space="0" w:color="auto"/>
            </w:tcBorders>
          </w:tcPr>
          <w:p>
            <w:pPr>
              <w:pStyle w:val="TableParagraph"/>
              <w:spacing w:line="316" w:lineRule="auto" w:before="53"/>
              <w:ind w:left="9" w:right="12"/>
              <w:jc w:val="left"/>
              <w:rPr>
                <w:rFonts w:ascii="宋体" w:hAnsi="宋体" w:cs="宋体" w:eastAsia="宋体" w:hint="default"/>
                <w:sz w:val="18"/>
                <w:szCs w:val="18"/>
              </w:rPr>
            </w:pPr>
            <w:r>
              <w:rPr>
                <w:rFonts w:ascii="宋体" w:hAnsi="宋体" w:cs="宋体" w:eastAsia="宋体" w:hint="default"/>
                <w:spacing w:val="9"/>
                <w:sz w:val="18"/>
                <w:szCs w:val="18"/>
              </w:rPr>
              <w:t>垫付的风险项目法律费用部分款项预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计无法收回</w:t>
            </w:r>
          </w:p>
        </w:tc>
      </w:tr>
      <w:tr>
        <w:trPr>
          <w:trHeight w:val="406" w:hRule="exact"/>
        </w:trPr>
        <w:tc>
          <w:tcPr>
            <w:tcW w:w="10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642,886.67</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642,886.67</w:t>
            </w:r>
          </w:p>
        </w:tc>
        <w:tc>
          <w:tcPr>
            <w:tcW w:w="15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100.00</w:t>
            </w:r>
          </w:p>
        </w:tc>
        <w:tc>
          <w:tcPr>
            <w:tcW w:w="30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18" w:hRule="exact"/>
        </w:trPr>
        <w:tc>
          <w:tcPr>
            <w:tcW w:w="10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2,954,987.67</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2,159,793.17</w:t>
            </w:r>
          </w:p>
        </w:tc>
        <w:tc>
          <w:tcPr>
            <w:tcW w:w="1515" w:type="dxa"/>
            <w:tcBorders>
              <w:top w:val="dotted" w:sz="4" w:space="0" w:color="000000"/>
              <w:left w:val="dotted" w:sz="4" w:space="0" w:color="000000"/>
              <w:bottom w:val="single" w:sz="12" w:space="0" w:color="000000"/>
              <w:right w:val="dotted" w:sz="4" w:space="0" w:color="000000"/>
            </w:tcBorders>
          </w:tcPr>
          <w:p>
            <w:pPr/>
          </w:p>
        </w:tc>
        <w:tc>
          <w:tcPr>
            <w:tcW w:w="308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left="498" w:right="1786"/>
        <w:jc w:val="left"/>
        <w:rPr>
          <w:b w:val="0"/>
          <w:bCs w:val="0"/>
        </w:rPr>
      </w:pPr>
      <w:r>
        <w:rPr/>
        <w:t>（</w:t>
      </w:r>
      <w:r>
        <w:rPr>
          <w:rFonts w:ascii="Times New Roman" w:hAnsi="Times New Roman" w:cs="Times New Roman" w:eastAsia="Times New Roman" w:hint="default"/>
        </w:rPr>
        <w:t>3</w:t>
      </w:r>
      <w:r>
        <w:rPr/>
        <w:t>）按组合计提预期信用损失的其他应收款</w:t>
      </w:r>
      <w:r>
        <w:rPr>
          <w:b w:val="0"/>
          <w:bCs w:val="0"/>
        </w:rPr>
      </w:r>
    </w:p>
    <w:p>
      <w:pPr>
        <w:pStyle w:val="Heading4"/>
        <w:spacing w:line="240" w:lineRule="auto" w:before="81"/>
        <w:ind w:left="498" w:right="1786"/>
        <w:jc w:val="left"/>
        <w:rPr>
          <w:b w:val="0"/>
          <w:bCs w:val="0"/>
        </w:rPr>
      </w:pPr>
      <w:r>
        <w:rPr/>
        <w:pict>
          <v:group style="position:absolute;margin-left:349.269989pt;margin-top:54.354446pt;width:.5pt;height:.1pt;mso-position-horizontal-relative:page;mso-position-vertical-relative:paragraph;z-index:-1328848" coordorigin="6985,1087" coordsize="10,2">
            <v:shape style="position:absolute;left:6985;top:1087;width:10;height:2" coordorigin="6985,1087" coordsize="10,0" path="m6985,1087l6995,1087e" filled="false" stroked="true" strokeweight=".72pt" strokecolor="#000000">
              <v:path arrowok="t"/>
              <v:stroke dashstyle="dash"/>
            </v:shape>
            <w10:wrap type="none"/>
          </v:group>
        </w:pict>
      </w:r>
      <w:r>
        <w:rPr/>
        <w:pict>
          <v:group style="position:absolute;margin-left:412.390015pt;margin-top:54.354446pt;width:.5pt;height:.1pt;mso-position-horizontal-relative:page;mso-position-vertical-relative:paragraph;z-index:-1328824" coordorigin="8248,1087" coordsize="10,2">
            <v:shape style="position:absolute;left:8248;top:1087;width:10;height:2" coordorigin="8248,1087" coordsize="10,0" path="m8248,1087l8257,1087e" filled="false" stroked="true" strokeweight=".72pt" strokecolor="#000000">
              <v:path arrowok="t"/>
              <v:stroke dashstyle="dash"/>
            </v:shape>
            <w10:wrap type="none"/>
          </v:group>
        </w:pict>
      </w:r>
      <w:r>
        <w:rPr/>
        <w:t>组合</w:t>
      </w:r>
      <w:r>
        <w:rPr>
          <w:spacing w:val="1"/>
        </w:rPr>
        <w:t> </w:t>
      </w:r>
      <w:r>
        <w:rPr>
          <w:rFonts w:ascii="Times New Roman" w:hAnsi="Times New Roman" w:cs="Times New Roman" w:eastAsia="Times New Roman" w:hint="default"/>
        </w:rPr>
        <w:t>1</w:t>
      </w:r>
      <w:r>
        <w:rPr/>
        <w:t>：</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567"/>
        <w:gridCol w:w="1640"/>
        <w:gridCol w:w="1262"/>
        <w:gridCol w:w="1858"/>
      </w:tblGrid>
      <w:tr>
        <w:trPr>
          <w:trHeight w:val="427" w:hRule="exact"/>
        </w:trPr>
        <w:tc>
          <w:tcPr>
            <w:tcW w:w="3567"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60"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1" w:hRule="exact"/>
        </w:trPr>
        <w:tc>
          <w:tcPr>
            <w:tcW w:w="3567" w:type="dxa"/>
            <w:vMerge/>
            <w:tcBorders>
              <w:left w:val="nil" w:sz="6" w:space="0" w:color="auto"/>
              <w:bottom w:val="dotted" w:sz="4" w:space="0" w:color="000000"/>
              <w:right w:val="dotted" w:sz="4" w:space="0" w:color="000000"/>
            </w:tcBorders>
          </w:tcPr>
          <w:p>
            <w:pP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4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left="31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18"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5,879,221.10</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234,864.54</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3.99</w:t>
            </w:r>
          </w:p>
        </w:tc>
      </w:tr>
      <w:tr>
        <w:trPr>
          <w:trHeight w:val="418"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842,289.08</w:t>
            </w:r>
          </w:p>
        </w:tc>
        <w:tc>
          <w:tcPr>
            <w:tcW w:w="1262" w:type="dxa"/>
            <w:tcBorders>
              <w:top w:val="dotted" w:sz="4" w:space="0" w:color="000000"/>
              <w:left w:val="dotted" w:sz="4" w:space="0" w:color="000000"/>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8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92,141.16</w:t>
            </w:r>
          </w:p>
        </w:tc>
        <w:tc>
          <w:tcPr>
            <w:tcW w:w="1262" w:type="dxa"/>
            <w:tcBorders>
              <w:top w:val="dotted" w:sz="4" w:space="0" w:color="000000"/>
              <w:left w:val="dotted" w:sz="4" w:space="0" w:color="000000"/>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8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4,944,790.86</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234,864.54</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3.99</w:t>
            </w:r>
          </w:p>
        </w:tc>
      </w:tr>
      <w:tr>
        <w:trPr>
          <w:trHeight w:val="418"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w:t>
            </w:r>
            <w:r>
              <w:rPr>
                <w:rFonts w:ascii="Arial" w:hAnsi="Arial" w:cs="Arial" w:eastAsia="Arial" w:hint="default"/>
                <w:w w:val="95"/>
                <w:sz w:val="18"/>
                <w:szCs w:val="18"/>
              </w:rPr>
              <w:t>2</w:t>
            </w:r>
            <w:r>
              <w:rPr>
                <w:rFonts w:ascii="Arial" w:hAnsi="Arial" w:cs="Arial" w:eastAsia="Arial" w:hint="default"/>
                <w:spacing w:val="-13"/>
                <w:w w:val="95"/>
                <w:sz w:val="18"/>
                <w:szCs w:val="18"/>
              </w:rPr>
              <w:t> </w:t>
            </w:r>
            <w:r>
              <w:rPr>
                <w:rFonts w:ascii="宋体" w:hAnsi="宋体" w:cs="宋体" w:eastAsia="宋体" w:hint="default"/>
                <w:w w:val="95"/>
                <w:sz w:val="18"/>
                <w:szCs w:val="18"/>
              </w:rPr>
              <w:t>年</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191,150.00</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19,115.00</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0.33</w:t>
            </w:r>
          </w:p>
        </w:tc>
      </w:tr>
      <w:tr>
        <w:trPr>
          <w:trHeight w:val="418"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w:t>
            </w:r>
            <w:r>
              <w:rPr>
                <w:rFonts w:ascii="Arial" w:hAnsi="Arial" w:cs="Arial" w:eastAsia="Arial" w:hint="default"/>
                <w:w w:val="95"/>
                <w:sz w:val="18"/>
                <w:szCs w:val="18"/>
              </w:rPr>
              <w:t>3</w:t>
            </w:r>
            <w:r>
              <w:rPr>
                <w:rFonts w:ascii="Arial" w:hAnsi="Arial" w:cs="Arial" w:eastAsia="Arial" w:hint="default"/>
                <w:spacing w:val="-13"/>
                <w:w w:val="95"/>
                <w:sz w:val="18"/>
                <w:szCs w:val="18"/>
              </w:rPr>
              <w:t> </w:t>
            </w:r>
            <w:r>
              <w:rPr>
                <w:rFonts w:ascii="宋体" w:hAnsi="宋体" w:cs="宋体" w:eastAsia="宋体" w:hint="default"/>
                <w:w w:val="95"/>
                <w:sz w:val="18"/>
                <w:szCs w:val="18"/>
              </w:rPr>
              <w:t>年</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1,122,297.40</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561,148.70</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pacing w:val="-1"/>
                <w:sz w:val="18"/>
              </w:rPr>
              <w:t>9.54</w:t>
            </w:r>
          </w:p>
        </w:tc>
      </w:tr>
      <w:tr>
        <w:trPr>
          <w:trHeight w:val="415" w:hRule="exact"/>
        </w:trPr>
        <w:tc>
          <w:tcPr>
            <w:tcW w:w="356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w w:val="95"/>
                <w:sz w:val="18"/>
              </w:rPr>
              <w:t>7,569.83</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w w:val="95"/>
                <w:sz w:val="18"/>
              </w:rPr>
              <w:t>7,569.83</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0.13</w:t>
            </w:r>
          </w:p>
        </w:tc>
      </w:tr>
      <w:tr>
        <w:trPr>
          <w:trHeight w:val="430" w:hRule="exact"/>
        </w:trPr>
        <w:tc>
          <w:tcPr>
            <w:tcW w:w="35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7,200,238.33</w:t>
            </w:r>
          </w:p>
        </w:tc>
        <w:tc>
          <w:tcPr>
            <w:tcW w:w="12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822,698.07</w:t>
            </w:r>
          </w:p>
        </w:tc>
        <w:tc>
          <w:tcPr>
            <w:tcW w:w="185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498" w:right="1786"/>
        <w:jc w:val="left"/>
        <w:rPr>
          <w:b w:val="0"/>
          <w:bCs w:val="0"/>
        </w:rPr>
      </w:pPr>
      <w:r>
        <w:rPr/>
        <w:t>组合</w:t>
      </w:r>
      <w:r>
        <w:rPr>
          <w:spacing w:val="1"/>
        </w:rPr>
        <w:t> </w:t>
      </w:r>
      <w:r>
        <w:rPr>
          <w:rFonts w:ascii="Times New Roman" w:hAnsi="Times New Roman" w:cs="Times New Roman" w:eastAsia="Times New Roman" w:hint="default"/>
        </w:rPr>
        <w:t>2</w:t>
      </w:r>
      <w:r>
        <w:rPr/>
        <w:t>：</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504"/>
        <w:gridCol w:w="1942"/>
        <w:gridCol w:w="1942"/>
        <w:gridCol w:w="1940"/>
      </w:tblGrid>
      <w:tr>
        <w:trPr>
          <w:trHeight w:val="360" w:hRule="exact"/>
        </w:trPr>
        <w:tc>
          <w:tcPr>
            <w:tcW w:w="250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2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04" w:type="dxa"/>
            <w:vMerge/>
            <w:tcBorders>
              <w:left w:val="nil" w:sz="6" w:space="0" w:color="auto"/>
              <w:bottom w:val="dotted" w:sz="4" w:space="0" w:color="000000"/>
              <w:right w:val="dotted" w:sz="4" w:space="0" w:color="000000"/>
            </w:tcBorders>
          </w:tcPr>
          <w:p>
            <w:pP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1"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62,539,774.01</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312,698.87</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4"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706"/>
              <w:jc w:val="righ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40,758,973.05</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203,794.86</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413" w:hRule="exact"/>
        </w:trPr>
        <w:tc>
          <w:tcPr>
            <w:tcW w:w="25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70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18,891,735.73</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94,458.68</w:t>
            </w:r>
          </w:p>
        </w:tc>
        <w:tc>
          <w:tcPr>
            <w:tcW w:w="19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0.50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289" w:type="dxa"/>
        <w:tblLayout w:type="fixed"/>
        <w:tblCellMar>
          <w:top w:w="0" w:type="dxa"/>
          <w:left w:w="0" w:type="dxa"/>
          <w:bottom w:w="0" w:type="dxa"/>
          <w:right w:w="0" w:type="dxa"/>
        </w:tblCellMar>
        <w:tblLook w:val="01E0"/>
      </w:tblPr>
      <w:tblGrid>
        <w:gridCol w:w="2504"/>
        <w:gridCol w:w="1942"/>
        <w:gridCol w:w="1942"/>
        <w:gridCol w:w="1940"/>
      </w:tblGrid>
      <w:tr>
        <w:trPr>
          <w:trHeight w:val="360" w:hRule="exact"/>
        </w:trPr>
        <w:tc>
          <w:tcPr>
            <w:tcW w:w="2504"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23"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04" w:type="dxa"/>
            <w:vMerge/>
            <w:tcBorders>
              <w:left w:val="nil" w:sz="6" w:space="0" w:color="auto"/>
              <w:bottom w:val="dotted" w:sz="4" w:space="0" w:color="000000"/>
              <w:right w:val="dotted" w:sz="4" w:space="0" w:color="000000"/>
            </w:tcBorders>
          </w:tcPr>
          <w:p>
            <w:pP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1"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9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2,889,065.23</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14,445.33</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3"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w:t>
            </w:r>
            <w:r>
              <w:rPr>
                <w:rFonts w:ascii="Arial" w:hAnsi="Arial" w:cs="Arial" w:eastAsia="Arial" w:hint="default"/>
                <w:w w:val="95"/>
                <w:sz w:val="18"/>
                <w:szCs w:val="18"/>
              </w:rPr>
              <w:t>2</w:t>
            </w:r>
            <w:r>
              <w:rPr>
                <w:rFonts w:ascii="Arial" w:hAnsi="Arial" w:cs="Arial" w:eastAsia="Arial" w:hint="default"/>
                <w:spacing w:val="-13"/>
                <w:w w:val="95"/>
                <w:sz w:val="18"/>
                <w:szCs w:val="18"/>
              </w:rPr>
              <w:t> </w:t>
            </w:r>
            <w:r>
              <w:rPr>
                <w:rFonts w:ascii="宋体" w:hAnsi="宋体" w:cs="宋体" w:eastAsia="宋体" w:hint="default"/>
                <w:w w:val="95"/>
                <w:sz w:val="18"/>
                <w:szCs w:val="18"/>
              </w:rPr>
              <w:t>年</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10,526,542.37</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105,265.43</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1"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w:t>
            </w:r>
            <w:r>
              <w:rPr>
                <w:rFonts w:ascii="Arial" w:hAnsi="Arial" w:cs="Arial" w:eastAsia="Arial" w:hint="default"/>
                <w:w w:val="95"/>
                <w:sz w:val="18"/>
                <w:szCs w:val="18"/>
              </w:rPr>
              <w:t>3</w:t>
            </w:r>
            <w:r>
              <w:rPr>
                <w:rFonts w:ascii="Arial" w:hAnsi="Arial" w:cs="Arial" w:eastAsia="Arial" w:hint="default"/>
                <w:spacing w:val="-13"/>
                <w:w w:val="95"/>
                <w:sz w:val="18"/>
                <w:szCs w:val="18"/>
              </w:rPr>
              <w:t> </w:t>
            </w:r>
            <w:r>
              <w:rPr>
                <w:rFonts w:ascii="宋体" w:hAnsi="宋体" w:cs="宋体" w:eastAsia="宋体" w:hint="default"/>
                <w:w w:val="95"/>
                <w:sz w:val="18"/>
                <w:szCs w:val="18"/>
              </w:rPr>
              <w:t>年</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3,237,962.06</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161,898.10</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5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3"/>
                <w:sz w:val="18"/>
                <w:szCs w:val="18"/>
              </w:rPr>
              <w:t> </w:t>
            </w:r>
            <w:r>
              <w:rPr>
                <w:rFonts w:ascii="宋体" w:hAnsi="宋体" w:cs="宋体" w:eastAsia="宋体" w:hint="default"/>
                <w:sz w:val="18"/>
                <w:szCs w:val="18"/>
              </w:rPr>
              <w:t>年以上</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3,123,711.42</w:t>
            </w:r>
          </w:p>
        </w:tc>
        <w:tc>
          <w:tcPr>
            <w:tcW w:w="19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312,371.15</w:t>
            </w:r>
          </w:p>
        </w:tc>
        <w:tc>
          <w:tcPr>
            <w:tcW w:w="19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z w:val="18"/>
              </w:rPr>
              <w:t>10.00</w:t>
            </w:r>
          </w:p>
        </w:tc>
      </w:tr>
      <w:tr>
        <w:trPr>
          <w:trHeight w:val="413" w:hRule="exact"/>
        </w:trPr>
        <w:tc>
          <w:tcPr>
            <w:tcW w:w="25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79,427,989.86</w:t>
            </w:r>
          </w:p>
        </w:tc>
        <w:tc>
          <w:tcPr>
            <w:tcW w:w="19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892,233.55</w:t>
            </w:r>
          </w:p>
        </w:tc>
        <w:tc>
          <w:tcPr>
            <w:tcW w:w="194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740" w:right="4230"/>
        <w:jc w:val="left"/>
        <w:rPr>
          <w:b w:val="0"/>
          <w:bCs w:val="0"/>
        </w:rPr>
      </w:pPr>
      <w:r>
        <w:rPr/>
        <w:pict>
          <v:group style="position:absolute;margin-left:292.25pt;margin-top:48.785pt;width:.5pt;height:.1pt;mso-position-horizontal-relative:page;mso-position-vertical-relative:paragraph;z-index:-1328800" coordorigin="5845,976" coordsize="10,2">
            <v:shape style="position:absolute;left:5845;top:976;width:10;height:2" coordorigin="5845,976" coordsize="10,0" path="m5845,976l5855,976e" filled="false" stroked="true" strokeweight=".72pt" strokecolor="#000000">
              <v:path arrowok="t"/>
              <v:stroke dashstyle="dash"/>
            </v:shape>
            <w10:wrap type="none"/>
          </v:group>
        </w:pict>
      </w:r>
      <w:r>
        <w:rPr/>
        <w:pict>
          <v:group style="position:absolute;margin-left:386.350006pt;margin-top:48.785pt;width:.5pt;height:.1pt;mso-position-horizontal-relative:page;mso-position-vertical-relative:paragraph;z-index:-1328776" coordorigin="7727,976" coordsize="10,2">
            <v:shape style="position:absolute;left:7727;top:976;width:10;height:2" coordorigin="7727,976" coordsize="10,0" path="m7727,976l7737,976e" filled="false" stroked="true" strokeweight=".72pt" strokecolor="#000000">
              <v:path arrowok="t"/>
              <v:stroke dashstyle="dash"/>
            </v:shape>
            <w10:wrap type="none"/>
          </v:group>
        </w:pict>
      </w: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其他应收款坏账准备计提情况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40" w:type="dxa"/>
        <w:tblLayout w:type="fixed"/>
        <w:tblCellMar>
          <w:top w:w="0" w:type="dxa"/>
          <w:left w:w="0" w:type="dxa"/>
          <w:bottom w:w="0" w:type="dxa"/>
          <w:right w:w="0" w:type="dxa"/>
        </w:tblCellMar>
        <w:tblLook w:val="01E0"/>
      </w:tblPr>
      <w:tblGrid>
        <w:gridCol w:w="1538"/>
        <w:gridCol w:w="1160"/>
        <w:gridCol w:w="1517"/>
        <w:gridCol w:w="1882"/>
        <w:gridCol w:w="1201"/>
        <w:gridCol w:w="1330"/>
      </w:tblGrid>
      <w:tr>
        <w:trPr>
          <w:trHeight w:val="427" w:hRule="exact"/>
        </w:trPr>
        <w:tc>
          <w:tcPr>
            <w:tcW w:w="1538" w:type="dxa"/>
            <w:vMerge w:val="restart"/>
            <w:tcBorders>
              <w:top w:val="single" w:sz="12" w:space="0" w:color="000000"/>
              <w:left w:val="nil" w:sz="6" w:space="0" w:color="auto"/>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60" w:type="dxa"/>
            <w:vMerge w:val="restart"/>
            <w:tcBorders>
              <w:top w:val="single" w:sz="12" w:space="0" w:color="000000"/>
              <w:left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6"/>
                <w:szCs w:val="2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9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30" w:type="dxa"/>
            <w:vMerge w:val="restart"/>
            <w:tcBorders>
              <w:top w:val="single" w:sz="12" w:space="0" w:color="000000"/>
              <w:left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26"/>
                <w:szCs w:val="2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06" w:hRule="exact"/>
        </w:trPr>
        <w:tc>
          <w:tcPr>
            <w:tcW w:w="1538" w:type="dxa"/>
            <w:vMerge/>
            <w:tcBorders>
              <w:left w:val="nil" w:sz="6" w:space="0" w:color="auto"/>
              <w:bottom w:val="dotted" w:sz="4" w:space="0" w:color="000000"/>
              <w:right w:val="dotted" w:sz="4" w:space="0" w:color="000000"/>
            </w:tcBorders>
          </w:tcPr>
          <w:p>
            <w:pPr/>
          </w:p>
        </w:tc>
        <w:tc>
          <w:tcPr>
            <w:tcW w:w="1160" w:type="dxa"/>
            <w:vMerge/>
            <w:tcBorders>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330" w:type="dxa"/>
            <w:vMerge/>
            <w:tcBorders>
              <w:left w:val="dotted" w:sz="4" w:space="0" w:color="000000"/>
              <w:bottom w:val="dotted" w:sz="4" w:space="0" w:color="000000"/>
              <w:right w:val="nil" w:sz="6" w:space="0" w:color="auto"/>
            </w:tcBorders>
          </w:tcPr>
          <w:p>
            <w:pPr/>
          </w:p>
        </w:tc>
      </w:tr>
      <w:tr>
        <w:trPr>
          <w:trHeight w:val="804" w:hRule="exact"/>
        </w:trPr>
        <w:tc>
          <w:tcPr>
            <w:tcW w:w="1538"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101"/>
              <w:ind w:left="28" w:right="11"/>
              <w:jc w:val="left"/>
              <w:rPr>
                <w:rFonts w:ascii="宋体" w:hAnsi="宋体" w:cs="宋体" w:eastAsia="宋体" w:hint="default"/>
                <w:sz w:val="18"/>
                <w:szCs w:val="18"/>
              </w:rPr>
            </w:pPr>
            <w:r>
              <w:rPr>
                <w:rFonts w:ascii="宋体" w:hAnsi="宋体" w:cs="宋体" w:eastAsia="宋体" w:hint="default"/>
                <w:spacing w:val="6"/>
                <w:sz w:val="18"/>
                <w:szCs w:val="18"/>
              </w:rPr>
              <w:t>按“一般方法”计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w:t>
            </w:r>
          </w:p>
        </w:tc>
        <w:tc>
          <w:tcPr>
            <w:tcW w:w="1160"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201"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538" w:type="dxa"/>
            <w:tcBorders>
              <w:top w:val="dotted" w:sz="4" w:space="0" w:color="000000"/>
              <w:left w:val="nil" w:sz="6" w:space="0" w:color="auto"/>
              <w:bottom w:val="nil" w:sz="6" w:space="0" w:color="auto"/>
              <w:right w:val="dotted" w:sz="4" w:space="0" w:color="000000"/>
            </w:tcBorders>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spacing w:val="9"/>
                <w:w w:val="95"/>
                <w:sz w:val="18"/>
                <w:szCs w:val="18"/>
              </w:rPr>
              <w:t>单项金额重大并</w:t>
            </w:r>
            <w:r>
              <w:rPr>
                <w:rFonts w:ascii="宋体" w:hAnsi="宋体" w:cs="宋体" w:eastAsia="宋体" w:hint="default"/>
                <w:w w:val="95"/>
                <w:sz w:val="18"/>
                <w:szCs w:val="18"/>
              </w:rPr>
            </w:r>
          </w:p>
        </w:tc>
        <w:tc>
          <w:tcPr>
            <w:tcW w:w="1160" w:type="dxa"/>
            <w:vMerge w:val="restart"/>
            <w:tcBorders>
              <w:top w:val="dotted" w:sz="4" w:space="0" w:color="000000"/>
              <w:left w:val="dotted" w:sz="4" w:space="0" w:color="000000"/>
              <w:right w:val="dotted" w:sz="4" w:space="0" w:color="000000"/>
            </w:tcBorders>
          </w:tcPr>
          <w:p>
            <w:pPr/>
          </w:p>
        </w:tc>
        <w:tc>
          <w:tcPr>
            <w:tcW w:w="1517" w:type="dxa"/>
            <w:tcBorders>
              <w:top w:val="dotted" w:sz="4" w:space="0" w:color="000000"/>
              <w:left w:val="dotted" w:sz="4" w:space="0" w:color="000000"/>
              <w:bottom w:val="nil" w:sz="6" w:space="0" w:color="auto"/>
              <w:right w:val="dotted" w:sz="4" w:space="0" w:color="000000"/>
            </w:tcBorders>
          </w:tcPr>
          <w:p>
            <w:pPr/>
          </w:p>
        </w:tc>
        <w:tc>
          <w:tcPr>
            <w:tcW w:w="1882" w:type="dxa"/>
            <w:vMerge w:val="restart"/>
            <w:tcBorders>
              <w:top w:val="dotted" w:sz="4" w:space="0" w:color="000000"/>
              <w:left w:val="dotted" w:sz="4" w:space="0" w:color="000000"/>
              <w:right w:val="dotted" w:sz="4" w:space="0" w:color="000000"/>
            </w:tcBorders>
          </w:tcPr>
          <w:p>
            <w:pPr/>
          </w:p>
        </w:tc>
        <w:tc>
          <w:tcPr>
            <w:tcW w:w="1201" w:type="dxa"/>
            <w:vMerge w:val="restart"/>
            <w:tcBorders>
              <w:top w:val="dotted" w:sz="4" w:space="0" w:color="000000"/>
              <w:left w:val="dotted" w:sz="4" w:space="0" w:color="000000"/>
              <w:right w:val="dotted" w:sz="4" w:space="0" w:color="000000"/>
            </w:tcBorders>
          </w:tcPr>
          <w:p>
            <w:pPr/>
          </w:p>
        </w:tc>
        <w:tc>
          <w:tcPr>
            <w:tcW w:w="1330" w:type="dxa"/>
            <w:tcBorders>
              <w:top w:val="dotted" w:sz="4" w:space="0" w:color="000000"/>
              <w:left w:val="dotted" w:sz="4" w:space="0" w:color="000000"/>
              <w:bottom w:val="nil" w:sz="6" w:space="0" w:color="auto"/>
              <w:right w:val="nil" w:sz="6" w:space="0" w:color="auto"/>
            </w:tcBorders>
          </w:tcPr>
          <w:p>
            <w:pPr/>
          </w:p>
        </w:tc>
      </w:tr>
      <w:tr>
        <w:trPr>
          <w:trHeight w:val="317" w:hRule="exact"/>
        </w:trPr>
        <w:tc>
          <w:tcPr>
            <w:tcW w:w="1538" w:type="dxa"/>
            <w:tcBorders>
              <w:top w:val="nil" w:sz="6" w:space="0" w:color="auto"/>
              <w:left w:val="nil" w:sz="6" w:space="0" w:color="auto"/>
              <w:bottom w:val="nil" w:sz="6" w:space="0" w:color="auto"/>
              <w:right w:val="dotted"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6"/>
                <w:sz w:val="18"/>
                <w:szCs w:val="18"/>
              </w:rPr>
              <w:t>已单独计提坏账准</w:t>
            </w:r>
          </w:p>
        </w:tc>
        <w:tc>
          <w:tcPr>
            <w:tcW w:w="1160" w:type="dxa"/>
            <w:vMerge/>
            <w:tcBorders>
              <w:left w:val="dotted" w:sz="4" w:space="0" w:color="000000"/>
              <w:right w:val="dotted" w:sz="4" w:space="0" w:color="000000"/>
            </w:tcBorders>
          </w:tcPr>
          <w:p>
            <w:pPr/>
          </w:p>
        </w:tc>
        <w:tc>
          <w:tcPr>
            <w:tcW w:w="1517" w:type="dxa"/>
            <w:tcBorders>
              <w:top w:val="nil" w:sz="6" w:space="0" w:color="auto"/>
              <w:left w:val="dotted" w:sz="4" w:space="0" w:color="000000"/>
              <w:bottom w:val="nil" w:sz="6" w:space="0" w:color="auto"/>
              <w:right w:val="dotted" w:sz="4"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23,181,510.10</w:t>
            </w:r>
          </w:p>
        </w:tc>
        <w:tc>
          <w:tcPr>
            <w:tcW w:w="1882" w:type="dxa"/>
            <w:vMerge/>
            <w:tcBorders>
              <w:left w:val="dotted" w:sz="4" w:space="0" w:color="000000"/>
              <w:right w:val="dotted" w:sz="4" w:space="0" w:color="000000"/>
            </w:tcBorders>
          </w:tcPr>
          <w:p>
            <w:pPr/>
          </w:p>
        </w:tc>
        <w:tc>
          <w:tcPr>
            <w:tcW w:w="1201" w:type="dxa"/>
            <w:vMerge/>
            <w:tcBorders>
              <w:left w:val="dotted" w:sz="4" w:space="0" w:color="000000"/>
              <w:right w:val="dotted" w:sz="4" w:space="0" w:color="000000"/>
            </w:tcBorders>
          </w:tcPr>
          <w:p>
            <w:pPr/>
          </w:p>
        </w:tc>
        <w:tc>
          <w:tcPr>
            <w:tcW w:w="1330" w:type="dxa"/>
            <w:tcBorders>
              <w:top w:val="nil" w:sz="6" w:space="0" w:color="auto"/>
              <w:left w:val="dotted" w:sz="4" w:space="0" w:color="000000"/>
              <w:bottom w:val="nil" w:sz="6" w:space="0" w:color="auto"/>
              <w:right w:val="nil" w:sz="6" w:space="0" w:color="auto"/>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pacing w:val="-1"/>
                <w:sz w:val="18"/>
              </w:rPr>
              <w:t>23,181,510.10</w:t>
            </w:r>
          </w:p>
        </w:tc>
      </w:tr>
      <w:tr>
        <w:trPr>
          <w:trHeight w:val="355" w:hRule="exact"/>
        </w:trPr>
        <w:tc>
          <w:tcPr>
            <w:tcW w:w="1538" w:type="dxa"/>
            <w:tcBorders>
              <w:top w:val="nil" w:sz="6" w:space="0" w:color="auto"/>
              <w:left w:val="nil" w:sz="6" w:space="0" w:color="auto"/>
              <w:bottom w:val="dotted" w:sz="4" w:space="0" w:color="000000"/>
              <w:right w:val="dotted"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备的款项</w:t>
            </w:r>
          </w:p>
        </w:tc>
        <w:tc>
          <w:tcPr>
            <w:tcW w:w="1160" w:type="dxa"/>
            <w:vMerge/>
            <w:tcBorders>
              <w:left w:val="dotted" w:sz="4" w:space="0" w:color="000000"/>
              <w:bottom w:val="dotted" w:sz="4" w:space="0" w:color="000000"/>
              <w:right w:val="dotted" w:sz="4" w:space="0" w:color="000000"/>
            </w:tcBorders>
          </w:tcPr>
          <w:p>
            <w:pPr/>
          </w:p>
        </w:tc>
        <w:tc>
          <w:tcPr>
            <w:tcW w:w="1517" w:type="dxa"/>
            <w:tcBorders>
              <w:top w:val="nil" w:sz="6" w:space="0" w:color="auto"/>
              <w:left w:val="dotted" w:sz="4" w:space="0" w:color="000000"/>
              <w:bottom w:val="dotted" w:sz="4" w:space="0" w:color="000000"/>
              <w:right w:val="dotted" w:sz="4" w:space="0" w:color="000000"/>
            </w:tcBorders>
          </w:tcPr>
          <w:p>
            <w:pPr/>
          </w:p>
        </w:tc>
        <w:tc>
          <w:tcPr>
            <w:tcW w:w="1882" w:type="dxa"/>
            <w:vMerge/>
            <w:tcBorders>
              <w:left w:val="dotted" w:sz="4" w:space="0" w:color="000000"/>
              <w:bottom w:val="dotted" w:sz="4" w:space="0" w:color="000000"/>
              <w:right w:val="dotted" w:sz="4" w:space="0" w:color="000000"/>
            </w:tcBorders>
          </w:tcPr>
          <w:p>
            <w:pPr/>
          </w:p>
        </w:tc>
        <w:tc>
          <w:tcPr>
            <w:tcW w:w="1201" w:type="dxa"/>
            <w:vMerge/>
            <w:tcBorders>
              <w:left w:val="dotted" w:sz="4" w:space="0" w:color="000000"/>
              <w:bottom w:val="dotted" w:sz="4" w:space="0" w:color="000000"/>
              <w:right w:val="dotted" w:sz="4" w:space="0" w:color="000000"/>
            </w:tcBorders>
          </w:tcPr>
          <w:p>
            <w:pPr/>
          </w:p>
        </w:tc>
        <w:tc>
          <w:tcPr>
            <w:tcW w:w="1330" w:type="dxa"/>
            <w:tcBorders>
              <w:top w:val="nil" w:sz="6" w:space="0" w:color="auto"/>
              <w:left w:val="dotted" w:sz="4" w:space="0" w:color="000000"/>
              <w:bottom w:val="dotted" w:sz="4" w:space="0" w:color="000000"/>
              <w:right w:val="nil" w:sz="6" w:space="0" w:color="auto"/>
            </w:tcBorders>
          </w:tcPr>
          <w:p>
            <w:pPr/>
          </w:p>
        </w:tc>
      </w:tr>
      <w:tr>
        <w:trPr>
          <w:trHeight w:val="360" w:hRule="exact"/>
        </w:trPr>
        <w:tc>
          <w:tcPr>
            <w:tcW w:w="1538" w:type="dxa"/>
            <w:tcBorders>
              <w:top w:val="dotted" w:sz="4" w:space="0" w:color="000000"/>
              <w:left w:val="nil" w:sz="6" w:space="0" w:color="auto"/>
              <w:bottom w:val="nil" w:sz="6" w:space="0" w:color="auto"/>
              <w:right w:val="dotted" w:sz="4" w:space="0" w:color="000000"/>
            </w:tcBorders>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spacing w:val="9"/>
                <w:w w:val="95"/>
                <w:sz w:val="18"/>
                <w:szCs w:val="18"/>
              </w:rPr>
              <w:t>单项金额非重大</w:t>
            </w:r>
            <w:r>
              <w:rPr>
                <w:rFonts w:ascii="宋体" w:hAnsi="宋体" w:cs="宋体" w:eastAsia="宋体" w:hint="default"/>
                <w:w w:val="95"/>
                <w:sz w:val="18"/>
                <w:szCs w:val="18"/>
              </w:rPr>
            </w:r>
          </w:p>
        </w:tc>
        <w:tc>
          <w:tcPr>
            <w:tcW w:w="1160" w:type="dxa"/>
            <w:vMerge w:val="restart"/>
            <w:tcBorders>
              <w:top w:val="dotted" w:sz="4" w:space="0" w:color="000000"/>
              <w:left w:val="dotted" w:sz="4" w:space="0" w:color="000000"/>
              <w:right w:val="dotted" w:sz="4" w:space="0" w:color="000000"/>
            </w:tcBorders>
          </w:tcPr>
          <w:p>
            <w:pPr/>
          </w:p>
        </w:tc>
        <w:tc>
          <w:tcPr>
            <w:tcW w:w="1517" w:type="dxa"/>
            <w:tcBorders>
              <w:top w:val="dotted" w:sz="4" w:space="0" w:color="000000"/>
              <w:left w:val="dotted" w:sz="4" w:space="0" w:color="000000"/>
              <w:bottom w:val="nil" w:sz="6" w:space="0" w:color="auto"/>
              <w:right w:val="dotted" w:sz="4" w:space="0" w:color="000000"/>
            </w:tcBorders>
          </w:tcPr>
          <w:p>
            <w:pPr/>
          </w:p>
        </w:tc>
        <w:tc>
          <w:tcPr>
            <w:tcW w:w="1882" w:type="dxa"/>
            <w:vMerge w:val="restart"/>
            <w:tcBorders>
              <w:top w:val="dotted" w:sz="4" w:space="0" w:color="000000"/>
              <w:left w:val="dotted" w:sz="4" w:space="0" w:color="000000"/>
              <w:right w:val="dotted" w:sz="4" w:space="0" w:color="000000"/>
            </w:tcBorders>
          </w:tcPr>
          <w:p>
            <w:pPr/>
          </w:p>
        </w:tc>
        <w:tc>
          <w:tcPr>
            <w:tcW w:w="1201" w:type="dxa"/>
            <w:vMerge w:val="restart"/>
            <w:tcBorders>
              <w:top w:val="dotted" w:sz="4" w:space="0" w:color="000000"/>
              <w:left w:val="dotted" w:sz="4" w:space="0" w:color="000000"/>
              <w:right w:val="dotted" w:sz="4" w:space="0" w:color="000000"/>
            </w:tcBorders>
          </w:tcPr>
          <w:p>
            <w:pPr/>
          </w:p>
        </w:tc>
        <w:tc>
          <w:tcPr>
            <w:tcW w:w="1330" w:type="dxa"/>
            <w:tcBorders>
              <w:top w:val="dotted" w:sz="4" w:space="0" w:color="000000"/>
              <w:left w:val="dotted" w:sz="4" w:space="0" w:color="000000"/>
              <w:bottom w:val="nil" w:sz="6" w:space="0" w:color="auto"/>
              <w:right w:val="nil" w:sz="6" w:space="0" w:color="auto"/>
            </w:tcBorders>
          </w:tcPr>
          <w:p>
            <w:pPr/>
          </w:p>
        </w:tc>
      </w:tr>
      <w:tr>
        <w:trPr>
          <w:trHeight w:val="317" w:hRule="exact"/>
        </w:trPr>
        <w:tc>
          <w:tcPr>
            <w:tcW w:w="1538" w:type="dxa"/>
            <w:tcBorders>
              <w:top w:val="nil" w:sz="6" w:space="0" w:color="auto"/>
              <w:left w:val="nil" w:sz="6" w:space="0" w:color="auto"/>
              <w:bottom w:val="nil" w:sz="6" w:space="0" w:color="auto"/>
              <w:right w:val="dotted"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6"/>
                <w:sz w:val="18"/>
                <w:szCs w:val="18"/>
              </w:rPr>
              <w:t>并已单独计提坏账</w:t>
            </w:r>
          </w:p>
        </w:tc>
        <w:tc>
          <w:tcPr>
            <w:tcW w:w="1160" w:type="dxa"/>
            <w:vMerge/>
            <w:tcBorders>
              <w:left w:val="dotted" w:sz="4" w:space="0" w:color="000000"/>
              <w:right w:val="dotted" w:sz="4" w:space="0" w:color="000000"/>
            </w:tcBorders>
          </w:tcPr>
          <w:p>
            <w:pPr/>
          </w:p>
        </w:tc>
        <w:tc>
          <w:tcPr>
            <w:tcW w:w="1517" w:type="dxa"/>
            <w:tcBorders>
              <w:top w:val="nil" w:sz="6" w:space="0" w:color="auto"/>
              <w:left w:val="dotted" w:sz="4" w:space="0" w:color="000000"/>
              <w:bottom w:val="nil" w:sz="6" w:space="0" w:color="auto"/>
              <w:right w:val="dotted" w:sz="4" w:space="0" w:color="000000"/>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2,159,793.17</w:t>
            </w:r>
          </w:p>
        </w:tc>
        <w:tc>
          <w:tcPr>
            <w:tcW w:w="1882" w:type="dxa"/>
            <w:vMerge/>
            <w:tcBorders>
              <w:left w:val="dotted" w:sz="4" w:space="0" w:color="000000"/>
              <w:right w:val="dotted" w:sz="4" w:space="0" w:color="000000"/>
            </w:tcBorders>
          </w:tcPr>
          <w:p>
            <w:pPr/>
          </w:p>
        </w:tc>
        <w:tc>
          <w:tcPr>
            <w:tcW w:w="1201" w:type="dxa"/>
            <w:vMerge/>
            <w:tcBorders>
              <w:left w:val="dotted" w:sz="4" w:space="0" w:color="000000"/>
              <w:right w:val="dotted" w:sz="4" w:space="0" w:color="000000"/>
            </w:tcBorders>
          </w:tcPr>
          <w:p>
            <w:pPr/>
          </w:p>
        </w:tc>
        <w:tc>
          <w:tcPr>
            <w:tcW w:w="1330" w:type="dxa"/>
            <w:tcBorders>
              <w:top w:val="nil" w:sz="6" w:space="0" w:color="auto"/>
              <w:left w:val="dotted" w:sz="4" w:space="0" w:color="000000"/>
              <w:bottom w:val="nil" w:sz="6" w:space="0" w:color="auto"/>
              <w:right w:val="nil" w:sz="6" w:space="0" w:color="auto"/>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pacing w:val="-1"/>
                <w:sz w:val="18"/>
              </w:rPr>
              <w:t>2,159,793.17</w:t>
            </w:r>
          </w:p>
        </w:tc>
      </w:tr>
      <w:tr>
        <w:trPr>
          <w:trHeight w:val="353" w:hRule="exact"/>
        </w:trPr>
        <w:tc>
          <w:tcPr>
            <w:tcW w:w="1538" w:type="dxa"/>
            <w:tcBorders>
              <w:top w:val="nil" w:sz="6" w:space="0" w:color="auto"/>
              <w:left w:val="nil" w:sz="6" w:space="0" w:color="auto"/>
              <w:bottom w:val="dotted" w:sz="4" w:space="0" w:color="000000"/>
              <w:right w:val="dotted"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准备的款项</w:t>
            </w:r>
          </w:p>
        </w:tc>
        <w:tc>
          <w:tcPr>
            <w:tcW w:w="1160" w:type="dxa"/>
            <w:vMerge/>
            <w:tcBorders>
              <w:left w:val="dotted" w:sz="4" w:space="0" w:color="000000"/>
              <w:bottom w:val="dotted" w:sz="4" w:space="0" w:color="000000"/>
              <w:right w:val="dotted" w:sz="4" w:space="0" w:color="000000"/>
            </w:tcBorders>
          </w:tcPr>
          <w:p>
            <w:pPr/>
          </w:p>
        </w:tc>
        <w:tc>
          <w:tcPr>
            <w:tcW w:w="1517" w:type="dxa"/>
            <w:tcBorders>
              <w:top w:val="nil" w:sz="6" w:space="0" w:color="auto"/>
              <w:left w:val="dotted" w:sz="4" w:space="0" w:color="000000"/>
              <w:bottom w:val="dotted" w:sz="4" w:space="0" w:color="000000"/>
              <w:right w:val="dotted" w:sz="4" w:space="0" w:color="000000"/>
            </w:tcBorders>
          </w:tcPr>
          <w:p>
            <w:pPr/>
          </w:p>
        </w:tc>
        <w:tc>
          <w:tcPr>
            <w:tcW w:w="1882" w:type="dxa"/>
            <w:vMerge/>
            <w:tcBorders>
              <w:left w:val="dotted" w:sz="4" w:space="0" w:color="000000"/>
              <w:bottom w:val="dotted" w:sz="4" w:space="0" w:color="000000"/>
              <w:right w:val="dotted" w:sz="4" w:space="0" w:color="000000"/>
            </w:tcBorders>
          </w:tcPr>
          <w:p>
            <w:pPr/>
          </w:p>
        </w:tc>
        <w:tc>
          <w:tcPr>
            <w:tcW w:w="1201" w:type="dxa"/>
            <w:vMerge/>
            <w:tcBorders>
              <w:left w:val="dotted" w:sz="4" w:space="0" w:color="000000"/>
              <w:bottom w:val="dotted" w:sz="4" w:space="0" w:color="000000"/>
              <w:right w:val="dotted" w:sz="4" w:space="0" w:color="000000"/>
            </w:tcBorders>
          </w:tcPr>
          <w:p>
            <w:pPr/>
          </w:p>
        </w:tc>
        <w:tc>
          <w:tcPr>
            <w:tcW w:w="1330" w:type="dxa"/>
            <w:tcBorders>
              <w:top w:val="nil" w:sz="6" w:space="0" w:color="auto"/>
              <w:left w:val="dotted" w:sz="4" w:space="0" w:color="000000"/>
              <w:bottom w:val="dotted" w:sz="4" w:space="0" w:color="000000"/>
              <w:right w:val="nil" w:sz="6" w:space="0" w:color="auto"/>
            </w:tcBorders>
          </w:tcPr>
          <w:p>
            <w:pPr/>
          </w:p>
        </w:tc>
      </w:tr>
      <w:tr>
        <w:trPr>
          <w:trHeight w:val="914" w:hRule="exact"/>
        </w:trPr>
        <w:tc>
          <w:tcPr>
            <w:tcW w:w="1538"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152"/>
              <w:ind w:left="28" w:right="11"/>
              <w:jc w:val="left"/>
              <w:rPr>
                <w:rFonts w:ascii="宋体" w:hAnsi="宋体" w:cs="宋体" w:eastAsia="宋体" w:hint="default"/>
                <w:sz w:val="18"/>
                <w:szCs w:val="18"/>
              </w:rPr>
            </w:pPr>
            <w:r>
              <w:rPr>
                <w:rFonts w:ascii="宋体" w:hAnsi="宋体" w:cs="宋体" w:eastAsia="宋体" w:hint="default"/>
                <w:spacing w:val="6"/>
                <w:sz w:val="18"/>
                <w:szCs w:val="18"/>
              </w:rPr>
              <w:t>按“简化方法”计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w:t>
            </w:r>
          </w:p>
        </w:tc>
        <w:tc>
          <w:tcPr>
            <w:tcW w:w="1160"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dotted" w:sz="4" w:space="0" w:color="000000"/>
            </w:tcBorders>
          </w:tcPr>
          <w:p>
            <w:pPr/>
          </w:p>
        </w:tc>
        <w:tc>
          <w:tcPr>
            <w:tcW w:w="1882" w:type="dxa"/>
            <w:tcBorders>
              <w:top w:val="dotted" w:sz="4" w:space="0" w:color="000000"/>
              <w:left w:val="dotted" w:sz="4" w:space="0" w:color="000000"/>
              <w:bottom w:val="dotted" w:sz="4" w:space="0" w:color="000000"/>
              <w:right w:val="dotted" w:sz="4" w:space="0" w:color="000000"/>
            </w:tcBorders>
          </w:tcPr>
          <w:p>
            <w:pPr/>
          </w:p>
        </w:tc>
        <w:tc>
          <w:tcPr>
            <w:tcW w:w="1201"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
        </w:tc>
      </w:tr>
      <w:tr>
        <w:trPr>
          <w:trHeight w:val="361" w:hRule="exact"/>
        </w:trPr>
        <w:tc>
          <w:tcPr>
            <w:tcW w:w="1538" w:type="dxa"/>
            <w:tcBorders>
              <w:top w:val="dotted" w:sz="4" w:space="0" w:color="000000"/>
              <w:left w:val="nil" w:sz="6" w:space="0" w:color="auto"/>
              <w:bottom w:val="nil" w:sz="6" w:space="0" w:color="auto"/>
              <w:right w:val="dotted" w:sz="4" w:space="0" w:color="000000"/>
            </w:tcBorders>
          </w:tcPr>
          <w:p>
            <w:pPr>
              <w:pStyle w:val="TableParagraph"/>
              <w:spacing w:line="240" w:lineRule="auto" w:before="56"/>
              <w:ind w:right="-3"/>
              <w:jc w:val="right"/>
              <w:rPr>
                <w:rFonts w:ascii="宋体" w:hAnsi="宋体" w:cs="宋体" w:eastAsia="宋体" w:hint="default"/>
                <w:sz w:val="18"/>
                <w:szCs w:val="18"/>
              </w:rPr>
            </w:pPr>
            <w:r>
              <w:rPr>
                <w:rFonts w:ascii="宋体" w:hAnsi="宋体" w:cs="宋体" w:eastAsia="宋体" w:hint="default"/>
                <w:spacing w:val="9"/>
                <w:w w:val="95"/>
                <w:sz w:val="18"/>
                <w:szCs w:val="18"/>
              </w:rPr>
              <w:t>按组合计提预期</w:t>
            </w:r>
            <w:r>
              <w:rPr>
                <w:rFonts w:ascii="宋体" w:hAnsi="宋体" w:cs="宋体" w:eastAsia="宋体" w:hint="default"/>
                <w:w w:val="95"/>
                <w:sz w:val="18"/>
                <w:szCs w:val="18"/>
              </w:rPr>
            </w:r>
          </w:p>
        </w:tc>
        <w:tc>
          <w:tcPr>
            <w:tcW w:w="1160" w:type="dxa"/>
            <w:tcBorders>
              <w:top w:val="dotted" w:sz="4" w:space="0" w:color="000000"/>
              <w:left w:val="dotted" w:sz="4" w:space="0" w:color="000000"/>
              <w:bottom w:val="nil" w:sz="6" w:space="0" w:color="auto"/>
              <w:right w:val="dotted" w:sz="4" w:space="0" w:color="000000"/>
            </w:tcBorders>
          </w:tcPr>
          <w:p>
            <w:pPr/>
          </w:p>
        </w:tc>
        <w:tc>
          <w:tcPr>
            <w:tcW w:w="1517" w:type="dxa"/>
            <w:tcBorders>
              <w:top w:val="dotted" w:sz="4" w:space="0" w:color="000000"/>
              <w:left w:val="dotted" w:sz="4" w:space="0" w:color="000000"/>
              <w:bottom w:val="nil" w:sz="6" w:space="0" w:color="auto"/>
              <w:right w:val="dotted" w:sz="4" w:space="0" w:color="000000"/>
            </w:tcBorders>
          </w:tcPr>
          <w:p>
            <w:pPr/>
          </w:p>
        </w:tc>
        <w:tc>
          <w:tcPr>
            <w:tcW w:w="1882" w:type="dxa"/>
            <w:tcBorders>
              <w:top w:val="dotted" w:sz="4" w:space="0" w:color="000000"/>
              <w:left w:val="dotted" w:sz="4" w:space="0" w:color="000000"/>
              <w:bottom w:val="nil" w:sz="6" w:space="0" w:color="auto"/>
              <w:right w:val="dotted" w:sz="4" w:space="0" w:color="000000"/>
            </w:tcBorders>
          </w:tcPr>
          <w:p>
            <w:pPr/>
          </w:p>
        </w:tc>
        <w:tc>
          <w:tcPr>
            <w:tcW w:w="1201" w:type="dxa"/>
            <w:vMerge w:val="restart"/>
            <w:tcBorders>
              <w:top w:val="dotted" w:sz="4" w:space="0" w:color="000000"/>
              <w:left w:val="dotted" w:sz="4" w:space="0" w:color="000000"/>
              <w:right w:val="dotted" w:sz="4" w:space="0" w:color="000000"/>
            </w:tcBorders>
          </w:tcPr>
          <w:p>
            <w:pPr/>
          </w:p>
        </w:tc>
        <w:tc>
          <w:tcPr>
            <w:tcW w:w="1330" w:type="dxa"/>
            <w:tcBorders>
              <w:top w:val="dotted" w:sz="4" w:space="0" w:color="000000"/>
              <w:left w:val="dotted" w:sz="4" w:space="0" w:color="000000"/>
              <w:bottom w:val="nil" w:sz="6" w:space="0" w:color="auto"/>
              <w:right w:val="nil" w:sz="6" w:space="0" w:color="auto"/>
            </w:tcBorders>
          </w:tcPr>
          <w:p>
            <w:pPr/>
          </w:p>
        </w:tc>
      </w:tr>
      <w:tr>
        <w:trPr>
          <w:trHeight w:val="317" w:hRule="exact"/>
        </w:trPr>
        <w:tc>
          <w:tcPr>
            <w:tcW w:w="1538" w:type="dxa"/>
            <w:tcBorders>
              <w:top w:val="nil" w:sz="6" w:space="0" w:color="auto"/>
              <w:left w:val="nil" w:sz="6" w:space="0" w:color="auto"/>
              <w:bottom w:val="nil" w:sz="6" w:space="0" w:color="auto"/>
              <w:right w:val="dotted" w:sz="4" w:space="0" w:color="000000"/>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pacing w:val="6"/>
                <w:sz w:val="18"/>
                <w:szCs w:val="18"/>
              </w:rPr>
              <w:t>信用损失的其他应</w:t>
            </w:r>
          </w:p>
        </w:tc>
        <w:tc>
          <w:tcPr>
            <w:tcW w:w="1160" w:type="dxa"/>
            <w:tcBorders>
              <w:top w:val="nil" w:sz="6" w:space="0" w:color="auto"/>
              <w:left w:val="dotted" w:sz="4" w:space="0" w:color="000000"/>
              <w:bottom w:val="nil" w:sz="6" w:space="0" w:color="auto"/>
              <w:right w:val="dotted" w:sz="4" w:space="0" w:color="000000"/>
            </w:tcBorders>
          </w:tcPr>
          <w:p>
            <w:pPr>
              <w:pStyle w:val="TableParagraph"/>
              <w:spacing w:line="240" w:lineRule="auto" w:before="54"/>
              <w:ind w:right="10"/>
              <w:jc w:val="right"/>
              <w:rPr>
                <w:rFonts w:ascii="Times New Roman" w:hAnsi="Times New Roman" w:cs="Times New Roman" w:eastAsia="Times New Roman" w:hint="default"/>
                <w:sz w:val="18"/>
                <w:szCs w:val="18"/>
              </w:rPr>
            </w:pPr>
            <w:r>
              <w:rPr>
                <w:rFonts w:ascii="Times New Roman"/>
                <w:spacing w:val="-1"/>
                <w:sz w:val="18"/>
              </w:rPr>
              <w:t>1,814,366.78</w:t>
            </w:r>
          </w:p>
        </w:tc>
        <w:tc>
          <w:tcPr>
            <w:tcW w:w="1517" w:type="dxa"/>
            <w:tcBorders>
              <w:top w:val="nil" w:sz="6" w:space="0" w:color="auto"/>
              <w:left w:val="dotted" w:sz="4" w:space="0" w:color="000000"/>
              <w:bottom w:val="nil" w:sz="6" w:space="0" w:color="auto"/>
              <w:right w:val="dotted" w:sz="4" w:space="0" w:color="000000"/>
            </w:tcBorders>
          </w:tcPr>
          <w:p>
            <w:pPr>
              <w:pStyle w:val="TableParagraph"/>
              <w:spacing w:line="240" w:lineRule="auto" w:before="54"/>
              <w:ind w:right="9"/>
              <w:jc w:val="right"/>
              <w:rPr>
                <w:rFonts w:ascii="Times New Roman" w:hAnsi="Times New Roman" w:cs="Times New Roman" w:eastAsia="Times New Roman" w:hint="default"/>
                <w:sz w:val="18"/>
                <w:szCs w:val="18"/>
              </w:rPr>
            </w:pPr>
            <w:r>
              <w:rPr>
                <w:rFonts w:ascii="Times New Roman"/>
                <w:spacing w:val="-1"/>
                <w:sz w:val="18"/>
              </w:rPr>
              <w:t>1,123,561.37</w:t>
            </w:r>
          </w:p>
        </w:tc>
        <w:tc>
          <w:tcPr>
            <w:tcW w:w="1882" w:type="dxa"/>
            <w:tcBorders>
              <w:top w:val="nil" w:sz="6" w:space="0" w:color="auto"/>
              <w:left w:val="dotted" w:sz="4" w:space="0" w:color="000000"/>
              <w:bottom w:val="nil" w:sz="6" w:space="0" w:color="auto"/>
              <w:right w:val="dotted" w:sz="4" w:space="0" w:color="000000"/>
            </w:tcBorders>
          </w:tcPr>
          <w:p>
            <w:pPr>
              <w:pStyle w:val="TableParagraph"/>
              <w:spacing w:line="240" w:lineRule="auto" w:before="54"/>
              <w:ind w:right="7"/>
              <w:jc w:val="right"/>
              <w:rPr>
                <w:rFonts w:ascii="Times New Roman" w:hAnsi="Times New Roman" w:cs="Times New Roman" w:eastAsia="Times New Roman" w:hint="default"/>
                <w:sz w:val="18"/>
                <w:szCs w:val="18"/>
              </w:rPr>
            </w:pPr>
            <w:r>
              <w:rPr>
                <w:rFonts w:ascii="Times New Roman"/>
                <w:spacing w:val="-1"/>
                <w:sz w:val="18"/>
              </w:rPr>
              <w:t>1,222,996.53</w:t>
            </w:r>
          </w:p>
        </w:tc>
        <w:tc>
          <w:tcPr>
            <w:tcW w:w="1201" w:type="dxa"/>
            <w:vMerge/>
            <w:tcBorders>
              <w:left w:val="dotted" w:sz="4" w:space="0" w:color="000000"/>
              <w:right w:val="dotted" w:sz="4" w:space="0" w:color="000000"/>
            </w:tcBorders>
          </w:tcPr>
          <w:p>
            <w:pPr/>
          </w:p>
        </w:tc>
        <w:tc>
          <w:tcPr>
            <w:tcW w:w="1330" w:type="dxa"/>
            <w:tcBorders>
              <w:top w:val="nil" w:sz="6" w:space="0" w:color="auto"/>
              <w:left w:val="dotted" w:sz="4" w:space="0" w:color="000000"/>
              <w:bottom w:val="nil" w:sz="6" w:space="0" w:color="auto"/>
              <w:right w:val="nil" w:sz="6" w:space="0" w:color="auto"/>
            </w:tcBorders>
          </w:tcPr>
          <w:p>
            <w:pPr>
              <w:pStyle w:val="TableParagraph"/>
              <w:spacing w:line="240" w:lineRule="auto" w:before="54"/>
              <w:ind w:right="14"/>
              <w:jc w:val="right"/>
              <w:rPr>
                <w:rFonts w:ascii="Times New Roman" w:hAnsi="Times New Roman" w:cs="Times New Roman" w:eastAsia="Times New Roman" w:hint="default"/>
                <w:sz w:val="18"/>
                <w:szCs w:val="18"/>
              </w:rPr>
            </w:pPr>
            <w:r>
              <w:rPr>
                <w:rFonts w:ascii="Times New Roman"/>
                <w:spacing w:val="-1"/>
                <w:sz w:val="18"/>
              </w:rPr>
              <w:t>1,714,931.62</w:t>
            </w:r>
          </w:p>
        </w:tc>
      </w:tr>
      <w:tr>
        <w:trPr>
          <w:trHeight w:val="354" w:hRule="exact"/>
        </w:trPr>
        <w:tc>
          <w:tcPr>
            <w:tcW w:w="1538" w:type="dxa"/>
            <w:tcBorders>
              <w:top w:val="nil" w:sz="6" w:space="0" w:color="auto"/>
              <w:left w:val="nil" w:sz="6" w:space="0" w:color="auto"/>
              <w:bottom w:val="dotted" w:sz="4" w:space="0" w:color="000000"/>
              <w:right w:val="dotted" w:sz="4"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160" w:type="dxa"/>
            <w:tcBorders>
              <w:top w:val="nil" w:sz="6" w:space="0" w:color="auto"/>
              <w:left w:val="dotted" w:sz="4" w:space="0" w:color="000000"/>
              <w:bottom w:val="dotted" w:sz="4" w:space="0" w:color="000000"/>
              <w:right w:val="dotted" w:sz="4" w:space="0" w:color="000000"/>
            </w:tcBorders>
          </w:tcPr>
          <w:p>
            <w:pPr/>
          </w:p>
        </w:tc>
        <w:tc>
          <w:tcPr>
            <w:tcW w:w="1517" w:type="dxa"/>
            <w:tcBorders>
              <w:top w:val="nil" w:sz="6" w:space="0" w:color="auto"/>
              <w:left w:val="dotted" w:sz="4" w:space="0" w:color="000000"/>
              <w:bottom w:val="dotted" w:sz="4" w:space="0" w:color="000000"/>
              <w:right w:val="dotted" w:sz="4" w:space="0" w:color="000000"/>
            </w:tcBorders>
          </w:tcPr>
          <w:p>
            <w:pPr/>
          </w:p>
        </w:tc>
        <w:tc>
          <w:tcPr>
            <w:tcW w:w="1882" w:type="dxa"/>
            <w:tcBorders>
              <w:top w:val="nil" w:sz="6" w:space="0" w:color="auto"/>
              <w:left w:val="dotted" w:sz="4" w:space="0" w:color="000000"/>
              <w:bottom w:val="dotted" w:sz="4" w:space="0" w:color="000000"/>
              <w:right w:val="dotted" w:sz="4" w:space="0" w:color="000000"/>
            </w:tcBorders>
          </w:tcPr>
          <w:p>
            <w:pPr/>
          </w:p>
        </w:tc>
        <w:tc>
          <w:tcPr>
            <w:tcW w:w="1201" w:type="dxa"/>
            <w:vMerge/>
            <w:tcBorders>
              <w:left w:val="dotted" w:sz="4" w:space="0" w:color="000000"/>
              <w:bottom w:val="dotted" w:sz="4" w:space="0" w:color="000000"/>
              <w:right w:val="dotted" w:sz="4" w:space="0" w:color="000000"/>
            </w:tcBorders>
          </w:tcPr>
          <w:p>
            <w:pPr/>
          </w:p>
        </w:tc>
        <w:tc>
          <w:tcPr>
            <w:tcW w:w="1330" w:type="dxa"/>
            <w:tcBorders>
              <w:top w:val="nil" w:sz="6" w:space="0" w:color="auto"/>
              <w:left w:val="dotted" w:sz="4" w:space="0" w:color="000000"/>
              <w:bottom w:val="dotted" w:sz="4" w:space="0" w:color="000000"/>
              <w:right w:val="nil" w:sz="6" w:space="0" w:color="auto"/>
            </w:tcBorders>
          </w:tcPr>
          <w:p>
            <w:pPr/>
          </w:p>
        </w:tc>
      </w:tr>
      <w:tr>
        <w:trPr>
          <w:trHeight w:val="409" w:hRule="exact"/>
        </w:trPr>
        <w:tc>
          <w:tcPr>
            <w:tcW w:w="15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其中：组合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1,160,455.28</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885,239.32</w:t>
            </w:r>
          </w:p>
        </w:tc>
        <w:tc>
          <w:tcPr>
            <w:tcW w:w="18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1,222,996.53</w:t>
            </w:r>
          </w:p>
        </w:tc>
        <w:tc>
          <w:tcPr>
            <w:tcW w:w="1201"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822,698.07</w:t>
            </w:r>
          </w:p>
        </w:tc>
      </w:tr>
      <w:tr>
        <w:trPr>
          <w:trHeight w:val="406" w:hRule="exact"/>
        </w:trPr>
        <w:tc>
          <w:tcPr>
            <w:tcW w:w="15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宋体" w:hAnsi="宋体" w:cs="宋体" w:eastAsia="宋体" w:hint="default"/>
                <w:sz w:val="18"/>
                <w:szCs w:val="18"/>
              </w:rPr>
              <w:t>2</w:t>
            </w:r>
          </w:p>
        </w:tc>
        <w:tc>
          <w:tcPr>
            <w:tcW w:w="11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653,911.50</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238,322.05</w:t>
            </w:r>
          </w:p>
        </w:tc>
        <w:tc>
          <w:tcPr>
            <w:tcW w:w="1882" w:type="dxa"/>
            <w:tcBorders>
              <w:top w:val="dotted" w:sz="4" w:space="0" w:color="000000"/>
              <w:left w:val="dotted" w:sz="4" w:space="0" w:color="000000"/>
              <w:bottom w:val="dotted" w:sz="4" w:space="0" w:color="000000"/>
              <w:right w:val="dotted" w:sz="4" w:space="0" w:color="000000"/>
            </w:tcBorders>
          </w:tcPr>
          <w:p>
            <w:pPr/>
          </w:p>
        </w:tc>
        <w:tc>
          <w:tcPr>
            <w:tcW w:w="1201" w:type="dxa"/>
            <w:tcBorders>
              <w:top w:val="dotted" w:sz="4" w:space="0" w:color="000000"/>
              <w:left w:val="dotted" w:sz="4" w:space="0" w:color="000000"/>
              <w:bottom w:val="dotted" w:sz="4" w:space="0" w:color="000000"/>
              <w:right w:val="dotted" w:sz="4" w:space="0" w:color="000000"/>
            </w:tcBorders>
          </w:tcPr>
          <w:p>
            <w:pPr/>
          </w:p>
        </w:tc>
        <w:tc>
          <w:tcPr>
            <w:tcW w:w="13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892,233.55</w:t>
            </w:r>
          </w:p>
        </w:tc>
      </w:tr>
      <w:tr>
        <w:trPr>
          <w:trHeight w:val="418" w:hRule="exact"/>
        </w:trPr>
        <w:tc>
          <w:tcPr>
            <w:tcW w:w="15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1,814,366.78</w:t>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26,464,864.64</w:t>
            </w:r>
          </w:p>
        </w:tc>
        <w:tc>
          <w:tcPr>
            <w:tcW w:w="18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1,222,996.53</w:t>
            </w:r>
          </w:p>
        </w:tc>
        <w:tc>
          <w:tcPr>
            <w:tcW w:w="1201" w:type="dxa"/>
            <w:tcBorders>
              <w:top w:val="dotted" w:sz="4" w:space="0" w:color="000000"/>
              <w:left w:val="dotted" w:sz="4" w:space="0" w:color="000000"/>
              <w:bottom w:val="single" w:sz="12" w:space="0" w:color="000000"/>
              <w:right w:val="dotted" w:sz="4" w:space="0" w:color="000000"/>
            </w:tcBorders>
          </w:tcPr>
          <w:p>
            <w:pPr/>
          </w:p>
        </w:tc>
        <w:tc>
          <w:tcPr>
            <w:tcW w:w="13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27,056,234.89</w:t>
            </w: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left="740" w:right="423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2"/>
        </w:rPr>
        <w:t> </w:t>
      </w:r>
      <w:r>
        <w:rPr/>
        <w:t>其他应收款按款项性质分类情况</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1781"/>
        <w:gridCol w:w="3939"/>
        <w:gridCol w:w="2962"/>
      </w:tblGrid>
      <w:tr>
        <w:trPr>
          <w:trHeight w:val="430" w:hRule="exact"/>
        </w:trPr>
        <w:tc>
          <w:tcPr>
            <w:tcW w:w="17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537"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9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29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93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15"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26,682,192.60</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22,988,039.15</w:t>
            </w:r>
          </w:p>
        </w:tc>
      </w:tr>
      <w:tr>
        <w:trPr>
          <w:trHeight w:val="418"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56,706,880.96</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12,819,547.28</w:t>
            </w:r>
          </w:p>
        </w:tc>
      </w:tr>
      <w:tr>
        <w:trPr>
          <w:trHeight w:val="485" w:hRule="exact"/>
        </w:trPr>
        <w:tc>
          <w:tcPr>
            <w:tcW w:w="17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5"/>
              <w:ind w:left="28"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9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7"/>
              <w:ind w:right="12"/>
              <w:jc w:val="right"/>
              <w:rPr>
                <w:rFonts w:ascii="Times New Roman" w:hAnsi="Times New Roman" w:cs="Times New Roman" w:eastAsia="Times New Roman" w:hint="default"/>
                <w:sz w:val="18"/>
                <w:szCs w:val="18"/>
              </w:rPr>
            </w:pPr>
            <w:r>
              <w:rPr>
                <w:rFonts w:ascii="Times New Roman"/>
                <w:spacing w:val="-1"/>
                <w:sz w:val="18"/>
              </w:rPr>
              <w:t>52,491,620.15</w:t>
            </w:r>
          </w:p>
        </w:tc>
        <w:tc>
          <w:tcPr>
            <w:tcW w:w="29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7"/>
              <w:ind w:right="12"/>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4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11" w:type="dxa"/>
        <w:tblLayout w:type="fixed"/>
        <w:tblCellMar>
          <w:top w:w="0" w:type="dxa"/>
          <w:left w:w="0" w:type="dxa"/>
          <w:bottom w:w="0" w:type="dxa"/>
          <w:right w:w="0" w:type="dxa"/>
        </w:tblCellMar>
        <w:tblLook w:val="01E0"/>
      </w:tblPr>
      <w:tblGrid>
        <w:gridCol w:w="1781"/>
        <w:gridCol w:w="3939"/>
        <w:gridCol w:w="2962"/>
      </w:tblGrid>
      <w:tr>
        <w:trPr>
          <w:trHeight w:val="740" w:hRule="exact"/>
        </w:trPr>
        <w:tc>
          <w:tcPr>
            <w:tcW w:w="1781" w:type="dxa"/>
            <w:tcBorders>
              <w:top w:val="single" w:sz="12" w:space="0" w:color="000000"/>
              <w:left w:val="nil" w:sz="6" w:space="0" w:color="auto"/>
              <w:bottom w:val="dotted" w:sz="4" w:space="0" w:color="000000"/>
              <w:right w:val="dotted" w:sz="4" w:space="0" w:color="000000"/>
            </w:tcBorders>
          </w:tcPr>
          <w:p>
            <w:pPr>
              <w:pStyle w:val="TableParagraph"/>
              <w:spacing w:line="314" w:lineRule="auto" w:before="66"/>
              <w:ind w:left="28" w:right="-3"/>
              <w:jc w:val="left"/>
              <w:rPr>
                <w:rFonts w:ascii="宋体" w:hAnsi="宋体" w:cs="宋体" w:eastAsia="宋体" w:hint="default"/>
                <w:sz w:val="18"/>
                <w:szCs w:val="18"/>
              </w:rPr>
            </w:pPr>
            <w:r>
              <w:rPr>
                <w:rFonts w:ascii="宋体" w:hAnsi="宋体" w:cs="宋体" w:eastAsia="宋体" w:hint="default"/>
                <w:spacing w:val="14"/>
                <w:sz w:val="18"/>
                <w:szCs w:val="18"/>
              </w:rPr>
              <w:t>垫付资管计划法律费 </w:t>
            </w:r>
            <w:r>
              <w:rPr>
                <w:rFonts w:ascii="宋体" w:hAnsi="宋体" w:cs="宋体" w:eastAsia="宋体" w:hint="default"/>
                <w:sz w:val="18"/>
                <w:szCs w:val="18"/>
              </w:rPr>
              <w:t>用</w:t>
            </w:r>
          </w:p>
        </w:tc>
        <w:tc>
          <w:tcPr>
            <w:tcW w:w="39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2,312,101.00</w:t>
            </w:r>
          </w:p>
        </w:tc>
        <w:tc>
          <w:tcPr>
            <w:tcW w:w="2962" w:type="dxa"/>
            <w:tcBorders>
              <w:top w:val="single" w:sz="12" w:space="0" w:color="000000"/>
              <w:left w:val="dotted" w:sz="4" w:space="0" w:color="000000"/>
              <w:bottom w:val="dotted" w:sz="4" w:space="0" w:color="000000"/>
              <w:right w:val="nil" w:sz="6" w:space="0" w:color="auto"/>
            </w:tcBorders>
          </w:tcPr>
          <w:p>
            <w:pPr/>
          </w:p>
        </w:tc>
      </w:tr>
      <w:tr>
        <w:trPr>
          <w:trHeight w:val="418"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939" w:type="dxa"/>
            <w:tcBorders>
              <w:top w:val="dotted" w:sz="4" w:space="0" w:color="000000"/>
              <w:left w:val="dotted" w:sz="4" w:space="0" w:color="000000"/>
              <w:bottom w:val="dotted" w:sz="4" w:space="0" w:color="000000"/>
              <w:right w:val="dotted" w:sz="4" w:space="0" w:color="000000"/>
            </w:tcBorders>
          </w:tcPr>
          <w:p>
            <w:pP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83,482.10</w:t>
            </w:r>
          </w:p>
        </w:tc>
      </w:tr>
      <w:tr>
        <w:trPr>
          <w:trHeight w:val="418" w:hRule="exact"/>
        </w:trPr>
        <w:tc>
          <w:tcPr>
            <w:tcW w:w="17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5,904,888.04</w:t>
            </w:r>
          </w:p>
        </w:tc>
        <w:tc>
          <w:tcPr>
            <w:tcW w:w="2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2,214,349.38</w:t>
            </w:r>
          </w:p>
        </w:tc>
      </w:tr>
      <w:tr>
        <w:trPr>
          <w:trHeight w:val="427" w:hRule="exact"/>
        </w:trPr>
        <w:tc>
          <w:tcPr>
            <w:tcW w:w="17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144,097,682.75</w:t>
            </w:r>
          </w:p>
        </w:tc>
        <w:tc>
          <w:tcPr>
            <w:tcW w:w="29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39,105,417.91</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740" w:right="423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16"/>
        </w:rPr>
        <w:t> </w:t>
      </w:r>
      <w:r>
        <w:rPr/>
        <w:t>按欠款方归集的期末余额前五名的其他应收款</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1" w:type="dxa"/>
        <w:tblLayout w:type="fixed"/>
        <w:tblCellMar>
          <w:top w:w="0" w:type="dxa"/>
          <w:left w:w="0" w:type="dxa"/>
          <w:bottom w:w="0" w:type="dxa"/>
          <w:right w:w="0" w:type="dxa"/>
        </w:tblCellMar>
        <w:tblLook w:val="01E0"/>
      </w:tblPr>
      <w:tblGrid>
        <w:gridCol w:w="2283"/>
        <w:gridCol w:w="1418"/>
        <w:gridCol w:w="1277"/>
        <w:gridCol w:w="1133"/>
        <w:gridCol w:w="1417"/>
        <w:gridCol w:w="1135"/>
      </w:tblGrid>
      <w:tr>
        <w:trPr>
          <w:trHeight w:val="427" w:hRule="exact"/>
        </w:trPr>
        <w:tc>
          <w:tcPr>
            <w:tcW w:w="2283"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3"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17" w:type="dxa"/>
            <w:vMerge w:val="restart"/>
            <w:tcBorders>
              <w:top w:val="single" w:sz="12" w:space="0" w:color="000000"/>
              <w:left w:val="dotted" w:sz="4" w:space="0" w:color="000000"/>
              <w:right w:val="dotted" w:sz="4" w:space="0" w:color="000000"/>
            </w:tcBorders>
          </w:tcPr>
          <w:p>
            <w:pPr>
              <w:pStyle w:val="TableParagraph"/>
              <w:spacing w:line="316" w:lineRule="auto" w:before="118"/>
              <w:ind w:left="26" w:right="26" w:firstLine="45"/>
              <w:jc w:val="left"/>
              <w:rPr>
                <w:rFonts w:ascii="宋体" w:hAnsi="宋体" w:cs="宋体" w:eastAsia="宋体" w:hint="default"/>
                <w:sz w:val="18"/>
                <w:szCs w:val="18"/>
              </w:rPr>
            </w:pPr>
            <w:r>
              <w:rPr>
                <w:rFonts w:ascii="宋体" w:hAnsi="宋体" w:cs="宋体" w:eastAsia="宋体" w:hint="default"/>
                <w:sz w:val="18"/>
                <w:szCs w:val="18"/>
              </w:rPr>
              <w:t>占其他应收款期 末余额的比例</w:t>
            </w:r>
            <w:r>
              <w:rPr>
                <w:rFonts w:ascii="宋体" w:hAnsi="宋体" w:cs="宋体" w:eastAsia="宋体" w:hint="default"/>
                <w:sz w:val="18"/>
                <w:szCs w:val="18"/>
              </w:rPr>
              <w:t>(%)</w:t>
            </w:r>
          </w:p>
        </w:tc>
        <w:tc>
          <w:tcPr>
            <w:tcW w:w="11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24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8" w:hRule="exact"/>
        </w:trPr>
        <w:tc>
          <w:tcPr>
            <w:tcW w:w="2283" w:type="dxa"/>
            <w:vMerge/>
            <w:tcBorders>
              <w:left w:val="nil" w:sz="6" w:space="0" w:color="auto"/>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133" w:type="dxa"/>
            <w:vMerge/>
            <w:tcBorders>
              <w:left w:val="dotted" w:sz="4" w:space="0" w:color="000000"/>
              <w:bottom w:val="dotted" w:sz="4" w:space="0" w:color="000000"/>
              <w:right w:val="dotted" w:sz="4" w:space="0" w:color="000000"/>
            </w:tcBorders>
          </w:tcPr>
          <w:p>
            <w:pPr/>
          </w:p>
        </w:tc>
        <w:tc>
          <w:tcPr>
            <w:tcW w:w="1417" w:type="dxa"/>
            <w:vMerge/>
            <w:tcBorders>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4"/>
              <w:ind w:left="2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51,514,466.89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35.75</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23,181,510.10</w:t>
            </w:r>
          </w:p>
        </w:tc>
      </w:tr>
      <w:tr>
        <w:trPr>
          <w:trHeight w:val="768"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30,000,000.00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20.82</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18"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19,867,206.00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9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13.79</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99,336.03</w:t>
            </w:r>
          </w:p>
        </w:tc>
      </w:tr>
      <w:tr>
        <w:trPr>
          <w:trHeight w:val="415"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5,388,195.69</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93" w:right="0"/>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3.74</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44,901.63</w:t>
            </w:r>
          </w:p>
        </w:tc>
      </w:tr>
      <w:tr>
        <w:trPr>
          <w:trHeight w:val="73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3,852,746.40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5"/>
              <w:ind w:left="470" w:right="109" w:hanging="269"/>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年</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2.67</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192,637.33</w:t>
            </w:r>
          </w:p>
        </w:tc>
      </w:tr>
      <w:tr>
        <w:trPr>
          <w:trHeight w:val="427"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110,622,614.98</w:t>
            </w:r>
          </w:p>
        </w:tc>
        <w:tc>
          <w:tcPr>
            <w:tcW w:w="1133" w:type="dxa"/>
            <w:tcBorders>
              <w:top w:val="dotted" w:sz="4" w:space="0" w:color="000000"/>
              <w:left w:val="dotted" w:sz="4" w:space="0" w:color="000000"/>
              <w:bottom w:val="single" w:sz="12" w:space="0" w:color="000000"/>
              <w:right w:val="dotted" w:sz="4" w:space="0" w:color="000000"/>
            </w:tcBorders>
          </w:tcPr>
          <w:p>
            <w:pPr/>
          </w:p>
        </w:tc>
        <w:tc>
          <w:tcPr>
            <w:tcW w:w="1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499" w:right="0"/>
              <w:jc w:val="left"/>
              <w:rPr>
                <w:rFonts w:ascii="Times New Roman" w:hAnsi="Times New Roman" w:cs="Times New Roman" w:eastAsia="Times New Roman" w:hint="default"/>
                <w:sz w:val="18"/>
                <w:szCs w:val="18"/>
              </w:rPr>
            </w:pPr>
            <w:r>
              <w:rPr>
                <w:rFonts w:ascii="Times New Roman"/>
                <w:sz w:val="18"/>
              </w:rPr>
              <w:t>76.77</w:t>
            </w:r>
          </w:p>
        </w:tc>
        <w:tc>
          <w:tcPr>
            <w:tcW w:w="11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23,668,385.09</w:t>
            </w: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left="740" w:right="4230"/>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0"/>
        </w:rPr>
        <w:t> </w:t>
      </w:r>
      <w:r>
        <w:rPr/>
        <w:t>涉及政府补助的其他应收款</w:t>
      </w:r>
      <w:r>
        <w:rPr>
          <w:b w:val="0"/>
          <w:bCs w:val="0"/>
        </w:rPr>
      </w:r>
    </w:p>
    <w:p>
      <w:pPr>
        <w:pStyle w:val="Heading4"/>
        <w:spacing w:line="240" w:lineRule="auto" w:before="83"/>
        <w:ind w:left="740" w:right="4230"/>
        <w:jc w:val="left"/>
        <w:rPr>
          <w:b w:val="0"/>
          <w:bCs w:val="0"/>
        </w:rPr>
      </w:pPr>
      <w:r>
        <w:rPr/>
        <w:t>无此事项</w:t>
      </w:r>
      <w:r>
        <w:rPr>
          <w:b w:val="0"/>
          <w:bCs w:val="0"/>
        </w:rPr>
      </w:r>
    </w:p>
    <w:p>
      <w:pPr>
        <w:pStyle w:val="Heading4"/>
        <w:spacing w:line="295" w:lineRule="auto" w:before="81"/>
        <w:ind w:left="740" w:right="4230"/>
        <w:jc w:val="left"/>
        <w:rPr>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因金融资产转移而终止确认的其他应收款项情况</w:t>
      </w:r>
      <w:r>
        <w:rPr>
          <w:w w:val="100"/>
        </w:rPr>
        <w:t> </w:t>
      </w:r>
      <w:r>
        <w:rPr/>
        <w:t>无此事项</w:t>
      </w:r>
      <w:r>
        <w:rPr>
          <w:b w:val="0"/>
          <w:bCs w:val="0"/>
        </w:rPr>
      </w:r>
    </w:p>
    <w:p>
      <w:pPr>
        <w:pStyle w:val="Heading4"/>
        <w:spacing w:line="295" w:lineRule="auto" w:before="19"/>
        <w:ind w:left="740" w:right="4230"/>
        <w:jc w:val="left"/>
        <w:rPr>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转移其他应收款且继续涉入而形成的资产、负债的金额</w:t>
      </w:r>
      <w:r>
        <w:rPr>
          <w:w w:val="100"/>
        </w:rPr>
        <w:t> </w:t>
      </w:r>
      <w:r>
        <w:rPr/>
        <w:t>无此事项</w:t>
      </w:r>
      <w:r>
        <w:rPr>
          <w:b w:val="0"/>
          <w:bCs w:val="0"/>
        </w:rPr>
      </w:r>
    </w:p>
    <w:p>
      <w:pPr>
        <w:spacing w:line="240" w:lineRule="auto" w:before="5"/>
        <w:rPr>
          <w:rFonts w:ascii="Microsoft JhengHei" w:hAnsi="Microsoft JhengHei" w:cs="Microsoft JhengHei" w:eastAsia="Microsoft JhengHei" w:hint="default"/>
          <w:b/>
          <w:bCs/>
          <w:sz w:val="24"/>
          <w:szCs w:val="24"/>
        </w:rPr>
      </w:pPr>
    </w:p>
    <w:p>
      <w:pPr>
        <w:pStyle w:val="Heading4"/>
        <w:spacing w:line="240" w:lineRule="auto"/>
        <w:ind w:left="709" w:right="4230"/>
        <w:jc w:val="left"/>
        <w:rPr>
          <w:b w:val="0"/>
          <w:bCs w:val="0"/>
        </w:rPr>
      </w:pPr>
      <w:r>
        <w:rPr/>
        <w:t>注释 </w:t>
      </w:r>
      <w:r>
        <w:rPr>
          <w:rFonts w:ascii="Times New Roman" w:hAnsi="Times New Roman" w:cs="Times New Roman" w:eastAsia="Times New Roman" w:hint="default"/>
        </w:rPr>
        <w:t>12. </w:t>
      </w:r>
      <w:r>
        <w:rPr>
          <w:rFonts w:ascii="Times New Roman" w:hAnsi="Times New Roman" w:cs="Times New Roman" w:eastAsia="Times New Roman" w:hint="default"/>
          <w:spacing w:val="8"/>
        </w:rPr>
        <w:t> </w:t>
      </w:r>
      <w:r>
        <w:rPr/>
        <w:t>买入返售金融资产</w:t>
      </w:r>
      <w:r>
        <w:rPr>
          <w:b w:val="0"/>
          <w:bCs w:val="0"/>
        </w:rPr>
      </w:r>
    </w:p>
    <w:p>
      <w:pPr>
        <w:pStyle w:val="Heading4"/>
        <w:spacing w:line="240" w:lineRule="auto" w:before="81"/>
        <w:ind w:left="740" w:right="423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4"/>
        </w:rPr>
        <w:t> </w:t>
      </w:r>
      <w:r>
        <w:rPr/>
        <w:t>按业务类别</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301" w:type="dxa"/>
        <w:tblLayout w:type="fixed"/>
        <w:tblCellMar>
          <w:top w:w="0" w:type="dxa"/>
          <w:left w:w="0" w:type="dxa"/>
          <w:bottom w:w="0" w:type="dxa"/>
          <w:right w:w="0" w:type="dxa"/>
        </w:tblCellMar>
        <w:tblLook w:val="01E0"/>
      </w:tblPr>
      <w:tblGrid>
        <w:gridCol w:w="2857"/>
        <w:gridCol w:w="2724"/>
        <w:gridCol w:w="2725"/>
      </w:tblGrid>
      <w:tr>
        <w:trPr>
          <w:trHeight w:val="451" w:hRule="exact"/>
        </w:trPr>
        <w:tc>
          <w:tcPr>
            <w:tcW w:w="28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9"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股票质押式回购</w:t>
            </w:r>
          </w:p>
        </w:tc>
        <w:tc>
          <w:tcPr>
            <w:tcW w:w="2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3,040,088,629.75</w:t>
            </w:r>
          </w:p>
        </w:tc>
        <w:tc>
          <w:tcPr>
            <w:tcW w:w="27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9"/>
              <w:jc w:val="right"/>
              <w:rPr>
                <w:rFonts w:ascii="Times New Roman" w:hAnsi="Times New Roman" w:cs="Times New Roman" w:eastAsia="Times New Roman" w:hint="default"/>
                <w:sz w:val="18"/>
                <w:szCs w:val="18"/>
              </w:rPr>
            </w:pPr>
            <w:r>
              <w:rPr>
                <w:rFonts w:ascii="Times New Roman"/>
                <w:spacing w:val="-1"/>
                <w:sz w:val="18"/>
              </w:rPr>
              <w:t>3,031,626,470.65</w:t>
            </w:r>
          </w:p>
        </w:tc>
      </w:tr>
      <w:tr>
        <w:trPr>
          <w:trHeight w:val="442"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债券质押式回购</w:t>
            </w:r>
          </w:p>
        </w:tc>
        <w:tc>
          <w:tcPr>
            <w:tcW w:w="2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716,581,215.91</w:t>
            </w:r>
          </w:p>
        </w:tc>
        <w:tc>
          <w:tcPr>
            <w:tcW w:w="27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9"/>
              <w:jc w:val="right"/>
              <w:rPr>
                <w:rFonts w:ascii="Times New Roman" w:hAnsi="Times New Roman" w:cs="Times New Roman" w:eastAsia="Times New Roman" w:hint="default"/>
                <w:sz w:val="18"/>
                <w:szCs w:val="18"/>
              </w:rPr>
            </w:pPr>
            <w:r>
              <w:rPr>
                <w:rFonts w:ascii="Times New Roman"/>
                <w:spacing w:val="-1"/>
                <w:sz w:val="18"/>
              </w:rPr>
              <w:t>716,425,197.75</w:t>
            </w:r>
          </w:p>
        </w:tc>
      </w:tr>
      <w:tr>
        <w:trPr>
          <w:trHeight w:val="452" w:hRule="exact"/>
        </w:trPr>
        <w:tc>
          <w:tcPr>
            <w:tcW w:w="2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债券买断式回购</w:t>
            </w:r>
          </w:p>
        </w:tc>
        <w:tc>
          <w:tcPr>
            <w:tcW w:w="27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843,401,557.64</w:t>
            </w:r>
          </w:p>
        </w:tc>
        <w:tc>
          <w:tcPr>
            <w:tcW w:w="2725"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14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1" w:type="dxa"/>
        <w:tblLayout w:type="fixed"/>
        <w:tblCellMar>
          <w:top w:w="0" w:type="dxa"/>
          <w:left w:w="0" w:type="dxa"/>
          <w:bottom w:w="0" w:type="dxa"/>
          <w:right w:w="0" w:type="dxa"/>
        </w:tblCellMar>
        <w:tblLook w:val="01E0"/>
      </w:tblPr>
      <w:tblGrid>
        <w:gridCol w:w="2857"/>
        <w:gridCol w:w="2724"/>
        <w:gridCol w:w="2725"/>
      </w:tblGrid>
      <w:tr>
        <w:trPr>
          <w:trHeight w:val="452" w:hRule="exact"/>
        </w:trPr>
        <w:tc>
          <w:tcPr>
            <w:tcW w:w="28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1234"/>
              <w:jc w:val="right"/>
              <w:rPr>
                <w:rFonts w:ascii="宋体" w:hAnsi="宋体" w:cs="宋体" w:eastAsia="宋体" w:hint="default"/>
                <w:sz w:val="18"/>
                <w:szCs w:val="18"/>
              </w:rPr>
            </w:pPr>
            <w:r>
              <w:rPr>
                <w:rFonts w:ascii="宋体" w:hAnsi="宋体" w:cs="宋体" w:eastAsia="宋体" w:hint="default"/>
                <w:sz w:val="18"/>
                <w:szCs w:val="18"/>
              </w:rPr>
              <w:t>项目</w:t>
            </w:r>
          </w:p>
        </w:tc>
        <w:tc>
          <w:tcPr>
            <w:tcW w:w="27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9"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500,834,376.74</w:t>
            </w:r>
          </w:p>
        </w:tc>
        <w:tc>
          <w:tcPr>
            <w:tcW w:w="27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9"/>
              <w:jc w:val="right"/>
              <w:rPr>
                <w:rFonts w:ascii="Times New Roman" w:hAnsi="Times New Roman" w:cs="Times New Roman" w:eastAsia="Times New Roman" w:hint="default"/>
                <w:sz w:val="18"/>
                <w:szCs w:val="18"/>
              </w:rPr>
            </w:pPr>
            <w:r>
              <w:rPr>
                <w:rFonts w:ascii="Times New Roman"/>
                <w:spacing w:val="-1"/>
                <w:sz w:val="18"/>
              </w:rPr>
              <w:t>673,597,750.18</w:t>
            </w:r>
          </w:p>
        </w:tc>
      </w:tr>
      <w:tr>
        <w:trPr>
          <w:trHeight w:val="442"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1234"/>
              <w:jc w:val="right"/>
              <w:rPr>
                <w:rFonts w:ascii="宋体" w:hAnsi="宋体" w:cs="宋体" w:eastAsia="宋体" w:hint="default"/>
                <w:sz w:val="18"/>
                <w:szCs w:val="18"/>
              </w:rPr>
            </w:pPr>
            <w:r>
              <w:rPr>
                <w:rFonts w:ascii="宋体" w:hAnsi="宋体" w:cs="宋体" w:eastAsia="宋体" w:hint="default"/>
                <w:sz w:val="18"/>
                <w:szCs w:val="18"/>
              </w:rPr>
              <w:t>合计</w:t>
            </w:r>
          </w:p>
        </w:tc>
        <w:tc>
          <w:tcPr>
            <w:tcW w:w="2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5,100,905,780.04</w:t>
            </w:r>
          </w:p>
        </w:tc>
        <w:tc>
          <w:tcPr>
            <w:tcW w:w="27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9"/>
              <w:jc w:val="right"/>
              <w:rPr>
                <w:rFonts w:ascii="Times New Roman" w:hAnsi="Times New Roman" w:cs="Times New Roman" w:eastAsia="Times New Roman" w:hint="default"/>
                <w:sz w:val="18"/>
                <w:szCs w:val="18"/>
              </w:rPr>
            </w:pPr>
            <w:r>
              <w:rPr>
                <w:rFonts w:ascii="Times New Roman"/>
                <w:spacing w:val="-1"/>
                <w:sz w:val="18"/>
              </w:rPr>
              <w:t>4,421,649,418.58</w:t>
            </w:r>
          </w:p>
        </w:tc>
      </w:tr>
      <w:tr>
        <w:trPr>
          <w:trHeight w:val="439"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54,476,823.64</w:t>
            </w:r>
          </w:p>
        </w:tc>
        <w:tc>
          <w:tcPr>
            <w:tcW w:w="27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2,611,135.04</w:t>
            </w:r>
          </w:p>
        </w:tc>
      </w:tr>
      <w:tr>
        <w:trPr>
          <w:trHeight w:val="451" w:hRule="exact"/>
        </w:trPr>
        <w:tc>
          <w:tcPr>
            <w:tcW w:w="2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27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5,046,428,956.40</w:t>
            </w:r>
          </w:p>
        </w:tc>
        <w:tc>
          <w:tcPr>
            <w:tcW w:w="27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2"/>
              <w:ind w:right="109"/>
              <w:jc w:val="right"/>
              <w:rPr>
                <w:rFonts w:ascii="Times New Roman" w:hAnsi="Times New Roman" w:cs="Times New Roman" w:eastAsia="Times New Roman" w:hint="default"/>
                <w:sz w:val="18"/>
                <w:szCs w:val="18"/>
              </w:rPr>
            </w:pPr>
            <w:r>
              <w:rPr>
                <w:rFonts w:ascii="Times New Roman"/>
                <w:spacing w:val="-1"/>
                <w:sz w:val="18"/>
              </w:rPr>
              <w:t>4,419,038,283.54</w:t>
            </w:r>
          </w:p>
        </w:tc>
      </w:tr>
    </w:tbl>
    <w:p>
      <w:pPr>
        <w:spacing w:line="210" w:lineRule="exact" w:before="0"/>
        <w:ind w:left="158" w:right="0" w:firstLine="0"/>
        <w:jc w:val="left"/>
        <w:rPr>
          <w:rFonts w:ascii="Arial" w:hAnsi="Arial" w:cs="Arial" w:eastAsia="Arial" w:hint="default"/>
          <w:sz w:val="18"/>
          <w:szCs w:val="18"/>
        </w:rPr>
      </w:pPr>
      <w:r>
        <w:rPr>
          <w:rFonts w:ascii="宋体" w:hAnsi="宋体" w:cs="宋体" w:eastAsia="宋体" w:hint="default"/>
          <w:w w:val="95"/>
          <w:sz w:val="18"/>
          <w:szCs w:val="18"/>
        </w:rPr>
        <w:t>注   </w:t>
      </w:r>
      <w:r>
        <w:rPr>
          <w:rFonts w:ascii="宋体" w:hAnsi="宋体" w:cs="宋体" w:eastAsia="宋体" w:hint="default"/>
          <w:spacing w:val="84"/>
          <w:w w:val="95"/>
          <w:sz w:val="18"/>
          <w:szCs w:val="18"/>
        </w:rPr>
        <w:t> </w:t>
      </w:r>
      <w:r>
        <w:rPr>
          <w:rFonts w:ascii="Arial" w:hAnsi="Arial" w:cs="Arial" w:eastAsia="Arial" w:hint="default"/>
          <w:w w:val="95"/>
          <w:sz w:val="18"/>
          <w:szCs w:val="18"/>
        </w:rPr>
        <w:t>1</w:t>
      </w:r>
      <w:r>
        <w:rPr>
          <w:rFonts w:ascii="宋体" w:hAnsi="宋体" w:cs="宋体" w:eastAsia="宋体" w:hint="default"/>
          <w:w w:val="95"/>
          <w:sz w:val="18"/>
          <w:szCs w:val="18"/>
        </w:rPr>
        <w:t>：因执行新金融工具准则，该项目期初余额与上年末余额存在差异。差异情况详见附注四（四十二）</w:t>
      </w:r>
      <w:r>
        <w:rPr>
          <w:rFonts w:ascii="Arial" w:hAnsi="Arial" w:cs="Arial" w:eastAsia="Arial" w:hint="default"/>
          <w:w w:val="95"/>
          <w:sz w:val="18"/>
          <w:szCs w:val="18"/>
        </w:rPr>
        <w:t>1</w:t>
      </w:r>
      <w:r>
        <w:rPr>
          <w:rFonts w:ascii="Arial" w:hAnsi="Arial" w:cs="Arial" w:eastAsia="Arial" w:hint="default"/>
          <w:sz w:val="18"/>
          <w:szCs w:val="18"/>
        </w:rPr>
      </w:r>
    </w:p>
    <w:p>
      <w:pPr>
        <w:spacing w:line="233" w:lineRule="exact" w:before="0"/>
        <w:ind w:left="15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）相关内容。</w:t>
      </w:r>
    </w:p>
    <w:p>
      <w:pPr>
        <w:spacing w:line="236" w:lineRule="exact" w:before="13"/>
        <w:ind w:left="158"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pacing w:val="-17"/>
          <w:w w:val="85"/>
          <w:sz w:val="18"/>
          <w:szCs w:val="18"/>
        </w:rPr>
        <w:t>2</w:t>
      </w:r>
      <w:r>
        <w:rPr>
          <w:rFonts w:ascii="宋体" w:hAnsi="宋体" w:cs="宋体" w:eastAsia="宋体" w:hint="default"/>
          <w:spacing w:val="-17"/>
          <w:w w:val="85"/>
          <w:sz w:val="18"/>
          <w:szCs w:val="18"/>
        </w:rPr>
        <w:t>：</w:t>
      </w:r>
      <w:r>
        <w:rPr>
          <w:rFonts w:ascii="Arial" w:hAnsi="Arial" w:cs="Arial" w:eastAsia="Arial" w:hint="default"/>
          <w:spacing w:val="-17"/>
          <w:w w:val="85"/>
          <w:sz w:val="18"/>
          <w:szCs w:val="18"/>
        </w:rPr>
        <w:t>2019</w:t>
      </w:r>
      <w:r>
        <w:rPr>
          <w:rFonts w:ascii="Arial" w:hAnsi="Arial" w:cs="Arial" w:eastAsia="Arial" w:hint="default"/>
          <w:w w:val="8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82"/>
          <w:sz w:val="18"/>
          <w:szCs w:val="18"/>
        </w:rPr>
        <w:t>12</w:t>
      </w:r>
      <w:r>
        <w:rPr>
          <w:rFonts w:ascii="Arial" w:hAnsi="Arial" w:cs="Arial" w:eastAsia="Arial" w:hint="default"/>
          <w:spacing w:val="1"/>
          <w:w w:val="8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pacing w:val="-1"/>
          <w:w w:val="82"/>
          <w:sz w:val="18"/>
          <w:szCs w:val="18"/>
        </w:rPr>
        <w:t>31</w:t>
      </w:r>
      <w:r>
        <w:rPr>
          <w:rFonts w:ascii="Arial" w:hAnsi="Arial" w:cs="Arial" w:eastAsia="Arial" w:hint="default"/>
          <w:spacing w:val="1"/>
          <w:w w:val="82"/>
          <w:sz w:val="18"/>
          <w:szCs w:val="18"/>
        </w:rPr>
        <w:t> </w:t>
      </w:r>
      <w:r>
        <w:rPr>
          <w:rFonts w:ascii="宋体" w:hAnsi="宋体" w:cs="宋体" w:eastAsia="宋体" w:hint="default"/>
          <w:sz w:val="18"/>
          <w:szCs w:val="18"/>
        </w:rPr>
        <w:t>日买入返售金融资产减值准备余额较期初增加</w:t>
      </w:r>
      <w:r>
        <w:rPr>
          <w:rFonts w:ascii="宋体" w:hAnsi="宋体" w:cs="宋体" w:eastAsia="宋体" w:hint="default"/>
          <w:spacing w:val="-46"/>
          <w:sz w:val="18"/>
          <w:szCs w:val="18"/>
        </w:rPr>
        <w:t> </w:t>
      </w:r>
      <w:r>
        <w:rPr>
          <w:rFonts w:ascii="Arial" w:hAnsi="Arial" w:cs="Arial" w:eastAsia="Arial" w:hint="default"/>
          <w:spacing w:val="-1"/>
          <w:w w:val="82"/>
          <w:sz w:val="18"/>
          <w:szCs w:val="18"/>
        </w:rPr>
        <w:t>51,865,688.60</w:t>
      </w:r>
      <w:r>
        <w:rPr>
          <w:rFonts w:ascii="Arial" w:hAnsi="Arial" w:cs="Arial" w:eastAsia="Arial" w:hint="default"/>
          <w:spacing w:val="1"/>
          <w:w w:val="82"/>
          <w:sz w:val="18"/>
          <w:szCs w:val="18"/>
        </w:rPr>
        <w:t> </w:t>
      </w:r>
      <w:r>
        <w:rPr>
          <w:rFonts w:ascii="宋体" w:hAnsi="宋体" w:cs="宋体" w:eastAsia="宋体" w:hint="default"/>
          <w:spacing w:val="-13"/>
          <w:sz w:val="18"/>
          <w:szCs w:val="18"/>
        </w:rPr>
        <w:t>元，增加比例为</w:t>
      </w:r>
      <w:r>
        <w:rPr>
          <w:rFonts w:ascii="宋体" w:hAnsi="宋体" w:cs="宋体" w:eastAsia="宋体" w:hint="default"/>
          <w:spacing w:val="-46"/>
          <w:sz w:val="18"/>
          <w:szCs w:val="18"/>
        </w:rPr>
        <w:t> </w:t>
      </w:r>
      <w:r>
        <w:rPr>
          <w:rFonts w:ascii="Arial" w:hAnsi="Arial" w:cs="Arial" w:eastAsia="Arial" w:hint="default"/>
          <w:spacing w:val="-1"/>
          <w:w w:val="83"/>
          <w:sz w:val="18"/>
          <w:szCs w:val="18"/>
        </w:rPr>
        <w:t>1,986.33%</w:t>
      </w:r>
      <w:r>
        <w:rPr>
          <w:rFonts w:ascii="宋体" w:hAnsi="宋体" w:cs="宋体" w:eastAsia="宋体" w:hint="default"/>
          <w:spacing w:val="-1"/>
          <w:w w:val="83"/>
          <w:sz w:val="18"/>
          <w:szCs w:val="18"/>
        </w:rPr>
        <w:t>。</w:t>
      </w:r>
      <w:r>
        <w:rPr>
          <w:rFonts w:ascii="宋体" w:hAnsi="宋体" w:cs="宋体" w:eastAsia="宋体" w:hint="default"/>
          <w:spacing w:val="-73"/>
          <w:w w:val="83"/>
          <w:sz w:val="18"/>
          <w:szCs w:val="18"/>
        </w:rPr>
        <w:t> </w:t>
      </w:r>
      <w:r>
        <w:rPr>
          <w:rFonts w:ascii="宋体" w:hAnsi="宋体" w:cs="宋体" w:eastAsia="宋体" w:hint="default"/>
          <w:sz w:val="18"/>
          <w:szCs w:val="18"/>
        </w:rPr>
        <w:t>主要原因：个别客户出现违约情况，导致减值准备金额增加。</w:t>
      </w:r>
    </w:p>
    <w:p>
      <w:pPr>
        <w:spacing w:line="240" w:lineRule="auto" w:before="4"/>
        <w:rPr>
          <w:rFonts w:ascii="宋体" w:hAnsi="宋体" w:cs="宋体" w:eastAsia="宋体" w:hint="default"/>
          <w:sz w:val="26"/>
          <w:szCs w:val="26"/>
        </w:rPr>
      </w:pPr>
    </w:p>
    <w:p>
      <w:pPr>
        <w:pStyle w:val="Heading4"/>
        <w:spacing w:line="240" w:lineRule="auto"/>
        <w:ind w:left="580" w:right="0"/>
        <w:jc w:val="left"/>
        <w:rPr>
          <w:b w:val="0"/>
          <w:bCs w:val="0"/>
        </w:rPr>
      </w:pPr>
      <w:r>
        <w:rPr>
          <w:rFonts w:ascii="Arial" w:hAnsi="Arial" w:cs="Arial" w:eastAsia="Arial" w:hint="default"/>
        </w:rPr>
        <w:t>2.</w:t>
      </w:r>
      <w:r>
        <w:rPr>
          <w:rFonts w:ascii="Arial" w:hAnsi="Arial" w:cs="Arial" w:eastAsia="Arial" w:hint="default"/>
          <w:spacing w:val="-25"/>
        </w:rPr>
        <w:t> </w:t>
      </w:r>
      <w:r>
        <w:rPr/>
        <w:t>按金融资产种类</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34" w:type="dxa"/>
        <w:tblLayout w:type="fixed"/>
        <w:tblCellMar>
          <w:top w:w="0" w:type="dxa"/>
          <w:left w:w="0" w:type="dxa"/>
          <w:bottom w:w="0" w:type="dxa"/>
          <w:right w:w="0" w:type="dxa"/>
        </w:tblCellMar>
        <w:tblLook w:val="01E0"/>
      </w:tblPr>
      <w:tblGrid>
        <w:gridCol w:w="2871"/>
        <w:gridCol w:w="2727"/>
        <w:gridCol w:w="2720"/>
      </w:tblGrid>
      <w:tr>
        <w:trPr>
          <w:trHeight w:val="449" w:hRule="exact"/>
        </w:trPr>
        <w:tc>
          <w:tcPr>
            <w:tcW w:w="287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27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2"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2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3,040,088,629.75</w:t>
            </w:r>
          </w:p>
        </w:tc>
        <w:tc>
          <w:tcPr>
            <w:tcW w:w="27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3,031,626,470.65</w:t>
            </w:r>
          </w:p>
        </w:tc>
      </w:tr>
      <w:tr>
        <w:trPr>
          <w:trHeight w:val="43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2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1,559,982,773.55</w:t>
            </w:r>
          </w:p>
        </w:tc>
        <w:tc>
          <w:tcPr>
            <w:tcW w:w="27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716,425,197.75</w:t>
            </w:r>
          </w:p>
        </w:tc>
      </w:tr>
      <w:tr>
        <w:trPr>
          <w:trHeight w:val="442"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500,834,376.74</w:t>
            </w:r>
          </w:p>
        </w:tc>
        <w:tc>
          <w:tcPr>
            <w:tcW w:w="27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673,597,750.18</w:t>
            </w:r>
          </w:p>
        </w:tc>
      </w:tr>
      <w:tr>
        <w:trPr>
          <w:trHeight w:val="439"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1241"/>
              <w:jc w:val="right"/>
              <w:rPr>
                <w:rFonts w:ascii="宋体" w:hAnsi="宋体" w:cs="宋体" w:eastAsia="宋体" w:hint="default"/>
                <w:sz w:val="18"/>
                <w:szCs w:val="18"/>
              </w:rPr>
            </w:pPr>
            <w:r>
              <w:rPr>
                <w:rFonts w:ascii="宋体" w:hAnsi="宋体" w:cs="宋体" w:eastAsia="宋体" w:hint="default"/>
                <w:sz w:val="18"/>
                <w:szCs w:val="18"/>
              </w:rPr>
              <w:t>合计</w:t>
            </w:r>
          </w:p>
        </w:tc>
        <w:tc>
          <w:tcPr>
            <w:tcW w:w="2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5,100,905,780.04</w:t>
            </w:r>
          </w:p>
        </w:tc>
        <w:tc>
          <w:tcPr>
            <w:tcW w:w="27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4,421,649,418.58</w:t>
            </w:r>
          </w:p>
        </w:tc>
      </w:tr>
      <w:tr>
        <w:trPr>
          <w:trHeight w:val="440" w:hRule="exact"/>
        </w:trPr>
        <w:tc>
          <w:tcPr>
            <w:tcW w:w="28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7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54,476,823.64</w:t>
            </w:r>
          </w:p>
        </w:tc>
        <w:tc>
          <w:tcPr>
            <w:tcW w:w="27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2,611,135.04</w:t>
            </w:r>
          </w:p>
        </w:tc>
      </w:tr>
      <w:tr>
        <w:trPr>
          <w:trHeight w:val="451" w:hRule="exact"/>
        </w:trPr>
        <w:tc>
          <w:tcPr>
            <w:tcW w:w="28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27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5,046,428,956.40</w:t>
            </w:r>
          </w:p>
        </w:tc>
        <w:tc>
          <w:tcPr>
            <w:tcW w:w="27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4,419,038,283.54</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580" w:right="0"/>
        <w:jc w:val="left"/>
        <w:rPr>
          <w:b w:val="0"/>
          <w:bCs w:val="0"/>
        </w:rPr>
      </w:pPr>
      <w:r>
        <w:rPr>
          <w:rFonts w:ascii="Arial" w:hAnsi="Arial" w:cs="Arial" w:eastAsia="Arial" w:hint="default"/>
        </w:rPr>
        <w:t>3.</w:t>
      </w:r>
      <w:r>
        <w:rPr>
          <w:rFonts w:ascii="Arial" w:hAnsi="Arial" w:cs="Arial" w:eastAsia="Arial" w:hint="default"/>
          <w:spacing w:val="-26"/>
        </w:rPr>
        <w:t> </w:t>
      </w:r>
      <w:r>
        <w:rPr/>
        <w:t>按担保物金额</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12" w:type="dxa"/>
        <w:tblLayout w:type="fixed"/>
        <w:tblCellMar>
          <w:top w:w="0" w:type="dxa"/>
          <w:left w:w="0" w:type="dxa"/>
          <w:bottom w:w="0" w:type="dxa"/>
          <w:right w:w="0" w:type="dxa"/>
        </w:tblCellMar>
        <w:tblLook w:val="01E0"/>
      </w:tblPr>
      <w:tblGrid>
        <w:gridCol w:w="4616"/>
        <w:gridCol w:w="1874"/>
        <w:gridCol w:w="1870"/>
      </w:tblGrid>
      <w:tr>
        <w:trPr>
          <w:trHeight w:val="418" w:hRule="exact"/>
        </w:trPr>
        <w:tc>
          <w:tcPr>
            <w:tcW w:w="461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担保物</w:t>
            </w:r>
          </w:p>
        </w:tc>
        <w:tc>
          <w:tcPr>
            <w:tcW w:w="18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8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8" w:hRule="exact"/>
        </w:trPr>
        <w:tc>
          <w:tcPr>
            <w:tcW w:w="46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担保物</w:t>
            </w:r>
          </w:p>
        </w:tc>
        <w:tc>
          <w:tcPr>
            <w:tcW w:w="18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9,368,089,357.33</w:t>
            </w:r>
          </w:p>
        </w:tc>
        <w:tc>
          <w:tcPr>
            <w:tcW w:w="18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494" w:right="0"/>
              <w:jc w:val="left"/>
              <w:rPr>
                <w:rFonts w:ascii="Times New Roman" w:hAnsi="Times New Roman" w:cs="Times New Roman" w:eastAsia="Times New Roman" w:hint="default"/>
                <w:sz w:val="18"/>
                <w:szCs w:val="18"/>
              </w:rPr>
            </w:pPr>
            <w:r>
              <w:rPr>
                <w:rFonts w:ascii="Times New Roman"/>
                <w:sz w:val="18"/>
              </w:rPr>
              <w:t>7,497,801,944.78</w:t>
            </w:r>
          </w:p>
        </w:tc>
      </w:tr>
      <w:tr>
        <w:trPr>
          <w:trHeight w:val="406" w:hRule="exact"/>
        </w:trPr>
        <w:tc>
          <w:tcPr>
            <w:tcW w:w="46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其中：可出售或可再次向外抵押的担保物</w:t>
            </w:r>
          </w:p>
        </w:tc>
        <w:tc>
          <w:tcPr>
            <w:tcW w:w="18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872,205,750.00</w:t>
            </w:r>
          </w:p>
        </w:tc>
        <w:tc>
          <w:tcPr>
            <w:tcW w:w="187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46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659" w:right="0"/>
              <w:jc w:val="left"/>
              <w:rPr>
                <w:rFonts w:ascii="宋体" w:hAnsi="宋体" w:cs="宋体" w:eastAsia="宋体" w:hint="default"/>
                <w:sz w:val="18"/>
                <w:szCs w:val="18"/>
              </w:rPr>
            </w:pPr>
            <w:r>
              <w:rPr>
                <w:rFonts w:ascii="宋体" w:hAnsi="宋体" w:cs="宋体" w:eastAsia="宋体" w:hint="default"/>
                <w:sz w:val="18"/>
                <w:szCs w:val="18"/>
              </w:rPr>
              <w:t>其中：已出售或已再次向外抵押的担保物</w:t>
            </w:r>
          </w:p>
        </w:tc>
        <w:tc>
          <w:tcPr>
            <w:tcW w:w="18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872,205,750.00</w:t>
            </w:r>
          </w:p>
        </w:tc>
        <w:tc>
          <w:tcPr>
            <w:tcW w:w="187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left="580" w:right="0"/>
        <w:jc w:val="left"/>
        <w:rPr>
          <w:b w:val="0"/>
          <w:bCs w:val="0"/>
        </w:rPr>
      </w:pPr>
      <w:r>
        <w:rPr>
          <w:rFonts w:ascii="Arial" w:hAnsi="Arial" w:cs="Arial" w:eastAsia="Arial" w:hint="default"/>
        </w:rPr>
        <w:t>4.</w:t>
      </w:r>
      <w:r>
        <w:rPr>
          <w:rFonts w:ascii="Arial" w:hAnsi="Arial" w:cs="Arial" w:eastAsia="Arial" w:hint="default"/>
          <w:spacing w:val="-19"/>
        </w:rPr>
        <w:t> </w:t>
      </w:r>
      <w:r>
        <w:rPr/>
        <w:t>买入返售金融资产按剩余期限分类披露</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881"/>
        <w:gridCol w:w="2758"/>
        <w:gridCol w:w="2698"/>
      </w:tblGrid>
      <w:tr>
        <w:trPr>
          <w:trHeight w:val="451" w:hRule="exact"/>
        </w:trPr>
        <w:tc>
          <w:tcPr>
            <w:tcW w:w="28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27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9" w:hRule="exact"/>
        </w:trPr>
        <w:tc>
          <w:tcPr>
            <w:tcW w:w="2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2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2,060,817,150.29</w:t>
            </w:r>
          </w:p>
        </w:tc>
        <w:tc>
          <w:tcPr>
            <w:tcW w:w="26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9"/>
              <w:jc w:val="right"/>
              <w:rPr>
                <w:rFonts w:ascii="Times New Roman" w:hAnsi="Times New Roman" w:cs="Times New Roman" w:eastAsia="Times New Roman" w:hint="default"/>
                <w:sz w:val="18"/>
                <w:szCs w:val="18"/>
              </w:rPr>
            </w:pPr>
            <w:r>
              <w:rPr>
                <w:rFonts w:ascii="Times New Roman"/>
                <w:spacing w:val="-1"/>
                <w:sz w:val="18"/>
              </w:rPr>
              <w:t>1,362,163,675.03</w:t>
            </w:r>
          </w:p>
        </w:tc>
      </w:tr>
      <w:tr>
        <w:trPr>
          <w:trHeight w:val="442" w:hRule="exact"/>
        </w:trPr>
        <w:tc>
          <w:tcPr>
            <w:tcW w:w="2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一个月至三个月内</w:t>
            </w:r>
          </w:p>
        </w:tc>
        <w:tc>
          <w:tcPr>
            <w:tcW w:w="2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475,749,123.61</w:t>
            </w:r>
          </w:p>
        </w:tc>
        <w:tc>
          <w:tcPr>
            <w:tcW w:w="26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9"/>
              <w:jc w:val="right"/>
              <w:rPr>
                <w:rFonts w:ascii="Times New Roman" w:hAnsi="Times New Roman" w:cs="Times New Roman" w:eastAsia="Times New Roman" w:hint="default"/>
                <w:sz w:val="18"/>
                <w:szCs w:val="18"/>
              </w:rPr>
            </w:pPr>
            <w:r>
              <w:rPr>
                <w:rFonts w:ascii="Times New Roman"/>
                <w:spacing w:val="-1"/>
                <w:sz w:val="18"/>
              </w:rPr>
              <w:t>524,288,107.00</w:t>
            </w:r>
          </w:p>
        </w:tc>
      </w:tr>
      <w:tr>
        <w:trPr>
          <w:trHeight w:val="439" w:hRule="exact"/>
        </w:trPr>
        <w:tc>
          <w:tcPr>
            <w:tcW w:w="2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三个月至一年内</w:t>
            </w:r>
          </w:p>
        </w:tc>
        <w:tc>
          <w:tcPr>
            <w:tcW w:w="2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2,463,761,393.58</w:t>
            </w:r>
          </w:p>
        </w:tc>
        <w:tc>
          <w:tcPr>
            <w:tcW w:w="26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9"/>
              <w:jc w:val="right"/>
              <w:rPr>
                <w:rFonts w:ascii="Times New Roman" w:hAnsi="Times New Roman" w:cs="Times New Roman" w:eastAsia="Times New Roman" w:hint="default"/>
                <w:sz w:val="18"/>
                <w:szCs w:val="18"/>
              </w:rPr>
            </w:pPr>
            <w:r>
              <w:rPr>
                <w:rFonts w:ascii="Times New Roman"/>
                <w:spacing w:val="-1"/>
                <w:sz w:val="18"/>
              </w:rPr>
              <w:t>2,408,521,484.87</w:t>
            </w:r>
          </w:p>
        </w:tc>
      </w:tr>
      <w:tr>
        <w:trPr>
          <w:trHeight w:val="439" w:hRule="exact"/>
        </w:trPr>
        <w:tc>
          <w:tcPr>
            <w:tcW w:w="2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100,578,112.56</w:t>
            </w:r>
          </w:p>
        </w:tc>
        <w:tc>
          <w:tcPr>
            <w:tcW w:w="26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9"/>
              <w:jc w:val="right"/>
              <w:rPr>
                <w:rFonts w:ascii="Times New Roman" w:hAnsi="Times New Roman" w:cs="Times New Roman" w:eastAsia="Times New Roman" w:hint="default"/>
                <w:sz w:val="18"/>
                <w:szCs w:val="18"/>
              </w:rPr>
            </w:pPr>
            <w:r>
              <w:rPr>
                <w:rFonts w:ascii="Times New Roman"/>
                <w:spacing w:val="-1"/>
                <w:sz w:val="18"/>
              </w:rPr>
              <w:t>126,676,151.68</w:t>
            </w:r>
          </w:p>
        </w:tc>
      </w:tr>
      <w:tr>
        <w:trPr>
          <w:trHeight w:val="452" w:hRule="exact"/>
        </w:trPr>
        <w:tc>
          <w:tcPr>
            <w:tcW w:w="28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5,100,905,780.04</w:t>
            </w:r>
          </w:p>
        </w:tc>
        <w:tc>
          <w:tcPr>
            <w:tcW w:w="26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5"/>
              <w:ind w:right="109"/>
              <w:jc w:val="right"/>
              <w:rPr>
                <w:rFonts w:ascii="Times New Roman" w:hAnsi="Times New Roman" w:cs="Times New Roman" w:eastAsia="Times New Roman" w:hint="default"/>
                <w:sz w:val="18"/>
                <w:szCs w:val="18"/>
              </w:rPr>
            </w:pPr>
            <w:r>
              <w:rPr>
                <w:rFonts w:ascii="Times New Roman"/>
                <w:spacing w:val="-1"/>
                <w:sz w:val="18"/>
              </w:rPr>
              <w:t>4,421,649,418.58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40" w:right="0"/>
        </w:sectPr>
      </w:pPr>
    </w:p>
    <w:p>
      <w:pPr>
        <w:spacing w:line="240" w:lineRule="auto" w:before="13"/>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rFonts w:ascii="Arial" w:hAnsi="Arial" w:cs="Arial" w:eastAsia="Arial" w:hint="default"/>
        </w:rPr>
        <w:t>5.</w:t>
      </w:r>
      <w:r>
        <w:rPr>
          <w:rFonts w:ascii="Arial" w:hAnsi="Arial" w:cs="Arial" w:eastAsia="Arial" w:hint="default"/>
          <w:spacing w:val="25"/>
        </w:rPr>
        <w:t> </w:t>
      </w:r>
      <w:r>
        <w:rPr/>
        <w:t>买入返售金融资产减值准备明细</w:t>
      </w:r>
      <w:r>
        <w:rPr>
          <w:b w:val="0"/>
          <w:bCs w:val="0"/>
        </w:rPr>
      </w:r>
    </w:p>
    <w:tbl>
      <w:tblPr>
        <w:tblW w:w="0" w:type="auto"/>
        <w:jc w:val="left"/>
        <w:tblInd w:w="171" w:type="dxa"/>
        <w:tblLayout w:type="fixed"/>
        <w:tblCellMar>
          <w:top w:w="0" w:type="dxa"/>
          <w:left w:w="0" w:type="dxa"/>
          <w:bottom w:w="0" w:type="dxa"/>
          <w:right w:w="0" w:type="dxa"/>
        </w:tblCellMar>
        <w:tblLook w:val="01E0"/>
      </w:tblPr>
      <w:tblGrid>
        <w:gridCol w:w="2569"/>
        <w:gridCol w:w="2835"/>
        <w:gridCol w:w="2799"/>
      </w:tblGrid>
      <w:tr>
        <w:trPr>
          <w:trHeight w:val="410" w:hRule="exact"/>
        </w:trPr>
        <w:tc>
          <w:tcPr>
            <w:tcW w:w="25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9"/>
              <w:ind w:right="1090"/>
              <w:jc w:val="right"/>
              <w:rPr>
                <w:rFonts w:ascii="宋体" w:hAnsi="宋体" w:cs="宋体" w:eastAsia="宋体" w:hint="default"/>
                <w:sz w:val="18"/>
                <w:szCs w:val="18"/>
              </w:rPr>
            </w:pPr>
            <w:r>
              <w:rPr>
                <w:rFonts w:ascii="宋体" w:hAnsi="宋体" w:cs="宋体" w:eastAsia="宋体" w:hint="default"/>
                <w:sz w:val="18"/>
                <w:szCs w:val="18"/>
              </w:rPr>
              <w:t>类别</w:t>
            </w:r>
          </w:p>
        </w:tc>
        <w:tc>
          <w:tcPr>
            <w:tcW w:w="28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期末减值准备</w:t>
            </w:r>
          </w:p>
        </w:tc>
        <w:tc>
          <w:tcPr>
            <w:tcW w:w="27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9"/>
              <w:ind w:left="851" w:right="0"/>
              <w:jc w:val="left"/>
              <w:rPr>
                <w:rFonts w:ascii="宋体" w:hAnsi="宋体" w:cs="宋体" w:eastAsia="宋体" w:hint="default"/>
                <w:sz w:val="18"/>
                <w:szCs w:val="18"/>
              </w:rPr>
            </w:pPr>
            <w:r>
              <w:rPr>
                <w:rFonts w:ascii="宋体" w:hAnsi="宋体" w:cs="宋体" w:eastAsia="宋体" w:hint="default"/>
                <w:sz w:val="18"/>
                <w:szCs w:val="18"/>
              </w:rPr>
              <w:t>期初减值准备</w:t>
            </w:r>
          </w:p>
        </w:tc>
      </w:tr>
      <w:tr>
        <w:trPr>
          <w:trHeight w:val="403" w:hRule="exact"/>
        </w:trPr>
        <w:tc>
          <w:tcPr>
            <w:tcW w:w="25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股份质押式回购</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10,161,403.07</w:t>
            </w:r>
          </w:p>
        </w:tc>
        <w:tc>
          <w:tcPr>
            <w:tcW w:w="27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Calibri" w:hAnsi="Calibri" w:cs="Calibri" w:eastAsia="Calibri" w:hint="default"/>
                <w:sz w:val="18"/>
                <w:szCs w:val="18"/>
              </w:rPr>
            </w:pPr>
            <w:r>
              <w:rPr>
                <w:rFonts w:ascii="Calibri"/>
                <w:sz w:val="18"/>
              </w:rPr>
              <w:t>1,275,732.55</w:t>
            </w:r>
          </w:p>
        </w:tc>
      </w:tr>
      <w:tr>
        <w:trPr>
          <w:trHeight w:val="401" w:hRule="exact"/>
        </w:trPr>
        <w:tc>
          <w:tcPr>
            <w:tcW w:w="25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z w:val="18"/>
              </w:rPr>
              <w:t>44,315,420.57</w:t>
            </w:r>
          </w:p>
        </w:tc>
        <w:tc>
          <w:tcPr>
            <w:tcW w:w="27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5"/>
              <w:ind w:right="106"/>
              <w:jc w:val="right"/>
              <w:rPr>
                <w:rFonts w:ascii="Calibri" w:hAnsi="Calibri" w:cs="Calibri" w:eastAsia="Calibri" w:hint="default"/>
                <w:sz w:val="18"/>
                <w:szCs w:val="18"/>
              </w:rPr>
            </w:pPr>
            <w:r>
              <w:rPr>
                <w:rFonts w:ascii="Calibri"/>
                <w:sz w:val="18"/>
              </w:rPr>
              <w:t>1,335,402.49</w:t>
            </w:r>
          </w:p>
        </w:tc>
      </w:tr>
      <w:tr>
        <w:trPr>
          <w:trHeight w:val="413" w:hRule="exact"/>
        </w:trPr>
        <w:tc>
          <w:tcPr>
            <w:tcW w:w="25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1090"/>
              <w:jc w:val="righ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54,476,823.64</w:t>
            </w:r>
          </w:p>
        </w:tc>
        <w:tc>
          <w:tcPr>
            <w:tcW w:w="27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z w:val="18"/>
              </w:rPr>
              <w:t>2,611,135.04</w:t>
            </w:r>
          </w:p>
        </w:tc>
      </w:tr>
    </w:tbl>
    <w:p>
      <w:pPr>
        <w:spacing w:line="240" w:lineRule="auto" w:before="12"/>
        <w:rPr>
          <w:rFonts w:ascii="Microsoft JhengHei" w:hAnsi="Microsoft JhengHei" w:cs="Microsoft JhengHei" w:eastAsia="Microsoft JhengHei" w:hint="default"/>
          <w:b/>
          <w:bCs/>
          <w:sz w:val="21"/>
          <w:szCs w:val="21"/>
        </w:rPr>
      </w:pPr>
    </w:p>
    <w:p>
      <w:pPr>
        <w:pStyle w:val="Heading4"/>
        <w:spacing w:line="335" w:lineRule="exact"/>
        <w:ind w:right="1786" w:firstLine="9"/>
        <w:jc w:val="left"/>
        <w:rPr>
          <w:b w:val="0"/>
          <w:bCs w:val="0"/>
        </w:rPr>
      </w:pPr>
      <w:r>
        <w:rPr/>
        <w:t>注释 </w:t>
      </w:r>
      <w:r>
        <w:rPr>
          <w:rFonts w:ascii="Times New Roman" w:hAnsi="Times New Roman" w:cs="Times New Roman" w:eastAsia="Times New Roman" w:hint="default"/>
        </w:rPr>
        <w:t>13. </w:t>
      </w:r>
      <w:r>
        <w:rPr>
          <w:rFonts w:ascii="Times New Roman" w:hAnsi="Times New Roman" w:cs="Times New Roman" w:eastAsia="Times New Roman" w:hint="default"/>
          <w:spacing w:val="4"/>
        </w:rPr>
        <w:t> </w:t>
      </w:r>
      <w:r>
        <w:rPr/>
        <w:t>存货</w:t>
      </w:r>
      <w:r>
        <w:rPr>
          <w:b w:val="0"/>
          <w:bCs w:val="0"/>
        </w:rPr>
      </w:r>
    </w:p>
    <w:p>
      <w:pPr>
        <w:pStyle w:val="Heading4"/>
        <w:spacing w:line="240" w:lineRule="auto" w:before="83"/>
        <w:ind w:right="1786"/>
        <w:jc w:val="left"/>
        <w:rPr>
          <w:b w:val="0"/>
          <w:bCs w:val="0"/>
        </w:rPr>
      </w:pPr>
      <w:r>
        <w:rPr>
          <w:rFonts w:ascii="Times New Roman" w:hAnsi="Times New Roman" w:cs="Times New Roman" w:eastAsia="Times New Roman" w:hint="default"/>
        </w:rPr>
        <w:t>1</w:t>
      </w:r>
      <w:r>
        <w:rPr/>
        <w:t>． </w:t>
      </w:r>
      <w:r>
        <w:rPr>
          <w:spacing w:val="1"/>
        </w:rPr>
        <w:t> </w:t>
      </w:r>
      <w:r>
        <w:rPr/>
        <w:t>存货分类</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176"/>
        <w:gridCol w:w="1191"/>
        <w:gridCol w:w="1193"/>
        <w:gridCol w:w="1191"/>
        <w:gridCol w:w="1193"/>
        <w:gridCol w:w="1193"/>
        <w:gridCol w:w="1190"/>
      </w:tblGrid>
      <w:tr>
        <w:trPr>
          <w:trHeight w:val="413" w:hRule="exact"/>
        </w:trPr>
        <w:tc>
          <w:tcPr>
            <w:tcW w:w="1176"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75"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176" w:type="dxa"/>
            <w:vMerge/>
            <w:tcBorders>
              <w:left w:val="nil" w:sz="6" w:space="0" w:color="auto"/>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9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1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2,983,276.17</w:t>
            </w:r>
          </w:p>
        </w:tc>
        <w:tc>
          <w:tcPr>
            <w:tcW w:w="1193" w:type="dxa"/>
            <w:tcBorders>
              <w:top w:val="dotted" w:sz="4" w:space="0" w:color="000000"/>
              <w:left w:val="dotted" w:sz="4" w:space="0" w:color="000000"/>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2,983,276.17</w:t>
            </w:r>
          </w:p>
        </w:tc>
        <w:tc>
          <w:tcPr>
            <w:tcW w:w="1193"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190"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11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2,983,276.17</w:t>
            </w:r>
          </w:p>
        </w:tc>
        <w:tc>
          <w:tcPr>
            <w:tcW w:w="1193" w:type="dxa"/>
            <w:tcBorders>
              <w:top w:val="dotted" w:sz="4" w:space="0" w:color="000000"/>
              <w:left w:val="dotted" w:sz="4" w:space="0" w:color="000000"/>
              <w:bottom w:val="single" w:sz="12" w:space="0" w:color="000000"/>
              <w:right w:val="dotted" w:sz="4" w:space="0" w:color="000000"/>
            </w:tcBorders>
          </w:tcPr>
          <w:p>
            <w:pPr/>
          </w:p>
        </w:tc>
        <w:tc>
          <w:tcPr>
            <w:tcW w:w="11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2,983,276.17</w:t>
            </w:r>
          </w:p>
        </w:tc>
        <w:tc>
          <w:tcPr>
            <w:tcW w:w="1193" w:type="dxa"/>
            <w:tcBorders>
              <w:top w:val="dotted" w:sz="4" w:space="0" w:color="000000"/>
              <w:left w:val="dotted" w:sz="4" w:space="0" w:color="000000"/>
              <w:bottom w:val="single" w:sz="12" w:space="0" w:color="000000"/>
              <w:right w:val="dotted" w:sz="4" w:space="0" w:color="000000"/>
            </w:tcBorders>
          </w:tcPr>
          <w:p>
            <w:pPr/>
          </w:p>
        </w:tc>
        <w:tc>
          <w:tcPr>
            <w:tcW w:w="1193" w:type="dxa"/>
            <w:tcBorders>
              <w:top w:val="dotted" w:sz="4" w:space="0" w:color="000000"/>
              <w:left w:val="dotted" w:sz="4" w:space="0" w:color="000000"/>
              <w:bottom w:val="single" w:sz="12" w:space="0" w:color="000000"/>
              <w:right w:val="dotted" w:sz="4" w:space="0" w:color="000000"/>
            </w:tcBorders>
          </w:tcPr>
          <w:p>
            <w:pPr/>
          </w:p>
        </w:tc>
        <w:tc>
          <w:tcPr>
            <w:tcW w:w="119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14. </w:t>
      </w:r>
      <w:r>
        <w:rPr>
          <w:rFonts w:ascii="Times New Roman" w:hAnsi="Times New Roman" w:cs="Times New Roman" w:eastAsia="Times New Roman" w:hint="default"/>
          <w:spacing w:val="9"/>
        </w:rPr>
        <w:t> </w:t>
      </w:r>
      <w:r>
        <w:rPr/>
        <w:t>其他流动资产</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298"/>
        <w:gridCol w:w="2513"/>
        <w:gridCol w:w="2516"/>
      </w:tblGrid>
      <w:tr>
        <w:trPr>
          <w:trHeight w:val="360" w:hRule="exact"/>
        </w:trPr>
        <w:tc>
          <w:tcPr>
            <w:tcW w:w="329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455"/>
              <w:jc w:val="right"/>
              <w:rPr>
                <w:rFonts w:ascii="宋体" w:hAnsi="宋体" w:cs="宋体" w:eastAsia="宋体" w:hint="default"/>
                <w:sz w:val="18"/>
                <w:szCs w:val="18"/>
              </w:rPr>
            </w:pPr>
            <w:r>
              <w:rPr>
                <w:rFonts w:ascii="宋体" w:hAnsi="宋体" w:cs="宋体" w:eastAsia="宋体" w:hint="default"/>
                <w:sz w:val="18"/>
                <w:szCs w:val="18"/>
              </w:rPr>
              <w:t>项目</w:t>
            </w:r>
          </w:p>
        </w:tc>
        <w:tc>
          <w:tcPr>
            <w:tcW w:w="25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单一资金信托</w:t>
            </w:r>
          </w:p>
        </w:tc>
        <w:tc>
          <w:tcPr>
            <w:tcW w:w="2513" w:type="dxa"/>
            <w:tcBorders>
              <w:top w:val="dotted" w:sz="4" w:space="0" w:color="000000"/>
              <w:left w:val="dotted" w:sz="4" w:space="0" w:color="000000"/>
              <w:bottom w:val="dotted" w:sz="4" w:space="0" w:color="000000"/>
              <w:right w:val="dotted" w:sz="4" w:space="0" w:color="000000"/>
            </w:tcBorders>
          </w:tcPr>
          <w:p>
            <w:pPr/>
          </w:p>
        </w:tc>
        <w:tc>
          <w:tcPr>
            <w:tcW w:w="25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9"/>
              <w:jc w:val="right"/>
              <w:rPr>
                <w:rFonts w:ascii="Times New Roman" w:hAnsi="Times New Roman" w:cs="Times New Roman" w:eastAsia="Times New Roman" w:hint="default"/>
                <w:sz w:val="18"/>
                <w:szCs w:val="18"/>
              </w:rPr>
            </w:pPr>
            <w:r>
              <w:rPr>
                <w:rFonts w:ascii="Times New Roman"/>
                <w:spacing w:val="-1"/>
                <w:sz w:val="18"/>
              </w:rPr>
              <w:t>1,101,485,129.09</w:t>
            </w:r>
          </w:p>
        </w:tc>
      </w:tr>
      <w:tr>
        <w:trPr>
          <w:trHeight w:val="401" w:hRule="exact"/>
        </w:trPr>
        <w:tc>
          <w:tcPr>
            <w:tcW w:w="32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2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18,834,692.76</w:t>
            </w:r>
          </w:p>
        </w:tc>
        <w:tc>
          <w:tcPr>
            <w:tcW w:w="25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15,158,087.20</w:t>
            </w:r>
          </w:p>
        </w:tc>
      </w:tr>
      <w:tr>
        <w:trPr>
          <w:trHeight w:val="403" w:hRule="exact"/>
        </w:trPr>
        <w:tc>
          <w:tcPr>
            <w:tcW w:w="32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待退还所得税款</w:t>
            </w:r>
          </w:p>
        </w:tc>
        <w:tc>
          <w:tcPr>
            <w:tcW w:w="2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47,815,168.36</w:t>
            </w:r>
          </w:p>
        </w:tc>
        <w:tc>
          <w:tcPr>
            <w:tcW w:w="25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22,098.84</w:t>
            </w:r>
          </w:p>
        </w:tc>
      </w:tr>
      <w:tr>
        <w:trPr>
          <w:trHeight w:val="401" w:hRule="exact"/>
        </w:trPr>
        <w:tc>
          <w:tcPr>
            <w:tcW w:w="32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3,485,403.98</w:t>
            </w:r>
          </w:p>
        </w:tc>
        <w:tc>
          <w:tcPr>
            <w:tcW w:w="25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1,099,421.00</w:t>
            </w:r>
          </w:p>
        </w:tc>
      </w:tr>
      <w:tr>
        <w:trPr>
          <w:trHeight w:val="413" w:hRule="exact"/>
        </w:trPr>
        <w:tc>
          <w:tcPr>
            <w:tcW w:w="32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1455"/>
              <w:jc w:val="right"/>
              <w:rPr>
                <w:rFonts w:ascii="宋体" w:hAnsi="宋体" w:cs="宋体" w:eastAsia="宋体" w:hint="default"/>
                <w:sz w:val="18"/>
                <w:szCs w:val="18"/>
              </w:rPr>
            </w:pPr>
            <w:r>
              <w:rPr>
                <w:rFonts w:ascii="宋体" w:hAnsi="宋体" w:cs="宋体" w:eastAsia="宋体" w:hint="default"/>
                <w:sz w:val="18"/>
                <w:szCs w:val="18"/>
              </w:rPr>
              <w:t>合计</w:t>
            </w:r>
          </w:p>
        </w:tc>
        <w:tc>
          <w:tcPr>
            <w:tcW w:w="25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70,135,265.10</w:t>
            </w:r>
          </w:p>
        </w:tc>
        <w:tc>
          <w:tcPr>
            <w:tcW w:w="25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1,117,764,736.13</w:t>
            </w:r>
          </w:p>
        </w:tc>
      </w:tr>
    </w:tbl>
    <w:p>
      <w:pPr>
        <w:spacing w:line="212" w:lineRule="exact" w:before="0"/>
        <w:ind w:left="138" w:right="17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注：因执行新金融工具准则，该项目期初余额与上年末余额存在差异。差异情况详见附注四（四十二）</w:t>
      </w:r>
      <w:r>
        <w:rPr>
          <w:rFonts w:ascii="Times New Roman" w:hAnsi="Times New Roman" w:cs="Times New Roman" w:eastAsia="Times New Roman" w:hint="default"/>
          <w:sz w:val="18"/>
          <w:szCs w:val="18"/>
        </w:rPr>
        <w:t>1</w:t>
      </w:r>
    </w:p>
    <w:p>
      <w:pPr>
        <w:spacing w:line="234"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line="232" w:lineRule="exact" w:before="16"/>
        <w:ind w:left="138" w:right="185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：本年度渤海信托•趣店个人消费贷款四期单一资金信托及渤海信托•趣店个人消费贷款八期单一资金 信托均已到期收回，期末余额为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spacing w:line="240" w:lineRule="auto" w:before="7"/>
        <w:rPr>
          <w:rFonts w:ascii="宋体" w:hAnsi="宋体" w:cs="宋体" w:eastAsia="宋体" w:hint="default"/>
          <w:sz w:val="26"/>
          <w:szCs w:val="26"/>
        </w:rPr>
      </w:pPr>
    </w:p>
    <w:p>
      <w:pPr>
        <w:pStyle w:val="Heading4"/>
        <w:spacing w:line="240" w:lineRule="auto"/>
        <w:ind w:left="740" w:right="1786"/>
        <w:jc w:val="left"/>
        <w:rPr>
          <w:b w:val="0"/>
          <w:bCs w:val="0"/>
        </w:rPr>
      </w:pPr>
      <w:r>
        <w:rPr/>
        <w:pict>
          <v:group style="position:absolute;margin-left:205.850006pt;margin-top:50.314442pt;width:.5pt;height:.1pt;mso-position-horizontal-relative:page;mso-position-vertical-relative:paragraph;z-index:-1328752" coordorigin="4117,1006" coordsize="10,2">
            <v:shape style="position:absolute;left:4117;top:1006;width:10;height:2" coordorigin="4117,1006" coordsize="10,0" path="m4117,1006l4127,1006e" filled="false" stroked="true" strokeweight=".72pt" strokecolor="#000000">
              <v:path arrowok="t"/>
              <v:stroke dashstyle="dash"/>
            </v:shape>
            <w10:wrap type="none"/>
          </v:group>
        </w:pict>
      </w:r>
      <w:r>
        <w:rPr/>
        <w:pict>
          <v:group style="position:absolute;margin-left:231.770004pt;margin-top:50.314442pt;width:.5pt;height:.1pt;mso-position-horizontal-relative:page;mso-position-vertical-relative:paragraph;z-index:-1328728" coordorigin="4635,1006" coordsize="10,2">
            <v:shape style="position:absolute;left:4635;top:1006;width:10;height:2" coordorigin="4635,1006" coordsize="10,0" path="m4635,1006l4645,1006e" filled="false" stroked="true" strokeweight=".72pt" strokecolor="#000000">
              <v:path arrowok="t"/>
              <v:stroke dashstyle="dash"/>
            </v:shape>
            <w10:wrap type="none"/>
          </v:group>
        </w:pict>
      </w:r>
      <w:r>
        <w:rPr/>
        <w:pict>
          <v:group style="position:absolute;margin-left:262.730011pt;margin-top:50.314442pt;width:.5pt;height:.1pt;mso-position-horizontal-relative:page;mso-position-vertical-relative:paragraph;z-index:-1328704" coordorigin="5255,1006" coordsize="10,2">
            <v:shape style="position:absolute;left:5255;top:1006;width:10;height:2" coordorigin="5255,1006" coordsize="10,0" path="m5255,1006l5264,1006e" filled="false" stroked="true" strokeweight=".72pt" strokecolor="#000000">
              <v:path arrowok="t"/>
              <v:stroke dashstyle="dash"/>
            </v:shape>
            <w10:wrap type="none"/>
          </v:group>
        </w:pict>
      </w:r>
      <w:r>
        <w:rPr/>
        <w:pict>
          <v:group style="position:absolute;margin-left:353.109985pt;margin-top:50.314442pt;width:.5pt;height:.1pt;mso-position-horizontal-relative:page;mso-position-vertical-relative:paragraph;z-index:-1328680" coordorigin="7062,1006" coordsize="10,2">
            <v:shape style="position:absolute;left:7062;top:1006;width:10;height:2" coordorigin="7062,1006" coordsize="10,0" path="m7062,1006l7072,1006e" filled="false" stroked="true" strokeweight=".72pt" strokecolor="#000000">
              <v:path arrowok="t"/>
              <v:stroke dashstyle="dash"/>
            </v:shape>
            <w10:wrap type="none"/>
          </v:group>
        </w:pict>
      </w:r>
      <w:r>
        <w:rPr/>
        <w:pict>
          <v:group style="position:absolute;margin-left:401.829987pt;margin-top:50.314442pt;width:.5pt;height:.1pt;mso-position-horizontal-relative:page;mso-position-vertical-relative:paragraph;z-index:-1328656" coordorigin="8037,1006" coordsize="10,2">
            <v:shape style="position:absolute;left:8037;top:1006;width:10;height:2" coordorigin="8037,1006" coordsize="10,0" path="m8037,1006l8046,1006e" filled="false" stroked="true" strokeweight=".72pt" strokecolor="#000000">
              <v:path arrowok="t"/>
              <v:stroke dashstyle="dash"/>
            </v:shape>
            <w10:wrap type="none"/>
          </v:group>
        </w:pict>
      </w:r>
      <w:r>
        <w:rPr/>
        <w:pict>
          <v:group style="position:absolute;margin-left:447.339996pt;margin-top:50.314442pt;width:.5pt;height:.1pt;mso-position-horizontal-relative:page;mso-position-vertical-relative:paragraph;z-index:-1328632" coordorigin="8947,1006" coordsize="10,2">
            <v:shape style="position:absolute;left:8947;top:1006;width:10;height:2" coordorigin="8947,1006" coordsize="10,0" path="m8947,1006l8956,1006e" filled="false" stroked="true" strokeweight=".72pt" strokecolor="#000000">
              <v:path arrowok="t"/>
              <v:stroke dashstyle="dash"/>
            </v:shape>
            <w10:wrap type="none"/>
          </v:group>
        </w:pict>
      </w:r>
      <w:r>
        <w:rPr/>
        <w:t>注释 </w:t>
      </w:r>
      <w:r>
        <w:rPr>
          <w:rFonts w:ascii="Times New Roman" w:hAnsi="Times New Roman" w:cs="Times New Roman" w:eastAsia="Times New Roman" w:hint="default"/>
        </w:rPr>
        <w:t>15. </w:t>
      </w:r>
      <w:r>
        <w:rPr>
          <w:rFonts w:ascii="Times New Roman" w:hAnsi="Times New Roman" w:cs="Times New Roman" w:eastAsia="Times New Roman" w:hint="default"/>
          <w:spacing w:val="6"/>
        </w:rPr>
        <w:t> </w:t>
      </w:r>
      <w:r>
        <w:rPr/>
        <w:t>债权投资</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750"/>
        <w:gridCol w:w="589"/>
        <w:gridCol w:w="518"/>
        <w:gridCol w:w="619"/>
        <w:gridCol w:w="650"/>
        <w:gridCol w:w="1157"/>
        <w:gridCol w:w="974"/>
        <w:gridCol w:w="910"/>
        <w:gridCol w:w="1159"/>
      </w:tblGrid>
      <w:tr>
        <w:trPr>
          <w:trHeight w:val="427" w:hRule="exact"/>
        </w:trPr>
        <w:tc>
          <w:tcPr>
            <w:tcW w:w="1750" w:type="dxa"/>
            <w:vMerge w:val="restart"/>
            <w:tcBorders>
              <w:top w:val="single" w:sz="12" w:space="0" w:color="000000"/>
              <w:left w:val="nil" w:sz="6" w:space="0" w:color="auto"/>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7"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01"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7" w:hRule="exact"/>
        </w:trPr>
        <w:tc>
          <w:tcPr>
            <w:tcW w:w="1750" w:type="dxa"/>
            <w:vMerge/>
            <w:tcBorders>
              <w:left w:val="nil" w:sz="6" w:space="0" w:color="auto"/>
              <w:bottom w:val="dotted" w:sz="4" w:space="0" w:color="000000"/>
              <w:right w:val="dotted" w:sz="4" w:space="0" w:color="000000"/>
            </w:tcBorders>
          </w:tcPr>
          <w:p>
            <w:pPr/>
          </w:p>
        </w:tc>
        <w:tc>
          <w:tcPr>
            <w:tcW w:w="589"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16" w:right="20"/>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5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619"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213" w:right="35"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650"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230" w:right="4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1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利息</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8"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633"/>
              <w:jc w:val="right"/>
              <w:rPr>
                <w:rFonts w:ascii="宋体" w:hAnsi="宋体" w:cs="宋体" w:eastAsia="宋体" w:hint="default"/>
                <w:sz w:val="18"/>
                <w:szCs w:val="18"/>
              </w:rPr>
            </w:pPr>
            <w:r>
              <w:rPr>
                <w:rFonts w:ascii="宋体" w:hAnsi="宋体" w:cs="宋体" w:eastAsia="宋体" w:hint="default"/>
                <w:sz w:val="18"/>
                <w:szCs w:val="18"/>
              </w:rPr>
              <w:t>单一资金信托</w:t>
            </w:r>
          </w:p>
        </w:tc>
        <w:tc>
          <w:tcPr>
            <w:tcW w:w="589"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dotted" w:sz="4" w:space="0" w:color="000000"/>
            </w:tcBorders>
          </w:tcPr>
          <w:p>
            <w:pPr/>
          </w:p>
        </w:tc>
        <w:tc>
          <w:tcPr>
            <w:tcW w:w="650" w:type="dxa"/>
            <w:tcBorders>
              <w:top w:val="dotted" w:sz="4" w:space="0" w:color="000000"/>
              <w:left w:val="dotted" w:sz="4" w:space="0" w:color="000000"/>
              <w:bottom w:val="dotted" w:sz="4" w:space="0" w:color="000000"/>
              <w:right w:val="dotted" w:sz="4" w:space="0" w:color="000000"/>
            </w:tcBorders>
          </w:tcPr>
          <w:p>
            <w:pPr/>
          </w:p>
        </w:tc>
        <w:tc>
          <w:tcPr>
            <w:tcW w:w="11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400,000,000.00</w:t>
            </w:r>
          </w:p>
        </w:tc>
        <w:tc>
          <w:tcPr>
            <w:tcW w:w="9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8,247,945.21</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76" w:right="0"/>
              <w:jc w:val="left"/>
              <w:rPr>
                <w:rFonts w:ascii="Times New Roman" w:hAnsi="Times New Roman" w:cs="Times New Roman" w:eastAsia="Times New Roman" w:hint="default"/>
                <w:sz w:val="18"/>
                <w:szCs w:val="18"/>
              </w:rPr>
            </w:pPr>
            <w:r>
              <w:rPr>
                <w:rFonts w:ascii="Times New Roman"/>
                <w:sz w:val="18"/>
              </w:rPr>
              <w:t>512,433.03</w:t>
            </w:r>
          </w:p>
        </w:tc>
        <w:tc>
          <w:tcPr>
            <w:tcW w:w="11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407,735,512.18</w:t>
            </w:r>
          </w:p>
        </w:tc>
      </w:tr>
      <w:tr>
        <w:trPr>
          <w:trHeight w:val="418"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683"/>
              <w:jc w:val="right"/>
              <w:rPr>
                <w:rFonts w:ascii="宋体" w:hAnsi="宋体" w:cs="宋体" w:eastAsia="宋体" w:hint="default"/>
                <w:sz w:val="18"/>
                <w:szCs w:val="18"/>
              </w:rPr>
            </w:pPr>
            <w:r>
              <w:rPr>
                <w:rFonts w:ascii="宋体" w:hAnsi="宋体" w:cs="宋体" w:eastAsia="宋体" w:hint="default"/>
                <w:sz w:val="18"/>
                <w:szCs w:val="18"/>
              </w:rPr>
              <w:t>小计</w:t>
            </w:r>
          </w:p>
        </w:tc>
        <w:tc>
          <w:tcPr>
            <w:tcW w:w="589"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dotted" w:sz="4" w:space="0" w:color="000000"/>
            </w:tcBorders>
          </w:tcPr>
          <w:p>
            <w:pPr/>
          </w:p>
        </w:tc>
        <w:tc>
          <w:tcPr>
            <w:tcW w:w="650" w:type="dxa"/>
            <w:tcBorders>
              <w:top w:val="dotted" w:sz="4" w:space="0" w:color="000000"/>
              <w:left w:val="dotted" w:sz="4" w:space="0" w:color="000000"/>
              <w:bottom w:val="dotted" w:sz="4" w:space="0" w:color="000000"/>
              <w:right w:val="dotted" w:sz="4" w:space="0" w:color="000000"/>
            </w:tcBorders>
          </w:tcPr>
          <w:p>
            <w:pPr/>
          </w:p>
        </w:tc>
        <w:tc>
          <w:tcPr>
            <w:tcW w:w="1157" w:type="dxa"/>
            <w:tcBorders>
              <w:top w:val="dotted" w:sz="4" w:space="0" w:color="000000"/>
              <w:left w:val="dotted" w:sz="4" w:space="0" w:color="000000"/>
              <w:bottom w:val="dotted" w:sz="4" w:space="0" w:color="000000"/>
              <w:right w:val="dotted" w:sz="4" w:space="0" w:color="000000"/>
            </w:tcBorders>
          </w:tcPr>
          <w:p>
            <w:pPr/>
          </w:p>
        </w:tc>
        <w:tc>
          <w:tcPr>
            <w:tcW w:w="974" w:type="dxa"/>
            <w:tcBorders>
              <w:top w:val="dotted" w:sz="4" w:space="0" w:color="000000"/>
              <w:left w:val="dotted" w:sz="4" w:space="0" w:color="000000"/>
              <w:bottom w:val="dotted" w:sz="4" w:space="0" w:color="000000"/>
              <w:right w:val="dotted" w:sz="4" w:space="0" w:color="000000"/>
            </w:tcBorders>
          </w:tcPr>
          <w:p>
            <w:pPr/>
          </w:p>
        </w:tc>
        <w:tc>
          <w:tcPr>
            <w:tcW w:w="910"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11"/>
              <w:jc w:val="left"/>
              <w:rPr>
                <w:rFonts w:ascii="宋体" w:hAnsi="宋体" w:cs="宋体" w:eastAsia="宋体" w:hint="default"/>
                <w:sz w:val="18"/>
                <w:szCs w:val="18"/>
              </w:rPr>
            </w:pPr>
            <w:r>
              <w:rPr>
                <w:rFonts w:ascii="宋体" w:hAnsi="宋体" w:cs="宋体" w:eastAsia="宋体" w:hint="default"/>
                <w:spacing w:val="8"/>
                <w:sz w:val="18"/>
                <w:szCs w:val="18"/>
              </w:rPr>
              <w:t>减：一年内到期的债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权投资</w:t>
            </w:r>
          </w:p>
        </w:tc>
        <w:tc>
          <w:tcPr>
            <w:tcW w:w="589" w:type="dxa"/>
            <w:tcBorders>
              <w:top w:val="dotted" w:sz="4" w:space="0" w:color="000000"/>
              <w:left w:val="dotted" w:sz="4" w:space="0" w:color="000000"/>
              <w:bottom w:val="dotted" w:sz="4" w:space="0" w:color="000000"/>
              <w:right w:val="dotted" w:sz="4" w:space="0" w:color="000000"/>
            </w:tcBorders>
          </w:tcPr>
          <w:p>
            <w:pPr/>
          </w:p>
        </w:tc>
        <w:tc>
          <w:tcPr>
            <w:tcW w:w="518" w:type="dxa"/>
            <w:tcBorders>
              <w:top w:val="dotted" w:sz="4" w:space="0" w:color="000000"/>
              <w:left w:val="dotted" w:sz="4" w:space="0" w:color="000000"/>
              <w:bottom w:val="dotted" w:sz="4" w:space="0" w:color="000000"/>
              <w:right w:val="dotted" w:sz="4" w:space="0" w:color="000000"/>
            </w:tcBorders>
          </w:tcPr>
          <w:p>
            <w:pPr/>
          </w:p>
        </w:tc>
        <w:tc>
          <w:tcPr>
            <w:tcW w:w="619" w:type="dxa"/>
            <w:tcBorders>
              <w:top w:val="dotted" w:sz="4" w:space="0" w:color="000000"/>
              <w:left w:val="dotted" w:sz="4" w:space="0" w:color="000000"/>
              <w:bottom w:val="dotted" w:sz="4" w:space="0" w:color="000000"/>
              <w:right w:val="dotted" w:sz="4" w:space="0" w:color="000000"/>
            </w:tcBorders>
          </w:tcPr>
          <w:p>
            <w:pPr/>
          </w:p>
        </w:tc>
        <w:tc>
          <w:tcPr>
            <w:tcW w:w="650" w:type="dxa"/>
            <w:tcBorders>
              <w:top w:val="dotted" w:sz="4" w:space="0" w:color="000000"/>
              <w:left w:val="dotted" w:sz="4" w:space="0" w:color="000000"/>
              <w:bottom w:val="dotted" w:sz="4" w:space="0" w:color="000000"/>
              <w:right w:val="dotted" w:sz="4" w:space="0" w:color="000000"/>
            </w:tcBorders>
          </w:tcPr>
          <w:p>
            <w:pPr/>
          </w:p>
        </w:tc>
        <w:tc>
          <w:tcPr>
            <w:tcW w:w="1157" w:type="dxa"/>
            <w:tcBorders>
              <w:top w:val="dotted" w:sz="4" w:space="0" w:color="000000"/>
              <w:left w:val="dotted" w:sz="4" w:space="0" w:color="000000"/>
              <w:bottom w:val="dotted" w:sz="4" w:space="0" w:color="000000"/>
              <w:right w:val="dotted" w:sz="4" w:space="0" w:color="000000"/>
            </w:tcBorders>
          </w:tcPr>
          <w:p>
            <w:pPr/>
          </w:p>
        </w:tc>
        <w:tc>
          <w:tcPr>
            <w:tcW w:w="974" w:type="dxa"/>
            <w:tcBorders>
              <w:top w:val="dotted" w:sz="4" w:space="0" w:color="000000"/>
              <w:left w:val="dotted" w:sz="4" w:space="0" w:color="000000"/>
              <w:bottom w:val="dotted" w:sz="4" w:space="0" w:color="000000"/>
              <w:right w:val="dotted" w:sz="4" w:space="0" w:color="000000"/>
            </w:tcBorders>
          </w:tcPr>
          <w:p>
            <w:pPr/>
          </w:p>
        </w:tc>
        <w:tc>
          <w:tcPr>
            <w:tcW w:w="910" w:type="dxa"/>
            <w:tcBorders>
              <w:top w:val="dotted" w:sz="4" w:space="0" w:color="000000"/>
              <w:left w:val="dotted" w:sz="4" w:space="0" w:color="000000"/>
              <w:bottom w:val="dotted" w:sz="4" w:space="0" w:color="000000"/>
              <w:right w:val="dotted" w:sz="4" w:space="0" w:color="000000"/>
            </w:tcBorders>
          </w:tcPr>
          <w:p>
            <w:pPr/>
          </w:p>
        </w:tc>
        <w:tc>
          <w:tcPr>
            <w:tcW w:w="1159" w:type="dxa"/>
            <w:tcBorders>
              <w:top w:val="dotted" w:sz="4" w:space="0" w:color="000000"/>
              <w:left w:val="dotted" w:sz="4" w:space="0" w:color="000000"/>
              <w:bottom w:val="dotted" w:sz="4" w:space="0" w:color="000000"/>
              <w:right w:val="nil" w:sz="6" w:space="0" w:color="auto"/>
            </w:tcBorders>
          </w:tcPr>
          <w:p>
            <w:pPr/>
          </w:p>
        </w:tc>
      </w:tr>
      <w:tr>
        <w:trPr>
          <w:trHeight w:val="428" w:hRule="exact"/>
        </w:trPr>
        <w:tc>
          <w:tcPr>
            <w:tcW w:w="17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
              <w:ind w:right="683"/>
              <w:jc w:val="right"/>
              <w:rPr>
                <w:rFonts w:ascii="微软雅黑" w:hAnsi="微软雅黑" w:cs="微软雅黑" w:eastAsia="微软雅黑" w:hint="default"/>
                <w:sz w:val="18"/>
                <w:szCs w:val="18"/>
              </w:rPr>
            </w:pPr>
            <w:r>
              <w:rPr>
                <w:rFonts w:ascii="微软雅黑" w:hAnsi="微软雅黑" w:cs="微软雅黑" w:eastAsia="微软雅黑" w:hint="default"/>
                <w:sz w:val="18"/>
                <w:szCs w:val="18"/>
              </w:rPr>
              <w:t>合计</w:t>
            </w:r>
          </w:p>
        </w:tc>
        <w:tc>
          <w:tcPr>
            <w:tcW w:w="589" w:type="dxa"/>
            <w:tcBorders>
              <w:top w:val="dotted" w:sz="4" w:space="0" w:color="000000"/>
              <w:left w:val="dotted" w:sz="4" w:space="0" w:color="000000"/>
              <w:bottom w:val="single" w:sz="12" w:space="0" w:color="000000"/>
              <w:right w:val="dotted" w:sz="4" w:space="0" w:color="000000"/>
            </w:tcBorders>
          </w:tcPr>
          <w:p>
            <w:pPr/>
          </w:p>
        </w:tc>
        <w:tc>
          <w:tcPr>
            <w:tcW w:w="518" w:type="dxa"/>
            <w:tcBorders>
              <w:top w:val="dotted" w:sz="4" w:space="0" w:color="000000"/>
              <w:left w:val="dotted" w:sz="4" w:space="0" w:color="000000"/>
              <w:bottom w:val="single" w:sz="12" w:space="0" w:color="000000"/>
              <w:right w:val="dotted" w:sz="4" w:space="0" w:color="000000"/>
            </w:tcBorders>
          </w:tcPr>
          <w:p>
            <w:pPr/>
          </w:p>
        </w:tc>
        <w:tc>
          <w:tcPr>
            <w:tcW w:w="619" w:type="dxa"/>
            <w:tcBorders>
              <w:top w:val="dotted" w:sz="4" w:space="0" w:color="000000"/>
              <w:left w:val="dotted" w:sz="4" w:space="0" w:color="000000"/>
              <w:bottom w:val="single" w:sz="12" w:space="0" w:color="000000"/>
              <w:right w:val="dotted" w:sz="4" w:space="0" w:color="000000"/>
            </w:tcBorders>
          </w:tcPr>
          <w:p>
            <w:pPr/>
          </w:p>
        </w:tc>
        <w:tc>
          <w:tcPr>
            <w:tcW w:w="650" w:type="dxa"/>
            <w:tcBorders>
              <w:top w:val="dotted" w:sz="4" w:space="0" w:color="000000"/>
              <w:left w:val="dotted" w:sz="4" w:space="0" w:color="000000"/>
              <w:bottom w:val="single" w:sz="12" w:space="0" w:color="000000"/>
              <w:right w:val="dotted" w:sz="4" w:space="0" w:color="000000"/>
            </w:tcBorders>
          </w:tcPr>
          <w:p>
            <w:pPr/>
          </w:p>
        </w:tc>
        <w:tc>
          <w:tcPr>
            <w:tcW w:w="11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400,000,000.00</w:t>
            </w:r>
          </w:p>
        </w:tc>
        <w:tc>
          <w:tcPr>
            <w:tcW w:w="9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8,247,945.21</w:t>
            </w:r>
          </w:p>
        </w:tc>
        <w:tc>
          <w:tcPr>
            <w:tcW w:w="9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512,433.03</w:t>
            </w:r>
          </w:p>
        </w:tc>
        <w:tc>
          <w:tcPr>
            <w:tcW w:w="115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407,735,512.18</w:t>
            </w:r>
          </w:p>
        </w:tc>
      </w:tr>
    </w:tbl>
    <w:p>
      <w:pPr>
        <w:spacing w:line="211"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：因执行新金融工具准则，该项目期初余额与上年末余额存在差异。差异情况详见附注四（四十二）</w:t>
      </w:r>
    </w:p>
    <w:p>
      <w:pPr>
        <w:spacing w:line="241" w:lineRule="exact" w:before="0"/>
        <w:ind w:left="138" w:right="17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after="0" w:line="241" w:lineRule="exact"/>
        <w:jc w:val="left"/>
        <w:rPr>
          <w:rFonts w:ascii="宋体" w:hAnsi="宋体" w:cs="宋体" w:eastAsia="宋体" w:hint="default"/>
          <w:sz w:val="18"/>
          <w:szCs w:val="18"/>
        </w:rPr>
        <w:sectPr>
          <w:pgSz w:w="11910" w:h="16840"/>
          <w:pgMar w:header="877" w:footer="979" w:top="1100" w:bottom="1160" w:left="1660" w:right="0"/>
        </w:sectPr>
      </w:pPr>
    </w:p>
    <w:p>
      <w:pPr>
        <w:spacing w:line="240" w:lineRule="auto" w:before="11"/>
        <w:rPr>
          <w:rFonts w:ascii="宋体" w:hAnsi="宋体" w:cs="宋体" w:eastAsia="宋体" w:hint="default"/>
          <w:sz w:val="18"/>
          <w:szCs w:val="18"/>
        </w:rPr>
      </w:pPr>
    </w:p>
    <w:p>
      <w:pPr>
        <w:spacing w:before="44"/>
        <w:ind w:left="138" w:right="17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：单一资金信托四川信托</w:t>
      </w:r>
      <w:r>
        <w:rPr>
          <w:rFonts w:ascii="Times New Roman" w:hAnsi="Times New Roman" w:cs="Times New Roman" w:eastAsia="Times New Roman" w:hint="default"/>
          <w:sz w:val="18"/>
          <w:szCs w:val="18"/>
        </w:rPr>
        <w:t>-</w:t>
      </w:r>
      <w:r>
        <w:rPr>
          <w:rFonts w:ascii="宋体" w:hAnsi="宋体" w:cs="宋体" w:eastAsia="宋体" w:hint="default"/>
          <w:sz w:val="18"/>
          <w:szCs w:val="18"/>
        </w:rPr>
        <w:t>盛信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号到期收回，期末余额为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pStyle w:val="Heading4"/>
        <w:spacing w:line="240" w:lineRule="auto" w:before="119"/>
        <w:ind w:left="740" w:right="1786"/>
        <w:jc w:val="left"/>
        <w:rPr>
          <w:b w:val="0"/>
          <w:bCs w:val="0"/>
        </w:rPr>
      </w:pPr>
      <w:r>
        <w:rPr/>
        <w:t>注释 </w:t>
      </w:r>
      <w:r>
        <w:rPr>
          <w:rFonts w:ascii="Times New Roman" w:hAnsi="Times New Roman" w:cs="Times New Roman" w:eastAsia="Times New Roman" w:hint="default"/>
        </w:rPr>
        <w:t>16. </w:t>
      </w:r>
      <w:r>
        <w:rPr>
          <w:rFonts w:ascii="Times New Roman" w:hAnsi="Times New Roman" w:cs="Times New Roman" w:eastAsia="Times New Roman" w:hint="default"/>
          <w:spacing w:val="8"/>
        </w:rPr>
        <w:t> </w:t>
      </w:r>
      <w:r>
        <w:rPr/>
        <w:t>可供出售金融资产</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206"/>
        <w:gridCol w:w="1529"/>
        <w:gridCol w:w="1529"/>
        <w:gridCol w:w="1529"/>
        <w:gridCol w:w="1532"/>
      </w:tblGrid>
      <w:tr>
        <w:trPr>
          <w:trHeight w:val="362" w:hRule="exact"/>
        </w:trPr>
        <w:tc>
          <w:tcPr>
            <w:tcW w:w="2206"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119"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上期期末余额</w:t>
            </w:r>
          </w:p>
        </w:tc>
      </w:tr>
      <w:tr>
        <w:trPr>
          <w:trHeight w:val="348" w:hRule="exact"/>
        </w:trPr>
        <w:tc>
          <w:tcPr>
            <w:tcW w:w="2206" w:type="dxa"/>
            <w:vMerge/>
            <w:tcBorders>
              <w:left w:val="nil" w:sz="6" w:space="0" w:color="auto"/>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4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其中：债券</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739,595,732.55</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-7,951,684.10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731,644,048.45</w:t>
            </w:r>
          </w:p>
        </w:tc>
      </w:tr>
      <w:tr>
        <w:trPr>
          <w:trHeight w:val="355"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其中：按公允价值计量</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662" w:right="0"/>
              <w:jc w:val="left"/>
              <w:rPr>
                <w:rFonts w:ascii="宋体" w:hAnsi="宋体" w:cs="宋体" w:eastAsia="宋体" w:hint="default"/>
                <w:sz w:val="18"/>
                <w:szCs w:val="18"/>
              </w:rPr>
            </w:pPr>
            <w:r>
              <w:rPr>
                <w:rFonts w:ascii="宋体" w:hAnsi="宋体" w:cs="宋体" w:eastAsia="宋体" w:hint="default"/>
                <w:sz w:val="18"/>
                <w:szCs w:val="18"/>
              </w:rPr>
              <w:t>股票【注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742,395,644.01</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1,318,700.09</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297" w:right="0"/>
              <w:jc w:val="left"/>
              <w:rPr>
                <w:rFonts w:ascii="Times New Roman" w:hAnsi="Times New Roman" w:cs="Times New Roman" w:eastAsia="Times New Roman" w:hint="default"/>
                <w:sz w:val="18"/>
                <w:szCs w:val="18"/>
              </w:rPr>
            </w:pPr>
            <w:r>
              <w:rPr>
                <w:rFonts w:ascii="Times New Roman"/>
                <w:sz w:val="18"/>
              </w:rPr>
              <w:t>104,103,452.11</w:t>
            </w: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639,610,891.99</w:t>
            </w:r>
          </w:p>
        </w:tc>
      </w:tr>
      <w:tr>
        <w:trPr>
          <w:trHeight w:val="348"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575" w:right="0"/>
              <w:jc w:val="left"/>
              <w:rPr>
                <w:rFonts w:ascii="宋体" w:hAnsi="宋体" w:cs="宋体" w:eastAsia="宋体" w:hint="default"/>
                <w:sz w:val="18"/>
                <w:szCs w:val="18"/>
              </w:rPr>
            </w:pPr>
            <w:r>
              <w:rPr>
                <w:rFonts w:ascii="宋体" w:hAnsi="宋体" w:cs="宋体" w:eastAsia="宋体" w:hint="default"/>
                <w:sz w:val="18"/>
                <w:szCs w:val="18"/>
              </w:rPr>
              <w:t>按成本计量</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股权投资【注</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326,750,232.00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326,750,232.00</w:t>
            </w:r>
          </w:p>
        </w:tc>
      </w:tr>
      <w:tr>
        <w:trPr>
          <w:trHeight w:val="350"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按公允价值计量</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按成本计量</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487"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280,220,000.00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-7,886,920.00</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272,333,080.00</w:t>
            </w:r>
          </w:p>
        </w:tc>
      </w:tr>
      <w:tr>
        <w:trPr>
          <w:trHeight w:val="360" w:hRule="exact"/>
        </w:trPr>
        <w:tc>
          <w:tcPr>
            <w:tcW w:w="22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资管计划</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205,000,000.00</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406,198.45</w:t>
            </w:r>
          </w:p>
        </w:tc>
        <w:tc>
          <w:tcPr>
            <w:tcW w:w="1529" w:type="dxa"/>
            <w:tcBorders>
              <w:top w:val="dotted" w:sz="4" w:space="0" w:color="000000"/>
              <w:left w:val="dotted" w:sz="4" w:space="0" w:color="000000"/>
              <w:bottom w:val="single" w:sz="12" w:space="0" w:color="000000"/>
              <w:right w:val="dotted" w:sz="4" w:space="0" w:color="000000"/>
            </w:tcBorders>
          </w:tcPr>
          <w:p>
            <w:pPr/>
          </w:p>
        </w:tc>
        <w:tc>
          <w:tcPr>
            <w:tcW w:w="153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205,406,198.45</w:t>
            </w:r>
          </w:p>
        </w:tc>
      </w:tr>
    </w:tbl>
    <w:p>
      <w:pPr>
        <w:spacing w:line="219"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注：因执行新金融工具准则，该项目无期末余额，详见附注四（四十二）</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line="240" w:lineRule="auto" w:before="3"/>
        <w:rPr>
          <w:rFonts w:ascii="宋体" w:hAnsi="宋体" w:cs="宋体" w:eastAsia="宋体" w:hint="default"/>
          <w:sz w:val="17"/>
          <w:szCs w:val="17"/>
        </w:rPr>
      </w:pPr>
    </w:p>
    <w:p>
      <w:pPr>
        <w:pStyle w:val="Heading4"/>
        <w:spacing w:line="240" w:lineRule="auto"/>
        <w:ind w:left="740" w:right="1786"/>
        <w:jc w:val="left"/>
        <w:rPr>
          <w:b w:val="0"/>
          <w:bCs w:val="0"/>
        </w:rPr>
      </w:pPr>
      <w:r>
        <w:rPr/>
        <w:t>注释 </w:t>
      </w:r>
      <w:r>
        <w:rPr>
          <w:rFonts w:ascii="Times New Roman" w:hAnsi="Times New Roman" w:cs="Times New Roman" w:eastAsia="Times New Roman" w:hint="default"/>
        </w:rPr>
        <w:t>17. </w:t>
      </w:r>
      <w:r>
        <w:rPr>
          <w:rFonts w:ascii="Times New Roman" w:hAnsi="Times New Roman" w:cs="Times New Roman" w:eastAsia="Times New Roman" w:hint="default"/>
          <w:spacing w:val="9"/>
        </w:rPr>
        <w:t> </w:t>
      </w:r>
      <w:r>
        <w:rPr/>
        <w:t>其他债权投资</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47" w:type="dxa"/>
        <w:tblLayout w:type="fixed"/>
        <w:tblCellMar>
          <w:top w:w="0" w:type="dxa"/>
          <w:left w:w="0" w:type="dxa"/>
          <w:bottom w:w="0" w:type="dxa"/>
          <w:right w:w="0" w:type="dxa"/>
        </w:tblCellMar>
        <w:tblLook w:val="01E0"/>
      </w:tblPr>
      <w:tblGrid>
        <w:gridCol w:w="1447"/>
        <w:gridCol w:w="1390"/>
        <w:gridCol w:w="1373"/>
        <w:gridCol w:w="1361"/>
        <w:gridCol w:w="1390"/>
        <w:gridCol w:w="1292"/>
      </w:tblGrid>
      <w:tr>
        <w:trPr>
          <w:trHeight w:val="418" w:hRule="exact"/>
        </w:trPr>
        <w:tc>
          <w:tcPr>
            <w:tcW w:w="1447" w:type="dxa"/>
            <w:vMerge w:val="restart"/>
            <w:tcBorders>
              <w:top w:val="single" w:sz="12" w:space="0" w:color="000000"/>
              <w:left w:val="nil" w:sz="6" w:space="0" w:color="auto"/>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0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447" w:type="dxa"/>
            <w:vMerge/>
            <w:tcBorders>
              <w:left w:val="nil" w:sz="6" w:space="0" w:color="auto"/>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sz w:val="18"/>
                <w:szCs w:val="18"/>
              </w:rPr>
              <w:t>初始成本</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利息</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35"/>
              <w:jc w:val="right"/>
              <w:rPr>
                <w:rFonts w:ascii="宋体" w:hAnsi="宋体" w:cs="宋体" w:eastAsia="宋体" w:hint="default"/>
                <w:sz w:val="18"/>
                <w:szCs w:val="18"/>
              </w:rPr>
            </w:pPr>
            <w:r>
              <w:rPr>
                <w:rFonts w:ascii="宋体" w:hAnsi="宋体" w:cs="宋体" w:eastAsia="宋体" w:hint="default"/>
                <w:sz w:val="18"/>
                <w:szCs w:val="18"/>
              </w:rPr>
              <w:t>公允价值变动</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92" w:type="dxa"/>
            <w:tcBorders>
              <w:top w:val="dotted" w:sz="4" w:space="0" w:color="000000"/>
              <w:left w:val="dotted" w:sz="4" w:space="0" w:color="000000"/>
              <w:bottom w:val="dotted" w:sz="4" w:space="0" w:color="000000"/>
              <w:right w:val="nil" w:sz="6" w:space="0" w:color="auto"/>
            </w:tcBorders>
          </w:tcPr>
          <w:p>
            <w:pPr>
              <w:pStyle w:val="TableParagraph"/>
              <w:spacing w:line="230" w:lineRule="exact" w:before="37"/>
              <w:ind w:left="547" w:right="197" w:hanging="360"/>
              <w:jc w:val="left"/>
              <w:rPr>
                <w:rFonts w:ascii="宋体" w:hAnsi="宋体" w:cs="宋体" w:eastAsia="宋体" w:hint="default"/>
                <w:sz w:val="18"/>
                <w:szCs w:val="18"/>
              </w:rPr>
            </w:pPr>
            <w:r>
              <w:rPr>
                <w:rFonts w:ascii="宋体" w:hAnsi="宋体" w:cs="宋体" w:eastAsia="宋体" w:hint="default"/>
                <w:sz w:val="18"/>
                <w:szCs w:val="18"/>
              </w:rPr>
              <w:t>累计减值准 备</w:t>
            </w:r>
          </w:p>
        </w:tc>
      </w:tr>
      <w:tr>
        <w:trPr>
          <w:trHeight w:val="408" w:hRule="exact"/>
        </w:trPr>
        <w:tc>
          <w:tcPr>
            <w:tcW w:w="1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国债</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59,381,973.86</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1,335,540.00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1,531,886.14</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62,249,400.00</w:t>
            </w:r>
          </w:p>
        </w:tc>
        <w:tc>
          <w:tcPr>
            <w:tcW w:w="1292"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1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企业债</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152,609,273.85</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5,842,646.32</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456,596.15</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158,908,516.32</w:t>
            </w:r>
          </w:p>
        </w:tc>
        <w:tc>
          <w:tcPr>
            <w:tcW w:w="12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106,973.60</w:t>
            </w:r>
          </w:p>
        </w:tc>
      </w:tr>
      <w:tr>
        <w:trPr>
          <w:trHeight w:val="406" w:hRule="exact"/>
        </w:trPr>
        <w:tc>
          <w:tcPr>
            <w:tcW w:w="1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35,000,008.24</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206,435.00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134,611.76</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35,341,055.00</w:t>
            </w:r>
          </w:p>
        </w:tc>
        <w:tc>
          <w:tcPr>
            <w:tcW w:w="12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50,661.97</w:t>
            </w:r>
          </w:p>
        </w:tc>
      </w:tr>
      <w:tr>
        <w:trPr>
          <w:trHeight w:val="408" w:hRule="exact"/>
        </w:trPr>
        <w:tc>
          <w:tcPr>
            <w:tcW w:w="1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100,000,000.00</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3,547,400.00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303,900.00</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103,851,300.00</w:t>
            </w:r>
          </w:p>
        </w:tc>
        <w:tc>
          <w:tcPr>
            <w:tcW w:w="12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131,054.01</w:t>
            </w:r>
          </w:p>
        </w:tc>
      </w:tr>
      <w:tr>
        <w:trPr>
          <w:trHeight w:val="406" w:hRule="exact"/>
        </w:trPr>
        <w:tc>
          <w:tcPr>
            <w:tcW w:w="14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3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2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8" w:hRule="exact"/>
        </w:trPr>
        <w:tc>
          <w:tcPr>
            <w:tcW w:w="14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346,991,255.95</w:t>
            </w:r>
          </w:p>
        </w:tc>
        <w:tc>
          <w:tcPr>
            <w:tcW w:w="13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10,932,021.32</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2,426,994.05</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360,350,271.32</w:t>
            </w:r>
          </w:p>
        </w:tc>
        <w:tc>
          <w:tcPr>
            <w:tcW w:w="12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288,689.58</w:t>
            </w:r>
          </w:p>
        </w:tc>
      </w:tr>
    </w:tbl>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36"/>
        <w:ind w:left="558" w:right="1786"/>
        <w:jc w:val="left"/>
      </w:pPr>
      <w:r>
        <w:rPr/>
        <w:t>续：</w:t>
      </w:r>
    </w:p>
    <w:p>
      <w:pPr>
        <w:spacing w:line="240" w:lineRule="auto" w:before="1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426"/>
        <w:gridCol w:w="1561"/>
        <w:gridCol w:w="1334"/>
        <w:gridCol w:w="1318"/>
        <w:gridCol w:w="1358"/>
        <w:gridCol w:w="1294"/>
      </w:tblGrid>
      <w:tr>
        <w:trPr>
          <w:trHeight w:val="418" w:hRule="exact"/>
        </w:trPr>
        <w:tc>
          <w:tcPr>
            <w:tcW w:w="1426"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6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1426" w:type="dxa"/>
            <w:vMerge/>
            <w:tcBorders>
              <w:left w:val="nil" w:sz="6" w:space="0" w:color="auto"/>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初始成本</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利息</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11"/>
              <w:jc w:val="right"/>
              <w:rPr>
                <w:rFonts w:ascii="宋体" w:hAnsi="宋体" w:cs="宋体" w:eastAsia="宋体" w:hint="default"/>
                <w:sz w:val="18"/>
                <w:szCs w:val="18"/>
              </w:rPr>
            </w:pPr>
            <w:r>
              <w:rPr>
                <w:rFonts w:ascii="宋体" w:hAnsi="宋体" w:cs="宋体" w:eastAsia="宋体" w:hint="default"/>
                <w:sz w:val="18"/>
                <w:szCs w:val="18"/>
              </w:rPr>
              <w:t>公允价值变动</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94"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555" w:right="192" w:hanging="360"/>
              <w:jc w:val="left"/>
              <w:rPr>
                <w:rFonts w:ascii="宋体" w:hAnsi="宋体" w:cs="宋体" w:eastAsia="宋体" w:hint="default"/>
                <w:sz w:val="18"/>
                <w:szCs w:val="18"/>
              </w:rPr>
            </w:pPr>
            <w:r>
              <w:rPr>
                <w:rFonts w:ascii="宋体" w:hAnsi="宋体" w:cs="宋体" w:eastAsia="宋体" w:hint="default"/>
                <w:sz w:val="18"/>
                <w:szCs w:val="18"/>
              </w:rPr>
              <w:t>累计减值准 备</w:t>
            </w:r>
          </w:p>
        </w:tc>
      </w:tr>
      <w:tr>
        <w:trPr>
          <w:trHeight w:val="408" w:hRule="exact"/>
        </w:trPr>
        <w:tc>
          <w:tcPr>
            <w:tcW w:w="14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国债</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59,236,240.00</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1,339,200.00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1,292,000.00</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61,867,440.00</w:t>
            </w:r>
          </w:p>
        </w:tc>
        <w:tc>
          <w:tcPr>
            <w:tcW w:w="129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14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企业债</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306,275,623.26</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14,186,352.57</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-7,251,441.90</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313,210,533.93</w:t>
            </w:r>
          </w:p>
        </w:tc>
        <w:tc>
          <w:tcPr>
            <w:tcW w:w="12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325,065.13</w:t>
            </w:r>
          </w:p>
        </w:tc>
      </w:tr>
      <w:tr>
        <w:trPr>
          <w:trHeight w:val="408" w:hRule="exact"/>
        </w:trPr>
        <w:tc>
          <w:tcPr>
            <w:tcW w:w="14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35,000,010.00</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206,980.00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-304,570.00</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pacing w:val="-1"/>
                <w:sz w:val="18"/>
              </w:rPr>
              <w:t>34,902,420.00</w:t>
            </w:r>
          </w:p>
        </w:tc>
        <w:tc>
          <w:tcPr>
            <w:tcW w:w="12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50,492.76</w:t>
            </w:r>
          </w:p>
        </w:tc>
      </w:tr>
      <w:tr>
        <w:trPr>
          <w:trHeight w:val="418" w:hRule="exact"/>
        </w:trPr>
        <w:tc>
          <w:tcPr>
            <w:tcW w:w="14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139,997,735.01</w:t>
            </w:r>
          </w:p>
        </w:tc>
        <w:tc>
          <w:tcPr>
            <w:tcW w:w="13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6,623,580.00</w:t>
            </w:r>
          </w:p>
        </w:tc>
        <w:tc>
          <w:tcPr>
            <w:tcW w:w="13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-546,895.01</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146,074,420.00</w:t>
            </w:r>
          </w:p>
        </w:tc>
        <w:tc>
          <w:tcPr>
            <w:tcW w:w="12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170,535.70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8"/>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426"/>
        <w:gridCol w:w="1561"/>
        <w:gridCol w:w="1334"/>
        <w:gridCol w:w="1318"/>
        <w:gridCol w:w="1358"/>
        <w:gridCol w:w="1294"/>
      </w:tblGrid>
      <w:tr>
        <w:trPr>
          <w:trHeight w:val="418" w:hRule="exact"/>
        </w:trPr>
        <w:tc>
          <w:tcPr>
            <w:tcW w:w="1426"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6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7" w:hRule="exact"/>
        </w:trPr>
        <w:tc>
          <w:tcPr>
            <w:tcW w:w="1426" w:type="dxa"/>
            <w:vMerge/>
            <w:tcBorders>
              <w:left w:val="nil" w:sz="6" w:space="0" w:color="auto"/>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415" w:right="0"/>
              <w:jc w:val="left"/>
              <w:rPr>
                <w:rFonts w:ascii="宋体" w:hAnsi="宋体" w:cs="宋体" w:eastAsia="宋体" w:hint="default"/>
                <w:sz w:val="18"/>
                <w:szCs w:val="18"/>
              </w:rPr>
            </w:pPr>
            <w:r>
              <w:rPr>
                <w:rFonts w:ascii="宋体" w:hAnsi="宋体" w:cs="宋体" w:eastAsia="宋体" w:hint="default"/>
                <w:sz w:val="18"/>
                <w:szCs w:val="18"/>
              </w:rPr>
              <w:t>初始成本</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利息</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11"/>
              <w:jc w:val="right"/>
              <w:rPr>
                <w:rFonts w:ascii="宋体" w:hAnsi="宋体" w:cs="宋体" w:eastAsia="宋体" w:hint="default"/>
                <w:sz w:val="18"/>
                <w:szCs w:val="18"/>
              </w:rPr>
            </w:pPr>
            <w:r>
              <w:rPr>
                <w:rFonts w:ascii="宋体" w:hAnsi="宋体" w:cs="宋体" w:eastAsia="宋体" w:hint="default"/>
                <w:sz w:val="18"/>
                <w:szCs w:val="18"/>
              </w:rPr>
              <w:t>公允价值变动</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94"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2"/>
              <w:ind w:left="555" w:right="192" w:hanging="360"/>
              <w:jc w:val="left"/>
              <w:rPr>
                <w:rFonts w:ascii="宋体" w:hAnsi="宋体" w:cs="宋体" w:eastAsia="宋体" w:hint="default"/>
                <w:sz w:val="18"/>
                <w:szCs w:val="18"/>
              </w:rPr>
            </w:pPr>
            <w:r>
              <w:rPr>
                <w:rFonts w:ascii="宋体" w:hAnsi="宋体" w:cs="宋体" w:eastAsia="宋体" w:hint="default"/>
                <w:sz w:val="18"/>
                <w:szCs w:val="18"/>
              </w:rPr>
              <w:t>累计减值准 备</w:t>
            </w:r>
          </w:p>
        </w:tc>
      </w:tr>
      <w:tr>
        <w:trPr>
          <w:trHeight w:val="408" w:hRule="exact"/>
        </w:trPr>
        <w:tc>
          <w:tcPr>
            <w:tcW w:w="14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126,110,180.00</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4,859,960.00</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-427,150.00</w:t>
            </w:r>
          </w:p>
        </w:tc>
        <w:tc>
          <w:tcPr>
            <w:tcW w:w="13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1" w:right="0"/>
              <w:jc w:val="center"/>
              <w:rPr>
                <w:rFonts w:ascii="Times New Roman" w:hAnsi="Times New Roman" w:cs="Times New Roman" w:eastAsia="Times New Roman" w:hint="default"/>
                <w:sz w:val="18"/>
                <w:szCs w:val="18"/>
              </w:rPr>
            </w:pPr>
            <w:r>
              <w:rPr>
                <w:rFonts w:ascii="Times New Roman"/>
                <w:sz w:val="18"/>
              </w:rPr>
              <w:t>130,542,990.00</w:t>
            </w:r>
          </w:p>
        </w:tc>
        <w:tc>
          <w:tcPr>
            <w:tcW w:w="12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39,487.37</w:t>
            </w:r>
          </w:p>
        </w:tc>
      </w:tr>
      <w:tr>
        <w:trPr>
          <w:trHeight w:val="418" w:hRule="exact"/>
        </w:trPr>
        <w:tc>
          <w:tcPr>
            <w:tcW w:w="14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666,619,788.27</w:t>
            </w:r>
          </w:p>
        </w:tc>
        <w:tc>
          <w:tcPr>
            <w:tcW w:w="13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27,216,072.57</w:t>
            </w:r>
          </w:p>
        </w:tc>
        <w:tc>
          <w:tcPr>
            <w:tcW w:w="13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-7,238,056.91</w:t>
            </w:r>
          </w:p>
        </w:tc>
        <w:tc>
          <w:tcPr>
            <w:tcW w:w="13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21" w:right="0"/>
              <w:jc w:val="center"/>
              <w:rPr>
                <w:rFonts w:ascii="Times New Roman" w:hAnsi="Times New Roman" w:cs="Times New Roman" w:eastAsia="Times New Roman" w:hint="default"/>
                <w:sz w:val="18"/>
                <w:szCs w:val="18"/>
              </w:rPr>
            </w:pPr>
            <w:r>
              <w:rPr>
                <w:rFonts w:ascii="Times New Roman"/>
                <w:sz w:val="18"/>
              </w:rPr>
              <w:t>686,597,803.93</w:t>
            </w:r>
          </w:p>
        </w:tc>
        <w:tc>
          <w:tcPr>
            <w:tcW w:w="12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585,580.96</w:t>
            </w:r>
          </w:p>
        </w:tc>
      </w:tr>
    </w:tbl>
    <w:p>
      <w:pPr>
        <w:spacing w:line="211"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：因执行新金融工具准则，该项目期初余额与上年末余额存在差异。差异情况详见附注四（四十二）</w:t>
      </w:r>
    </w:p>
    <w:p>
      <w:pPr>
        <w:spacing w:line="233" w:lineRule="exact" w:before="0"/>
        <w:ind w:left="138" w:right="17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line="233" w:lineRule="exact" w:before="0"/>
        <w:ind w:left="138" w:right="17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：期末，其他债权投资受限金额为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96,940,664.52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元，其中：卖出回购业务等受限金额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32,239,876.72</w:t>
      </w:r>
    </w:p>
    <w:p>
      <w:pPr>
        <w:spacing w:line="241"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元，转融通业务受限金额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64,700,787.80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line="241" w:lineRule="exact"/>
        <w:jc w:val="left"/>
        <w:rPr>
          <w:rFonts w:ascii="宋体" w:hAnsi="宋体" w:cs="宋体" w:eastAsia="宋体" w:hint="default"/>
          <w:sz w:val="18"/>
          <w:szCs w:val="18"/>
        </w:rPr>
        <w:sectPr>
          <w:pgSz w:w="11910" w:h="16840"/>
          <w:pgMar w:header="877" w:footer="979" w:top="1100" w:bottom="1160" w:left="1660" w:right="0"/>
        </w:sectPr>
      </w:pPr>
    </w:p>
    <w:p>
      <w:pPr>
        <w:spacing w:before="15"/>
        <w:ind w:left="0" w:right="233" w:firstLine="0"/>
        <w:jc w:val="righ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335" w:lineRule="exact"/>
        <w:ind w:left="682" w:right="0"/>
        <w:jc w:val="left"/>
        <w:rPr>
          <w:b w:val="0"/>
          <w:bCs w:val="0"/>
        </w:rPr>
      </w:pPr>
      <w:r>
        <w:rPr/>
        <w:pict>
          <v:group style="position:absolute;margin-left:296.809998pt;margin-top:45.634998pt;width:.5pt;height:.1pt;mso-position-horizontal-relative:page;mso-position-vertical-relative:paragraph;z-index:-1328584" coordorigin="5936,913" coordsize="10,2">
            <v:shape style="position:absolute;left:5936;top:913;width:10;height:2" coordorigin="5936,913" coordsize="10,0" path="m5936,913l5946,913e" filled="false" stroked="true" strokeweight=".72pt" strokecolor="#000000">
              <v:path arrowok="t"/>
              <v:stroke dashstyle="dash"/>
            </v:shape>
            <w10:wrap type="none"/>
          </v:group>
        </w:pict>
      </w:r>
      <w:r>
        <w:rPr/>
        <w:pict>
          <v:group style="position:absolute;margin-left:354.049988pt;margin-top:45.634998pt;width:.5pt;height:.1pt;mso-position-horizontal-relative:page;mso-position-vertical-relative:paragraph;z-index:-1328560" coordorigin="7081,913" coordsize="10,2">
            <v:shape style="position:absolute;left:7081;top:913;width:10;height:2" coordorigin="7081,913" coordsize="10,0" path="m7081,913l7091,913e" filled="false" stroked="true" strokeweight=".72pt" strokecolor="#000000">
              <v:path arrowok="t"/>
              <v:stroke dashstyle="dash"/>
            </v:shape>
            <w10:wrap type="none"/>
          </v:group>
        </w:pict>
      </w:r>
      <w:r>
        <w:rPr/>
        <w:pict>
          <v:group style="position:absolute;margin-left:411.190002pt;margin-top:45.634998pt;width:.5pt;height:.1pt;mso-position-horizontal-relative:page;mso-position-vertical-relative:paragraph;z-index:-1328536" coordorigin="8224,913" coordsize="10,2">
            <v:shape style="position:absolute;left:8224;top:913;width:10;height:2" coordorigin="8224,913" coordsize="10,0" path="m8224,913l8233,913e" filled="false" stroked="true" strokeweight=".72pt" strokecolor="#000000">
              <v:path arrowok="t"/>
              <v:stroke dashstyle="dash"/>
            </v:shape>
            <w10:wrap type="none"/>
          </v:group>
        </w:pict>
      </w:r>
      <w:r>
        <w:rPr/>
        <w:pict>
          <v:group style="position:absolute;margin-left:469.390015pt;margin-top:45.634998pt;width:.5pt;height:.1pt;mso-position-horizontal-relative:page;mso-position-vertical-relative:paragraph;z-index:-1328512" coordorigin="9388,913" coordsize="10,2">
            <v:shape style="position:absolute;left:9388;top:913;width:10;height:2" coordorigin="9388,913" coordsize="10,0" path="m9388,913l9397,913e" filled="false" stroked="true" strokeweight=".72pt" strokecolor="#000000">
              <v:path arrowok="t"/>
              <v:stroke dashstyle="dash"/>
            </v:shape>
            <w10:wrap type="none"/>
          </v:group>
        </w:pict>
      </w:r>
      <w:r>
        <w:rPr/>
        <w:pict>
          <v:group style="position:absolute;margin-left:522.789978pt;margin-top:45.634998pt;width:.5pt;height:.1pt;mso-position-horizontal-relative:page;mso-position-vertical-relative:paragraph;z-index:-1328488" coordorigin="10456,913" coordsize="10,2">
            <v:shape style="position:absolute;left:10456;top:913;width:10;height:2" coordorigin="10456,913" coordsize="10,0" path="m10456,913l10465,913e" filled="false" stroked="true" strokeweight=".72pt" strokecolor="#000000">
              <v:path arrowok="t"/>
              <v:stroke dashstyle="dash"/>
            </v:shape>
            <w10:wrap type="none"/>
          </v:group>
        </w:pict>
      </w:r>
      <w:r>
        <w:rPr/>
        <w:pict>
          <v:group style="position:absolute;margin-left:566.830017pt;margin-top:45.634998pt;width:.5pt;height:.1pt;mso-position-horizontal-relative:page;mso-position-vertical-relative:paragraph;z-index:-1328464" coordorigin="11337,913" coordsize="10,2">
            <v:shape style="position:absolute;left:11337;top:913;width:10;height:2" coordorigin="11337,913" coordsize="10,0" path="m11337,913l11346,913e" filled="false" stroked="true" strokeweight=".72pt" strokecolor="#000000">
              <v:path arrowok="t"/>
              <v:stroke dashstyle="dash"/>
            </v:shape>
            <w10:wrap type="none"/>
          </v:group>
        </w:pict>
      </w:r>
      <w:r>
        <w:rPr/>
        <w:pict>
          <v:group style="position:absolute;margin-left:606.219971pt;margin-top:45.634998pt;width:.5pt;height:.1pt;mso-position-horizontal-relative:page;mso-position-vertical-relative:paragraph;z-index:-1328440" coordorigin="12124,913" coordsize="10,2">
            <v:shape style="position:absolute;left:12124;top:913;width:10;height:2" coordorigin="12124,913" coordsize="10,0" path="m12124,913l12134,913e" filled="false" stroked="true" strokeweight=".72pt" strokecolor="#000000">
              <v:path arrowok="t"/>
              <v:stroke dashstyle="dash"/>
            </v:shape>
            <w10:wrap type="none"/>
          </v:group>
        </w:pict>
      </w:r>
      <w:r>
        <w:rPr/>
        <w:t>注释 </w:t>
      </w:r>
      <w:r>
        <w:rPr>
          <w:rFonts w:ascii="Times New Roman" w:hAnsi="Times New Roman" w:cs="Times New Roman" w:eastAsia="Times New Roman" w:hint="default"/>
        </w:rPr>
        <w:t>18. </w:t>
      </w:r>
      <w:r>
        <w:rPr>
          <w:rFonts w:ascii="Times New Roman" w:hAnsi="Times New Roman" w:cs="Times New Roman" w:eastAsia="Times New Roman" w:hint="default"/>
          <w:spacing w:val="9"/>
        </w:rPr>
        <w:t> </w:t>
      </w:r>
      <w:r>
        <w:rPr/>
        <w:t>长期股权投资</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2033"/>
        <w:gridCol w:w="1332"/>
        <w:gridCol w:w="1275"/>
        <w:gridCol w:w="1145"/>
        <w:gridCol w:w="1143"/>
        <w:gridCol w:w="1164"/>
        <w:gridCol w:w="1068"/>
        <w:gridCol w:w="881"/>
        <w:gridCol w:w="788"/>
        <w:gridCol w:w="1277"/>
        <w:gridCol w:w="1274"/>
        <w:gridCol w:w="845"/>
      </w:tblGrid>
      <w:tr>
        <w:trPr>
          <w:trHeight w:val="418" w:hRule="exact"/>
        </w:trPr>
        <w:tc>
          <w:tcPr>
            <w:tcW w:w="2033" w:type="dxa"/>
            <w:vMerge w:val="restart"/>
            <w:tcBorders>
              <w:top w:val="single" w:sz="4"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2" w:type="dxa"/>
            <w:vMerge w:val="restart"/>
            <w:tcBorders>
              <w:top w:val="single"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740" w:type="dxa"/>
            <w:gridSpan w:val="8"/>
            <w:tcBorders>
              <w:top w:val="single" w:sz="4"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4" w:type="dxa"/>
            <w:vMerge w:val="restart"/>
            <w:tcBorders>
              <w:top w:val="single"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45" w:type="dxa"/>
            <w:vMerge w:val="restart"/>
            <w:tcBorders>
              <w:top w:val="single" w:sz="4" w:space="0" w:color="000000"/>
              <w:left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314" w:lineRule="auto"/>
              <w:ind w:left="55" w:right="6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42" w:hRule="exact"/>
        </w:trPr>
        <w:tc>
          <w:tcPr>
            <w:tcW w:w="2033" w:type="dxa"/>
            <w:vMerge/>
            <w:tcBorders>
              <w:left w:val="nil" w:sz="6" w:space="0" w:color="auto"/>
              <w:bottom w:val="dotted" w:sz="4" w:space="0" w:color="000000"/>
              <w:right w:val="dotted" w:sz="4" w:space="0" w:color="000000"/>
            </w:tcBorders>
          </w:tcPr>
          <w:p>
            <w:pPr/>
          </w:p>
        </w:tc>
        <w:tc>
          <w:tcPr>
            <w:tcW w:w="1332" w:type="dxa"/>
            <w:vMerge/>
            <w:tcBorders>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15" w:right="24" w:hanging="89"/>
              <w:jc w:val="left"/>
              <w:rPr>
                <w:rFonts w:ascii="宋体" w:hAnsi="宋体" w:cs="宋体" w:eastAsia="宋体" w:hint="default"/>
                <w:sz w:val="18"/>
                <w:szCs w:val="18"/>
              </w:rPr>
            </w:pPr>
            <w:r>
              <w:rPr>
                <w:rFonts w:ascii="宋体" w:hAnsi="宋体" w:cs="宋体" w:eastAsia="宋体" w:hint="default"/>
                <w:sz w:val="18"/>
                <w:szCs w:val="18"/>
              </w:rPr>
              <w:t>权益法下确认 的投资收益</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398" w:right="35"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881"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5"/>
              <w:ind w:left="74" w:right="74"/>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209" w:right="27"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dotted" w:sz="4" w:space="0" w:color="000000"/>
              <w:bottom w:val="dotted" w:sz="4" w:space="0" w:color="000000"/>
              <w:right w:val="dotted" w:sz="4" w:space="0" w:color="000000"/>
            </w:tcBorders>
          </w:tcPr>
          <w:p>
            <w:pPr/>
          </w:p>
        </w:tc>
        <w:tc>
          <w:tcPr>
            <w:tcW w:w="845" w:type="dxa"/>
            <w:vMerge/>
            <w:tcBorders>
              <w:left w:val="dotted" w:sz="4" w:space="0" w:color="000000"/>
              <w:bottom w:val="dotted" w:sz="4" w:space="0" w:color="000000"/>
              <w:right w:val="nil" w:sz="6" w:space="0" w:color="auto"/>
            </w:tcBorders>
          </w:tcPr>
          <w:p>
            <w:pPr/>
          </w:p>
        </w:tc>
      </w:tr>
      <w:tr>
        <w:trPr>
          <w:trHeight w:val="418"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一．联营企业</w:t>
            </w:r>
          </w:p>
        </w:tc>
        <w:tc>
          <w:tcPr>
            <w:tcW w:w="133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
        </w:tc>
        <w:tc>
          <w:tcPr>
            <w:tcW w:w="1164" w:type="dxa"/>
            <w:tcBorders>
              <w:top w:val="dotted" w:sz="4" w:space="0" w:color="000000"/>
              <w:left w:val="dotted" w:sz="4" w:space="0" w:color="000000"/>
              <w:bottom w:val="dotted" w:sz="4" w:space="0" w:color="000000"/>
              <w:right w:val="dotted" w:sz="4" w:space="0" w:color="000000"/>
            </w:tcBorders>
          </w:tcPr>
          <w:p>
            <w:pPr/>
          </w:p>
        </w:tc>
        <w:tc>
          <w:tcPr>
            <w:tcW w:w="1068" w:type="dxa"/>
            <w:tcBorders>
              <w:top w:val="dotted" w:sz="4" w:space="0" w:color="000000"/>
              <w:left w:val="dotted" w:sz="4" w:space="0" w:color="000000"/>
              <w:bottom w:val="dotted" w:sz="4" w:space="0" w:color="000000"/>
              <w:right w:val="dotted" w:sz="4" w:space="0" w:color="000000"/>
            </w:tcBorders>
          </w:tcPr>
          <w:p>
            <w:pP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845"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江信基金管理有限公司</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58,574,609.16</w:t>
            </w:r>
          </w:p>
        </w:tc>
        <w:tc>
          <w:tcPr>
            <w:tcW w:w="1275"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-1,915,427.74</w:t>
            </w:r>
          </w:p>
        </w:tc>
        <w:tc>
          <w:tcPr>
            <w:tcW w:w="11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5,567,256.92</w:t>
            </w:r>
          </w:p>
        </w:tc>
        <w:tc>
          <w:tcPr>
            <w:tcW w:w="1068" w:type="dxa"/>
            <w:tcBorders>
              <w:top w:val="dotted" w:sz="4" w:space="0" w:color="000000"/>
              <w:left w:val="dotted" w:sz="4" w:space="0" w:color="000000"/>
              <w:bottom w:val="dotted" w:sz="4" w:space="0" w:color="000000"/>
              <w:right w:val="dotted" w:sz="4" w:space="0" w:color="000000"/>
            </w:tcBorders>
          </w:tcPr>
          <w:p>
            <w:pP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62,226,438.34</w:t>
            </w:r>
          </w:p>
        </w:tc>
        <w:tc>
          <w:tcPr>
            <w:tcW w:w="845"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11"/>
              <w:jc w:val="left"/>
              <w:rPr>
                <w:rFonts w:ascii="宋体" w:hAnsi="宋体" w:cs="宋体" w:eastAsia="宋体" w:hint="default"/>
                <w:sz w:val="18"/>
                <w:szCs w:val="18"/>
              </w:rPr>
            </w:pPr>
            <w:r>
              <w:rPr>
                <w:rFonts w:ascii="宋体" w:hAnsi="宋体" w:cs="宋体" w:eastAsia="宋体" w:hint="default"/>
                <w:sz w:val="18"/>
                <w:szCs w:val="18"/>
              </w:rPr>
              <w:t>广州仁诺互联网小额贷款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44,954,024.25</w:t>
            </w:r>
          </w:p>
        </w:tc>
        <w:tc>
          <w:tcPr>
            <w:tcW w:w="1275"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321,679.43</w:t>
            </w:r>
          </w:p>
        </w:tc>
        <w:tc>
          <w:tcPr>
            <w:tcW w:w="1164" w:type="dxa"/>
            <w:tcBorders>
              <w:top w:val="dotted" w:sz="4" w:space="0" w:color="000000"/>
              <w:left w:val="dotted" w:sz="4" w:space="0" w:color="000000"/>
              <w:bottom w:val="dotted" w:sz="4" w:space="0" w:color="000000"/>
              <w:right w:val="dotted" w:sz="4" w:space="0" w:color="000000"/>
            </w:tcBorders>
          </w:tcPr>
          <w:p>
            <w:pPr/>
          </w:p>
        </w:tc>
        <w:tc>
          <w:tcPr>
            <w:tcW w:w="1068" w:type="dxa"/>
            <w:tcBorders>
              <w:top w:val="dotted" w:sz="4" w:space="0" w:color="000000"/>
              <w:left w:val="dotted" w:sz="4" w:space="0" w:color="000000"/>
              <w:bottom w:val="dotted" w:sz="4" w:space="0" w:color="000000"/>
              <w:right w:val="dotted" w:sz="4" w:space="0" w:color="000000"/>
            </w:tcBorders>
          </w:tcPr>
          <w:p>
            <w:pP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45,275,703.68</w:t>
            </w:r>
          </w:p>
        </w:tc>
        <w:tc>
          <w:tcPr>
            <w:tcW w:w="845"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国盛国际集团有限公司</w:t>
            </w:r>
          </w:p>
        </w:tc>
        <w:tc>
          <w:tcPr>
            <w:tcW w:w="13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7"/>
              <w:jc w:val="right"/>
              <w:rPr>
                <w:rFonts w:ascii="Times New Roman" w:hAnsi="Times New Roman" w:cs="Times New Roman" w:eastAsia="Times New Roman" w:hint="default"/>
                <w:sz w:val="18"/>
                <w:szCs w:val="18"/>
              </w:rPr>
            </w:pPr>
            <w:r>
              <w:rPr>
                <w:rFonts w:ascii="Times New Roman"/>
                <w:spacing w:val="-1"/>
                <w:sz w:val="18"/>
              </w:rPr>
              <w:t>2,430,216.53</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7"/>
              <w:jc w:val="right"/>
              <w:rPr>
                <w:rFonts w:ascii="Times New Roman" w:hAnsi="Times New Roman" w:cs="Times New Roman" w:eastAsia="Times New Roman" w:hint="default"/>
                <w:sz w:val="18"/>
                <w:szCs w:val="18"/>
              </w:rPr>
            </w:pPr>
            <w:r>
              <w:rPr>
                <w:rFonts w:ascii="Times New Roman"/>
                <w:spacing w:val="-1"/>
                <w:sz w:val="18"/>
              </w:rPr>
              <w:t>8,958,000.00</w:t>
            </w: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8"/>
              <w:jc w:val="right"/>
              <w:rPr>
                <w:rFonts w:ascii="Times New Roman" w:hAnsi="Times New Roman" w:cs="Times New Roman" w:eastAsia="Times New Roman" w:hint="default"/>
                <w:sz w:val="18"/>
                <w:szCs w:val="18"/>
              </w:rPr>
            </w:pPr>
            <w:r>
              <w:rPr>
                <w:rFonts w:ascii="Times New Roman"/>
                <w:spacing w:val="-1"/>
                <w:sz w:val="18"/>
              </w:rPr>
              <w:t>-3,720,141.26</w:t>
            </w:r>
          </w:p>
        </w:tc>
        <w:tc>
          <w:tcPr>
            <w:tcW w:w="1164" w:type="dxa"/>
            <w:tcBorders>
              <w:top w:val="dotted" w:sz="4" w:space="0" w:color="000000"/>
              <w:left w:val="dotted" w:sz="4" w:space="0" w:color="000000"/>
              <w:bottom w:val="dotted" w:sz="4" w:space="0" w:color="000000"/>
              <w:right w:val="dotted" w:sz="4" w:space="0" w:color="000000"/>
            </w:tcBorders>
          </w:tcPr>
          <w:p>
            <w:pP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7"/>
              <w:jc w:val="right"/>
              <w:rPr>
                <w:rFonts w:ascii="Times New Roman" w:hAnsi="Times New Roman" w:cs="Times New Roman" w:eastAsia="Times New Roman" w:hint="default"/>
                <w:sz w:val="18"/>
                <w:szCs w:val="18"/>
              </w:rPr>
            </w:pPr>
            <w:r>
              <w:rPr>
                <w:rFonts w:ascii="Times New Roman"/>
                <w:spacing w:val="-1"/>
                <w:sz w:val="18"/>
              </w:rPr>
              <w:t>749,744.11</w:t>
            </w: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7"/>
              <w:jc w:val="right"/>
              <w:rPr>
                <w:rFonts w:ascii="Times New Roman" w:hAnsi="Times New Roman" w:cs="Times New Roman" w:eastAsia="Times New Roman" w:hint="default"/>
                <w:sz w:val="18"/>
                <w:szCs w:val="18"/>
              </w:rPr>
            </w:pPr>
            <w:r>
              <w:rPr>
                <w:rFonts w:ascii="Times New Roman"/>
                <w:spacing w:val="-1"/>
                <w:sz w:val="18"/>
              </w:rPr>
              <w:t>54,362.29</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8,472,181.67</w:t>
            </w:r>
          </w:p>
        </w:tc>
        <w:tc>
          <w:tcPr>
            <w:tcW w:w="845"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1"/>
              <w:ind w:left="28" w:right="11"/>
              <w:jc w:val="left"/>
              <w:rPr>
                <w:rFonts w:ascii="宋体" w:hAnsi="宋体" w:cs="宋体" w:eastAsia="宋体" w:hint="default"/>
                <w:sz w:val="18"/>
                <w:szCs w:val="18"/>
              </w:rPr>
            </w:pPr>
            <w:r>
              <w:rPr>
                <w:rFonts w:ascii="宋体" w:hAnsi="宋体" w:cs="宋体" w:eastAsia="宋体" w:hint="default"/>
                <w:sz w:val="18"/>
                <w:szCs w:val="18"/>
              </w:rPr>
              <w:t>珠海凡泰极客科技有限责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任公司</w:t>
            </w:r>
          </w:p>
        </w:tc>
        <w:tc>
          <w:tcPr>
            <w:tcW w:w="133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-380,720.74</w:t>
            </w:r>
          </w:p>
        </w:tc>
        <w:tc>
          <w:tcPr>
            <w:tcW w:w="1164" w:type="dxa"/>
            <w:tcBorders>
              <w:top w:val="dotted" w:sz="4" w:space="0" w:color="000000"/>
              <w:left w:val="dotted" w:sz="4" w:space="0" w:color="000000"/>
              <w:bottom w:val="dotted" w:sz="4" w:space="0" w:color="000000"/>
              <w:right w:val="dotted" w:sz="4" w:space="0" w:color="000000"/>
            </w:tcBorders>
          </w:tcPr>
          <w:p>
            <w:pPr/>
          </w:p>
        </w:tc>
        <w:tc>
          <w:tcPr>
            <w:tcW w:w="1068" w:type="dxa"/>
            <w:tcBorders>
              <w:top w:val="dotted" w:sz="4" w:space="0" w:color="000000"/>
              <w:left w:val="dotted" w:sz="4" w:space="0" w:color="000000"/>
              <w:bottom w:val="dotted" w:sz="4" w:space="0" w:color="000000"/>
              <w:right w:val="dotted" w:sz="4" w:space="0" w:color="000000"/>
            </w:tcBorders>
          </w:tcPr>
          <w:p>
            <w:pP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27,000,000.00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26,619,279.26</w:t>
            </w:r>
          </w:p>
        </w:tc>
        <w:tc>
          <w:tcPr>
            <w:tcW w:w="845" w:type="dxa"/>
            <w:tcBorders>
              <w:top w:val="dotted" w:sz="4" w:space="0" w:color="000000"/>
              <w:left w:val="dotted" w:sz="4" w:space="0" w:color="000000"/>
              <w:bottom w:val="dotted" w:sz="4" w:space="0" w:color="000000"/>
              <w:right w:val="nil" w:sz="6" w:space="0" w:color="auto"/>
            </w:tcBorders>
          </w:tcPr>
          <w:p>
            <w:pPr/>
          </w:p>
        </w:tc>
      </w:tr>
      <w:tr>
        <w:trPr>
          <w:trHeight w:val="727"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1"/>
              <w:ind w:left="28" w:right="11"/>
              <w:jc w:val="left"/>
              <w:rPr>
                <w:rFonts w:ascii="宋体" w:hAnsi="宋体" w:cs="宋体" w:eastAsia="宋体" w:hint="default"/>
                <w:sz w:val="18"/>
                <w:szCs w:val="18"/>
              </w:rPr>
            </w:pPr>
            <w:r>
              <w:rPr>
                <w:rFonts w:ascii="宋体" w:hAnsi="宋体" w:cs="宋体" w:eastAsia="宋体" w:hint="default"/>
                <w:sz w:val="18"/>
                <w:szCs w:val="18"/>
              </w:rPr>
              <w:t>苏州梧桐汇智软件科技有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限责任公司</w:t>
            </w:r>
          </w:p>
        </w:tc>
        <w:tc>
          <w:tcPr>
            <w:tcW w:w="133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8,000,000.00</w:t>
            </w: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-288,632.88</w:t>
            </w:r>
          </w:p>
        </w:tc>
        <w:tc>
          <w:tcPr>
            <w:tcW w:w="1164" w:type="dxa"/>
            <w:tcBorders>
              <w:top w:val="dotted" w:sz="4" w:space="0" w:color="000000"/>
              <w:left w:val="dotted" w:sz="4" w:space="0" w:color="000000"/>
              <w:bottom w:val="dotted" w:sz="4" w:space="0" w:color="000000"/>
              <w:right w:val="dotted" w:sz="4" w:space="0" w:color="000000"/>
            </w:tcBorders>
          </w:tcPr>
          <w:p>
            <w:pPr/>
          </w:p>
        </w:tc>
        <w:tc>
          <w:tcPr>
            <w:tcW w:w="1068" w:type="dxa"/>
            <w:tcBorders>
              <w:top w:val="dotted" w:sz="4" w:space="0" w:color="000000"/>
              <w:left w:val="dotted" w:sz="4" w:space="0" w:color="000000"/>
              <w:bottom w:val="dotted" w:sz="4" w:space="0" w:color="000000"/>
              <w:right w:val="dotted" w:sz="4" w:space="0" w:color="000000"/>
            </w:tcBorders>
          </w:tcPr>
          <w:p>
            <w:pP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7,711,367.12</w:t>
            </w:r>
          </w:p>
        </w:tc>
        <w:tc>
          <w:tcPr>
            <w:tcW w:w="845"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11"/>
              <w:jc w:val="left"/>
              <w:rPr>
                <w:rFonts w:ascii="宋体" w:hAnsi="宋体" w:cs="宋体" w:eastAsia="宋体" w:hint="default"/>
                <w:sz w:val="18"/>
                <w:szCs w:val="18"/>
              </w:rPr>
            </w:pPr>
            <w:r>
              <w:rPr>
                <w:rFonts w:ascii="宋体" w:hAnsi="宋体" w:cs="宋体" w:eastAsia="宋体" w:hint="default"/>
                <w:sz w:val="18"/>
                <w:szCs w:val="18"/>
              </w:rPr>
              <w:t>宁波梅花天使投资管理有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33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100,000,000.00</w:t>
            </w: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457,427.31</w:t>
            </w:r>
          </w:p>
        </w:tc>
        <w:tc>
          <w:tcPr>
            <w:tcW w:w="1164" w:type="dxa"/>
            <w:tcBorders>
              <w:top w:val="dotted" w:sz="4" w:space="0" w:color="000000"/>
              <w:left w:val="dotted" w:sz="4" w:space="0" w:color="000000"/>
              <w:bottom w:val="dotted" w:sz="4" w:space="0" w:color="000000"/>
              <w:right w:val="dotted" w:sz="4" w:space="0" w:color="000000"/>
            </w:tcBorders>
          </w:tcPr>
          <w:p>
            <w:pPr/>
          </w:p>
        </w:tc>
        <w:tc>
          <w:tcPr>
            <w:tcW w:w="1068" w:type="dxa"/>
            <w:tcBorders>
              <w:top w:val="dotted" w:sz="4" w:space="0" w:color="000000"/>
              <w:left w:val="dotted" w:sz="4" w:space="0" w:color="000000"/>
              <w:bottom w:val="dotted" w:sz="4" w:space="0" w:color="000000"/>
              <w:right w:val="dotted" w:sz="4" w:space="0" w:color="000000"/>
            </w:tcBorders>
          </w:tcPr>
          <w:p>
            <w:pP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100,457,427.31</w:t>
            </w:r>
          </w:p>
        </w:tc>
        <w:tc>
          <w:tcPr>
            <w:tcW w:w="845"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11"/>
              <w:jc w:val="left"/>
              <w:rPr>
                <w:rFonts w:ascii="宋体" w:hAnsi="宋体" w:cs="宋体" w:eastAsia="宋体" w:hint="default"/>
                <w:sz w:val="18"/>
                <w:szCs w:val="18"/>
              </w:rPr>
            </w:pPr>
            <w:r>
              <w:rPr>
                <w:rFonts w:ascii="宋体" w:hAnsi="宋体" w:cs="宋体" w:eastAsia="宋体" w:hint="default"/>
                <w:sz w:val="18"/>
                <w:szCs w:val="18"/>
              </w:rPr>
              <w:t>沿海惠融科技（北京）有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33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3"/>
                <w:szCs w:val="2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8,000,000.00</w:t>
            </w: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3"/>
                <w:szCs w:val="2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-419,273.96</w:t>
            </w:r>
          </w:p>
        </w:tc>
        <w:tc>
          <w:tcPr>
            <w:tcW w:w="1164" w:type="dxa"/>
            <w:tcBorders>
              <w:top w:val="dotted" w:sz="4" w:space="0" w:color="000000"/>
              <w:left w:val="dotted" w:sz="4" w:space="0" w:color="000000"/>
              <w:bottom w:val="dotted" w:sz="4" w:space="0" w:color="000000"/>
              <w:right w:val="dotted" w:sz="4" w:space="0" w:color="000000"/>
            </w:tcBorders>
          </w:tcPr>
          <w:p>
            <w:pPr/>
          </w:p>
        </w:tc>
        <w:tc>
          <w:tcPr>
            <w:tcW w:w="1068" w:type="dxa"/>
            <w:tcBorders>
              <w:top w:val="dotted" w:sz="4" w:space="0" w:color="000000"/>
              <w:left w:val="dotted" w:sz="4" w:space="0" w:color="000000"/>
              <w:bottom w:val="dotted" w:sz="4" w:space="0" w:color="000000"/>
              <w:right w:val="dotted" w:sz="4" w:space="0" w:color="000000"/>
            </w:tcBorders>
          </w:tcPr>
          <w:p>
            <w:pP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7,580,726.04</w:t>
            </w:r>
          </w:p>
        </w:tc>
        <w:tc>
          <w:tcPr>
            <w:tcW w:w="845"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sz w:val="18"/>
              </w:rPr>
              <w:t>Qudian</w:t>
            </w:r>
            <w:r>
              <w:rPr>
                <w:rFonts w:ascii="宋体"/>
                <w:spacing w:val="-2"/>
                <w:sz w:val="18"/>
              </w:rPr>
              <w:t> </w:t>
            </w:r>
            <w:r>
              <w:rPr>
                <w:rFonts w:ascii="宋体"/>
                <w:sz w:val="18"/>
              </w:rPr>
              <w:t>Inc.</w:t>
            </w:r>
          </w:p>
        </w:tc>
        <w:tc>
          <w:tcPr>
            <w:tcW w:w="1332"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145" w:type="dxa"/>
            <w:tcBorders>
              <w:top w:val="dotted" w:sz="4" w:space="0" w:color="000000"/>
              <w:left w:val="dotted" w:sz="4" w:space="0" w:color="000000"/>
              <w:bottom w:val="dotted" w:sz="4" w:space="0" w:color="000000"/>
              <w:right w:val="dotted" w:sz="4" w:space="0" w:color="000000"/>
            </w:tcBorders>
          </w:tcPr>
          <w:p>
            <w:pPr/>
          </w:p>
        </w:tc>
        <w:tc>
          <w:tcPr>
            <w:tcW w:w="1143" w:type="dxa"/>
            <w:tcBorders>
              <w:top w:val="dotted" w:sz="4" w:space="0" w:color="000000"/>
              <w:left w:val="dotted" w:sz="4" w:space="0" w:color="000000"/>
              <w:bottom w:val="dotted" w:sz="4" w:space="0" w:color="000000"/>
              <w:right w:val="dotted" w:sz="4" w:space="0" w:color="000000"/>
            </w:tcBorders>
          </w:tcPr>
          <w:p>
            <w:pPr/>
          </w:p>
        </w:tc>
        <w:tc>
          <w:tcPr>
            <w:tcW w:w="1164" w:type="dxa"/>
            <w:tcBorders>
              <w:top w:val="dotted" w:sz="4" w:space="0" w:color="000000"/>
              <w:left w:val="dotted" w:sz="4" w:space="0" w:color="000000"/>
              <w:bottom w:val="dotted" w:sz="4" w:space="0" w:color="000000"/>
              <w:right w:val="dotted" w:sz="4" w:space="0" w:color="000000"/>
            </w:tcBorders>
          </w:tcPr>
          <w:p>
            <w:pPr/>
          </w:p>
        </w:tc>
        <w:tc>
          <w:tcPr>
            <w:tcW w:w="1068" w:type="dxa"/>
            <w:tcBorders>
              <w:top w:val="dotted" w:sz="4" w:space="0" w:color="000000"/>
              <w:left w:val="dotted" w:sz="4" w:space="0" w:color="000000"/>
              <w:bottom w:val="dotted" w:sz="4" w:space="0" w:color="000000"/>
              <w:right w:val="dotted" w:sz="4" w:space="0" w:color="000000"/>
            </w:tcBorders>
          </w:tcPr>
          <w:p>
            <w:pPr/>
          </w:p>
        </w:tc>
        <w:tc>
          <w:tcPr>
            <w:tcW w:w="881" w:type="dxa"/>
            <w:tcBorders>
              <w:top w:val="dotted" w:sz="4" w:space="0" w:color="000000"/>
              <w:left w:val="dotted" w:sz="4" w:space="0" w:color="000000"/>
              <w:bottom w:val="dotted" w:sz="4" w:space="0" w:color="000000"/>
              <w:right w:val="dotted" w:sz="4" w:space="0" w:color="000000"/>
            </w:tcBorders>
          </w:tcPr>
          <w:p>
            <w:pPr/>
          </w:p>
        </w:tc>
        <w:tc>
          <w:tcPr>
            <w:tcW w:w="78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598,190,067.33</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598,190,067.33</w:t>
            </w:r>
          </w:p>
        </w:tc>
        <w:tc>
          <w:tcPr>
            <w:tcW w:w="845"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033" w:type="dxa"/>
            <w:tcBorders>
              <w:top w:val="dotted" w:sz="4" w:space="0" w:color="000000"/>
              <w:left w:val="nil" w:sz="6" w:space="0" w:color="auto"/>
              <w:bottom w:val="single" w:sz="4" w:space="0" w:color="000000"/>
              <w:right w:val="dotted" w:sz="4" w:space="0" w:color="000000"/>
            </w:tcBorders>
          </w:tcPr>
          <w:p>
            <w:pPr>
              <w:pStyle w:val="TableParagraph"/>
              <w:spacing w:line="240" w:lineRule="auto" w:before="6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2"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105,958,849.94</w:t>
            </w:r>
          </w:p>
        </w:tc>
        <w:tc>
          <w:tcPr>
            <w:tcW w:w="1275"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124,958,000.00</w:t>
            </w:r>
          </w:p>
        </w:tc>
        <w:tc>
          <w:tcPr>
            <w:tcW w:w="1145" w:type="dxa"/>
            <w:tcBorders>
              <w:top w:val="dotted" w:sz="4" w:space="0" w:color="000000"/>
              <w:left w:val="dotted" w:sz="4" w:space="0" w:color="000000"/>
              <w:bottom w:val="single" w:sz="4" w:space="0" w:color="000000"/>
              <w:right w:val="dotted" w:sz="4" w:space="0" w:color="000000"/>
            </w:tcBorders>
          </w:tcPr>
          <w:p>
            <w:pPr/>
          </w:p>
        </w:tc>
        <w:tc>
          <w:tcPr>
            <w:tcW w:w="1143"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-5,945,089.84</w:t>
            </w:r>
          </w:p>
        </w:tc>
        <w:tc>
          <w:tcPr>
            <w:tcW w:w="1164"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5,567,256.92</w:t>
            </w:r>
          </w:p>
        </w:tc>
        <w:tc>
          <w:tcPr>
            <w:tcW w:w="1068"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749,744.11</w:t>
            </w:r>
          </w:p>
        </w:tc>
        <w:tc>
          <w:tcPr>
            <w:tcW w:w="881" w:type="dxa"/>
            <w:tcBorders>
              <w:top w:val="dotted" w:sz="4" w:space="0" w:color="000000"/>
              <w:left w:val="dotted" w:sz="4" w:space="0" w:color="000000"/>
              <w:bottom w:val="single" w:sz="4" w:space="0" w:color="000000"/>
              <w:right w:val="dotted" w:sz="4" w:space="0" w:color="000000"/>
            </w:tcBorders>
          </w:tcPr>
          <w:p>
            <w:pPr/>
          </w:p>
        </w:tc>
        <w:tc>
          <w:tcPr>
            <w:tcW w:w="788" w:type="dxa"/>
            <w:tcBorders>
              <w:top w:val="dotted" w:sz="4" w:space="0" w:color="000000"/>
              <w:left w:val="dotted" w:sz="4" w:space="0" w:color="000000"/>
              <w:bottom w:val="single" w:sz="4" w:space="0" w:color="000000"/>
              <w:right w:val="dotted" w:sz="4" w:space="0" w:color="000000"/>
            </w:tcBorders>
          </w:tcPr>
          <w:p>
            <w:pPr/>
          </w:p>
        </w:tc>
        <w:tc>
          <w:tcPr>
            <w:tcW w:w="1277"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625,244,429.62</w:t>
            </w:r>
          </w:p>
        </w:tc>
        <w:tc>
          <w:tcPr>
            <w:tcW w:w="1274"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856,533,190.75</w:t>
            </w:r>
          </w:p>
        </w:tc>
        <w:tc>
          <w:tcPr>
            <w:tcW w:w="845" w:type="dxa"/>
            <w:tcBorders>
              <w:top w:val="dotted" w:sz="4" w:space="0" w:color="000000"/>
              <w:left w:val="dotted" w:sz="4" w:space="0" w:color="000000"/>
              <w:bottom w:val="single" w:sz="4" w:space="0" w:color="000000"/>
              <w:right w:val="nil" w:sz="6" w:space="0" w:color="auto"/>
            </w:tcBorders>
          </w:tcPr>
          <w:p>
            <w:pPr/>
          </w:p>
        </w:tc>
      </w:tr>
    </w:tbl>
    <w:p>
      <w:pPr>
        <w:spacing w:line="219" w:lineRule="exact" w:before="0"/>
        <w:ind w:left="260" w:right="0" w:firstLine="0"/>
        <w:jc w:val="left"/>
        <w:rPr>
          <w:rFonts w:ascii="宋体" w:hAnsi="宋体" w:cs="宋体" w:eastAsia="宋体" w:hint="default"/>
          <w:sz w:val="18"/>
          <w:szCs w:val="18"/>
        </w:rPr>
      </w:pPr>
      <w:r>
        <w:rPr>
          <w:rFonts w:ascii="宋体" w:hAnsi="宋体" w:cs="宋体" w:eastAsia="宋体" w:hint="default"/>
          <w:sz w:val="18"/>
          <w:szCs w:val="18"/>
        </w:rPr>
        <w:t>注：更多与珠海凡泰、梧桐汇智、梅花天使、沿海惠融、</w:t>
      </w:r>
      <w:r>
        <w:rPr>
          <w:rFonts w:ascii="Times New Roman" w:hAnsi="Times New Roman" w:cs="Times New Roman" w:eastAsia="Times New Roman" w:hint="default"/>
          <w:sz w:val="18"/>
          <w:szCs w:val="18"/>
        </w:rPr>
        <w:t>Qudian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以下简称“趣店”</w:t>
      </w:r>
      <w:r>
        <w:rPr>
          <w:rFonts w:ascii="Times New Roman" w:hAnsi="Times New Roman" w:cs="Times New Roman" w:eastAsia="Times New Roman" w:hint="default"/>
          <w:sz w:val="18"/>
          <w:szCs w:val="18"/>
        </w:rPr>
        <w:t>)</w:t>
      </w:r>
      <w:r>
        <w:rPr>
          <w:rFonts w:ascii="宋体" w:hAnsi="宋体" w:cs="宋体" w:eastAsia="宋体" w:hint="default"/>
          <w:sz w:val="18"/>
          <w:szCs w:val="18"/>
        </w:rPr>
        <w:t>有关的权益法核算信息另见本附注八（二）在合营安排或联营企业中的权益。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76"/>
        <w:ind w:left="0" w:right="233" w:firstLine="0"/>
        <w:jc w:val="right"/>
        <w:rPr>
          <w:rFonts w:ascii="Times New Roman" w:hAnsi="Times New Roman" w:cs="Times New Roman" w:eastAsia="Times New Roman" w:hint="default"/>
          <w:sz w:val="18"/>
          <w:szCs w:val="18"/>
        </w:rPr>
      </w:pPr>
      <w:r>
        <w:rPr>
          <w:rFonts w:ascii="Times New Roman"/>
          <w:sz w:val="18"/>
        </w:rPr>
        <w:t>182</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6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51"/>
          <w:footerReference w:type="default" r:id="rId52"/>
          <w:pgSz w:w="16840" w:h="11910" w:orient="landscape"/>
          <w:pgMar w:header="0" w:footer="0" w:top="800" w:bottom="0" w:left="118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19. </w:t>
      </w:r>
      <w:r>
        <w:rPr>
          <w:rFonts w:ascii="Times New Roman" w:hAnsi="Times New Roman" w:cs="Times New Roman" w:eastAsia="Times New Roman" w:hint="default"/>
          <w:spacing w:val="8"/>
        </w:rPr>
        <w:t> </w:t>
      </w:r>
      <w:r>
        <w:rPr/>
        <w:t>其他权益工具投资</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234"/>
        <w:gridCol w:w="1340"/>
        <w:gridCol w:w="1342"/>
        <w:gridCol w:w="905"/>
        <w:gridCol w:w="1342"/>
        <w:gridCol w:w="1342"/>
        <w:gridCol w:w="823"/>
      </w:tblGrid>
      <w:tr>
        <w:trPr>
          <w:trHeight w:val="418" w:hRule="exact"/>
        </w:trPr>
        <w:tc>
          <w:tcPr>
            <w:tcW w:w="1234"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7" w:hRule="exact"/>
        </w:trPr>
        <w:tc>
          <w:tcPr>
            <w:tcW w:w="1234" w:type="dxa"/>
            <w:vMerge/>
            <w:tcBorders>
              <w:left w:val="nil" w:sz="6" w:space="0" w:color="auto"/>
              <w:right w:val="dotted" w:sz="4" w:space="0" w:color="000000"/>
            </w:tcBorders>
          </w:tcPr>
          <w:p>
            <w:pPr/>
          </w:p>
        </w:tc>
        <w:tc>
          <w:tcPr>
            <w:tcW w:w="1340" w:type="dxa"/>
            <w:tcBorders>
              <w:top w:val="dotted" w:sz="4" w:space="0" w:color="000000"/>
              <w:left w:val="dotted" w:sz="4" w:space="0" w:color="000000"/>
              <w:bottom w:val="nil" w:sz="6" w:space="0" w:color="auto"/>
              <w:right w:val="dotted" w:sz="4" w:space="0" w:color="000000"/>
            </w:tcBorders>
          </w:tcPr>
          <w:p>
            <w:pPr/>
          </w:p>
        </w:tc>
        <w:tc>
          <w:tcPr>
            <w:tcW w:w="1342" w:type="dxa"/>
            <w:tcBorders>
              <w:top w:val="dotted" w:sz="4" w:space="0" w:color="000000"/>
              <w:left w:val="dotted" w:sz="4" w:space="0" w:color="000000"/>
              <w:bottom w:val="nil" w:sz="6" w:space="0" w:color="auto"/>
              <w:right w:val="dotted" w:sz="4" w:space="0" w:color="000000"/>
            </w:tcBorders>
          </w:tcPr>
          <w:p>
            <w:pPr/>
          </w:p>
        </w:tc>
        <w:tc>
          <w:tcPr>
            <w:tcW w:w="905"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本期确</w:t>
            </w:r>
          </w:p>
        </w:tc>
        <w:tc>
          <w:tcPr>
            <w:tcW w:w="1342" w:type="dxa"/>
            <w:tcBorders>
              <w:top w:val="dotted" w:sz="4" w:space="0" w:color="000000"/>
              <w:left w:val="dotted" w:sz="4" w:space="0" w:color="000000"/>
              <w:bottom w:val="nil" w:sz="6" w:space="0" w:color="auto"/>
              <w:right w:val="dotted" w:sz="4" w:space="0" w:color="000000"/>
            </w:tcBorders>
          </w:tcPr>
          <w:p>
            <w:pPr/>
          </w:p>
        </w:tc>
        <w:tc>
          <w:tcPr>
            <w:tcW w:w="1342" w:type="dxa"/>
            <w:tcBorders>
              <w:top w:val="dotted" w:sz="4" w:space="0" w:color="000000"/>
              <w:left w:val="dotted" w:sz="4" w:space="0" w:color="000000"/>
              <w:bottom w:val="nil" w:sz="6" w:space="0" w:color="auto"/>
              <w:right w:val="dotted" w:sz="4" w:space="0" w:color="000000"/>
            </w:tcBorders>
          </w:tcPr>
          <w:p>
            <w:pPr/>
          </w:p>
        </w:tc>
        <w:tc>
          <w:tcPr>
            <w:tcW w:w="823" w:type="dxa"/>
            <w:tcBorders>
              <w:top w:val="dotted" w:sz="4" w:space="0" w:color="000000"/>
              <w:left w:val="dotted" w:sz="4" w:space="0" w:color="000000"/>
              <w:bottom w:val="nil" w:sz="6" w:space="0" w:color="auto"/>
              <w:right w:val="nil" w:sz="6" w:space="0" w:color="auto"/>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本期确</w:t>
            </w:r>
          </w:p>
        </w:tc>
      </w:tr>
      <w:tr>
        <w:trPr>
          <w:trHeight w:val="233" w:hRule="exact"/>
        </w:trPr>
        <w:tc>
          <w:tcPr>
            <w:tcW w:w="1234" w:type="dxa"/>
            <w:vMerge/>
            <w:tcBorders>
              <w:left w:val="nil" w:sz="6" w:space="0" w:color="auto"/>
              <w:right w:val="dotted" w:sz="4" w:space="0" w:color="000000"/>
            </w:tcBorders>
          </w:tcPr>
          <w:p>
            <w:pPr/>
          </w:p>
        </w:tc>
        <w:tc>
          <w:tcPr>
            <w:tcW w:w="1340"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初始成本</w:t>
            </w:r>
          </w:p>
        </w:tc>
        <w:tc>
          <w:tcPr>
            <w:tcW w:w="1342"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125"/>
              <w:jc w:val="right"/>
              <w:rPr>
                <w:rFonts w:ascii="宋体" w:hAnsi="宋体" w:cs="宋体" w:eastAsia="宋体" w:hint="default"/>
                <w:sz w:val="18"/>
                <w:szCs w:val="18"/>
              </w:rPr>
            </w:pPr>
            <w:r>
              <w:rPr>
                <w:rFonts w:ascii="宋体" w:hAnsi="宋体" w:cs="宋体" w:eastAsia="宋体" w:hint="default"/>
                <w:sz w:val="18"/>
                <w:szCs w:val="18"/>
              </w:rPr>
              <w:t>期末公允价值</w:t>
            </w:r>
          </w:p>
        </w:tc>
        <w:tc>
          <w:tcPr>
            <w:tcW w:w="905"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认的股</w:t>
            </w:r>
          </w:p>
        </w:tc>
        <w:tc>
          <w:tcPr>
            <w:tcW w:w="1342"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初始成本</w:t>
            </w:r>
          </w:p>
        </w:tc>
        <w:tc>
          <w:tcPr>
            <w:tcW w:w="1342"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c>
          <w:tcPr>
            <w:tcW w:w="823" w:type="dxa"/>
            <w:tcBorders>
              <w:top w:val="nil" w:sz="6" w:space="0" w:color="auto"/>
              <w:left w:val="dotted" w:sz="4" w:space="0" w:color="000000"/>
              <w:bottom w:val="nil" w:sz="6" w:space="0" w:color="auto"/>
              <w:right w:val="nil" w:sz="6" w:space="0" w:color="auto"/>
            </w:tcBorders>
          </w:tcPr>
          <w:p>
            <w:pPr>
              <w:pStyle w:val="TableParagraph"/>
              <w:spacing w:line="206" w:lineRule="exact"/>
              <w:ind w:right="143"/>
              <w:jc w:val="right"/>
              <w:rPr>
                <w:rFonts w:ascii="宋体" w:hAnsi="宋体" w:cs="宋体" w:eastAsia="宋体" w:hint="default"/>
                <w:sz w:val="18"/>
                <w:szCs w:val="18"/>
              </w:rPr>
            </w:pPr>
            <w:r>
              <w:rPr>
                <w:rFonts w:ascii="宋体" w:hAnsi="宋体" w:cs="宋体" w:eastAsia="宋体" w:hint="default"/>
                <w:sz w:val="18"/>
                <w:szCs w:val="18"/>
              </w:rPr>
              <w:t>认的股</w:t>
            </w:r>
          </w:p>
        </w:tc>
      </w:tr>
      <w:tr>
        <w:trPr>
          <w:trHeight w:val="282" w:hRule="exact"/>
        </w:trPr>
        <w:tc>
          <w:tcPr>
            <w:tcW w:w="1234" w:type="dxa"/>
            <w:vMerge/>
            <w:tcBorders>
              <w:left w:val="nil" w:sz="6" w:space="0" w:color="auto"/>
              <w:bottom w:val="dotted" w:sz="4" w:space="0" w:color="000000"/>
              <w:right w:val="dotted" w:sz="4" w:space="0" w:color="000000"/>
            </w:tcBorders>
          </w:tcPr>
          <w:p>
            <w:pPr/>
          </w:p>
        </w:tc>
        <w:tc>
          <w:tcPr>
            <w:tcW w:w="1340" w:type="dxa"/>
            <w:tcBorders>
              <w:top w:val="nil" w:sz="6" w:space="0" w:color="auto"/>
              <w:left w:val="dotted" w:sz="4" w:space="0" w:color="000000"/>
              <w:bottom w:val="dotted" w:sz="4" w:space="0" w:color="000000"/>
              <w:right w:val="dotted" w:sz="4" w:space="0" w:color="000000"/>
            </w:tcBorders>
          </w:tcPr>
          <w:p>
            <w:pPr/>
          </w:p>
        </w:tc>
        <w:tc>
          <w:tcPr>
            <w:tcW w:w="1342" w:type="dxa"/>
            <w:tcBorders>
              <w:top w:val="nil" w:sz="6" w:space="0" w:color="auto"/>
              <w:left w:val="dotted" w:sz="4" w:space="0" w:color="000000"/>
              <w:bottom w:val="dotted" w:sz="4" w:space="0" w:color="000000"/>
              <w:right w:val="dotted" w:sz="4" w:space="0" w:color="000000"/>
            </w:tcBorders>
          </w:tcPr>
          <w:p>
            <w:pPr/>
          </w:p>
        </w:tc>
        <w:tc>
          <w:tcPr>
            <w:tcW w:w="905" w:type="dxa"/>
            <w:tcBorders>
              <w:top w:val="nil" w:sz="6" w:space="0" w:color="auto"/>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利收入</w:t>
            </w:r>
          </w:p>
        </w:tc>
        <w:tc>
          <w:tcPr>
            <w:tcW w:w="1342" w:type="dxa"/>
            <w:tcBorders>
              <w:top w:val="nil" w:sz="6" w:space="0" w:color="auto"/>
              <w:left w:val="dotted" w:sz="4" w:space="0" w:color="000000"/>
              <w:bottom w:val="dotted" w:sz="4" w:space="0" w:color="000000"/>
              <w:right w:val="dotted" w:sz="4" w:space="0" w:color="000000"/>
            </w:tcBorders>
          </w:tcPr>
          <w:p>
            <w:pPr/>
          </w:p>
        </w:tc>
        <w:tc>
          <w:tcPr>
            <w:tcW w:w="1342" w:type="dxa"/>
            <w:tcBorders>
              <w:top w:val="nil" w:sz="6" w:space="0" w:color="auto"/>
              <w:left w:val="dotted" w:sz="4" w:space="0" w:color="000000"/>
              <w:bottom w:val="dotted" w:sz="4" w:space="0" w:color="000000"/>
              <w:right w:val="dotted" w:sz="4" w:space="0" w:color="000000"/>
            </w:tcBorders>
          </w:tcPr>
          <w:p>
            <w:pPr/>
          </w:p>
        </w:tc>
        <w:tc>
          <w:tcPr>
            <w:tcW w:w="823" w:type="dxa"/>
            <w:tcBorders>
              <w:top w:val="nil" w:sz="6" w:space="0" w:color="auto"/>
              <w:left w:val="dotted" w:sz="4" w:space="0" w:color="000000"/>
              <w:bottom w:val="dotted" w:sz="4" w:space="0" w:color="000000"/>
              <w:right w:val="nil" w:sz="6" w:space="0" w:color="auto"/>
            </w:tcBorders>
          </w:tcPr>
          <w:p>
            <w:pPr>
              <w:pStyle w:val="TableParagraph"/>
              <w:spacing w:line="206" w:lineRule="exact"/>
              <w:ind w:right="143"/>
              <w:jc w:val="right"/>
              <w:rPr>
                <w:rFonts w:ascii="宋体" w:hAnsi="宋体" w:cs="宋体" w:eastAsia="宋体" w:hint="default"/>
                <w:sz w:val="18"/>
                <w:szCs w:val="18"/>
              </w:rPr>
            </w:pPr>
            <w:r>
              <w:rPr>
                <w:rFonts w:ascii="宋体" w:hAnsi="宋体" w:cs="宋体" w:eastAsia="宋体" w:hint="default"/>
                <w:sz w:val="18"/>
                <w:szCs w:val="18"/>
              </w:rPr>
              <w:t>利收入</w:t>
            </w:r>
          </w:p>
        </w:tc>
      </w:tr>
      <w:tr>
        <w:trPr>
          <w:trHeight w:val="406" w:hRule="exact"/>
        </w:trPr>
        <w:tc>
          <w:tcPr>
            <w:tcW w:w="12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384"/>
              <w:jc w:val="right"/>
              <w:rPr>
                <w:rFonts w:ascii="宋体" w:hAnsi="宋体" w:cs="宋体" w:eastAsia="宋体" w:hint="default"/>
                <w:sz w:val="18"/>
                <w:szCs w:val="18"/>
              </w:rPr>
            </w:pPr>
            <w:r>
              <w:rPr>
                <w:rFonts w:ascii="宋体" w:hAnsi="宋体" w:cs="宋体" w:eastAsia="宋体" w:hint="default"/>
                <w:sz w:val="18"/>
                <w:szCs w:val="18"/>
              </w:rPr>
              <w:t>股权投资</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100,000,000.00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905"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100,000,000.00</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100,000,000.00</w:t>
            </w:r>
          </w:p>
        </w:tc>
        <w:tc>
          <w:tcPr>
            <w:tcW w:w="823"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2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422"/>
              <w:jc w:val="righ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100,000,000.00</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905"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100,000,000.00</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100,000,000.00</w:t>
            </w:r>
          </w:p>
        </w:tc>
        <w:tc>
          <w:tcPr>
            <w:tcW w:w="823" w:type="dxa"/>
            <w:tcBorders>
              <w:top w:val="dotted" w:sz="4" w:space="0" w:color="000000"/>
              <w:left w:val="dotted" w:sz="4" w:space="0" w:color="000000"/>
              <w:bottom w:val="single" w:sz="12" w:space="0" w:color="000000"/>
              <w:right w:val="nil" w:sz="6" w:space="0" w:color="auto"/>
            </w:tcBorders>
          </w:tcPr>
          <w:p>
            <w:pPr/>
          </w:p>
        </w:tc>
      </w:tr>
    </w:tbl>
    <w:p>
      <w:pPr>
        <w:spacing w:line="232" w:lineRule="exact" w:before="33"/>
        <w:ind w:left="138" w:right="17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年出资人民币</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万元对中证机构间报价系统股份有限公司进行投资，持股比例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w:t>
      </w:r>
      <w:r>
        <w:rPr>
          <w:rFonts w:ascii="宋体" w:hAnsi="宋体" w:cs="宋体" w:eastAsia="宋体" w:hint="default"/>
          <w:sz w:val="18"/>
          <w:szCs w:val="18"/>
        </w:rPr>
        <w:t>。</w:t>
      </w:r>
    </w:p>
    <w:p>
      <w:pPr>
        <w:spacing w:line="240" w:lineRule="exact" w:before="19"/>
        <w:ind w:left="138" w:right="157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：因执行新金融工具准则，该项目期初余额与上年末余额存在差异。差异情况详见附注四（四十二）</w:t>
      </w:r>
      <w:r>
        <w:rPr>
          <w:rFonts w:ascii="Times New Roman" w:hAnsi="Times New Roman" w:cs="Times New Roman" w:eastAsia="Times New Roman" w:hint="default"/>
          <w:sz w:val="18"/>
          <w:szCs w:val="18"/>
        </w:rPr>
        <w:t>1</w:t>
      </w:r>
    </w:p>
    <w:p>
      <w:pPr>
        <w:spacing w:line="240"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pStyle w:val="Heading4"/>
        <w:spacing w:line="240" w:lineRule="auto" w:before="121"/>
        <w:ind w:left="740" w:right="1786"/>
        <w:jc w:val="left"/>
        <w:rPr>
          <w:b w:val="0"/>
          <w:bCs w:val="0"/>
        </w:rPr>
      </w:pPr>
      <w:r>
        <w:rPr/>
        <w:t>注释 </w:t>
      </w:r>
      <w:r>
        <w:rPr>
          <w:rFonts w:ascii="Times New Roman" w:hAnsi="Times New Roman" w:cs="Times New Roman" w:eastAsia="Times New Roman" w:hint="default"/>
        </w:rPr>
        <w:t>20. </w:t>
      </w:r>
      <w:r>
        <w:rPr>
          <w:rFonts w:ascii="Times New Roman" w:hAnsi="Times New Roman" w:cs="Times New Roman" w:eastAsia="Times New Roman" w:hint="default"/>
          <w:spacing w:val="9"/>
        </w:rPr>
        <w:t> </w:t>
      </w:r>
      <w:r>
        <w:rPr/>
        <w:t>其他非流动金融资产</w:t>
      </w:r>
      <w:r>
        <w:rPr>
          <w:b w:val="0"/>
          <w:bCs w:val="0"/>
        </w:rPr>
      </w:r>
    </w:p>
    <w:p>
      <w:pPr>
        <w:spacing w:line="240" w:lineRule="auto" w:before="13"/>
        <w:rPr>
          <w:rFonts w:ascii="Microsoft JhengHei" w:hAnsi="Microsoft JhengHei" w:cs="Microsoft JhengHei" w:eastAsia="Microsoft JhengHei" w:hint="default"/>
          <w:b/>
          <w:bCs/>
          <w:sz w:val="10"/>
          <w:szCs w:val="10"/>
        </w:rPr>
      </w:pPr>
    </w:p>
    <w:p>
      <w:pPr>
        <w:spacing w:line="28" w:lineRule="exact"/>
        <w:ind w:left="12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17.1pt;height:1.45pt;mso-position-horizontal-relative:char;mso-position-vertical-relative:line" coordorigin="0,0" coordsize="8342,29">
            <v:group style="position:absolute;left:14;top:14;width:8313;height:2" coordorigin="14,14" coordsize="8313,2">
              <v:shape style="position:absolute;left:14;top:14;width:8313;height:2" coordorigin="14,14" coordsize="8313,0" path="m14,14l8327,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before="66"/>
        <w:ind w:left="3914" w:right="5572" w:firstLine="0"/>
        <w:jc w:val="center"/>
        <w:rPr>
          <w:rFonts w:ascii="宋体" w:hAnsi="宋体" w:cs="宋体" w:eastAsia="宋体" w:hint="default"/>
          <w:sz w:val="18"/>
          <w:szCs w:val="18"/>
        </w:rPr>
      </w:pPr>
      <w:r>
        <w:rPr/>
        <w:pict>
          <v:group style="position:absolute;margin-left:212.449997pt;margin-top:42.131714pt;width:.5pt;height:.1pt;mso-position-horizontal-relative:page;mso-position-vertical-relative:paragraph;z-index:-1328392" coordorigin="4249,843" coordsize="10,2">
            <v:shape style="position:absolute;left:4249;top:843;width:10;height:2" coordorigin="4249,843" coordsize="10,0" path="m4249,843l4259,843e" filled="false" stroked="true" strokeweight=".72pt" strokecolor="#000000">
              <v:path arrowok="t"/>
              <v:stroke dashstyle="dash"/>
            </v:shape>
            <w10:wrap type="none"/>
          </v:group>
        </w:pict>
      </w:r>
      <w:r>
        <w:rPr/>
        <w:pict>
          <v:group style="position:absolute;margin-left:266.929993pt;margin-top:42.131714pt;width:.5pt;height:.1pt;mso-position-horizontal-relative:page;mso-position-vertical-relative:paragraph;z-index:-1328368" coordorigin="5339,843" coordsize="10,2">
            <v:shape style="position:absolute;left:5339;top:843;width:10;height:2" coordorigin="5339,843" coordsize="10,0" path="m5339,843l5348,843e" filled="false" stroked="true" strokeweight=".72pt" strokecolor="#000000">
              <v:path arrowok="t"/>
              <v:stroke dashstyle="dash"/>
            </v:shape>
            <w10:wrap type="none"/>
          </v:group>
        </w:pict>
      </w:r>
      <w:r>
        <w:rPr/>
        <w:pict>
          <v:group style="position:absolute;margin-left:394.869995pt;margin-top:42.131714pt;width:.5pt;height:.1pt;mso-position-horizontal-relative:page;mso-position-vertical-relative:paragraph;z-index:-1328344" coordorigin="7897,843" coordsize="10,2">
            <v:shape style="position:absolute;left:7897;top:843;width:10;height:2" coordorigin="7897,843" coordsize="10,0" path="m7897,843l7907,843e" filled="false" stroked="true" strokeweight=".72pt" strokecolor="#000000">
              <v:path arrowok="t"/>
              <v:stroke dashstyle="dash"/>
            </v:shape>
            <w10:wrap type="none"/>
          </v:group>
        </w:pict>
      </w:r>
      <w:r>
        <w:rPr/>
        <w:pict>
          <v:group style="position:absolute;margin-left:444.100006pt;margin-top:42.131714pt;width:.5pt;height:.1pt;mso-position-horizontal-relative:page;mso-position-vertical-relative:paragraph;z-index:-1328320" coordorigin="8882,843" coordsize="10,2">
            <v:shape style="position:absolute;left:8882;top:843;width:10;height:2" coordorigin="8882,843" coordsize="10,0" path="m8882,843l8892,843e" filled="false" stroked="true" strokeweight=".72pt" strokecolor="#000000">
              <v:path arrowok="t"/>
              <v:stroke dashstyle="dash"/>
            </v:shape>
            <w10:wrap type="none"/>
          </v:group>
        </w:pict>
      </w:r>
      <w:r>
        <w:rPr>
          <w:rFonts w:ascii="宋体" w:hAnsi="宋体" w:cs="宋体" w:eastAsia="宋体" w:hint="default"/>
          <w:sz w:val="18"/>
          <w:szCs w:val="18"/>
        </w:rPr>
        <w:t>期末余额</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81"/>
        <w:gridCol w:w="1289"/>
        <w:gridCol w:w="1090"/>
        <w:gridCol w:w="1294"/>
        <w:gridCol w:w="1265"/>
        <w:gridCol w:w="985"/>
        <w:gridCol w:w="1224"/>
      </w:tblGrid>
      <w:tr>
        <w:trPr>
          <w:trHeight w:val="418" w:hRule="exact"/>
        </w:trPr>
        <w:tc>
          <w:tcPr>
            <w:tcW w:w="1181"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73"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3473" w:type="dxa"/>
            <w:gridSpan w:val="3"/>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初始成本</w:t>
            </w:r>
          </w:p>
        </w:tc>
      </w:tr>
      <w:tr>
        <w:trPr>
          <w:trHeight w:val="370" w:hRule="exact"/>
        </w:trPr>
        <w:tc>
          <w:tcPr>
            <w:tcW w:w="1181" w:type="dxa"/>
            <w:vMerge/>
            <w:tcBorders>
              <w:left w:val="nil" w:sz="6" w:space="0" w:color="auto"/>
              <w:right w:val="dotted" w:sz="4" w:space="0" w:color="000000"/>
            </w:tcBorders>
          </w:tcPr>
          <w:p>
            <w:pPr/>
          </w:p>
        </w:tc>
        <w:tc>
          <w:tcPr>
            <w:tcW w:w="1289"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分类为以公允</w:t>
            </w:r>
          </w:p>
        </w:tc>
        <w:tc>
          <w:tcPr>
            <w:tcW w:w="1090"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指定为以公</w:t>
            </w:r>
          </w:p>
        </w:tc>
        <w:tc>
          <w:tcPr>
            <w:tcW w:w="1294" w:type="dxa"/>
            <w:tcBorders>
              <w:top w:val="dotted" w:sz="4" w:space="0" w:color="000000"/>
              <w:left w:val="dotted" w:sz="4" w:space="0" w:color="000000"/>
              <w:bottom w:val="nil" w:sz="6" w:space="0" w:color="auto"/>
              <w:right w:val="dotted" w:sz="4" w:space="0" w:color="000000"/>
            </w:tcBorders>
          </w:tcPr>
          <w:p>
            <w:pPr/>
          </w:p>
        </w:tc>
        <w:tc>
          <w:tcPr>
            <w:tcW w:w="1265"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63"/>
              <w:ind w:left="86" w:right="0"/>
              <w:jc w:val="left"/>
              <w:rPr>
                <w:rFonts w:ascii="宋体" w:hAnsi="宋体" w:cs="宋体" w:eastAsia="宋体" w:hint="default"/>
                <w:sz w:val="18"/>
                <w:szCs w:val="18"/>
              </w:rPr>
            </w:pPr>
            <w:r>
              <w:rPr>
                <w:rFonts w:ascii="宋体" w:hAnsi="宋体" w:cs="宋体" w:eastAsia="宋体" w:hint="default"/>
                <w:sz w:val="18"/>
                <w:szCs w:val="18"/>
              </w:rPr>
              <w:t>分类为以公允</w:t>
            </w:r>
          </w:p>
        </w:tc>
        <w:tc>
          <w:tcPr>
            <w:tcW w:w="985"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指定为以公</w:t>
            </w:r>
          </w:p>
        </w:tc>
        <w:tc>
          <w:tcPr>
            <w:tcW w:w="1224" w:type="dxa"/>
            <w:tcBorders>
              <w:top w:val="dotted" w:sz="4" w:space="0" w:color="000000"/>
              <w:left w:val="dotted" w:sz="4" w:space="0" w:color="000000"/>
              <w:bottom w:val="nil" w:sz="6" w:space="0" w:color="auto"/>
              <w:right w:val="nil" w:sz="6" w:space="0" w:color="auto"/>
            </w:tcBorders>
          </w:tcPr>
          <w:p>
            <w:pPr/>
          </w:p>
        </w:tc>
      </w:tr>
      <w:tr>
        <w:trPr>
          <w:trHeight w:val="312" w:hRule="exact"/>
        </w:trPr>
        <w:tc>
          <w:tcPr>
            <w:tcW w:w="1181" w:type="dxa"/>
            <w:vMerge/>
            <w:tcBorders>
              <w:left w:val="nil" w:sz="6" w:space="0" w:color="auto"/>
              <w:right w:val="dotted" w:sz="4" w:space="0" w:color="000000"/>
            </w:tcBorders>
          </w:tcPr>
          <w:p>
            <w:pPr/>
          </w:p>
        </w:tc>
        <w:tc>
          <w:tcPr>
            <w:tcW w:w="1289"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价值计量且其</w:t>
            </w:r>
          </w:p>
        </w:tc>
        <w:tc>
          <w:tcPr>
            <w:tcW w:w="1090"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允价值计量</w:t>
            </w:r>
          </w:p>
        </w:tc>
        <w:tc>
          <w:tcPr>
            <w:tcW w:w="1294" w:type="dxa"/>
            <w:tcBorders>
              <w:top w:val="nil" w:sz="6" w:space="0" w:color="auto"/>
              <w:left w:val="dotted" w:sz="4" w:space="0" w:color="000000"/>
              <w:bottom w:val="nil" w:sz="6" w:space="0" w:color="auto"/>
              <w:right w:val="dotted" w:sz="4" w:space="0" w:color="000000"/>
            </w:tcBorders>
          </w:tcPr>
          <w:p>
            <w:pPr/>
          </w:p>
        </w:tc>
        <w:tc>
          <w:tcPr>
            <w:tcW w:w="126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价值计量且其</w:t>
            </w:r>
          </w:p>
        </w:tc>
        <w:tc>
          <w:tcPr>
            <w:tcW w:w="98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允价值计量</w:t>
            </w:r>
          </w:p>
        </w:tc>
        <w:tc>
          <w:tcPr>
            <w:tcW w:w="1224" w:type="dxa"/>
            <w:tcBorders>
              <w:top w:val="nil" w:sz="6" w:space="0" w:color="auto"/>
              <w:left w:val="dotted" w:sz="4" w:space="0" w:color="000000"/>
              <w:bottom w:val="nil" w:sz="6" w:space="0" w:color="auto"/>
              <w:right w:val="nil" w:sz="6" w:space="0" w:color="auto"/>
            </w:tcBorders>
          </w:tcPr>
          <w:p>
            <w:pPr/>
          </w:p>
        </w:tc>
      </w:tr>
      <w:tr>
        <w:trPr>
          <w:trHeight w:val="312" w:hRule="exact"/>
        </w:trPr>
        <w:tc>
          <w:tcPr>
            <w:tcW w:w="1181" w:type="dxa"/>
            <w:vMerge/>
            <w:tcBorders>
              <w:left w:val="nil" w:sz="6" w:space="0" w:color="auto"/>
              <w:right w:val="dotted" w:sz="4" w:space="0" w:color="000000"/>
            </w:tcBorders>
          </w:tcPr>
          <w:p>
            <w:pPr/>
          </w:p>
        </w:tc>
        <w:tc>
          <w:tcPr>
            <w:tcW w:w="1289"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变动计入当期</w:t>
            </w:r>
          </w:p>
        </w:tc>
        <w:tc>
          <w:tcPr>
            <w:tcW w:w="1090"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且其变动计</w:t>
            </w:r>
          </w:p>
        </w:tc>
        <w:tc>
          <w:tcPr>
            <w:tcW w:w="1294"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公允价值合计</w:t>
            </w:r>
          </w:p>
        </w:tc>
        <w:tc>
          <w:tcPr>
            <w:tcW w:w="126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变动计入当期</w:t>
            </w:r>
          </w:p>
        </w:tc>
        <w:tc>
          <w:tcPr>
            <w:tcW w:w="98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且其变动计</w:t>
            </w:r>
          </w:p>
        </w:tc>
        <w:tc>
          <w:tcPr>
            <w:tcW w:w="1224" w:type="dxa"/>
            <w:tcBorders>
              <w:top w:val="nil" w:sz="6" w:space="0" w:color="auto"/>
              <w:left w:val="dotted" w:sz="4" w:space="0" w:color="000000"/>
              <w:bottom w:val="nil" w:sz="6" w:space="0" w:color="auto"/>
              <w:right w:val="nil" w:sz="6" w:space="0" w:color="auto"/>
            </w:tcBorders>
          </w:tcPr>
          <w:p>
            <w:pPr>
              <w:pStyle w:val="TableParagraph"/>
              <w:spacing w:line="240" w:lineRule="auto" w:before="10"/>
              <w:ind w:left="64" w:right="0"/>
              <w:jc w:val="left"/>
              <w:rPr>
                <w:rFonts w:ascii="宋体" w:hAnsi="宋体" w:cs="宋体" w:eastAsia="宋体" w:hint="default"/>
                <w:sz w:val="18"/>
                <w:szCs w:val="18"/>
              </w:rPr>
            </w:pPr>
            <w:r>
              <w:rPr>
                <w:rFonts w:ascii="宋体" w:hAnsi="宋体" w:cs="宋体" w:eastAsia="宋体" w:hint="default"/>
                <w:sz w:val="18"/>
                <w:szCs w:val="18"/>
              </w:rPr>
              <w:t>初始成本合计</w:t>
            </w:r>
          </w:p>
        </w:tc>
      </w:tr>
      <w:tr>
        <w:trPr>
          <w:trHeight w:val="312" w:hRule="exact"/>
        </w:trPr>
        <w:tc>
          <w:tcPr>
            <w:tcW w:w="1181" w:type="dxa"/>
            <w:vMerge/>
            <w:tcBorders>
              <w:left w:val="nil" w:sz="6" w:space="0" w:color="auto"/>
              <w:right w:val="dotted" w:sz="4" w:space="0" w:color="000000"/>
            </w:tcBorders>
          </w:tcPr>
          <w:p>
            <w:pPr/>
          </w:p>
        </w:tc>
        <w:tc>
          <w:tcPr>
            <w:tcW w:w="1289"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损益的金融资</w:t>
            </w:r>
          </w:p>
        </w:tc>
        <w:tc>
          <w:tcPr>
            <w:tcW w:w="1090"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入当期损益</w:t>
            </w:r>
          </w:p>
        </w:tc>
        <w:tc>
          <w:tcPr>
            <w:tcW w:w="1294" w:type="dxa"/>
            <w:tcBorders>
              <w:top w:val="nil" w:sz="6" w:space="0" w:color="auto"/>
              <w:left w:val="dotted" w:sz="4" w:space="0" w:color="000000"/>
              <w:bottom w:val="nil" w:sz="6" w:space="0" w:color="auto"/>
              <w:right w:val="dotted" w:sz="4" w:space="0" w:color="000000"/>
            </w:tcBorders>
          </w:tcPr>
          <w:p>
            <w:pPr/>
          </w:p>
        </w:tc>
        <w:tc>
          <w:tcPr>
            <w:tcW w:w="126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损益的金融资</w:t>
            </w:r>
          </w:p>
        </w:tc>
        <w:tc>
          <w:tcPr>
            <w:tcW w:w="98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入当期损益</w:t>
            </w:r>
          </w:p>
        </w:tc>
        <w:tc>
          <w:tcPr>
            <w:tcW w:w="1224" w:type="dxa"/>
            <w:tcBorders>
              <w:top w:val="nil" w:sz="6" w:space="0" w:color="auto"/>
              <w:left w:val="dotted" w:sz="4" w:space="0" w:color="000000"/>
              <w:bottom w:val="nil" w:sz="6" w:space="0" w:color="auto"/>
              <w:right w:val="nil" w:sz="6" w:space="0" w:color="auto"/>
            </w:tcBorders>
          </w:tcPr>
          <w:p>
            <w:pPr/>
          </w:p>
        </w:tc>
      </w:tr>
      <w:tr>
        <w:trPr>
          <w:trHeight w:val="357" w:hRule="exact"/>
        </w:trPr>
        <w:tc>
          <w:tcPr>
            <w:tcW w:w="1181" w:type="dxa"/>
            <w:vMerge/>
            <w:tcBorders>
              <w:left w:val="nil" w:sz="6" w:space="0" w:color="auto"/>
              <w:bottom w:val="dotted" w:sz="4" w:space="0" w:color="000000"/>
              <w:right w:val="dotted" w:sz="4" w:space="0" w:color="000000"/>
            </w:tcBorders>
          </w:tcPr>
          <w:p>
            <w:pPr/>
          </w:p>
        </w:tc>
        <w:tc>
          <w:tcPr>
            <w:tcW w:w="1289"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090"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的金融资产</w:t>
            </w:r>
          </w:p>
        </w:tc>
        <w:tc>
          <w:tcPr>
            <w:tcW w:w="1294" w:type="dxa"/>
            <w:tcBorders>
              <w:top w:val="nil" w:sz="6" w:space="0" w:color="auto"/>
              <w:left w:val="dotted" w:sz="4" w:space="0" w:color="000000"/>
              <w:bottom w:val="dotted" w:sz="4" w:space="0" w:color="000000"/>
              <w:right w:val="dotted" w:sz="4" w:space="0" w:color="000000"/>
            </w:tcBorders>
          </w:tcPr>
          <w:p>
            <w:pPr/>
          </w:p>
        </w:tc>
        <w:tc>
          <w:tcPr>
            <w:tcW w:w="1265"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产</w:t>
            </w:r>
          </w:p>
        </w:tc>
        <w:tc>
          <w:tcPr>
            <w:tcW w:w="985"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的金融资产</w:t>
            </w:r>
          </w:p>
        </w:tc>
        <w:tc>
          <w:tcPr>
            <w:tcW w:w="1224" w:type="dxa"/>
            <w:tcBorders>
              <w:top w:val="nil" w:sz="6" w:space="0" w:color="auto"/>
              <w:left w:val="dotted" w:sz="4" w:space="0" w:color="000000"/>
              <w:bottom w:val="dotted" w:sz="4" w:space="0" w:color="000000"/>
              <w:right w:val="nil" w:sz="6" w:space="0" w:color="auto"/>
            </w:tcBorders>
          </w:tcPr>
          <w:p>
            <w:pPr/>
          </w:p>
        </w:tc>
      </w:tr>
      <w:tr>
        <w:trPr>
          <w:trHeight w:val="372" w:hRule="exact"/>
        </w:trPr>
        <w:tc>
          <w:tcPr>
            <w:tcW w:w="1181" w:type="dxa"/>
            <w:tcBorders>
              <w:top w:val="dotted" w:sz="4" w:space="0" w:color="000000"/>
              <w:left w:val="nil" w:sz="6" w:space="0" w:color="auto"/>
              <w:bottom w:val="nil" w:sz="6" w:space="0" w:color="auto"/>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pacing w:val="8"/>
                <w:sz w:val="18"/>
                <w:szCs w:val="18"/>
              </w:rPr>
              <w:t>以公允价值计</w:t>
            </w:r>
          </w:p>
        </w:tc>
        <w:tc>
          <w:tcPr>
            <w:tcW w:w="1289" w:type="dxa"/>
            <w:vMerge w:val="restart"/>
            <w:tcBorders>
              <w:top w:val="dotted" w:sz="4" w:space="0" w:color="000000"/>
              <w:left w:val="dotted" w:sz="4" w:space="0" w:color="000000"/>
              <w:right w:val="dotted" w:sz="4" w:space="0" w:color="000000"/>
            </w:tcBorders>
          </w:tcPr>
          <w:p>
            <w:pPr/>
          </w:p>
        </w:tc>
        <w:tc>
          <w:tcPr>
            <w:tcW w:w="1090" w:type="dxa"/>
            <w:vMerge w:val="restart"/>
            <w:tcBorders>
              <w:top w:val="dotted" w:sz="4" w:space="0" w:color="000000"/>
              <w:left w:val="dotted" w:sz="4" w:space="0" w:color="000000"/>
              <w:right w:val="dotted" w:sz="4" w:space="0" w:color="000000"/>
            </w:tcBorders>
          </w:tcPr>
          <w:p>
            <w:pPr/>
          </w:p>
        </w:tc>
        <w:tc>
          <w:tcPr>
            <w:tcW w:w="1294" w:type="dxa"/>
            <w:vMerge w:val="restart"/>
            <w:tcBorders>
              <w:top w:val="dotted" w:sz="4" w:space="0" w:color="000000"/>
              <w:left w:val="dotted" w:sz="4" w:space="0" w:color="000000"/>
              <w:right w:val="dotted" w:sz="4" w:space="0" w:color="000000"/>
            </w:tcBorders>
          </w:tcPr>
          <w:p>
            <w:pPr/>
          </w:p>
        </w:tc>
        <w:tc>
          <w:tcPr>
            <w:tcW w:w="1265" w:type="dxa"/>
            <w:vMerge w:val="restart"/>
            <w:tcBorders>
              <w:top w:val="dotted" w:sz="4" w:space="0" w:color="000000"/>
              <w:left w:val="dotted" w:sz="4" w:space="0" w:color="000000"/>
              <w:right w:val="dotted" w:sz="4" w:space="0" w:color="000000"/>
            </w:tcBorders>
          </w:tcPr>
          <w:p>
            <w:pPr/>
          </w:p>
        </w:tc>
        <w:tc>
          <w:tcPr>
            <w:tcW w:w="985" w:type="dxa"/>
            <w:vMerge w:val="restart"/>
            <w:tcBorders>
              <w:top w:val="dotted" w:sz="4" w:space="0" w:color="000000"/>
              <w:left w:val="dotted" w:sz="4" w:space="0" w:color="000000"/>
              <w:right w:val="dotted" w:sz="4" w:space="0" w:color="000000"/>
            </w:tcBorders>
          </w:tcPr>
          <w:p>
            <w:pPr/>
          </w:p>
        </w:tc>
        <w:tc>
          <w:tcPr>
            <w:tcW w:w="1224" w:type="dxa"/>
            <w:vMerge w:val="restart"/>
            <w:tcBorders>
              <w:top w:val="dotted" w:sz="4" w:space="0" w:color="000000"/>
              <w:left w:val="dotted" w:sz="4" w:space="0" w:color="000000"/>
              <w:right w:val="nil" w:sz="6" w:space="0" w:color="auto"/>
            </w:tcBorders>
          </w:tcPr>
          <w:p>
            <w:pPr/>
          </w:p>
        </w:tc>
      </w:tr>
      <w:tr>
        <w:trPr>
          <w:trHeight w:val="312" w:hRule="exact"/>
        </w:trPr>
        <w:tc>
          <w:tcPr>
            <w:tcW w:w="1181" w:type="dxa"/>
            <w:tcBorders>
              <w:top w:val="nil" w:sz="6" w:space="0" w:color="auto"/>
              <w:left w:val="nil" w:sz="6" w:space="0" w:color="auto"/>
              <w:bottom w:val="nil" w:sz="6" w:space="0" w:color="auto"/>
              <w:right w:val="dotted"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8"/>
                <w:sz w:val="18"/>
                <w:szCs w:val="18"/>
              </w:rPr>
              <w:t>量且其变动计</w:t>
            </w:r>
          </w:p>
        </w:tc>
        <w:tc>
          <w:tcPr>
            <w:tcW w:w="1289" w:type="dxa"/>
            <w:vMerge/>
            <w:tcBorders>
              <w:left w:val="dotted" w:sz="4" w:space="0" w:color="000000"/>
              <w:right w:val="dotted" w:sz="4" w:space="0" w:color="000000"/>
            </w:tcBorders>
          </w:tcPr>
          <w:p>
            <w:pPr/>
          </w:p>
        </w:tc>
        <w:tc>
          <w:tcPr>
            <w:tcW w:w="1090" w:type="dxa"/>
            <w:vMerge/>
            <w:tcBorders>
              <w:left w:val="dotted" w:sz="4" w:space="0" w:color="000000"/>
              <w:right w:val="dotted" w:sz="4" w:space="0" w:color="000000"/>
            </w:tcBorders>
          </w:tcPr>
          <w:p>
            <w:pPr/>
          </w:p>
        </w:tc>
        <w:tc>
          <w:tcPr>
            <w:tcW w:w="1294" w:type="dxa"/>
            <w:vMerge/>
            <w:tcBorders>
              <w:left w:val="dotted" w:sz="4" w:space="0" w:color="000000"/>
              <w:right w:val="dotted" w:sz="4" w:space="0" w:color="000000"/>
            </w:tcBorders>
          </w:tcPr>
          <w:p>
            <w:pPr/>
          </w:p>
        </w:tc>
        <w:tc>
          <w:tcPr>
            <w:tcW w:w="1265" w:type="dxa"/>
            <w:vMerge/>
            <w:tcBorders>
              <w:left w:val="dotted" w:sz="4" w:space="0" w:color="000000"/>
              <w:right w:val="dotted" w:sz="4" w:space="0" w:color="000000"/>
            </w:tcBorders>
          </w:tcPr>
          <w:p>
            <w:pPr/>
          </w:p>
        </w:tc>
        <w:tc>
          <w:tcPr>
            <w:tcW w:w="985" w:type="dxa"/>
            <w:vMerge/>
            <w:tcBorders>
              <w:left w:val="dotted" w:sz="4" w:space="0" w:color="000000"/>
              <w:right w:val="dotted" w:sz="4" w:space="0" w:color="000000"/>
            </w:tcBorders>
          </w:tcPr>
          <w:p>
            <w:pPr/>
          </w:p>
        </w:tc>
        <w:tc>
          <w:tcPr>
            <w:tcW w:w="1224" w:type="dxa"/>
            <w:vMerge/>
            <w:tcBorders>
              <w:left w:val="dotted" w:sz="4" w:space="0" w:color="000000"/>
              <w:right w:val="nil" w:sz="6" w:space="0" w:color="auto"/>
            </w:tcBorders>
          </w:tcPr>
          <w:p>
            <w:pPr/>
          </w:p>
        </w:tc>
      </w:tr>
      <w:tr>
        <w:trPr>
          <w:trHeight w:val="312" w:hRule="exact"/>
        </w:trPr>
        <w:tc>
          <w:tcPr>
            <w:tcW w:w="1181" w:type="dxa"/>
            <w:tcBorders>
              <w:top w:val="nil" w:sz="6" w:space="0" w:color="auto"/>
              <w:left w:val="nil" w:sz="6" w:space="0" w:color="auto"/>
              <w:bottom w:val="nil" w:sz="6" w:space="0" w:color="auto"/>
              <w:right w:val="dotted"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8"/>
                <w:sz w:val="18"/>
                <w:szCs w:val="18"/>
              </w:rPr>
              <w:t>入当期损益的</w:t>
            </w:r>
          </w:p>
        </w:tc>
        <w:tc>
          <w:tcPr>
            <w:tcW w:w="1289" w:type="dxa"/>
            <w:vMerge/>
            <w:tcBorders>
              <w:left w:val="dotted" w:sz="4" w:space="0" w:color="000000"/>
              <w:right w:val="dotted" w:sz="4" w:space="0" w:color="000000"/>
            </w:tcBorders>
          </w:tcPr>
          <w:p>
            <w:pPr/>
          </w:p>
        </w:tc>
        <w:tc>
          <w:tcPr>
            <w:tcW w:w="1090" w:type="dxa"/>
            <w:vMerge/>
            <w:tcBorders>
              <w:left w:val="dotted" w:sz="4" w:space="0" w:color="000000"/>
              <w:right w:val="dotted" w:sz="4" w:space="0" w:color="000000"/>
            </w:tcBorders>
          </w:tcPr>
          <w:p>
            <w:pPr/>
          </w:p>
        </w:tc>
        <w:tc>
          <w:tcPr>
            <w:tcW w:w="1294" w:type="dxa"/>
            <w:vMerge/>
            <w:tcBorders>
              <w:left w:val="dotted" w:sz="4" w:space="0" w:color="000000"/>
              <w:right w:val="dotted" w:sz="4" w:space="0" w:color="000000"/>
            </w:tcBorders>
          </w:tcPr>
          <w:p>
            <w:pPr/>
          </w:p>
        </w:tc>
        <w:tc>
          <w:tcPr>
            <w:tcW w:w="1265" w:type="dxa"/>
            <w:vMerge/>
            <w:tcBorders>
              <w:left w:val="dotted" w:sz="4" w:space="0" w:color="000000"/>
              <w:right w:val="dotted" w:sz="4" w:space="0" w:color="000000"/>
            </w:tcBorders>
          </w:tcPr>
          <w:p>
            <w:pPr/>
          </w:p>
        </w:tc>
        <w:tc>
          <w:tcPr>
            <w:tcW w:w="985" w:type="dxa"/>
            <w:vMerge/>
            <w:tcBorders>
              <w:left w:val="dotted" w:sz="4" w:space="0" w:color="000000"/>
              <w:right w:val="dotted" w:sz="4" w:space="0" w:color="000000"/>
            </w:tcBorders>
          </w:tcPr>
          <w:p>
            <w:pPr/>
          </w:p>
        </w:tc>
        <w:tc>
          <w:tcPr>
            <w:tcW w:w="1224" w:type="dxa"/>
            <w:vMerge/>
            <w:tcBorders>
              <w:left w:val="dotted" w:sz="4" w:space="0" w:color="000000"/>
              <w:right w:val="nil" w:sz="6" w:space="0" w:color="auto"/>
            </w:tcBorders>
          </w:tcPr>
          <w:p>
            <w:pPr/>
          </w:p>
        </w:tc>
      </w:tr>
      <w:tr>
        <w:trPr>
          <w:trHeight w:val="357" w:hRule="exact"/>
        </w:trPr>
        <w:tc>
          <w:tcPr>
            <w:tcW w:w="1181" w:type="dxa"/>
            <w:tcBorders>
              <w:top w:val="nil" w:sz="6" w:space="0" w:color="auto"/>
              <w:left w:val="nil" w:sz="6" w:space="0" w:color="auto"/>
              <w:bottom w:val="dotted" w:sz="4" w:space="0" w:color="000000"/>
              <w:right w:val="dotted"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289" w:type="dxa"/>
            <w:vMerge/>
            <w:tcBorders>
              <w:left w:val="dotted" w:sz="4" w:space="0" w:color="000000"/>
              <w:bottom w:val="dotted" w:sz="4" w:space="0" w:color="000000"/>
              <w:right w:val="dotted" w:sz="4" w:space="0" w:color="000000"/>
            </w:tcBorders>
          </w:tcPr>
          <w:p>
            <w:pPr/>
          </w:p>
        </w:tc>
        <w:tc>
          <w:tcPr>
            <w:tcW w:w="1090" w:type="dxa"/>
            <w:vMerge/>
            <w:tcBorders>
              <w:left w:val="dotted" w:sz="4" w:space="0" w:color="000000"/>
              <w:bottom w:val="dotted" w:sz="4" w:space="0" w:color="000000"/>
              <w:right w:val="dotted" w:sz="4" w:space="0" w:color="000000"/>
            </w:tcBorders>
          </w:tcPr>
          <w:p>
            <w:pPr/>
          </w:p>
        </w:tc>
        <w:tc>
          <w:tcPr>
            <w:tcW w:w="1294" w:type="dxa"/>
            <w:vMerge/>
            <w:tcBorders>
              <w:left w:val="dotted" w:sz="4" w:space="0" w:color="000000"/>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985" w:type="dxa"/>
            <w:vMerge/>
            <w:tcBorders>
              <w:left w:val="dotted" w:sz="4" w:space="0" w:color="000000"/>
              <w:bottom w:val="dotted" w:sz="4" w:space="0" w:color="000000"/>
              <w:right w:val="dotted" w:sz="4" w:space="0" w:color="000000"/>
            </w:tcBorders>
          </w:tcPr>
          <w:p>
            <w:pPr/>
          </w:p>
        </w:tc>
        <w:tc>
          <w:tcPr>
            <w:tcW w:w="1224" w:type="dxa"/>
            <w:vMerge/>
            <w:tcBorders>
              <w:left w:val="dotted" w:sz="4" w:space="0" w:color="000000"/>
              <w:bottom w:val="dotted" w:sz="4" w:space="0" w:color="000000"/>
              <w:right w:val="nil" w:sz="6" w:space="0" w:color="auto"/>
            </w:tcBorders>
          </w:tcPr>
          <w:p>
            <w:pPr/>
          </w:p>
        </w:tc>
      </w:tr>
      <w:tr>
        <w:trPr>
          <w:trHeight w:val="418" w:hRule="exact"/>
        </w:trPr>
        <w:tc>
          <w:tcPr>
            <w:tcW w:w="11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1289" w:type="dxa"/>
            <w:tcBorders>
              <w:top w:val="dotted" w:sz="4" w:space="0" w:color="000000"/>
              <w:left w:val="dotted" w:sz="4" w:space="0" w:color="000000"/>
              <w:bottom w:val="dotted" w:sz="4" w:space="0" w:color="000000"/>
              <w:right w:val="dotted" w:sz="4" w:space="0" w:color="000000"/>
            </w:tcBorders>
          </w:tcPr>
          <w:p>
            <w:pPr/>
          </w:p>
        </w:tc>
        <w:tc>
          <w:tcPr>
            <w:tcW w:w="1090" w:type="dxa"/>
            <w:tcBorders>
              <w:top w:val="dotted" w:sz="4" w:space="0" w:color="000000"/>
              <w:left w:val="dotted" w:sz="4" w:space="0" w:color="000000"/>
              <w:bottom w:val="dotted" w:sz="4" w:space="0" w:color="000000"/>
              <w:right w:val="dotted" w:sz="4" w:space="0" w:color="000000"/>
            </w:tcBorders>
          </w:tcPr>
          <w:p>
            <w:pPr/>
          </w:p>
        </w:tc>
        <w:tc>
          <w:tcPr>
            <w:tcW w:w="1294"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985"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1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281,386,608.00</w:t>
            </w:r>
          </w:p>
        </w:tc>
        <w:tc>
          <w:tcPr>
            <w:tcW w:w="1090" w:type="dxa"/>
            <w:tcBorders>
              <w:top w:val="dotted" w:sz="4" w:space="0" w:color="000000"/>
              <w:left w:val="dotted" w:sz="4" w:space="0" w:color="000000"/>
              <w:bottom w:val="dotted" w:sz="4" w:space="0" w:color="000000"/>
              <w:right w:val="dotted" w:sz="4" w:space="0" w:color="000000"/>
            </w:tcBorders>
          </w:tcPr>
          <w:p>
            <w:pP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281,386,608.00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243,717,862.00</w:t>
            </w:r>
          </w:p>
        </w:tc>
        <w:tc>
          <w:tcPr>
            <w:tcW w:w="985"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243,717,862.00</w:t>
            </w:r>
          </w:p>
        </w:tc>
      </w:tr>
      <w:tr>
        <w:trPr>
          <w:trHeight w:val="416" w:hRule="exact"/>
        </w:trPr>
        <w:tc>
          <w:tcPr>
            <w:tcW w:w="11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pacing w:val="-1"/>
                <w:sz w:val="18"/>
              </w:rPr>
              <w:t>86,857,743.66</w:t>
            </w:r>
          </w:p>
        </w:tc>
        <w:tc>
          <w:tcPr>
            <w:tcW w:w="1090" w:type="dxa"/>
            <w:tcBorders>
              <w:top w:val="dotted" w:sz="4" w:space="0" w:color="000000"/>
              <w:left w:val="dotted" w:sz="4" w:space="0" w:color="000000"/>
              <w:bottom w:val="dotted" w:sz="4" w:space="0" w:color="000000"/>
              <w:right w:val="dotted" w:sz="4" w:space="0" w:color="000000"/>
            </w:tcBorders>
          </w:tcPr>
          <w:p>
            <w:pP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pacing w:val="-1"/>
                <w:sz w:val="18"/>
              </w:rPr>
              <w:t>86,857,743.66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83,340,000.00</w:t>
            </w:r>
          </w:p>
        </w:tc>
        <w:tc>
          <w:tcPr>
            <w:tcW w:w="985"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pacing w:val="-1"/>
                <w:sz w:val="18"/>
              </w:rPr>
              <w:t>83,340,000.00</w:t>
            </w:r>
          </w:p>
        </w:tc>
      </w:tr>
      <w:tr>
        <w:trPr>
          <w:trHeight w:val="430" w:hRule="exact"/>
        </w:trPr>
        <w:tc>
          <w:tcPr>
            <w:tcW w:w="11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368,244,351.66</w:t>
            </w:r>
          </w:p>
        </w:tc>
        <w:tc>
          <w:tcPr>
            <w:tcW w:w="1090" w:type="dxa"/>
            <w:tcBorders>
              <w:top w:val="dotted" w:sz="4" w:space="0" w:color="000000"/>
              <w:left w:val="dotted" w:sz="4" w:space="0" w:color="000000"/>
              <w:bottom w:val="single" w:sz="12" w:space="0" w:color="000000"/>
              <w:right w:val="dotted" w:sz="4" w:space="0" w:color="000000"/>
            </w:tcBorders>
          </w:tcPr>
          <w:p>
            <w:pPr/>
          </w:p>
        </w:tc>
        <w:tc>
          <w:tcPr>
            <w:tcW w:w="12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368,244,351.66</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327,057,862.00</w:t>
            </w:r>
          </w:p>
        </w:tc>
        <w:tc>
          <w:tcPr>
            <w:tcW w:w="985" w:type="dxa"/>
            <w:tcBorders>
              <w:top w:val="dotted" w:sz="4" w:space="0" w:color="000000"/>
              <w:left w:val="dotted" w:sz="4" w:space="0" w:color="000000"/>
              <w:bottom w:val="single" w:sz="12" w:space="0" w:color="000000"/>
              <w:right w:val="dotted" w:sz="4" w:space="0" w:color="000000"/>
            </w:tcBorders>
          </w:tcPr>
          <w:p>
            <w:pPr/>
          </w:p>
        </w:tc>
        <w:tc>
          <w:tcPr>
            <w:tcW w:w="1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327,057,862.00</w:t>
            </w:r>
          </w:p>
        </w:tc>
      </w:tr>
    </w:tbl>
    <w:p>
      <w:pPr>
        <w:spacing w:after="0" w:line="240" w:lineRule="auto"/>
        <w:jc w:val="right"/>
        <w:rPr>
          <w:rFonts w:ascii="Times New Roman" w:hAnsi="Times New Roman" w:cs="Times New Roman" w:eastAsia="Times New Roman" w:hint="default"/>
          <w:sz w:val="18"/>
          <w:szCs w:val="18"/>
        </w:rPr>
        <w:sectPr>
          <w:footerReference w:type="default" r:id="rId53"/>
          <w:pgSz w:w="11910" w:h="16840"/>
          <w:pgMar w:footer="979" w:header="0" w:top="1100" w:bottom="1160" w:left="1660" w:right="0"/>
          <w:pgNumType w:start="18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8" w:lineRule="exact"/>
        <w:ind w:left="123"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7.1pt;height:1.45pt;mso-position-horizontal-relative:char;mso-position-vertical-relative:line" coordorigin="0,0" coordsize="8342,29">
            <v:group style="position:absolute;left:14;top:14;width:8313;height:2" coordorigin="14,14" coordsize="8313,2">
              <v:shape style="position:absolute;left:14;top:14;width:8313;height:2" coordorigin="14,14" coordsize="8313,0" path="m14,14l8327,14e" filled="false" stroked="true" strokeweight="1.44pt" strokecolor="#000000">
                <v:path arrowok="t"/>
              </v:shape>
            </v:group>
          </v:group>
        </w:pict>
      </w:r>
      <w:r>
        <w:rPr>
          <w:rFonts w:ascii="宋体" w:hAnsi="宋体" w:cs="宋体" w:eastAsia="宋体" w:hint="default"/>
          <w:position w:val="0"/>
          <w:sz w:val="2"/>
          <w:szCs w:val="2"/>
        </w:rPr>
      </w:r>
    </w:p>
    <w:p>
      <w:pPr>
        <w:spacing w:before="66"/>
        <w:ind w:left="3914" w:right="5572" w:firstLine="0"/>
        <w:jc w:val="center"/>
        <w:rPr>
          <w:rFonts w:ascii="宋体" w:hAnsi="宋体" w:cs="宋体" w:eastAsia="宋体" w:hint="default"/>
          <w:sz w:val="18"/>
          <w:szCs w:val="18"/>
        </w:rPr>
      </w:pPr>
      <w:r>
        <w:rPr/>
        <w:pict>
          <v:group style="position:absolute;margin-left:212.449997pt;margin-top:42.131744pt;width:.5pt;height:.1pt;mso-position-horizontal-relative:page;mso-position-vertical-relative:paragraph;z-index:-1328272" coordorigin="4249,843" coordsize="10,2">
            <v:shape style="position:absolute;left:4249;top:843;width:10;height:2" coordorigin="4249,843" coordsize="10,0" path="m4249,843l4259,843e" filled="false" stroked="true" strokeweight=".72pt" strokecolor="#000000">
              <v:path arrowok="t"/>
              <v:stroke dashstyle="dash"/>
            </v:shape>
            <w10:wrap type="none"/>
          </v:group>
        </w:pict>
      </w:r>
      <w:r>
        <w:rPr/>
        <w:pict>
          <v:group style="position:absolute;margin-left:266.929993pt;margin-top:42.131744pt;width:.5pt;height:.1pt;mso-position-horizontal-relative:page;mso-position-vertical-relative:paragraph;z-index:-1328248" coordorigin="5339,843" coordsize="10,2">
            <v:shape style="position:absolute;left:5339;top:843;width:10;height:2" coordorigin="5339,843" coordsize="10,0" path="m5339,843l5348,843e" filled="false" stroked="true" strokeweight=".72pt" strokecolor="#000000">
              <v:path arrowok="t"/>
              <v:stroke dashstyle="dash"/>
            </v:shape>
            <w10:wrap type="none"/>
          </v:group>
        </w:pict>
      </w:r>
      <w:r>
        <w:rPr/>
        <w:pict>
          <v:group style="position:absolute;margin-left:394.869995pt;margin-top:42.131744pt;width:.5pt;height:.1pt;mso-position-horizontal-relative:page;mso-position-vertical-relative:paragraph;z-index:-1328224" coordorigin="7897,843" coordsize="10,2">
            <v:shape style="position:absolute;left:7897;top:843;width:10;height:2" coordorigin="7897,843" coordsize="10,0" path="m7897,843l7907,843e" filled="false" stroked="true" strokeweight=".72pt" strokecolor="#000000">
              <v:path arrowok="t"/>
              <v:stroke dashstyle="dash"/>
            </v:shape>
            <w10:wrap type="none"/>
          </v:group>
        </w:pict>
      </w:r>
      <w:r>
        <w:rPr/>
        <w:pict>
          <v:group style="position:absolute;margin-left:444.100006pt;margin-top:42.131744pt;width:.5pt;height:.1pt;mso-position-horizontal-relative:page;mso-position-vertical-relative:paragraph;z-index:-1328200" coordorigin="8882,843" coordsize="10,2">
            <v:shape style="position:absolute;left:8882;top:843;width:10;height:2" coordorigin="8882,843" coordsize="10,0" path="m8882,843l8892,843e" filled="false" stroked="true" strokeweight=".72pt" strokecolor="#000000">
              <v:path arrowok="t"/>
              <v:stroke dashstyle="dash"/>
            </v:shape>
            <w10:wrap type="none"/>
          </v:group>
        </w:pict>
      </w:r>
      <w:r>
        <w:rPr>
          <w:rFonts w:ascii="宋体" w:hAnsi="宋体" w:cs="宋体" w:eastAsia="宋体" w:hint="default"/>
          <w:sz w:val="18"/>
          <w:szCs w:val="18"/>
        </w:rPr>
        <w:t>期初余额</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81"/>
        <w:gridCol w:w="1289"/>
        <w:gridCol w:w="1090"/>
        <w:gridCol w:w="1294"/>
        <w:gridCol w:w="1265"/>
        <w:gridCol w:w="985"/>
        <w:gridCol w:w="1224"/>
      </w:tblGrid>
      <w:tr>
        <w:trPr>
          <w:trHeight w:val="418" w:hRule="exact"/>
        </w:trPr>
        <w:tc>
          <w:tcPr>
            <w:tcW w:w="1181"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73" w:type="dxa"/>
            <w:gridSpan w:val="3"/>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3473" w:type="dxa"/>
            <w:gridSpan w:val="3"/>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初始成本</w:t>
            </w:r>
          </w:p>
        </w:tc>
      </w:tr>
      <w:tr>
        <w:trPr>
          <w:trHeight w:val="370" w:hRule="exact"/>
        </w:trPr>
        <w:tc>
          <w:tcPr>
            <w:tcW w:w="1181" w:type="dxa"/>
            <w:vMerge/>
            <w:tcBorders>
              <w:left w:val="nil" w:sz="6" w:space="0" w:color="auto"/>
              <w:right w:val="dotted" w:sz="4" w:space="0" w:color="000000"/>
            </w:tcBorders>
          </w:tcPr>
          <w:p>
            <w:pPr/>
          </w:p>
        </w:tc>
        <w:tc>
          <w:tcPr>
            <w:tcW w:w="1289"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63"/>
              <w:ind w:left="98" w:right="0"/>
              <w:jc w:val="left"/>
              <w:rPr>
                <w:rFonts w:ascii="宋体" w:hAnsi="宋体" w:cs="宋体" w:eastAsia="宋体" w:hint="default"/>
                <w:sz w:val="18"/>
                <w:szCs w:val="18"/>
              </w:rPr>
            </w:pPr>
            <w:r>
              <w:rPr>
                <w:rFonts w:ascii="宋体" w:hAnsi="宋体" w:cs="宋体" w:eastAsia="宋体" w:hint="default"/>
                <w:sz w:val="18"/>
                <w:szCs w:val="18"/>
              </w:rPr>
              <w:t>分类为以公允</w:t>
            </w:r>
          </w:p>
        </w:tc>
        <w:tc>
          <w:tcPr>
            <w:tcW w:w="1090"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指定为以公</w:t>
            </w:r>
          </w:p>
        </w:tc>
        <w:tc>
          <w:tcPr>
            <w:tcW w:w="1294" w:type="dxa"/>
            <w:tcBorders>
              <w:top w:val="dotted" w:sz="4" w:space="0" w:color="000000"/>
              <w:left w:val="dotted" w:sz="4" w:space="0" w:color="000000"/>
              <w:bottom w:val="nil" w:sz="6" w:space="0" w:color="auto"/>
              <w:right w:val="dotted" w:sz="4" w:space="0" w:color="000000"/>
            </w:tcBorders>
          </w:tcPr>
          <w:p>
            <w:pPr/>
          </w:p>
        </w:tc>
        <w:tc>
          <w:tcPr>
            <w:tcW w:w="1265"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63"/>
              <w:ind w:left="86" w:right="0"/>
              <w:jc w:val="left"/>
              <w:rPr>
                <w:rFonts w:ascii="宋体" w:hAnsi="宋体" w:cs="宋体" w:eastAsia="宋体" w:hint="default"/>
                <w:sz w:val="18"/>
                <w:szCs w:val="18"/>
              </w:rPr>
            </w:pPr>
            <w:r>
              <w:rPr>
                <w:rFonts w:ascii="宋体" w:hAnsi="宋体" w:cs="宋体" w:eastAsia="宋体" w:hint="default"/>
                <w:sz w:val="18"/>
                <w:szCs w:val="18"/>
              </w:rPr>
              <w:t>分类为以公允</w:t>
            </w:r>
          </w:p>
        </w:tc>
        <w:tc>
          <w:tcPr>
            <w:tcW w:w="985"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指定为以公</w:t>
            </w:r>
          </w:p>
        </w:tc>
        <w:tc>
          <w:tcPr>
            <w:tcW w:w="1224" w:type="dxa"/>
            <w:tcBorders>
              <w:top w:val="dotted" w:sz="4" w:space="0" w:color="000000"/>
              <w:left w:val="dotted" w:sz="4" w:space="0" w:color="000000"/>
              <w:bottom w:val="nil" w:sz="6" w:space="0" w:color="auto"/>
              <w:right w:val="nil" w:sz="6" w:space="0" w:color="auto"/>
            </w:tcBorders>
          </w:tcPr>
          <w:p>
            <w:pPr/>
          </w:p>
        </w:tc>
      </w:tr>
      <w:tr>
        <w:trPr>
          <w:trHeight w:val="312" w:hRule="exact"/>
        </w:trPr>
        <w:tc>
          <w:tcPr>
            <w:tcW w:w="1181" w:type="dxa"/>
            <w:vMerge/>
            <w:tcBorders>
              <w:left w:val="nil" w:sz="6" w:space="0" w:color="auto"/>
              <w:right w:val="dotted" w:sz="4" w:space="0" w:color="000000"/>
            </w:tcBorders>
          </w:tcPr>
          <w:p>
            <w:pPr/>
          </w:p>
        </w:tc>
        <w:tc>
          <w:tcPr>
            <w:tcW w:w="1289"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价值计量且其</w:t>
            </w:r>
          </w:p>
        </w:tc>
        <w:tc>
          <w:tcPr>
            <w:tcW w:w="1090"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允价值计量</w:t>
            </w:r>
          </w:p>
        </w:tc>
        <w:tc>
          <w:tcPr>
            <w:tcW w:w="1294" w:type="dxa"/>
            <w:tcBorders>
              <w:top w:val="nil" w:sz="6" w:space="0" w:color="auto"/>
              <w:left w:val="dotted" w:sz="4" w:space="0" w:color="000000"/>
              <w:bottom w:val="nil" w:sz="6" w:space="0" w:color="auto"/>
              <w:right w:val="dotted" w:sz="4" w:space="0" w:color="000000"/>
            </w:tcBorders>
          </w:tcPr>
          <w:p>
            <w:pPr/>
          </w:p>
        </w:tc>
        <w:tc>
          <w:tcPr>
            <w:tcW w:w="126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价值计量且其</w:t>
            </w:r>
          </w:p>
        </w:tc>
        <w:tc>
          <w:tcPr>
            <w:tcW w:w="98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允价值计量</w:t>
            </w:r>
          </w:p>
        </w:tc>
        <w:tc>
          <w:tcPr>
            <w:tcW w:w="1224" w:type="dxa"/>
            <w:tcBorders>
              <w:top w:val="nil" w:sz="6" w:space="0" w:color="auto"/>
              <w:left w:val="dotted" w:sz="4" w:space="0" w:color="000000"/>
              <w:bottom w:val="nil" w:sz="6" w:space="0" w:color="auto"/>
              <w:right w:val="nil" w:sz="6" w:space="0" w:color="auto"/>
            </w:tcBorders>
          </w:tcPr>
          <w:p>
            <w:pPr/>
          </w:p>
        </w:tc>
      </w:tr>
      <w:tr>
        <w:trPr>
          <w:trHeight w:val="312" w:hRule="exact"/>
        </w:trPr>
        <w:tc>
          <w:tcPr>
            <w:tcW w:w="1181" w:type="dxa"/>
            <w:vMerge/>
            <w:tcBorders>
              <w:left w:val="nil" w:sz="6" w:space="0" w:color="auto"/>
              <w:right w:val="dotted" w:sz="4" w:space="0" w:color="000000"/>
            </w:tcBorders>
          </w:tcPr>
          <w:p>
            <w:pPr/>
          </w:p>
        </w:tc>
        <w:tc>
          <w:tcPr>
            <w:tcW w:w="1289"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变动计入当期</w:t>
            </w:r>
          </w:p>
        </w:tc>
        <w:tc>
          <w:tcPr>
            <w:tcW w:w="1090"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且其变动计</w:t>
            </w:r>
          </w:p>
        </w:tc>
        <w:tc>
          <w:tcPr>
            <w:tcW w:w="1294"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公允价值合计</w:t>
            </w:r>
          </w:p>
        </w:tc>
        <w:tc>
          <w:tcPr>
            <w:tcW w:w="126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变动计入当期</w:t>
            </w:r>
          </w:p>
        </w:tc>
        <w:tc>
          <w:tcPr>
            <w:tcW w:w="98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且其变动计</w:t>
            </w:r>
          </w:p>
        </w:tc>
        <w:tc>
          <w:tcPr>
            <w:tcW w:w="1224" w:type="dxa"/>
            <w:tcBorders>
              <w:top w:val="nil" w:sz="6" w:space="0" w:color="auto"/>
              <w:left w:val="dotted" w:sz="4" w:space="0" w:color="000000"/>
              <w:bottom w:val="nil" w:sz="6" w:space="0" w:color="auto"/>
              <w:right w:val="nil" w:sz="6" w:space="0" w:color="auto"/>
            </w:tcBorders>
          </w:tcPr>
          <w:p>
            <w:pPr>
              <w:pStyle w:val="TableParagraph"/>
              <w:spacing w:line="240" w:lineRule="auto" w:before="10"/>
              <w:ind w:left="64" w:right="0"/>
              <w:jc w:val="left"/>
              <w:rPr>
                <w:rFonts w:ascii="宋体" w:hAnsi="宋体" w:cs="宋体" w:eastAsia="宋体" w:hint="default"/>
                <w:sz w:val="18"/>
                <w:szCs w:val="18"/>
              </w:rPr>
            </w:pPr>
            <w:r>
              <w:rPr>
                <w:rFonts w:ascii="宋体" w:hAnsi="宋体" w:cs="宋体" w:eastAsia="宋体" w:hint="default"/>
                <w:sz w:val="18"/>
                <w:szCs w:val="18"/>
              </w:rPr>
              <w:t>初始成本合计</w:t>
            </w:r>
          </w:p>
        </w:tc>
      </w:tr>
      <w:tr>
        <w:trPr>
          <w:trHeight w:val="312" w:hRule="exact"/>
        </w:trPr>
        <w:tc>
          <w:tcPr>
            <w:tcW w:w="1181" w:type="dxa"/>
            <w:vMerge/>
            <w:tcBorders>
              <w:left w:val="nil" w:sz="6" w:space="0" w:color="auto"/>
              <w:right w:val="dotted" w:sz="4" w:space="0" w:color="000000"/>
            </w:tcBorders>
          </w:tcPr>
          <w:p>
            <w:pPr/>
          </w:p>
        </w:tc>
        <w:tc>
          <w:tcPr>
            <w:tcW w:w="1289"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损益的金融资</w:t>
            </w:r>
          </w:p>
        </w:tc>
        <w:tc>
          <w:tcPr>
            <w:tcW w:w="1090"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入当期损益</w:t>
            </w:r>
          </w:p>
        </w:tc>
        <w:tc>
          <w:tcPr>
            <w:tcW w:w="1294" w:type="dxa"/>
            <w:tcBorders>
              <w:top w:val="nil" w:sz="6" w:space="0" w:color="auto"/>
              <w:left w:val="dotted" w:sz="4" w:space="0" w:color="000000"/>
              <w:bottom w:val="nil" w:sz="6" w:space="0" w:color="auto"/>
              <w:right w:val="dotted" w:sz="4" w:space="0" w:color="000000"/>
            </w:tcBorders>
          </w:tcPr>
          <w:p>
            <w:pPr/>
          </w:p>
        </w:tc>
        <w:tc>
          <w:tcPr>
            <w:tcW w:w="126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损益的金融资</w:t>
            </w:r>
          </w:p>
        </w:tc>
        <w:tc>
          <w:tcPr>
            <w:tcW w:w="985" w:type="dxa"/>
            <w:tcBorders>
              <w:top w:val="nil" w:sz="6" w:space="0" w:color="auto"/>
              <w:left w:val="dotted" w:sz="4" w:space="0" w:color="000000"/>
              <w:bottom w:val="nil" w:sz="6" w:space="0" w:color="auto"/>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入当期损益</w:t>
            </w:r>
          </w:p>
        </w:tc>
        <w:tc>
          <w:tcPr>
            <w:tcW w:w="1224" w:type="dxa"/>
            <w:tcBorders>
              <w:top w:val="nil" w:sz="6" w:space="0" w:color="auto"/>
              <w:left w:val="dotted" w:sz="4" w:space="0" w:color="000000"/>
              <w:bottom w:val="nil" w:sz="6" w:space="0" w:color="auto"/>
              <w:right w:val="nil" w:sz="6" w:space="0" w:color="auto"/>
            </w:tcBorders>
          </w:tcPr>
          <w:p>
            <w:pPr/>
          </w:p>
        </w:tc>
      </w:tr>
      <w:tr>
        <w:trPr>
          <w:trHeight w:val="357" w:hRule="exact"/>
        </w:trPr>
        <w:tc>
          <w:tcPr>
            <w:tcW w:w="1181" w:type="dxa"/>
            <w:vMerge/>
            <w:tcBorders>
              <w:left w:val="nil" w:sz="6" w:space="0" w:color="auto"/>
              <w:bottom w:val="dotted" w:sz="4" w:space="0" w:color="000000"/>
              <w:right w:val="dotted" w:sz="4" w:space="0" w:color="000000"/>
            </w:tcBorders>
          </w:tcPr>
          <w:p>
            <w:pPr/>
          </w:p>
        </w:tc>
        <w:tc>
          <w:tcPr>
            <w:tcW w:w="1289"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090"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的金融资产</w:t>
            </w:r>
          </w:p>
        </w:tc>
        <w:tc>
          <w:tcPr>
            <w:tcW w:w="1294" w:type="dxa"/>
            <w:tcBorders>
              <w:top w:val="nil" w:sz="6" w:space="0" w:color="auto"/>
              <w:left w:val="dotted" w:sz="4" w:space="0" w:color="000000"/>
              <w:bottom w:val="dotted" w:sz="4" w:space="0" w:color="000000"/>
              <w:right w:val="dotted" w:sz="4" w:space="0" w:color="000000"/>
            </w:tcBorders>
          </w:tcPr>
          <w:p>
            <w:pPr/>
          </w:p>
        </w:tc>
        <w:tc>
          <w:tcPr>
            <w:tcW w:w="1265"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产</w:t>
            </w:r>
          </w:p>
        </w:tc>
        <w:tc>
          <w:tcPr>
            <w:tcW w:w="985"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的金融资产</w:t>
            </w:r>
          </w:p>
        </w:tc>
        <w:tc>
          <w:tcPr>
            <w:tcW w:w="1224" w:type="dxa"/>
            <w:tcBorders>
              <w:top w:val="nil" w:sz="6" w:space="0" w:color="auto"/>
              <w:left w:val="dotted" w:sz="4" w:space="0" w:color="000000"/>
              <w:bottom w:val="dotted" w:sz="4" w:space="0" w:color="000000"/>
              <w:right w:val="nil" w:sz="6" w:space="0" w:color="auto"/>
            </w:tcBorders>
          </w:tcPr>
          <w:p>
            <w:pPr/>
          </w:p>
        </w:tc>
      </w:tr>
      <w:tr>
        <w:trPr>
          <w:trHeight w:val="373" w:hRule="exact"/>
        </w:trPr>
        <w:tc>
          <w:tcPr>
            <w:tcW w:w="1181" w:type="dxa"/>
            <w:tcBorders>
              <w:top w:val="dotted" w:sz="4" w:space="0" w:color="000000"/>
              <w:left w:val="nil" w:sz="6" w:space="0" w:color="auto"/>
              <w:bottom w:val="nil" w:sz="6" w:space="0" w:color="auto"/>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pacing w:val="8"/>
                <w:sz w:val="18"/>
                <w:szCs w:val="18"/>
              </w:rPr>
              <w:t>以公允价值计</w:t>
            </w:r>
          </w:p>
        </w:tc>
        <w:tc>
          <w:tcPr>
            <w:tcW w:w="1289" w:type="dxa"/>
            <w:vMerge w:val="restart"/>
            <w:tcBorders>
              <w:top w:val="dotted" w:sz="4" w:space="0" w:color="000000"/>
              <w:left w:val="dotted" w:sz="4" w:space="0" w:color="000000"/>
              <w:right w:val="dotted" w:sz="4" w:space="0" w:color="000000"/>
            </w:tcBorders>
          </w:tcPr>
          <w:p>
            <w:pPr/>
          </w:p>
        </w:tc>
        <w:tc>
          <w:tcPr>
            <w:tcW w:w="1090" w:type="dxa"/>
            <w:vMerge w:val="restart"/>
            <w:tcBorders>
              <w:top w:val="dotted" w:sz="4" w:space="0" w:color="000000"/>
              <w:left w:val="dotted" w:sz="4" w:space="0" w:color="000000"/>
              <w:right w:val="dotted" w:sz="4" w:space="0" w:color="000000"/>
            </w:tcBorders>
          </w:tcPr>
          <w:p>
            <w:pPr/>
          </w:p>
        </w:tc>
        <w:tc>
          <w:tcPr>
            <w:tcW w:w="1294" w:type="dxa"/>
            <w:vMerge w:val="restart"/>
            <w:tcBorders>
              <w:top w:val="dotted" w:sz="4" w:space="0" w:color="000000"/>
              <w:left w:val="dotted" w:sz="4" w:space="0" w:color="000000"/>
              <w:right w:val="dotted" w:sz="4" w:space="0" w:color="000000"/>
            </w:tcBorders>
          </w:tcPr>
          <w:p>
            <w:pPr/>
          </w:p>
        </w:tc>
        <w:tc>
          <w:tcPr>
            <w:tcW w:w="1265" w:type="dxa"/>
            <w:vMerge w:val="restart"/>
            <w:tcBorders>
              <w:top w:val="dotted" w:sz="4" w:space="0" w:color="000000"/>
              <w:left w:val="dotted" w:sz="4" w:space="0" w:color="000000"/>
              <w:right w:val="dotted" w:sz="4" w:space="0" w:color="000000"/>
            </w:tcBorders>
          </w:tcPr>
          <w:p>
            <w:pPr/>
          </w:p>
        </w:tc>
        <w:tc>
          <w:tcPr>
            <w:tcW w:w="985" w:type="dxa"/>
            <w:vMerge w:val="restart"/>
            <w:tcBorders>
              <w:top w:val="dotted" w:sz="4" w:space="0" w:color="000000"/>
              <w:left w:val="dotted" w:sz="4" w:space="0" w:color="000000"/>
              <w:right w:val="dotted" w:sz="4" w:space="0" w:color="000000"/>
            </w:tcBorders>
          </w:tcPr>
          <w:p>
            <w:pPr/>
          </w:p>
        </w:tc>
        <w:tc>
          <w:tcPr>
            <w:tcW w:w="1224" w:type="dxa"/>
            <w:vMerge w:val="restart"/>
            <w:tcBorders>
              <w:top w:val="dotted" w:sz="4" w:space="0" w:color="000000"/>
              <w:left w:val="dotted" w:sz="4" w:space="0" w:color="000000"/>
              <w:right w:val="nil" w:sz="6" w:space="0" w:color="auto"/>
            </w:tcBorders>
          </w:tcPr>
          <w:p>
            <w:pPr/>
          </w:p>
        </w:tc>
      </w:tr>
      <w:tr>
        <w:trPr>
          <w:trHeight w:val="312" w:hRule="exact"/>
        </w:trPr>
        <w:tc>
          <w:tcPr>
            <w:tcW w:w="1181" w:type="dxa"/>
            <w:tcBorders>
              <w:top w:val="nil" w:sz="6" w:space="0" w:color="auto"/>
              <w:left w:val="nil" w:sz="6" w:space="0" w:color="auto"/>
              <w:bottom w:val="nil" w:sz="6" w:space="0" w:color="auto"/>
              <w:right w:val="dotted"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8"/>
                <w:sz w:val="18"/>
                <w:szCs w:val="18"/>
              </w:rPr>
              <w:t>量且其变动计</w:t>
            </w:r>
          </w:p>
        </w:tc>
        <w:tc>
          <w:tcPr>
            <w:tcW w:w="1289" w:type="dxa"/>
            <w:vMerge/>
            <w:tcBorders>
              <w:left w:val="dotted" w:sz="4" w:space="0" w:color="000000"/>
              <w:right w:val="dotted" w:sz="4" w:space="0" w:color="000000"/>
            </w:tcBorders>
          </w:tcPr>
          <w:p>
            <w:pPr/>
          </w:p>
        </w:tc>
        <w:tc>
          <w:tcPr>
            <w:tcW w:w="1090" w:type="dxa"/>
            <w:vMerge/>
            <w:tcBorders>
              <w:left w:val="dotted" w:sz="4" w:space="0" w:color="000000"/>
              <w:right w:val="dotted" w:sz="4" w:space="0" w:color="000000"/>
            </w:tcBorders>
          </w:tcPr>
          <w:p>
            <w:pPr/>
          </w:p>
        </w:tc>
        <w:tc>
          <w:tcPr>
            <w:tcW w:w="1294" w:type="dxa"/>
            <w:vMerge/>
            <w:tcBorders>
              <w:left w:val="dotted" w:sz="4" w:space="0" w:color="000000"/>
              <w:right w:val="dotted" w:sz="4" w:space="0" w:color="000000"/>
            </w:tcBorders>
          </w:tcPr>
          <w:p>
            <w:pPr/>
          </w:p>
        </w:tc>
        <w:tc>
          <w:tcPr>
            <w:tcW w:w="1265" w:type="dxa"/>
            <w:vMerge/>
            <w:tcBorders>
              <w:left w:val="dotted" w:sz="4" w:space="0" w:color="000000"/>
              <w:right w:val="dotted" w:sz="4" w:space="0" w:color="000000"/>
            </w:tcBorders>
          </w:tcPr>
          <w:p>
            <w:pPr/>
          </w:p>
        </w:tc>
        <w:tc>
          <w:tcPr>
            <w:tcW w:w="985" w:type="dxa"/>
            <w:vMerge/>
            <w:tcBorders>
              <w:left w:val="dotted" w:sz="4" w:space="0" w:color="000000"/>
              <w:right w:val="dotted" w:sz="4" w:space="0" w:color="000000"/>
            </w:tcBorders>
          </w:tcPr>
          <w:p>
            <w:pPr/>
          </w:p>
        </w:tc>
        <w:tc>
          <w:tcPr>
            <w:tcW w:w="1224" w:type="dxa"/>
            <w:vMerge/>
            <w:tcBorders>
              <w:left w:val="dotted" w:sz="4" w:space="0" w:color="000000"/>
              <w:right w:val="nil" w:sz="6" w:space="0" w:color="auto"/>
            </w:tcBorders>
          </w:tcPr>
          <w:p>
            <w:pPr/>
          </w:p>
        </w:tc>
      </w:tr>
      <w:tr>
        <w:trPr>
          <w:trHeight w:val="312" w:hRule="exact"/>
        </w:trPr>
        <w:tc>
          <w:tcPr>
            <w:tcW w:w="1181" w:type="dxa"/>
            <w:tcBorders>
              <w:top w:val="nil" w:sz="6" w:space="0" w:color="auto"/>
              <w:left w:val="nil" w:sz="6" w:space="0" w:color="auto"/>
              <w:bottom w:val="nil" w:sz="6" w:space="0" w:color="auto"/>
              <w:right w:val="dotted"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8"/>
                <w:sz w:val="18"/>
                <w:szCs w:val="18"/>
              </w:rPr>
              <w:t>入当期损益的</w:t>
            </w:r>
          </w:p>
        </w:tc>
        <w:tc>
          <w:tcPr>
            <w:tcW w:w="1289" w:type="dxa"/>
            <w:vMerge/>
            <w:tcBorders>
              <w:left w:val="dotted" w:sz="4" w:space="0" w:color="000000"/>
              <w:right w:val="dotted" w:sz="4" w:space="0" w:color="000000"/>
            </w:tcBorders>
          </w:tcPr>
          <w:p>
            <w:pPr/>
          </w:p>
        </w:tc>
        <w:tc>
          <w:tcPr>
            <w:tcW w:w="1090" w:type="dxa"/>
            <w:vMerge/>
            <w:tcBorders>
              <w:left w:val="dotted" w:sz="4" w:space="0" w:color="000000"/>
              <w:right w:val="dotted" w:sz="4" w:space="0" w:color="000000"/>
            </w:tcBorders>
          </w:tcPr>
          <w:p>
            <w:pPr/>
          </w:p>
        </w:tc>
        <w:tc>
          <w:tcPr>
            <w:tcW w:w="1294" w:type="dxa"/>
            <w:vMerge/>
            <w:tcBorders>
              <w:left w:val="dotted" w:sz="4" w:space="0" w:color="000000"/>
              <w:right w:val="dotted" w:sz="4" w:space="0" w:color="000000"/>
            </w:tcBorders>
          </w:tcPr>
          <w:p>
            <w:pPr/>
          </w:p>
        </w:tc>
        <w:tc>
          <w:tcPr>
            <w:tcW w:w="1265" w:type="dxa"/>
            <w:vMerge/>
            <w:tcBorders>
              <w:left w:val="dotted" w:sz="4" w:space="0" w:color="000000"/>
              <w:right w:val="dotted" w:sz="4" w:space="0" w:color="000000"/>
            </w:tcBorders>
          </w:tcPr>
          <w:p>
            <w:pPr/>
          </w:p>
        </w:tc>
        <w:tc>
          <w:tcPr>
            <w:tcW w:w="985" w:type="dxa"/>
            <w:vMerge/>
            <w:tcBorders>
              <w:left w:val="dotted" w:sz="4" w:space="0" w:color="000000"/>
              <w:right w:val="dotted" w:sz="4" w:space="0" w:color="000000"/>
            </w:tcBorders>
          </w:tcPr>
          <w:p>
            <w:pPr/>
          </w:p>
        </w:tc>
        <w:tc>
          <w:tcPr>
            <w:tcW w:w="1224" w:type="dxa"/>
            <w:vMerge/>
            <w:tcBorders>
              <w:left w:val="dotted" w:sz="4" w:space="0" w:color="000000"/>
              <w:right w:val="nil" w:sz="6" w:space="0" w:color="auto"/>
            </w:tcBorders>
          </w:tcPr>
          <w:p>
            <w:pPr/>
          </w:p>
        </w:tc>
      </w:tr>
      <w:tr>
        <w:trPr>
          <w:trHeight w:val="357" w:hRule="exact"/>
        </w:trPr>
        <w:tc>
          <w:tcPr>
            <w:tcW w:w="1181" w:type="dxa"/>
            <w:tcBorders>
              <w:top w:val="nil" w:sz="6" w:space="0" w:color="auto"/>
              <w:left w:val="nil" w:sz="6" w:space="0" w:color="auto"/>
              <w:bottom w:val="dotted" w:sz="4" w:space="0" w:color="000000"/>
              <w:right w:val="dotted"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289" w:type="dxa"/>
            <w:vMerge/>
            <w:tcBorders>
              <w:left w:val="dotted" w:sz="4" w:space="0" w:color="000000"/>
              <w:bottom w:val="dotted" w:sz="4" w:space="0" w:color="000000"/>
              <w:right w:val="dotted" w:sz="4" w:space="0" w:color="000000"/>
            </w:tcBorders>
          </w:tcPr>
          <w:p>
            <w:pPr/>
          </w:p>
        </w:tc>
        <w:tc>
          <w:tcPr>
            <w:tcW w:w="1090" w:type="dxa"/>
            <w:vMerge/>
            <w:tcBorders>
              <w:left w:val="dotted" w:sz="4" w:space="0" w:color="000000"/>
              <w:bottom w:val="dotted" w:sz="4" w:space="0" w:color="000000"/>
              <w:right w:val="dotted" w:sz="4" w:space="0" w:color="000000"/>
            </w:tcBorders>
          </w:tcPr>
          <w:p>
            <w:pPr/>
          </w:p>
        </w:tc>
        <w:tc>
          <w:tcPr>
            <w:tcW w:w="1294" w:type="dxa"/>
            <w:vMerge/>
            <w:tcBorders>
              <w:left w:val="dotted" w:sz="4" w:space="0" w:color="000000"/>
              <w:bottom w:val="dotted" w:sz="4" w:space="0" w:color="000000"/>
              <w:right w:val="dotted" w:sz="4" w:space="0" w:color="000000"/>
            </w:tcBorders>
          </w:tcPr>
          <w:p>
            <w:pPr/>
          </w:p>
        </w:tc>
        <w:tc>
          <w:tcPr>
            <w:tcW w:w="1265" w:type="dxa"/>
            <w:vMerge/>
            <w:tcBorders>
              <w:left w:val="dotted" w:sz="4" w:space="0" w:color="000000"/>
              <w:bottom w:val="dotted" w:sz="4" w:space="0" w:color="000000"/>
              <w:right w:val="dotted" w:sz="4" w:space="0" w:color="000000"/>
            </w:tcBorders>
          </w:tcPr>
          <w:p>
            <w:pPr/>
          </w:p>
        </w:tc>
        <w:tc>
          <w:tcPr>
            <w:tcW w:w="985" w:type="dxa"/>
            <w:vMerge/>
            <w:tcBorders>
              <w:left w:val="dotted" w:sz="4" w:space="0" w:color="000000"/>
              <w:bottom w:val="dotted" w:sz="4" w:space="0" w:color="000000"/>
              <w:right w:val="dotted" w:sz="4" w:space="0" w:color="000000"/>
            </w:tcBorders>
          </w:tcPr>
          <w:p>
            <w:pPr/>
          </w:p>
        </w:tc>
        <w:tc>
          <w:tcPr>
            <w:tcW w:w="1224" w:type="dxa"/>
            <w:vMerge/>
            <w:tcBorders>
              <w:left w:val="dotted" w:sz="4" w:space="0" w:color="000000"/>
              <w:bottom w:val="dotted" w:sz="4" w:space="0" w:color="000000"/>
              <w:right w:val="nil" w:sz="6" w:space="0" w:color="auto"/>
            </w:tcBorders>
          </w:tcPr>
          <w:p>
            <w:pPr/>
          </w:p>
        </w:tc>
      </w:tr>
      <w:tr>
        <w:trPr>
          <w:trHeight w:val="418" w:hRule="exact"/>
        </w:trPr>
        <w:tc>
          <w:tcPr>
            <w:tcW w:w="11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1289" w:type="dxa"/>
            <w:tcBorders>
              <w:top w:val="dotted" w:sz="4" w:space="0" w:color="000000"/>
              <w:left w:val="dotted" w:sz="4" w:space="0" w:color="000000"/>
              <w:bottom w:val="dotted" w:sz="4" w:space="0" w:color="000000"/>
              <w:right w:val="dotted" w:sz="4" w:space="0" w:color="000000"/>
            </w:tcBorders>
          </w:tcPr>
          <w:p>
            <w:pPr/>
          </w:p>
        </w:tc>
        <w:tc>
          <w:tcPr>
            <w:tcW w:w="1090" w:type="dxa"/>
            <w:tcBorders>
              <w:top w:val="dotted" w:sz="4" w:space="0" w:color="000000"/>
              <w:left w:val="dotted" w:sz="4" w:space="0" w:color="000000"/>
              <w:bottom w:val="dotted" w:sz="4" w:space="0" w:color="000000"/>
              <w:right w:val="dotted" w:sz="4" w:space="0" w:color="000000"/>
            </w:tcBorders>
          </w:tcPr>
          <w:p>
            <w:pPr/>
          </w:p>
        </w:tc>
        <w:tc>
          <w:tcPr>
            <w:tcW w:w="1294" w:type="dxa"/>
            <w:tcBorders>
              <w:top w:val="dotted" w:sz="4" w:space="0" w:color="000000"/>
              <w:left w:val="dotted" w:sz="4" w:space="0" w:color="000000"/>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
        </w:tc>
        <w:tc>
          <w:tcPr>
            <w:tcW w:w="985"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1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271,546,372.00</w:t>
            </w:r>
          </w:p>
        </w:tc>
        <w:tc>
          <w:tcPr>
            <w:tcW w:w="1090" w:type="dxa"/>
            <w:tcBorders>
              <w:top w:val="dotted" w:sz="4" w:space="0" w:color="000000"/>
              <w:left w:val="dotted" w:sz="4" w:space="0" w:color="000000"/>
              <w:bottom w:val="dotted" w:sz="4" w:space="0" w:color="000000"/>
              <w:right w:val="dotted" w:sz="4" w:space="0" w:color="000000"/>
            </w:tcBorders>
          </w:tcPr>
          <w:p>
            <w:pP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271,546,372.00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226,740,232.00</w:t>
            </w:r>
          </w:p>
        </w:tc>
        <w:tc>
          <w:tcPr>
            <w:tcW w:w="985"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226,740,232.00</w:t>
            </w:r>
          </w:p>
        </w:tc>
      </w:tr>
      <w:tr>
        <w:trPr>
          <w:trHeight w:val="415" w:hRule="exact"/>
        </w:trPr>
        <w:tc>
          <w:tcPr>
            <w:tcW w:w="11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272,333,080.00</w:t>
            </w:r>
          </w:p>
        </w:tc>
        <w:tc>
          <w:tcPr>
            <w:tcW w:w="1090" w:type="dxa"/>
            <w:tcBorders>
              <w:top w:val="dotted" w:sz="4" w:space="0" w:color="000000"/>
              <w:left w:val="dotted" w:sz="4" w:space="0" w:color="000000"/>
              <w:bottom w:val="dotted" w:sz="4" w:space="0" w:color="000000"/>
              <w:right w:val="dotted" w:sz="4" w:space="0" w:color="000000"/>
            </w:tcBorders>
          </w:tcPr>
          <w:p>
            <w:pP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272,333,080.00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280,220,000.00</w:t>
            </w:r>
          </w:p>
        </w:tc>
        <w:tc>
          <w:tcPr>
            <w:tcW w:w="985" w:type="dxa"/>
            <w:tcBorders>
              <w:top w:val="dotted" w:sz="4" w:space="0" w:color="000000"/>
              <w:left w:val="dotted" w:sz="4" w:space="0" w:color="000000"/>
              <w:bottom w:val="dotted" w:sz="4" w:space="0" w:color="000000"/>
              <w:right w:val="dotted" w:sz="4" w:space="0" w:color="000000"/>
            </w:tcBorders>
          </w:tcPr>
          <w:p>
            <w:pPr/>
          </w:p>
        </w:tc>
        <w:tc>
          <w:tcPr>
            <w:tcW w:w="1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280,220,000.00</w:t>
            </w:r>
          </w:p>
        </w:tc>
      </w:tr>
      <w:tr>
        <w:trPr>
          <w:trHeight w:val="430" w:hRule="exact"/>
        </w:trPr>
        <w:tc>
          <w:tcPr>
            <w:tcW w:w="11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143" w:right="0"/>
              <w:jc w:val="left"/>
              <w:rPr>
                <w:rFonts w:ascii="Times New Roman" w:hAnsi="Times New Roman" w:cs="Times New Roman" w:eastAsia="Times New Roman" w:hint="default"/>
                <w:sz w:val="18"/>
                <w:szCs w:val="18"/>
              </w:rPr>
            </w:pPr>
            <w:r>
              <w:rPr>
                <w:rFonts w:ascii="Times New Roman"/>
                <w:sz w:val="18"/>
              </w:rPr>
              <w:t>543,879,452.00</w:t>
            </w:r>
          </w:p>
        </w:tc>
        <w:tc>
          <w:tcPr>
            <w:tcW w:w="1090" w:type="dxa"/>
            <w:tcBorders>
              <w:top w:val="dotted" w:sz="4" w:space="0" w:color="000000"/>
              <w:left w:val="dotted" w:sz="4" w:space="0" w:color="000000"/>
              <w:bottom w:val="single" w:sz="12" w:space="0" w:color="000000"/>
              <w:right w:val="dotted" w:sz="4" w:space="0" w:color="000000"/>
            </w:tcBorders>
          </w:tcPr>
          <w:p>
            <w:pPr/>
          </w:p>
        </w:tc>
        <w:tc>
          <w:tcPr>
            <w:tcW w:w="12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148" w:right="0"/>
              <w:jc w:val="left"/>
              <w:rPr>
                <w:rFonts w:ascii="Times New Roman" w:hAnsi="Times New Roman" w:cs="Times New Roman" w:eastAsia="Times New Roman" w:hint="default"/>
                <w:sz w:val="18"/>
                <w:szCs w:val="18"/>
              </w:rPr>
            </w:pPr>
            <w:r>
              <w:rPr>
                <w:rFonts w:ascii="Times New Roman"/>
                <w:sz w:val="18"/>
              </w:rPr>
              <w:t>543,879,452.00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117" w:right="0"/>
              <w:jc w:val="left"/>
              <w:rPr>
                <w:rFonts w:ascii="Times New Roman" w:hAnsi="Times New Roman" w:cs="Times New Roman" w:eastAsia="Times New Roman" w:hint="default"/>
                <w:sz w:val="18"/>
                <w:szCs w:val="18"/>
              </w:rPr>
            </w:pPr>
            <w:r>
              <w:rPr>
                <w:rFonts w:ascii="Times New Roman"/>
                <w:sz w:val="18"/>
              </w:rPr>
              <w:t>506,960,232.00</w:t>
            </w:r>
          </w:p>
        </w:tc>
        <w:tc>
          <w:tcPr>
            <w:tcW w:w="985" w:type="dxa"/>
            <w:tcBorders>
              <w:top w:val="dotted" w:sz="4" w:space="0" w:color="000000"/>
              <w:left w:val="dotted" w:sz="4" w:space="0" w:color="000000"/>
              <w:bottom w:val="single" w:sz="12" w:space="0" w:color="000000"/>
              <w:right w:val="dotted" w:sz="4" w:space="0" w:color="000000"/>
            </w:tcBorders>
          </w:tcPr>
          <w:p>
            <w:pPr/>
          </w:p>
        </w:tc>
        <w:tc>
          <w:tcPr>
            <w:tcW w:w="1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left="76" w:right="0"/>
              <w:jc w:val="left"/>
              <w:rPr>
                <w:rFonts w:ascii="Times New Roman" w:hAnsi="Times New Roman" w:cs="Times New Roman" w:eastAsia="Times New Roman" w:hint="default"/>
                <w:sz w:val="18"/>
                <w:szCs w:val="18"/>
              </w:rPr>
            </w:pPr>
            <w:r>
              <w:rPr>
                <w:rFonts w:ascii="Times New Roman"/>
                <w:sz w:val="18"/>
              </w:rPr>
              <w:t>506,960,232.00</w:t>
            </w:r>
          </w:p>
        </w:tc>
      </w:tr>
    </w:tbl>
    <w:p>
      <w:pPr>
        <w:spacing w:line="234" w:lineRule="exact" w:before="31"/>
        <w:ind w:left="138" w:right="185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：因执行新金融工具准则，该项目期初余额与上年末余额存在差异。差异情况详见附注四（四十二）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line="230" w:lineRule="exact" w:before="45"/>
        <w:ind w:left="138" w:right="185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：权益工具投资为公司非证券业务板块的公允价值变动计入损益的非上市股权投资；其他为预期持有 期间超过一年的集合信托计划。</w:t>
      </w:r>
    </w:p>
    <w:p>
      <w:pPr>
        <w:spacing w:line="240" w:lineRule="auto" w:before="11"/>
        <w:rPr>
          <w:rFonts w:ascii="宋体" w:hAnsi="宋体" w:cs="宋体" w:eastAsia="宋体" w:hint="default"/>
          <w:sz w:val="14"/>
          <w:szCs w:val="14"/>
        </w:rPr>
      </w:pPr>
    </w:p>
    <w:p>
      <w:pPr>
        <w:pStyle w:val="Heading4"/>
        <w:spacing w:line="240" w:lineRule="auto"/>
        <w:ind w:left="740" w:right="1786"/>
        <w:jc w:val="left"/>
        <w:rPr>
          <w:b w:val="0"/>
          <w:bCs w:val="0"/>
        </w:rPr>
      </w:pPr>
      <w:r>
        <w:rPr/>
        <w:t>注释 </w:t>
      </w:r>
      <w:r>
        <w:rPr>
          <w:rFonts w:ascii="Times New Roman" w:hAnsi="Times New Roman" w:cs="Times New Roman" w:eastAsia="Times New Roman" w:hint="default"/>
        </w:rPr>
        <w:t>21. </w:t>
      </w:r>
      <w:r>
        <w:rPr>
          <w:rFonts w:ascii="Times New Roman" w:hAnsi="Times New Roman" w:cs="Times New Roman" w:eastAsia="Times New Roman" w:hint="default"/>
          <w:spacing w:val="6"/>
        </w:rPr>
        <w:t> </w:t>
      </w:r>
      <w:r>
        <w:rPr/>
        <w:t>固定资产</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507"/>
        <w:gridCol w:w="2331"/>
        <w:gridCol w:w="2705"/>
      </w:tblGrid>
      <w:tr>
        <w:trPr>
          <w:trHeight w:val="360" w:hRule="exact"/>
        </w:trPr>
        <w:tc>
          <w:tcPr>
            <w:tcW w:w="350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562"/>
              <w:jc w:val="right"/>
              <w:rPr>
                <w:rFonts w:ascii="宋体" w:hAnsi="宋体" w:cs="宋体" w:eastAsia="宋体" w:hint="default"/>
                <w:sz w:val="18"/>
                <w:szCs w:val="18"/>
              </w:rPr>
            </w:pPr>
            <w:r>
              <w:rPr>
                <w:rFonts w:ascii="宋体" w:hAnsi="宋体" w:cs="宋体" w:eastAsia="宋体" w:hint="default"/>
                <w:sz w:val="18"/>
                <w:szCs w:val="18"/>
              </w:rPr>
              <w:t>项目</w:t>
            </w:r>
          </w:p>
        </w:tc>
        <w:tc>
          <w:tcPr>
            <w:tcW w:w="23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5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112,967,809.22</w:t>
            </w:r>
          </w:p>
        </w:tc>
        <w:tc>
          <w:tcPr>
            <w:tcW w:w="27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89,587,278.27</w:t>
            </w:r>
          </w:p>
        </w:tc>
      </w:tr>
      <w:tr>
        <w:trPr>
          <w:trHeight w:val="360" w:hRule="exact"/>
        </w:trPr>
        <w:tc>
          <w:tcPr>
            <w:tcW w:w="35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562"/>
              <w:jc w:val="right"/>
              <w:rPr>
                <w:rFonts w:ascii="宋体" w:hAnsi="宋体" w:cs="宋体" w:eastAsia="宋体" w:hint="default"/>
                <w:sz w:val="18"/>
                <w:szCs w:val="18"/>
              </w:rPr>
            </w:pPr>
            <w:r>
              <w:rPr>
                <w:rFonts w:ascii="宋体" w:hAnsi="宋体" w:cs="宋体" w:eastAsia="宋体" w:hint="default"/>
                <w:sz w:val="18"/>
                <w:szCs w:val="18"/>
              </w:rPr>
              <w:t>合计</w:t>
            </w:r>
          </w:p>
        </w:tc>
        <w:tc>
          <w:tcPr>
            <w:tcW w:w="23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112,967,809.22</w:t>
            </w:r>
          </w:p>
        </w:tc>
        <w:tc>
          <w:tcPr>
            <w:tcW w:w="27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89,587,278.27</w:t>
            </w:r>
          </w:p>
        </w:tc>
      </w:tr>
    </w:tbl>
    <w:p>
      <w:pPr>
        <w:spacing w:line="240" w:lineRule="auto" w:before="0"/>
        <w:rPr>
          <w:rFonts w:ascii="Microsoft JhengHei" w:hAnsi="Microsoft JhengHei" w:cs="Microsoft JhengHei" w:eastAsia="Microsoft JhengHei" w:hint="default"/>
          <w:b/>
          <w:bCs/>
          <w:sz w:val="6"/>
          <w:szCs w:val="6"/>
        </w:rPr>
      </w:pPr>
    </w:p>
    <w:p>
      <w:pPr>
        <w:pStyle w:val="Heading4"/>
        <w:spacing w:line="335" w:lineRule="exact"/>
        <w:ind w:left="558" w:right="1786"/>
        <w:jc w:val="left"/>
        <w:rPr>
          <w:b w:val="0"/>
          <w:bCs w:val="0"/>
        </w:rPr>
      </w:pPr>
      <w:r>
        <w:rPr/>
        <w:t>（一）固定资产</w:t>
      </w:r>
      <w:r>
        <w:rPr>
          <w:b w:val="0"/>
          <w:bCs w:val="0"/>
        </w:rPr>
      </w:r>
    </w:p>
    <w:p>
      <w:pPr>
        <w:spacing w:after="0" w:line="335" w:lineRule="exact"/>
        <w:jc w:val="left"/>
        <w:sectPr>
          <w:pgSz w:w="11910" w:h="16840"/>
          <w:pgMar w:header="0"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rebuchet MS" w:hAnsi="Trebuchet MS" w:cs="Trebuchet MS" w:eastAsia="Trebuchet MS" w:hint="default"/>
        </w:rPr>
        <w:t>1</w:t>
      </w:r>
      <w:r>
        <w:rPr/>
        <w:t>．</w:t>
      </w:r>
      <w:r>
        <w:rPr>
          <w:spacing w:val="41"/>
        </w:rPr>
        <w:t> </w:t>
      </w:r>
      <w:r>
        <w:rPr/>
        <w:t>固定资产情况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3195"/>
        <w:gridCol w:w="1637"/>
        <w:gridCol w:w="1932"/>
        <w:gridCol w:w="1836"/>
        <w:gridCol w:w="2194"/>
        <w:gridCol w:w="2381"/>
      </w:tblGrid>
      <w:tr>
        <w:trPr>
          <w:trHeight w:val="427" w:hRule="exact"/>
        </w:trPr>
        <w:tc>
          <w:tcPr>
            <w:tcW w:w="31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27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328" w:right="0"/>
              <w:jc w:val="left"/>
              <w:rPr>
                <w:rFonts w:ascii="宋体" w:hAnsi="宋体" w:cs="宋体" w:eastAsia="宋体" w:hint="default"/>
                <w:sz w:val="18"/>
                <w:szCs w:val="18"/>
              </w:rPr>
            </w:pPr>
            <w:r>
              <w:rPr>
                <w:rFonts w:ascii="宋体" w:hAnsi="宋体" w:cs="宋体" w:eastAsia="宋体" w:hint="default"/>
                <w:sz w:val="18"/>
                <w:szCs w:val="18"/>
              </w:rPr>
              <w:t>电子及机器设备</w:t>
            </w:r>
          </w:p>
        </w:tc>
        <w:tc>
          <w:tcPr>
            <w:tcW w:w="18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55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办公设备</w:t>
            </w:r>
          </w:p>
        </w:tc>
        <w:tc>
          <w:tcPr>
            <w:tcW w:w="23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．账面原值</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）期初余额</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
              <w:jc w:val="right"/>
              <w:rPr>
                <w:rFonts w:ascii="Times New Roman" w:hAnsi="Times New Roman" w:cs="Times New Roman" w:eastAsia="Times New Roman" w:hint="default"/>
                <w:sz w:val="18"/>
                <w:szCs w:val="18"/>
              </w:rPr>
            </w:pPr>
            <w:r>
              <w:rPr>
                <w:rFonts w:ascii="Times New Roman"/>
                <w:spacing w:val="-1"/>
                <w:sz w:val="18"/>
              </w:rPr>
              <w:t>33,803,100.83</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
              <w:jc w:val="right"/>
              <w:rPr>
                <w:rFonts w:ascii="Times New Roman" w:hAnsi="Times New Roman" w:cs="Times New Roman" w:eastAsia="Times New Roman" w:hint="default"/>
                <w:sz w:val="18"/>
                <w:szCs w:val="18"/>
              </w:rPr>
            </w:pPr>
            <w:r>
              <w:rPr>
                <w:rFonts w:ascii="Times New Roman"/>
                <w:spacing w:val="-1"/>
                <w:sz w:val="18"/>
              </w:rPr>
              <w:t>130,705,331.13</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
              <w:jc w:val="right"/>
              <w:rPr>
                <w:rFonts w:ascii="Times New Roman" w:hAnsi="Times New Roman" w:cs="Times New Roman" w:eastAsia="Times New Roman" w:hint="default"/>
                <w:sz w:val="18"/>
                <w:szCs w:val="18"/>
              </w:rPr>
            </w:pPr>
            <w:r>
              <w:rPr>
                <w:rFonts w:ascii="Times New Roman"/>
                <w:spacing w:val="-1"/>
                <w:sz w:val="18"/>
              </w:rPr>
              <w:t>25,447,694.74</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0"/>
              <w:jc w:val="right"/>
              <w:rPr>
                <w:rFonts w:ascii="Times New Roman" w:hAnsi="Times New Roman" w:cs="Times New Roman" w:eastAsia="Times New Roman" w:hint="default"/>
                <w:sz w:val="18"/>
                <w:szCs w:val="18"/>
              </w:rPr>
            </w:pPr>
            <w:r>
              <w:rPr>
                <w:rFonts w:ascii="Times New Roman"/>
                <w:spacing w:val="-1"/>
                <w:sz w:val="18"/>
              </w:rPr>
              <w:t>10,022,799.92</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199,978,926.62</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58,856,772.64</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2,793,793.79</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608,843.42</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62,259,409.85</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58,856,772.64</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2,775,100.20</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608,843.42</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62,240,716.26</w:t>
            </w:r>
          </w:p>
        </w:tc>
      </w:tr>
      <w:tr>
        <w:trPr>
          <w:trHeight w:val="415"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—其他（汇兑损益导致）</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18,693.59</w:t>
            </w: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18,693.59</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9"/>
              <w:jc w:val="right"/>
              <w:rPr>
                <w:rFonts w:ascii="Times New Roman" w:hAnsi="Times New Roman" w:cs="Times New Roman" w:eastAsia="Times New Roman" w:hint="default"/>
                <w:sz w:val="18"/>
                <w:szCs w:val="18"/>
              </w:rPr>
            </w:pPr>
            <w:r>
              <w:rPr>
                <w:rFonts w:ascii="Times New Roman"/>
                <w:spacing w:val="-1"/>
                <w:sz w:val="18"/>
              </w:rPr>
              <w:t>27,000.00</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15,929,070.32</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9"/>
              <w:jc w:val="right"/>
              <w:rPr>
                <w:rFonts w:ascii="Times New Roman" w:hAnsi="Times New Roman" w:cs="Times New Roman" w:eastAsia="Times New Roman" w:hint="default"/>
                <w:sz w:val="18"/>
                <w:szCs w:val="18"/>
              </w:rPr>
            </w:pPr>
            <w:r>
              <w:rPr>
                <w:rFonts w:ascii="Times New Roman"/>
                <w:spacing w:val="-1"/>
                <w:sz w:val="18"/>
              </w:rPr>
              <w:t>1,811,214.00</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pacing w:val="-1"/>
                <w:sz w:val="18"/>
              </w:rPr>
              <w:t>2,863,221.81</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pacing w:val="-1"/>
                <w:sz w:val="18"/>
              </w:rPr>
              <w:t>20,630,506.13</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9"/>
              <w:jc w:val="right"/>
              <w:rPr>
                <w:rFonts w:ascii="Times New Roman" w:hAnsi="Times New Roman" w:cs="Times New Roman" w:eastAsia="Times New Roman" w:hint="default"/>
                <w:sz w:val="18"/>
                <w:szCs w:val="18"/>
              </w:rPr>
            </w:pPr>
            <w:r>
              <w:rPr>
                <w:rFonts w:ascii="Times New Roman"/>
                <w:spacing w:val="-1"/>
                <w:sz w:val="18"/>
              </w:rPr>
              <w:t>27,000.00</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15,929,070.32</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9"/>
              <w:jc w:val="right"/>
              <w:rPr>
                <w:rFonts w:ascii="Times New Roman" w:hAnsi="Times New Roman" w:cs="Times New Roman" w:eastAsia="Times New Roman" w:hint="default"/>
                <w:sz w:val="18"/>
                <w:szCs w:val="18"/>
              </w:rPr>
            </w:pPr>
            <w:r>
              <w:rPr>
                <w:rFonts w:ascii="Times New Roman"/>
                <w:spacing w:val="-1"/>
                <w:sz w:val="18"/>
              </w:rPr>
              <w:t>1,811,214.00</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pacing w:val="-1"/>
                <w:sz w:val="18"/>
              </w:rPr>
              <w:t>2,863,221.81</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pacing w:val="-1"/>
                <w:sz w:val="18"/>
              </w:rPr>
              <w:t>20,630,506.13</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—处置子公司减少</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6"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33,776,100.83</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173,633,033.45</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26,430,274.53</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7,768,421.53</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241,607,830.34</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．累计折旧</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）期初余额</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13,090,988.26</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78,734,200.02</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15,165,620.45</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3,400,839.62</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110,391,648.35</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671,673.46</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27,885,320.36</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2,696,983.61</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990,312.38</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32,244,289.81</w:t>
            </w:r>
          </w:p>
        </w:tc>
      </w:tr>
      <w:tr>
        <w:trPr>
          <w:trHeight w:val="415"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671,673.46</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27,885,320.36</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2,696,983.61</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990,312.38</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32,244,289.81</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11,185,317.63</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1,756,877.58</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1,053,721.83</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13,995,917.04</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11,185,317.63</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1,756,877.58</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1,053,721.83</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13,995,917.04</w:t>
            </w: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—处置子公司减少</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31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6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13,762,661.72</w:t>
            </w:r>
          </w:p>
        </w:tc>
        <w:tc>
          <w:tcPr>
            <w:tcW w:w="19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95,434,202.75</w:t>
            </w:r>
          </w:p>
        </w:tc>
        <w:tc>
          <w:tcPr>
            <w:tcW w:w="18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16,105,726.48</w:t>
            </w:r>
          </w:p>
        </w:tc>
        <w:tc>
          <w:tcPr>
            <w:tcW w:w="21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3,337,430.17</w:t>
            </w:r>
          </w:p>
        </w:tc>
        <w:tc>
          <w:tcPr>
            <w:tcW w:w="23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128,640,021.12</w:t>
            </w:r>
          </w:p>
        </w:tc>
      </w:tr>
    </w:tbl>
    <w:p>
      <w:pPr>
        <w:spacing w:after="0" w:line="240" w:lineRule="auto"/>
        <w:jc w:val="right"/>
        <w:rPr>
          <w:rFonts w:ascii="Times New Roman" w:hAnsi="Times New Roman" w:cs="Times New Roman" w:eastAsia="Times New Roman" w:hint="default"/>
          <w:sz w:val="18"/>
          <w:szCs w:val="18"/>
        </w:rPr>
        <w:sectPr>
          <w:headerReference w:type="default" r:id="rId54"/>
          <w:footerReference w:type="default" r:id="rId55"/>
          <w:pgSz w:w="16840" w:h="11910" w:orient="landscape"/>
          <w:pgMar w:header="877" w:footer="980" w:top="1100" w:bottom="1160" w:left="1300" w:right="2000"/>
          <w:pgNumType w:start="18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3195"/>
        <w:gridCol w:w="1637"/>
        <w:gridCol w:w="1932"/>
        <w:gridCol w:w="1836"/>
        <w:gridCol w:w="2194"/>
        <w:gridCol w:w="2381"/>
      </w:tblGrid>
      <w:tr>
        <w:trPr>
          <w:trHeight w:val="427" w:hRule="exact"/>
        </w:trPr>
        <w:tc>
          <w:tcPr>
            <w:tcW w:w="31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．减值准备</w:t>
            </w:r>
          </w:p>
        </w:tc>
        <w:tc>
          <w:tcPr>
            <w:tcW w:w="1637" w:type="dxa"/>
            <w:tcBorders>
              <w:top w:val="single" w:sz="12" w:space="0" w:color="000000"/>
              <w:left w:val="dotted" w:sz="4" w:space="0" w:color="000000"/>
              <w:bottom w:val="dotted" w:sz="4" w:space="0" w:color="000000"/>
              <w:right w:val="dotted" w:sz="4" w:space="0" w:color="000000"/>
            </w:tcBorders>
          </w:tcPr>
          <w:p>
            <w:pPr/>
          </w:p>
        </w:tc>
        <w:tc>
          <w:tcPr>
            <w:tcW w:w="1932" w:type="dxa"/>
            <w:tcBorders>
              <w:top w:val="single" w:sz="12" w:space="0" w:color="000000"/>
              <w:left w:val="dotted" w:sz="4" w:space="0" w:color="000000"/>
              <w:bottom w:val="dotted" w:sz="4" w:space="0" w:color="000000"/>
              <w:right w:val="dotted" w:sz="4" w:space="0" w:color="000000"/>
            </w:tcBorders>
          </w:tcPr>
          <w:p>
            <w:pPr/>
          </w:p>
        </w:tc>
        <w:tc>
          <w:tcPr>
            <w:tcW w:w="1836" w:type="dxa"/>
            <w:tcBorders>
              <w:top w:val="single" w:sz="12" w:space="0" w:color="000000"/>
              <w:left w:val="dotted" w:sz="4" w:space="0" w:color="000000"/>
              <w:bottom w:val="dotted" w:sz="4" w:space="0" w:color="000000"/>
              <w:right w:val="dotted" w:sz="4" w:space="0" w:color="000000"/>
            </w:tcBorders>
          </w:tcPr>
          <w:p>
            <w:pPr/>
          </w:p>
        </w:tc>
        <w:tc>
          <w:tcPr>
            <w:tcW w:w="2194" w:type="dxa"/>
            <w:tcBorders>
              <w:top w:val="single" w:sz="12" w:space="0" w:color="000000"/>
              <w:left w:val="dotted" w:sz="4" w:space="0" w:color="000000"/>
              <w:bottom w:val="dotted" w:sz="4" w:space="0" w:color="000000"/>
              <w:right w:val="dotted" w:sz="4" w:space="0" w:color="000000"/>
            </w:tcBorders>
          </w:tcPr>
          <w:p>
            <w:pPr/>
          </w:p>
        </w:tc>
        <w:tc>
          <w:tcPr>
            <w:tcW w:w="2381" w:type="dxa"/>
            <w:tcBorders>
              <w:top w:val="single" w:sz="12" w:space="0" w:color="000000"/>
              <w:left w:val="dotted" w:sz="4" w:space="0" w:color="000000"/>
              <w:bottom w:val="dotted" w:sz="4" w:space="0" w:color="000000"/>
              <w:right w:val="nil" w:sz="6" w:space="0" w:color="auto"/>
            </w:tcBorders>
          </w:tcPr>
          <w:p>
            <w:pP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）期初余额</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）期末余额</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．账面价值</w:t>
            </w:r>
          </w:p>
        </w:tc>
        <w:tc>
          <w:tcPr>
            <w:tcW w:w="1637" w:type="dxa"/>
            <w:tcBorders>
              <w:top w:val="dotted" w:sz="4" w:space="0" w:color="000000"/>
              <w:left w:val="dotted" w:sz="4" w:space="0" w:color="000000"/>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
        </w:tc>
        <w:tc>
          <w:tcPr>
            <w:tcW w:w="1836" w:type="dxa"/>
            <w:tcBorders>
              <w:top w:val="dotted" w:sz="4" w:space="0" w:color="000000"/>
              <w:left w:val="dotted" w:sz="4" w:space="0" w:color="000000"/>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
        </w:tc>
        <w:tc>
          <w:tcPr>
            <w:tcW w:w="238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1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6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20,013,439.11</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78,198,830.70</w:t>
            </w:r>
          </w:p>
        </w:tc>
        <w:tc>
          <w:tcPr>
            <w:tcW w:w="18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10,324,548.05</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4,430,991.36</w:t>
            </w:r>
          </w:p>
        </w:tc>
        <w:tc>
          <w:tcPr>
            <w:tcW w:w="23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112,967,809.22</w:t>
            </w:r>
          </w:p>
        </w:tc>
      </w:tr>
      <w:tr>
        <w:trPr>
          <w:trHeight w:val="427" w:hRule="exact"/>
        </w:trPr>
        <w:tc>
          <w:tcPr>
            <w:tcW w:w="31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6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20,712,112.57</w:t>
            </w:r>
          </w:p>
        </w:tc>
        <w:tc>
          <w:tcPr>
            <w:tcW w:w="19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51,971,131.11</w:t>
            </w:r>
          </w:p>
        </w:tc>
        <w:tc>
          <w:tcPr>
            <w:tcW w:w="18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10,282,074.29</w:t>
            </w:r>
          </w:p>
        </w:tc>
        <w:tc>
          <w:tcPr>
            <w:tcW w:w="21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6,621,960.30</w:t>
            </w:r>
          </w:p>
        </w:tc>
        <w:tc>
          <w:tcPr>
            <w:tcW w:w="23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89,587,278.27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80" w:top="1100" w:bottom="1160" w:left="1300" w:right="2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22. </w:t>
      </w:r>
      <w:r>
        <w:rPr>
          <w:rFonts w:ascii="Times New Roman" w:hAnsi="Times New Roman" w:cs="Times New Roman" w:eastAsia="Times New Roman" w:hint="default"/>
          <w:spacing w:val="6"/>
        </w:rPr>
        <w:t> </w:t>
      </w:r>
      <w:r>
        <w:rPr/>
        <w:t>无形资产</w:t>
      </w:r>
      <w:r>
        <w:rPr>
          <w:b w:val="0"/>
          <w:bCs w:val="0"/>
        </w:rPr>
      </w:r>
    </w:p>
    <w:p>
      <w:pPr>
        <w:pStyle w:val="Heading4"/>
        <w:spacing w:line="240" w:lineRule="auto" w:before="81"/>
        <w:ind w:right="1786"/>
        <w:jc w:val="left"/>
        <w:rPr>
          <w:b w:val="0"/>
          <w:bCs w:val="0"/>
        </w:rPr>
      </w:pPr>
      <w:r>
        <w:rPr>
          <w:rFonts w:ascii="Trebuchet MS" w:hAnsi="Trebuchet MS" w:cs="Trebuchet MS" w:eastAsia="Trebuchet MS" w:hint="default"/>
          <w:w w:val="105"/>
        </w:rPr>
        <w:t>1.</w:t>
      </w:r>
      <w:r>
        <w:rPr>
          <w:w w:val="105"/>
        </w:rPr>
        <w:t>无形资产情况</w:t>
      </w:r>
      <w:r>
        <w:rPr>
          <w:b w:val="0"/>
          <w:bCs w:val="0"/>
          <w:w w:val="105"/>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529"/>
        <w:gridCol w:w="1321"/>
        <w:gridCol w:w="1217"/>
        <w:gridCol w:w="1215"/>
        <w:gridCol w:w="1154"/>
        <w:gridCol w:w="1215"/>
        <w:gridCol w:w="1320"/>
      </w:tblGrid>
      <w:tr>
        <w:trPr>
          <w:trHeight w:val="350" w:hRule="exact"/>
        </w:trPr>
        <w:tc>
          <w:tcPr>
            <w:tcW w:w="15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151"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2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151" w:right="0"/>
              <w:jc w:val="left"/>
              <w:rPr>
                <w:rFonts w:ascii="宋体" w:hAnsi="宋体" w:cs="宋体" w:eastAsia="宋体" w:hint="default"/>
                <w:sz w:val="18"/>
                <w:szCs w:val="18"/>
              </w:rPr>
            </w:pPr>
            <w:r>
              <w:rPr>
                <w:rFonts w:ascii="宋体" w:hAnsi="宋体" w:cs="宋体" w:eastAsia="宋体" w:hint="default"/>
                <w:sz w:val="18"/>
                <w:szCs w:val="18"/>
              </w:rPr>
              <w:t>交易席位费</w:t>
            </w:r>
          </w:p>
        </w:tc>
        <w:tc>
          <w:tcPr>
            <w:tcW w:w="11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31"/>
              <w:jc w:val="right"/>
              <w:rPr>
                <w:rFonts w:ascii="宋体" w:hAnsi="宋体" w:cs="宋体" w:eastAsia="宋体" w:hint="default"/>
                <w:sz w:val="18"/>
                <w:szCs w:val="18"/>
              </w:rPr>
            </w:pPr>
            <w:r>
              <w:rPr>
                <w:rFonts w:ascii="宋体" w:hAnsi="宋体" w:cs="宋体" w:eastAsia="宋体" w:hint="default"/>
                <w:sz w:val="18"/>
                <w:szCs w:val="18"/>
              </w:rPr>
              <w:t>期货会员资格</w:t>
            </w:r>
          </w:p>
        </w:tc>
        <w:tc>
          <w:tcPr>
            <w:tcW w:w="12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331"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账面原值</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期初余额</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pacing w:val="-1"/>
                <w:sz w:val="18"/>
              </w:rPr>
              <w:t>87,904,620.60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62,800,000.00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left="160" w:right="0"/>
              <w:jc w:val="left"/>
              <w:rPr>
                <w:rFonts w:ascii="Times New Roman" w:hAnsi="Times New Roman" w:cs="Times New Roman" w:eastAsia="Times New Roman" w:hint="default"/>
                <w:sz w:val="18"/>
                <w:szCs w:val="18"/>
              </w:rPr>
            </w:pPr>
            <w:r>
              <w:rPr>
                <w:rFonts w:ascii="Times New Roman"/>
                <w:sz w:val="18"/>
              </w:rPr>
              <w:t>17,600,000.00</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3"/>
              <w:ind w:right="7"/>
              <w:jc w:val="right"/>
              <w:rPr>
                <w:rFonts w:ascii="Times New Roman" w:hAnsi="Times New Roman" w:cs="Times New Roman" w:eastAsia="Times New Roman" w:hint="default"/>
                <w:sz w:val="18"/>
                <w:szCs w:val="18"/>
              </w:rPr>
            </w:pPr>
            <w:r>
              <w:rPr>
                <w:rFonts w:ascii="Times New Roman"/>
                <w:spacing w:val="-1"/>
                <w:sz w:val="18"/>
              </w:rPr>
              <w:t>1,400,000.00</w:t>
            </w: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169,704,620.60</w:t>
            </w: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本期增加金额</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15,240,110.53</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21,671,697.84</w:t>
            </w: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36,911,808.37</w:t>
            </w: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388"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right="8"/>
              <w:jc w:val="right"/>
              <w:rPr>
                <w:rFonts w:ascii="Times New Roman" w:hAnsi="Times New Roman" w:cs="Times New Roman" w:eastAsia="Times New Roman" w:hint="default"/>
                <w:sz w:val="18"/>
                <w:szCs w:val="18"/>
              </w:rPr>
            </w:pPr>
            <w:r>
              <w:rPr>
                <w:rFonts w:ascii="Times New Roman"/>
                <w:spacing w:val="-1"/>
                <w:sz w:val="18"/>
              </w:rPr>
              <w:t>14,292,661.50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14,292,661.50</w:t>
            </w:r>
          </w:p>
        </w:tc>
      </w:tr>
      <w:tr>
        <w:trPr>
          <w:trHeight w:val="41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88" w:right="0"/>
              <w:jc w:val="left"/>
              <w:rPr>
                <w:rFonts w:ascii="宋体" w:hAnsi="宋体" w:cs="宋体" w:eastAsia="宋体" w:hint="default"/>
                <w:sz w:val="18"/>
                <w:szCs w:val="18"/>
              </w:rPr>
            </w:pPr>
            <w:r>
              <w:rPr>
                <w:rFonts w:ascii="宋体" w:hAnsi="宋体" w:cs="宋体" w:eastAsia="宋体" w:hint="default"/>
                <w:sz w:val="18"/>
                <w:szCs w:val="18"/>
              </w:rPr>
              <w:t>内部研发</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3"/>
              <w:ind w:right="7"/>
              <w:jc w:val="right"/>
              <w:rPr>
                <w:rFonts w:ascii="Times New Roman" w:hAnsi="Times New Roman" w:cs="Times New Roman" w:eastAsia="Times New Roman" w:hint="default"/>
                <w:sz w:val="18"/>
                <w:szCs w:val="18"/>
              </w:rPr>
            </w:pPr>
            <w:r>
              <w:rPr>
                <w:rFonts w:ascii="Times New Roman"/>
                <w:spacing w:val="-1"/>
                <w:sz w:val="18"/>
              </w:rPr>
              <w:t>947,449.03</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3"/>
              <w:ind w:right="8"/>
              <w:jc w:val="right"/>
              <w:rPr>
                <w:rFonts w:ascii="Times New Roman" w:hAnsi="Times New Roman" w:cs="Times New Roman" w:eastAsia="Times New Roman" w:hint="default"/>
                <w:sz w:val="18"/>
                <w:szCs w:val="18"/>
              </w:rPr>
            </w:pPr>
            <w:r>
              <w:rPr>
                <w:rFonts w:ascii="Times New Roman"/>
                <w:spacing w:val="-1"/>
                <w:sz w:val="18"/>
              </w:rPr>
              <w:t>21,671,697.84</w:t>
            </w: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22,619,146.87</w:t>
            </w: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本期减少金额</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88"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88"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期末余额</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103,144,731.13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60" w:right="0"/>
              <w:jc w:val="left"/>
              <w:rPr>
                <w:rFonts w:ascii="Times New Roman" w:hAnsi="Times New Roman" w:cs="Times New Roman" w:eastAsia="Times New Roman" w:hint="default"/>
                <w:sz w:val="18"/>
                <w:szCs w:val="18"/>
              </w:rPr>
            </w:pPr>
            <w:r>
              <w:rPr>
                <w:rFonts w:ascii="Times New Roman"/>
                <w:sz w:val="18"/>
              </w:rPr>
              <w:t>62,800,000.00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60" w:right="0"/>
              <w:jc w:val="left"/>
              <w:rPr>
                <w:rFonts w:ascii="Times New Roman" w:hAnsi="Times New Roman" w:cs="Times New Roman" w:eastAsia="Times New Roman" w:hint="default"/>
                <w:sz w:val="18"/>
                <w:szCs w:val="18"/>
              </w:rPr>
            </w:pPr>
            <w:r>
              <w:rPr>
                <w:rFonts w:ascii="Times New Roman"/>
                <w:sz w:val="18"/>
              </w:rPr>
              <w:t>17,600,000.00</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1,400,000.00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21,671,697.84</w:t>
            </w: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206,616,428.97</w:t>
            </w: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累计摊销</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期初余额</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43,024,257.27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60" w:right="0"/>
              <w:jc w:val="left"/>
              <w:rPr>
                <w:rFonts w:ascii="Times New Roman" w:hAnsi="Times New Roman" w:cs="Times New Roman" w:eastAsia="Times New Roman" w:hint="default"/>
                <w:sz w:val="18"/>
                <w:szCs w:val="18"/>
              </w:rPr>
            </w:pPr>
            <w:r>
              <w:rPr>
                <w:rFonts w:ascii="Times New Roman"/>
                <w:sz w:val="18"/>
              </w:rPr>
              <w:t>62,800,000.00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60" w:right="0"/>
              <w:jc w:val="left"/>
              <w:rPr>
                <w:rFonts w:ascii="Times New Roman" w:hAnsi="Times New Roman" w:cs="Times New Roman" w:eastAsia="Times New Roman" w:hint="default"/>
                <w:sz w:val="18"/>
                <w:szCs w:val="18"/>
              </w:rPr>
            </w:pPr>
            <w:r>
              <w:rPr>
                <w:rFonts w:ascii="Times New Roman"/>
                <w:sz w:val="18"/>
              </w:rPr>
              <w:t>17,600,000.00</w:t>
            </w: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123,424,257.27</w:t>
            </w: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本期增加金额</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right="8"/>
              <w:jc w:val="right"/>
              <w:rPr>
                <w:rFonts w:ascii="Times New Roman" w:hAnsi="Times New Roman" w:cs="Times New Roman" w:eastAsia="Times New Roman" w:hint="default"/>
                <w:sz w:val="18"/>
                <w:szCs w:val="18"/>
              </w:rPr>
            </w:pPr>
            <w:r>
              <w:rPr>
                <w:rFonts w:ascii="Times New Roman"/>
                <w:spacing w:val="-1"/>
                <w:sz w:val="18"/>
              </w:rPr>
              <w:t>16,614,051.06</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1"/>
              <w:ind w:right="7"/>
              <w:jc w:val="right"/>
              <w:rPr>
                <w:rFonts w:ascii="Times New Roman" w:hAnsi="Times New Roman" w:cs="Times New Roman" w:eastAsia="Times New Roman" w:hint="default"/>
                <w:sz w:val="18"/>
                <w:szCs w:val="18"/>
              </w:rPr>
            </w:pPr>
            <w:r>
              <w:rPr>
                <w:rFonts w:ascii="Times New Roman"/>
                <w:spacing w:val="-1"/>
                <w:sz w:val="18"/>
              </w:rPr>
              <w:t>361,202.19</w:t>
            </w: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16,975,253.25</w:t>
            </w:r>
          </w:p>
        </w:tc>
      </w:tr>
      <w:tr>
        <w:trPr>
          <w:trHeight w:val="41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8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16,614,051.06</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361,202.19</w:t>
            </w: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16,975,253.25</w:t>
            </w: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本期减少金额</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88"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期末余额</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59,638,308.33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60" w:right="0"/>
              <w:jc w:val="left"/>
              <w:rPr>
                <w:rFonts w:ascii="Times New Roman" w:hAnsi="Times New Roman" w:cs="Times New Roman" w:eastAsia="Times New Roman" w:hint="default"/>
                <w:sz w:val="18"/>
                <w:szCs w:val="18"/>
              </w:rPr>
            </w:pPr>
            <w:r>
              <w:rPr>
                <w:rFonts w:ascii="Times New Roman"/>
                <w:sz w:val="18"/>
              </w:rPr>
              <w:t>62,800,000.00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left="160" w:right="0"/>
              <w:jc w:val="left"/>
              <w:rPr>
                <w:rFonts w:ascii="Times New Roman" w:hAnsi="Times New Roman" w:cs="Times New Roman" w:eastAsia="Times New Roman" w:hint="default"/>
                <w:sz w:val="18"/>
                <w:szCs w:val="18"/>
              </w:rPr>
            </w:pPr>
            <w:r>
              <w:rPr>
                <w:rFonts w:ascii="Times New Roman"/>
                <w:sz w:val="18"/>
              </w:rPr>
              <w:t>17,600,000.00</w:t>
            </w: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361,202.19</w:t>
            </w: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140,399,510.52</w:t>
            </w:r>
          </w:p>
        </w:tc>
      </w:tr>
      <w:tr>
        <w:trPr>
          <w:trHeight w:val="41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减值准备</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期初余额</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本期增加金额</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38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本期减少金额</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88"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期末余额</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账面价值</w:t>
            </w:r>
          </w:p>
        </w:tc>
        <w:tc>
          <w:tcPr>
            <w:tcW w:w="1321" w:type="dxa"/>
            <w:tcBorders>
              <w:top w:val="dotted" w:sz="4" w:space="0" w:color="000000"/>
              <w:left w:val="dotted" w:sz="4" w:space="0" w:color="000000"/>
              <w:bottom w:val="dotted" w:sz="4" w:space="0" w:color="000000"/>
              <w:right w:val="dotted" w:sz="4" w:space="0" w:color="000000"/>
            </w:tcBorders>
          </w:tcPr>
          <w:p>
            <w:pP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32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期末账面价值</w:t>
            </w:r>
          </w:p>
        </w:tc>
        <w:tc>
          <w:tcPr>
            <w:tcW w:w="13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43,506,422.80</w:t>
            </w:r>
          </w:p>
        </w:tc>
        <w:tc>
          <w:tcPr>
            <w:tcW w:w="1217"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1,400,000.00</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21,310,495.65</w:t>
            </w:r>
          </w:p>
        </w:tc>
        <w:tc>
          <w:tcPr>
            <w:tcW w:w="13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66,216,918.45</w:t>
            </w:r>
          </w:p>
        </w:tc>
      </w:tr>
      <w:tr>
        <w:trPr>
          <w:trHeight w:val="430" w:hRule="exact"/>
        </w:trPr>
        <w:tc>
          <w:tcPr>
            <w:tcW w:w="15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期初账面价值</w:t>
            </w:r>
          </w:p>
        </w:tc>
        <w:tc>
          <w:tcPr>
            <w:tcW w:w="13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pacing w:val="-1"/>
                <w:sz w:val="18"/>
              </w:rPr>
              <w:t>44,880,363.33</w:t>
            </w:r>
          </w:p>
        </w:tc>
        <w:tc>
          <w:tcPr>
            <w:tcW w:w="1217" w:type="dxa"/>
            <w:tcBorders>
              <w:top w:val="dotted" w:sz="4" w:space="0" w:color="000000"/>
              <w:left w:val="dotted" w:sz="4" w:space="0" w:color="000000"/>
              <w:bottom w:val="single" w:sz="12" w:space="0" w:color="000000"/>
              <w:right w:val="dotted" w:sz="4" w:space="0" w:color="000000"/>
            </w:tcBorders>
          </w:tcPr>
          <w:p>
            <w:pPr/>
          </w:p>
        </w:tc>
        <w:tc>
          <w:tcPr>
            <w:tcW w:w="1215" w:type="dxa"/>
            <w:tcBorders>
              <w:top w:val="dotted" w:sz="4" w:space="0" w:color="000000"/>
              <w:left w:val="dotted" w:sz="4" w:space="0" w:color="000000"/>
              <w:bottom w:val="single" w:sz="12" w:space="0" w:color="000000"/>
              <w:right w:val="dotted" w:sz="4" w:space="0" w:color="000000"/>
            </w:tcBorders>
          </w:tcPr>
          <w:p>
            <w:pP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7"/>
              <w:jc w:val="right"/>
              <w:rPr>
                <w:rFonts w:ascii="Times New Roman" w:hAnsi="Times New Roman" w:cs="Times New Roman" w:eastAsia="Times New Roman" w:hint="default"/>
                <w:sz w:val="18"/>
                <w:szCs w:val="18"/>
              </w:rPr>
            </w:pPr>
            <w:r>
              <w:rPr>
                <w:rFonts w:ascii="Times New Roman"/>
                <w:spacing w:val="-1"/>
                <w:sz w:val="18"/>
              </w:rPr>
              <w:t>1,400,000.00</w:t>
            </w:r>
          </w:p>
        </w:tc>
        <w:tc>
          <w:tcPr>
            <w:tcW w:w="1215" w:type="dxa"/>
            <w:tcBorders>
              <w:top w:val="dotted" w:sz="4" w:space="0" w:color="000000"/>
              <w:left w:val="dotted" w:sz="4" w:space="0" w:color="000000"/>
              <w:bottom w:val="single" w:sz="12" w:space="0" w:color="000000"/>
              <w:right w:val="dotted" w:sz="4" w:space="0" w:color="000000"/>
            </w:tcBorders>
          </w:tcPr>
          <w:p>
            <w:pPr/>
          </w:p>
        </w:tc>
        <w:tc>
          <w:tcPr>
            <w:tcW w:w="13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3"/>
              <w:ind w:right="12"/>
              <w:jc w:val="right"/>
              <w:rPr>
                <w:rFonts w:ascii="Times New Roman" w:hAnsi="Times New Roman" w:cs="Times New Roman" w:eastAsia="Times New Roman" w:hint="default"/>
                <w:sz w:val="18"/>
                <w:szCs w:val="18"/>
              </w:rPr>
            </w:pPr>
            <w:r>
              <w:rPr>
                <w:rFonts w:ascii="Times New Roman"/>
                <w:spacing w:val="-1"/>
                <w:sz w:val="18"/>
              </w:rPr>
              <w:t>46,280,363.33</w:t>
            </w:r>
          </w:p>
        </w:tc>
      </w:tr>
    </w:tbl>
    <w:p>
      <w:pPr>
        <w:spacing w:line="240" w:lineRule="auto" w:before="15"/>
        <w:rPr>
          <w:rFonts w:ascii="Microsoft JhengHei" w:hAnsi="Microsoft JhengHei" w:cs="Microsoft JhengHei" w:eastAsia="Microsoft JhengHei" w:hint="default"/>
          <w:b/>
          <w:bCs/>
          <w:sz w:val="23"/>
          <w:szCs w:val="23"/>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23. </w:t>
      </w:r>
      <w:r>
        <w:rPr>
          <w:rFonts w:ascii="Times New Roman" w:hAnsi="Times New Roman" w:cs="Times New Roman" w:eastAsia="Times New Roman" w:hint="default"/>
          <w:spacing w:val="6"/>
        </w:rPr>
        <w:t> </w:t>
      </w:r>
      <w:r>
        <w:rPr/>
        <w:t>开发支出</w:t>
      </w:r>
      <w:r>
        <w:rPr>
          <w:b w:val="0"/>
          <w:bCs w:val="0"/>
        </w:rPr>
      </w:r>
    </w:p>
    <w:p>
      <w:pPr>
        <w:spacing w:after="0" w:line="335" w:lineRule="exact"/>
        <w:jc w:val="left"/>
        <w:sectPr>
          <w:headerReference w:type="default" r:id="rId56"/>
          <w:footerReference w:type="default" r:id="rId57"/>
          <w:pgSz w:w="11910" w:h="16840"/>
          <w:pgMar w:header="877" w:footer="979" w:top="1100" w:bottom="1160" w:left="1660" w:right="0"/>
          <w:pgNumType w:start="187"/>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1817"/>
        <w:gridCol w:w="1177"/>
        <w:gridCol w:w="1618"/>
        <w:gridCol w:w="1848"/>
        <w:gridCol w:w="1935"/>
      </w:tblGrid>
      <w:tr>
        <w:trPr>
          <w:trHeight w:val="427" w:hRule="exact"/>
        </w:trPr>
        <w:tc>
          <w:tcPr>
            <w:tcW w:w="1817"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7"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26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84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7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935" w:type="dxa"/>
            <w:vMerge w:val="restart"/>
            <w:tcBorders>
              <w:top w:val="single" w:sz="12" w:space="0" w:color="000000"/>
              <w:left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8" w:hRule="exact"/>
        </w:trPr>
        <w:tc>
          <w:tcPr>
            <w:tcW w:w="1817" w:type="dxa"/>
            <w:vMerge/>
            <w:tcBorders>
              <w:left w:val="nil" w:sz="6" w:space="0" w:color="auto"/>
              <w:bottom w:val="dotted" w:sz="4" w:space="0" w:color="000000"/>
              <w:right w:val="dotted" w:sz="4" w:space="0" w:color="000000"/>
            </w:tcBorders>
          </w:tcPr>
          <w:p>
            <w:pPr/>
          </w:p>
        </w:tc>
        <w:tc>
          <w:tcPr>
            <w:tcW w:w="1177" w:type="dxa"/>
            <w:vMerge/>
            <w:tcBorders>
              <w:left w:val="dotted" w:sz="4" w:space="0" w:color="000000"/>
              <w:bottom w:val="dotted" w:sz="4" w:space="0" w:color="000000"/>
              <w:right w:val="dotted" w:sz="4" w:space="0" w:color="000000"/>
            </w:tcBorders>
          </w:tcPr>
          <w:p>
            <w:pPr/>
          </w:p>
        </w:tc>
        <w:tc>
          <w:tcPr>
            <w:tcW w:w="16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6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87"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935" w:type="dxa"/>
            <w:vMerge/>
            <w:tcBorders>
              <w:left w:val="dotted" w:sz="4" w:space="0" w:color="000000"/>
              <w:bottom w:val="dotted" w:sz="4" w:space="0" w:color="000000"/>
              <w:right w:val="nil" w:sz="6" w:space="0" w:color="auto"/>
            </w:tcBorders>
          </w:tcPr>
          <w:p>
            <w:pPr/>
          </w:p>
        </w:tc>
      </w:tr>
      <w:tr>
        <w:trPr>
          <w:trHeight w:val="727"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10"/>
              <w:jc w:val="left"/>
              <w:rPr>
                <w:rFonts w:ascii="宋体" w:hAnsi="宋体" w:cs="宋体" w:eastAsia="宋体" w:hint="default"/>
                <w:sz w:val="18"/>
                <w:szCs w:val="18"/>
              </w:rPr>
            </w:pPr>
            <w:r>
              <w:rPr>
                <w:rFonts w:ascii="宋体" w:hAnsi="宋体" w:cs="宋体" w:eastAsia="宋体" w:hint="default"/>
                <w:spacing w:val="16"/>
                <w:sz w:val="18"/>
                <w:szCs w:val="18"/>
              </w:rPr>
              <w:t>持仓复盘大数据分析</w:t>
            </w:r>
            <w:r>
              <w:rPr>
                <w:rFonts w:ascii="宋体" w:hAnsi="宋体" w:cs="宋体" w:eastAsia="宋体" w:hint="default"/>
                <w:spacing w:val="-83"/>
                <w:sz w:val="18"/>
                <w:szCs w:val="18"/>
              </w:rPr>
              <w:t> </w:t>
            </w:r>
            <w:r>
              <w:rPr>
                <w:rFonts w:ascii="宋体" w:hAnsi="宋体" w:cs="宋体" w:eastAsia="宋体" w:hint="default"/>
                <w:sz w:val="18"/>
                <w:szCs w:val="18"/>
              </w:rPr>
              <w:t>项目</w:t>
            </w:r>
          </w:p>
        </w:tc>
        <w:tc>
          <w:tcPr>
            <w:tcW w:w="1177" w:type="dxa"/>
            <w:tcBorders>
              <w:top w:val="dotted" w:sz="4" w:space="0" w:color="000000"/>
              <w:left w:val="dotted" w:sz="4" w:space="0" w:color="000000"/>
              <w:bottom w:val="dotted" w:sz="4" w:space="0" w:color="000000"/>
              <w:right w:val="dotted" w:sz="4" w:space="0" w:color="000000"/>
            </w:tcBorders>
          </w:tcPr>
          <w:p>
            <w:pPr/>
          </w:p>
        </w:tc>
        <w:tc>
          <w:tcPr>
            <w:tcW w:w="16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359,569.80</w:t>
            </w:r>
          </w:p>
        </w:tc>
        <w:tc>
          <w:tcPr>
            <w:tcW w:w="1848"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359,569.80</w:t>
            </w:r>
          </w:p>
        </w:tc>
      </w:tr>
      <w:tr>
        <w:trPr>
          <w:trHeight w:val="730"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5"/>
              <w:ind w:left="28" w:right="-10"/>
              <w:jc w:val="left"/>
              <w:rPr>
                <w:rFonts w:ascii="宋体" w:hAnsi="宋体" w:cs="宋体" w:eastAsia="宋体" w:hint="default"/>
                <w:sz w:val="18"/>
                <w:szCs w:val="18"/>
              </w:rPr>
            </w:pPr>
            <w:r>
              <w:rPr>
                <w:rFonts w:ascii="宋体" w:hAnsi="宋体" w:cs="宋体" w:eastAsia="宋体" w:hint="default"/>
                <w:spacing w:val="16"/>
                <w:sz w:val="18"/>
                <w:szCs w:val="18"/>
              </w:rPr>
              <w:t>研报资讯快速分享平</w:t>
            </w:r>
            <w:r>
              <w:rPr>
                <w:rFonts w:ascii="宋体" w:hAnsi="宋体" w:cs="宋体" w:eastAsia="宋体" w:hint="default"/>
                <w:spacing w:val="-83"/>
                <w:sz w:val="18"/>
                <w:szCs w:val="18"/>
              </w:rPr>
              <w:t> </w:t>
            </w:r>
            <w:r>
              <w:rPr>
                <w:rFonts w:ascii="宋体" w:hAnsi="宋体" w:cs="宋体" w:eastAsia="宋体" w:hint="default"/>
                <w:sz w:val="18"/>
                <w:szCs w:val="18"/>
              </w:rPr>
              <w:t>台</w:t>
            </w:r>
          </w:p>
        </w:tc>
        <w:tc>
          <w:tcPr>
            <w:tcW w:w="1177" w:type="dxa"/>
            <w:tcBorders>
              <w:top w:val="dotted" w:sz="4" w:space="0" w:color="000000"/>
              <w:left w:val="dotted" w:sz="4" w:space="0" w:color="000000"/>
              <w:bottom w:val="dotted" w:sz="4" w:space="0" w:color="000000"/>
              <w:right w:val="dotted" w:sz="4" w:space="0" w:color="000000"/>
            </w:tcBorders>
          </w:tcPr>
          <w:p>
            <w:pPr/>
          </w:p>
        </w:tc>
        <w:tc>
          <w:tcPr>
            <w:tcW w:w="16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4,509,993.34</w:t>
            </w:r>
          </w:p>
        </w:tc>
        <w:tc>
          <w:tcPr>
            <w:tcW w:w="1848"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4,509,993.34</w:t>
            </w:r>
          </w:p>
        </w:tc>
      </w:tr>
      <w:tr>
        <w:trPr>
          <w:trHeight w:val="476"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28" w:right="0"/>
              <w:jc w:val="left"/>
              <w:rPr>
                <w:rFonts w:ascii="宋体" w:hAnsi="宋体" w:cs="宋体" w:eastAsia="宋体" w:hint="default"/>
                <w:sz w:val="18"/>
                <w:szCs w:val="18"/>
              </w:rPr>
            </w:pPr>
            <w:r>
              <w:rPr>
                <w:rFonts w:ascii="宋体" w:hAnsi="宋体" w:cs="宋体" w:eastAsia="宋体" w:hint="default"/>
                <w:sz w:val="18"/>
                <w:szCs w:val="18"/>
              </w:rPr>
              <w:t>账户智能分析系统</w:t>
            </w:r>
          </w:p>
        </w:tc>
        <w:tc>
          <w:tcPr>
            <w:tcW w:w="1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spacing w:val="-1"/>
                <w:sz w:val="18"/>
              </w:rPr>
              <w:t>478,517.51</w:t>
            </w:r>
          </w:p>
        </w:tc>
        <w:tc>
          <w:tcPr>
            <w:tcW w:w="16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0"/>
              <w:jc w:val="right"/>
              <w:rPr>
                <w:rFonts w:ascii="Times New Roman" w:hAnsi="Times New Roman" w:cs="Times New Roman" w:eastAsia="Times New Roman" w:hint="default"/>
                <w:sz w:val="18"/>
                <w:szCs w:val="18"/>
              </w:rPr>
            </w:pPr>
            <w:r>
              <w:rPr>
                <w:rFonts w:ascii="Times New Roman"/>
                <w:spacing w:val="-1"/>
                <w:sz w:val="18"/>
              </w:rPr>
              <w:t>468,931.52</w:t>
            </w:r>
          </w:p>
        </w:tc>
        <w:tc>
          <w:tcPr>
            <w:tcW w:w="1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spacing w:val="-1"/>
                <w:sz w:val="18"/>
              </w:rPr>
              <w:t>947,449.03</w:t>
            </w: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10"/>
              <w:jc w:val="left"/>
              <w:rPr>
                <w:rFonts w:ascii="宋体" w:hAnsi="宋体" w:cs="宋体" w:eastAsia="宋体" w:hint="default"/>
                <w:sz w:val="18"/>
                <w:szCs w:val="18"/>
              </w:rPr>
            </w:pPr>
            <w:r>
              <w:rPr>
                <w:rFonts w:ascii="宋体" w:hAnsi="宋体" w:cs="宋体" w:eastAsia="宋体" w:hint="default"/>
                <w:spacing w:val="16"/>
                <w:sz w:val="18"/>
                <w:szCs w:val="18"/>
              </w:rPr>
              <w:t>大数据分析自研平台</w:t>
            </w:r>
            <w:r>
              <w:rPr>
                <w:rFonts w:ascii="宋体" w:hAnsi="宋体" w:cs="宋体" w:eastAsia="宋体" w:hint="default"/>
                <w:spacing w:val="-83"/>
                <w:sz w:val="18"/>
                <w:szCs w:val="18"/>
              </w:rPr>
              <w:t> </w:t>
            </w:r>
            <w:r>
              <w:rPr>
                <w:rFonts w:ascii="宋体" w:hAnsi="宋体" w:cs="宋体" w:eastAsia="宋体" w:hint="default"/>
                <w:sz w:val="18"/>
                <w:szCs w:val="18"/>
              </w:rPr>
              <w:t>项目</w:t>
            </w:r>
          </w:p>
        </w:tc>
        <w:tc>
          <w:tcPr>
            <w:tcW w:w="1177" w:type="dxa"/>
            <w:tcBorders>
              <w:top w:val="dotted" w:sz="4" w:space="0" w:color="000000"/>
              <w:left w:val="dotted" w:sz="4" w:space="0" w:color="000000"/>
              <w:bottom w:val="dotted" w:sz="4" w:space="0" w:color="000000"/>
              <w:right w:val="dotted" w:sz="4" w:space="0" w:color="000000"/>
            </w:tcBorders>
          </w:tcPr>
          <w:p>
            <w:pPr/>
          </w:p>
        </w:tc>
        <w:tc>
          <w:tcPr>
            <w:tcW w:w="16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2,928,343.31</w:t>
            </w:r>
          </w:p>
        </w:tc>
        <w:tc>
          <w:tcPr>
            <w:tcW w:w="1848"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2,928,343.31</w:t>
            </w:r>
          </w:p>
        </w:tc>
      </w:tr>
      <w:tr>
        <w:trPr>
          <w:trHeight w:val="418"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证券推广运营平台</w:t>
            </w:r>
          </w:p>
        </w:tc>
        <w:tc>
          <w:tcPr>
            <w:tcW w:w="1177" w:type="dxa"/>
            <w:tcBorders>
              <w:top w:val="dotted" w:sz="4" w:space="0" w:color="000000"/>
              <w:left w:val="dotted" w:sz="4" w:space="0" w:color="000000"/>
              <w:bottom w:val="dotted" w:sz="4" w:space="0" w:color="000000"/>
              <w:right w:val="dotted" w:sz="4" w:space="0" w:color="000000"/>
            </w:tcBorders>
          </w:tcPr>
          <w:p>
            <w:pPr/>
          </w:p>
        </w:tc>
        <w:tc>
          <w:tcPr>
            <w:tcW w:w="16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745,834.34</w:t>
            </w:r>
          </w:p>
        </w:tc>
        <w:tc>
          <w:tcPr>
            <w:tcW w:w="1848"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745,834.34</w:t>
            </w:r>
          </w:p>
        </w:tc>
      </w:tr>
      <w:tr>
        <w:trPr>
          <w:trHeight w:val="727"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10"/>
              <w:jc w:val="left"/>
              <w:rPr>
                <w:rFonts w:ascii="宋体" w:hAnsi="宋体" w:cs="宋体" w:eastAsia="宋体" w:hint="default"/>
                <w:sz w:val="18"/>
                <w:szCs w:val="18"/>
              </w:rPr>
            </w:pPr>
            <w:r>
              <w:rPr>
                <w:rFonts w:ascii="宋体" w:hAnsi="宋体" w:cs="宋体" w:eastAsia="宋体" w:hint="default"/>
                <w:spacing w:val="16"/>
                <w:sz w:val="18"/>
                <w:szCs w:val="18"/>
              </w:rPr>
              <w:t>金融业务平台项目Ⅰ</w:t>
            </w:r>
            <w:r>
              <w:rPr>
                <w:rFonts w:ascii="宋体" w:hAnsi="宋体" w:cs="宋体" w:eastAsia="宋体" w:hint="default"/>
                <w:spacing w:val="-83"/>
                <w:sz w:val="18"/>
                <w:szCs w:val="18"/>
              </w:rPr>
              <w:t> </w:t>
            </w:r>
            <w:r>
              <w:rPr>
                <w:rFonts w:ascii="宋体" w:hAnsi="宋体" w:cs="宋体" w:eastAsia="宋体" w:hint="default"/>
                <w:sz w:val="18"/>
                <w:szCs w:val="18"/>
              </w:rPr>
              <w:t>期</w:t>
            </w:r>
          </w:p>
        </w:tc>
        <w:tc>
          <w:tcPr>
            <w:tcW w:w="1177" w:type="dxa"/>
            <w:tcBorders>
              <w:top w:val="dotted" w:sz="4" w:space="0" w:color="000000"/>
              <w:left w:val="dotted" w:sz="4" w:space="0" w:color="000000"/>
              <w:bottom w:val="dotted" w:sz="4" w:space="0" w:color="000000"/>
              <w:right w:val="dotted" w:sz="4" w:space="0" w:color="000000"/>
            </w:tcBorders>
          </w:tcPr>
          <w:p>
            <w:pPr/>
          </w:p>
        </w:tc>
        <w:tc>
          <w:tcPr>
            <w:tcW w:w="16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731,817.95</w:t>
            </w:r>
          </w:p>
        </w:tc>
        <w:tc>
          <w:tcPr>
            <w:tcW w:w="1848" w:type="dxa"/>
            <w:tcBorders>
              <w:top w:val="dotted" w:sz="4" w:space="0" w:color="000000"/>
              <w:left w:val="dotted" w:sz="4" w:space="0" w:color="000000"/>
              <w:bottom w:val="dotted" w:sz="4" w:space="0" w:color="000000"/>
              <w:right w:val="dotted" w:sz="4" w:space="0" w:color="000000"/>
            </w:tcBorders>
          </w:tcPr>
          <w:p>
            <w:pPr/>
          </w:p>
        </w:tc>
        <w:tc>
          <w:tcPr>
            <w:tcW w:w="19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731,817.95</w:t>
            </w:r>
          </w:p>
        </w:tc>
      </w:tr>
      <w:tr>
        <w:trPr>
          <w:trHeight w:val="730" w:hRule="exact"/>
        </w:trPr>
        <w:tc>
          <w:tcPr>
            <w:tcW w:w="1817" w:type="dxa"/>
            <w:tcBorders>
              <w:top w:val="dotted" w:sz="4" w:space="0" w:color="000000"/>
              <w:left w:val="nil" w:sz="6" w:space="0" w:color="auto"/>
              <w:bottom w:val="dotted" w:sz="4" w:space="0" w:color="000000"/>
              <w:right w:val="dotted" w:sz="4" w:space="0" w:color="000000"/>
            </w:tcBorders>
          </w:tcPr>
          <w:p>
            <w:pPr>
              <w:pStyle w:val="TableParagraph"/>
              <w:spacing w:line="297" w:lineRule="auto" w:before="68"/>
              <w:ind w:left="28" w:right="11"/>
              <w:jc w:val="left"/>
              <w:rPr>
                <w:rFonts w:ascii="宋体" w:hAnsi="宋体" w:cs="宋体" w:eastAsia="宋体" w:hint="default"/>
                <w:sz w:val="18"/>
                <w:szCs w:val="18"/>
              </w:rPr>
            </w:pPr>
            <w:r>
              <w:rPr>
                <w:rFonts w:ascii="宋体" w:hAnsi="宋体" w:cs="宋体" w:eastAsia="宋体" w:hint="default"/>
                <w:w w:val="95"/>
                <w:sz w:val="18"/>
                <w:szCs w:val="18"/>
              </w:rPr>
              <w:t>“国盛通”</w:t>
            </w:r>
            <w:r>
              <w:rPr>
                <w:rFonts w:ascii="Arial" w:hAnsi="Arial" w:cs="Arial" w:eastAsia="Arial" w:hint="default"/>
                <w:w w:val="95"/>
                <w:sz w:val="18"/>
                <w:szCs w:val="18"/>
              </w:rPr>
              <w:t>App </w:t>
            </w:r>
            <w:r>
              <w:rPr>
                <w:rFonts w:ascii="宋体" w:hAnsi="宋体" w:cs="宋体" w:eastAsia="宋体" w:hint="default"/>
                <w:w w:val="95"/>
                <w:sz w:val="18"/>
                <w:szCs w:val="18"/>
              </w:rPr>
              <w:t>项目Ⅱ</w:t>
            </w:r>
            <w:r>
              <w:rPr>
                <w:rFonts w:ascii="宋体" w:hAnsi="宋体" w:cs="宋体" w:eastAsia="宋体" w:hint="default"/>
                <w:spacing w:val="-84"/>
                <w:w w:val="95"/>
                <w:sz w:val="18"/>
                <w:szCs w:val="18"/>
              </w:rPr>
              <w:t> </w:t>
            </w:r>
            <w:r>
              <w:rPr>
                <w:rFonts w:ascii="宋体" w:hAnsi="宋体" w:cs="宋体" w:eastAsia="宋体" w:hint="default"/>
                <w:sz w:val="18"/>
                <w:szCs w:val="18"/>
              </w:rPr>
              <w:t>期</w:t>
            </w:r>
          </w:p>
        </w:tc>
        <w:tc>
          <w:tcPr>
            <w:tcW w:w="1177" w:type="dxa"/>
            <w:tcBorders>
              <w:top w:val="dotted" w:sz="4" w:space="0" w:color="000000"/>
              <w:left w:val="dotted" w:sz="4" w:space="0" w:color="000000"/>
              <w:bottom w:val="dotted" w:sz="4" w:space="0" w:color="000000"/>
              <w:right w:val="dotted" w:sz="4" w:space="0" w:color="000000"/>
            </w:tcBorders>
          </w:tcPr>
          <w:p>
            <w:pPr/>
          </w:p>
        </w:tc>
        <w:tc>
          <w:tcPr>
            <w:tcW w:w="16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21,671,697.84</w:t>
            </w:r>
          </w:p>
        </w:tc>
        <w:tc>
          <w:tcPr>
            <w:tcW w:w="18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21,671,697.84</w:t>
            </w:r>
          </w:p>
        </w:tc>
        <w:tc>
          <w:tcPr>
            <w:tcW w:w="1935"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18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478,517.51</w:t>
            </w:r>
          </w:p>
        </w:tc>
        <w:tc>
          <w:tcPr>
            <w:tcW w:w="16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31,416,188.10</w:t>
            </w:r>
          </w:p>
        </w:tc>
        <w:tc>
          <w:tcPr>
            <w:tcW w:w="18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pacing w:val="-1"/>
                <w:sz w:val="18"/>
              </w:rPr>
              <w:t>22,619,146.87</w:t>
            </w:r>
          </w:p>
        </w:tc>
        <w:tc>
          <w:tcPr>
            <w:tcW w:w="19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9,275,558.74</w:t>
            </w:r>
          </w:p>
        </w:tc>
      </w:tr>
    </w:tbl>
    <w:p>
      <w:pPr>
        <w:spacing w:line="240" w:lineRule="auto" w:before="16"/>
        <w:rPr>
          <w:rFonts w:ascii="Microsoft JhengHei" w:hAnsi="Microsoft JhengHei" w:cs="Microsoft JhengHei" w:eastAsia="Microsoft JhengHei" w:hint="default"/>
          <w:b/>
          <w:bCs/>
          <w:sz w:val="13"/>
          <w:szCs w:val="13"/>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商誉</w:t>
      </w:r>
      <w:r>
        <w:rPr>
          <w:b w:val="0"/>
          <w:bCs w:val="0"/>
        </w:rPr>
      </w:r>
    </w:p>
    <w:p>
      <w:pPr>
        <w:pStyle w:val="Heading4"/>
        <w:spacing w:line="240" w:lineRule="auto" w:before="81"/>
        <w:ind w:right="1786"/>
        <w:jc w:val="left"/>
        <w:rPr>
          <w:b w:val="0"/>
          <w:bCs w:val="0"/>
        </w:rPr>
      </w:pPr>
      <w:r>
        <w:rPr>
          <w:rFonts w:ascii="Trebuchet MS" w:hAnsi="Trebuchet MS" w:cs="Trebuchet MS" w:eastAsia="Trebuchet MS" w:hint="default"/>
        </w:rPr>
        <w:t>1</w:t>
      </w:r>
      <w:r>
        <w:rPr/>
        <w:t>．</w:t>
      </w:r>
      <w:r>
        <w:rPr>
          <w:spacing w:val="38"/>
        </w:rPr>
        <w:t> </w:t>
      </w:r>
      <w:r>
        <w:rPr/>
        <w:t>商誉账面原值</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245"/>
        <w:gridCol w:w="1562"/>
        <w:gridCol w:w="982"/>
        <w:gridCol w:w="720"/>
        <w:gridCol w:w="725"/>
        <w:gridCol w:w="761"/>
        <w:gridCol w:w="1493"/>
      </w:tblGrid>
      <w:tr>
        <w:trPr>
          <w:trHeight w:val="360" w:hRule="exact"/>
        </w:trPr>
        <w:tc>
          <w:tcPr>
            <w:tcW w:w="2245"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32" w:lineRule="exact"/>
              <w:ind w:left="767" w:right="118" w:hanging="629"/>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1562"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8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3" w:type="dxa"/>
            <w:vMerge w:val="restart"/>
            <w:tcBorders>
              <w:top w:val="single" w:sz="12" w:space="0" w:color="000000"/>
              <w:left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9" w:hRule="exact"/>
        </w:trPr>
        <w:tc>
          <w:tcPr>
            <w:tcW w:w="2245" w:type="dxa"/>
            <w:vMerge/>
            <w:tcBorders>
              <w:left w:val="nil" w:sz="6" w:space="0" w:color="auto"/>
              <w:bottom w:val="dotted" w:sz="4" w:space="0" w:color="000000"/>
              <w:right w:val="dotted" w:sz="4" w:space="0" w:color="000000"/>
            </w:tcBorders>
          </w:tcPr>
          <w:p>
            <w:pPr/>
          </w:p>
        </w:tc>
        <w:tc>
          <w:tcPr>
            <w:tcW w:w="1562" w:type="dxa"/>
            <w:vMerge/>
            <w:tcBorders>
              <w:left w:val="dotted" w:sz="4" w:space="0" w:color="000000"/>
              <w:bottom w:val="dotted" w:sz="4" w:space="0" w:color="000000"/>
              <w:right w:val="dotted" w:sz="4" w:space="0" w:color="000000"/>
            </w:tcBorders>
          </w:tcPr>
          <w:p>
            <w:pPr/>
          </w:p>
        </w:tc>
        <w:tc>
          <w:tcPr>
            <w:tcW w:w="982"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5"/>
              <w:ind w:left="304" w:right="125" w:hanging="180"/>
              <w:jc w:val="left"/>
              <w:rPr>
                <w:rFonts w:ascii="宋体" w:hAnsi="宋体" w:cs="宋体" w:eastAsia="宋体" w:hint="default"/>
                <w:sz w:val="18"/>
                <w:szCs w:val="18"/>
              </w:rPr>
            </w:pPr>
            <w:r>
              <w:rPr>
                <w:rFonts w:ascii="宋体" w:hAnsi="宋体" w:cs="宋体" w:eastAsia="宋体" w:hint="default"/>
                <w:sz w:val="18"/>
                <w:szCs w:val="18"/>
              </w:rPr>
              <w:t>企业合并 形成</w:t>
            </w:r>
          </w:p>
        </w:tc>
        <w:tc>
          <w:tcPr>
            <w:tcW w:w="7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3" w:type="dxa"/>
            <w:vMerge/>
            <w:tcBorders>
              <w:left w:val="dotted" w:sz="4" w:space="0" w:color="000000"/>
              <w:bottom w:val="dotted" w:sz="4" w:space="0" w:color="000000"/>
              <w:right w:val="nil" w:sz="6" w:space="0" w:color="auto"/>
            </w:tcBorders>
          </w:tcPr>
          <w:p>
            <w:pPr/>
          </w:p>
        </w:tc>
      </w:tr>
      <w:tr>
        <w:trPr>
          <w:trHeight w:val="348" w:hRule="exact"/>
        </w:trPr>
        <w:tc>
          <w:tcPr>
            <w:tcW w:w="22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国盛证券有限责任公司</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3,162,030,950.83</w:t>
            </w:r>
          </w:p>
        </w:tc>
        <w:tc>
          <w:tcPr>
            <w:tcW w:w="982"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dotted" w:sz="4" w:space="0" w:color="000000"/>
            </w:tcBorders>
          </w:tcPr>
          <w:p>
            <w:pPr/>
          </w:p>
        </w:tc>
        <w:tc>
          <w:tcPr>
            <w:tcW w:w="725"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3,162,030,950.83</w:t>
            </w:r>
          </w:p>
        </w:tc>
      </w:tr>
      <w:tr>
        <w:trPr>
          <w:trHeight w:val="948" w:hRule="exact"/>
        </w:trPr>
        <w:tc>
          <w:tcPr>
            <w:tcW w:w="2245"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55"/>
              <w:ind w:left="244" w:right="278"/>
              <w:jc w:val="left"/>
              <w:rPr>
                <w:rFonts w:ascii="Times New Roman" w:hAnsi="Times New Roman" w:cs="Times New Roman" w:eastAsia="Times New Roman" w:hint="default"/>
                <w:sz w:val="18"/>
                <w:szCs w:val="18"/>
              </w:rPr>
            </w:pPr>
            <w:r>
              <w:rPr>
                <w:rFonts w:ascii="Times New Roman"/>
                <w:sz w:val="18"/>
              </w:rPr>
              <w:t>Kingley Ying Fat</w:t>
            </w:r>
            <w:r>
              <w:rPr>
                <w:rFonts w:ascii="Times New Roman"/>
                <w:spacing w:val="-7"/>
                <w:sz w:val="18"/>
              </w:rPr>
              <w:t> </w:t>
            </w:r>
            <w:r>
              <w:rPr>
                <w:rFonts w:ascii="Times New Roman"/>
                <w:sz w:val="18"/>
              </w:rPr>
              <w:t>Paper</w:t>
            </w:r>
            <w:r>
              <w:rPr>
                <w:rFonts w:ascii="Times New Roman"/>
                <w:sz w:val="18"/>
              </w:rPr>
              <w:t> Products &amp;</w:t>
            </w:r>
            <w:r>
              <w:rPr>
                <w:rFonts w:ascii="Times New Roman"/>
                <w:spacing w:val="-3"/>
                <w:sz w:val="18"/>
              </w:rPr>
              <w:t> </w:t>
            </w:r>
            <w:r>
              <w:rPr>
                <w:rFonts w:ascii="Times New Roman"/>
                <w:sz w:val="18"/>
              </w:rPr>
              <w:t>Printing</w:t>
            </w:r>
            <w:r>
              <w:rPr>
                <w:rFonts w:ascii="Times New Roman"/>
                <w:w w:val="99"/>
                <w:sz w:val="18"/>
              </w:rPr>
              <w:t> </w:t>
            </w:r>
            <w:r>
              <w:rPr>
                <w:rFonts w:ascii="Times New Roman"/>
                <w:sz w:val="18"/>
              </w:rPr>
              <w:t>Limited</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2,069,370.36</w:t>
            </w:r>
          </w:p>
        </w:tc>
        <w:tc>
          <w:tcPr>
            <w:tcW w:w="982"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dotted" w:sz="4" w:space="0" w:color="000000"/>
            </w:tcBorders>
          </w:tcPr>
          <w:p>
            <w:pPr/>
          </w:p>
        </w:tc>
        <w:tc>
          <w:tcPr>
            <w:tcW w:w="725"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2,069,370.36</w:t>
            </w:r>
          </w:p>
        </w:tc>
      </w:tr>
      <w:tr>
        <w:trPr>
          <w:trHeight w:val="557" w:hRule="exact"/>
        </w:trPr>
        <w:tc>
          <w:tcPr>
            <w:tcW w:w="2245"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6"/>
              <w:jc w:val="left"/>
              <w:rPr>
                <w:rFonts w:ascii="宋体" w:hAnsi="宋体" w:cs="宋体" w:eastAsia="宋体" w:hint="default"/>
                <w:sz w:val="18"/>
                <w:szCs w:val="18"/>
              </w:rPr>
            </w:pPr>
            <w:r>
              <w:rPr>
                <w:rFonts w:ascii="宋体" w:hAnsi="宋体" w:cs="宋体" w:eastAsia="宋体" w:hint="default"/>
                <w:spacing w:val="2"/>
                <w:sz w:val="18"/>
                <w:szCs w:val="18"/>
              </w:rPr>
              <w:t>天津国盛信安科技有限公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473,955.15</w:t>
            </w:r>
          </w:p>
        </w:tc>
        <w:tc>
          <w:tcPr>
            <w:tcW w:w="982"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dotted" w:sz="4" w:space="0" w:color="000000"/>
            </w:tcBorders>
          </w:tcPr>
          <w:p>
            <w:pPr/>
          </w:p>
        </w:tc>
        <w:tc>
          <w:tcPr>
            <w:tcW w:w="725"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473,955.15</w:t>
            </w:r>
          </w:p>
        </w:tc>
      </w:tr>
      <w:tr>
        <w:trPr>
          <w:trHeight w:val="557" w:hRule="exact"/>
        </w:trPr>
        <w:tc>
          <w:tcPr>
            <w:tcW w:w="2245"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6"/>
              <w:jc w:val="left"/>
              <w:rPr>
                <w:rFonts w:ascii="宋体" w:hAnsi="宋体" w:cs="宋体" w:eastAsia="宋体" w:hint="default"/>
                <w:sz w:val="18"/>
                <w:szCs w:val="18"/>
              </w:rPr>
            </w:pPr>
            <w:r>
              <w:rPr>
                <w:rFonts w:ascii="宋体" w:hAnsi="宋体" w:cs="宋体" w:eastAsia="宋体" w:hint="default"/>
                <w:spacing w:val="2"/>
                <w:sz w:val="18"/>
                <w:szCs w:val="18"/>
              </w:rPr>
              <w:t>深圳前海弘大嘉豪资本管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理有限公司</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82" w:type="dxa"/>
            <w:tcBorders>
              <w:top w:val="dotted" w:sz="4" w:space="0" w:color="000000"/>
              <w:left w:val="dotted" w:sz="4" w:space="0" w:color="000000"/>
              <w:bottom w:val="dotted" w:sz="4" w:space="0" w:color="000000"/>
              <w:right w:val="dotted" w:sz="4" w:space="0" w:color="000000"/>
            </w:tcBorders>
          </w:tcPr>
          <w:p>
            <w:pPr/>
          </w:p>
        </w:tc>
        <w:tc>
          <w:tcPr>
            <w:tcW w:w="720" w:type="dxa"/>
            <w:tcBorders>
              <w:top w:val="dotted" w:sz="4" w:space="0" w:color="000000"/>
              <w:left w:val="dotted" w:sz="4" w:space="0" w:color="000000"/>
              <w:bottom w:val="dotted" w:sz="4" w:space="0" w:color="000000"/>
              <w:right w:val="dotted" w:sz="4" w:space="0" w:color="000000"/>
            </w:tcBorders>
          </w:tcPr>
          <w:p>
            <w:pPr/>
          </w:p>
        </w:tc>
        <w:tc>
          <w:tcPr>
            <w:tcW w:w="725"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350" w:hRule="exact"/>
        </w:trPr>
        <w:tc>
          <w:tcPr>
            <w:tcW w:w="22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上海多专科技有限公司</w:t>
            </w:r>
          </w:p>
        </w:tc>
        <w:tc>
          <w:tcPr>
            <w:tcW w:w="1562" w:type="dxa"/>
            <w:tcBorders>
              <w:top w:val="dotted" w:sz="4" w:space="0" w:color="000000"/>
              <w:left w:val="dotted" w:sz="4" w:space="0" w:color="000000"/>
              <w:bottom w:val="dotted" w:sz="4" w:space="0" w:color="000000"/>
              <w:right w:val="dotted" w:sz="4" w:space="0" w:color="000000"/>
            </w:tcBorders>
          </w:tcPr>
          <w:p>
            <w:pPr/>
          </w:p>
        </w:tc>
        <w:tc>
          <w:tcPr>
            <w:tcW w:w="9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20,300.00</w:t>
            </w:r>
          </w:p>
        </w:tc>
        <w:tc>
          <w:tcPr>
            <w:tcW w:w="720" w:type="dxa"/>
            <w:tcBorders>
              <w:top w:val="dotted" w:sz="4" w:space="0" w:color="000000"/>
              <w:left w:val="dotted" w:sz="4" w:space="0" w:color="000000"/>
              <w:bottom w:val="dotted" w:sz="4" w:space="0" w:color="000000"/>
              <w:right w:val="dotted" w:sz="4" w:space="0" w:color="000000"/>
            </w:tcBorders>
          </w:tcPr>
          <w:p>
            <w:pPr/>
          </w:p>
        </w:tc>
        <w:tc>
          <w:tcPr>
            <w:tcW w:w="725"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20,300.00</w:t>
            </w:r>
          </w:p>
        </w:tc>
      </w:tr>
      <w:tr>
        <w:trPr>
          <w:trHeight w:val="413" w:hRule="exact"/>
        </w:trPr>
        <w:tc>
          <w:tcPr>
            <w:tcW w:w="22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3,164,574,277.34</w:t>
            </w:r>
          </w:p>
        </w:tc>
        <w:tc>
          <w:tcPr>
            <w:tcW w:w="9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20,300.00</w:t>
            </w:r>
          </w:p>
        </w:tc>
        <w:tc>
          <w:tcPr>
            <w:tcW w:w="720" w:type="dxa"/>
            <w:tcBorders>
              <w:top w:val="dotted" w:sz="4" w:space="0" w:color="000000"/>
              <w:left w:val="dotted" w:sz="4" w:space="0" w:color="000000"/>
              <w:bottom w:val="single" w:sz="12" w:space="0" w:color="000000"/>
              <w:right w:val="dotted" w:sz="4" w:space="0" w:color="000000"/>
            </w:tcBorders>
          </w:tcPr>
          <w:p>
            <w:pPr/>
          </w:p>
        </w:tc>
        <w:tc>
          <w:tcPr>
            <w:tcW w:w="725" w:type="dxa"/>
            <w:tcBorders>
              <w:top w:val="dotted" w:sz="4" w:space="0" w:color="000000"/>
              <w:left w:val="dotted" w:sz="4" w:space="0" w:color="000000"/>
              <w:bottom w:val="single" w:sz="12" w:space="0" w:color="000000"/>
              <w:right w:val="dotted" w:sz="4" w:space="0" w:color="000000"/>
            </w:tcBorders>
          </w:tcPr>
          <w:p>
            <w:pPr/>
          </w:p>
        </w:tc>
        <w:tc>
          <w:tcPr>
            <w:tcW w:w="761" w:type="dxa"/>
            <w:tcBorders>
              <w:top w:val="dotted" w:sz="4" w:space="0" w:color="000000"/>
              <w:left w:val="dotted" w:sz="4" w:space="0" w:color="000000"/>
              <w:bottom w:val="single" w:sz="12" w:space="0" w:color="000000"/>
              <w:right w:val="dotted" w:sz="4" w:space="0" w:color="000000"/>
            </w:tcBorders>
          </w:tcPr>
          <w:p>
            <w:pPr/>
          </w:p>
        </w:tc>
        <w:tc>
          <w:tcPr>
            <w:tcW w:w="14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3,164,594,577.34</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1"/>
          <w:szCs w:val="11"/>
        </w:rPr>
      </w:pPr>
    </w:p>
    <w:p>
      <w:pPr>
        <w:pStyle w:val="Heading4"/>
        <w:spacing w:line="335" w:lineRule="exact"/>
        <w:ind w:right="1786"/>
        <w:jc w:val="left"/>
        <w:rPr>
          <w:b w:val="0"/>
          <w:bCs w:val="0"/>
        </w:rPr>
      </w:pPr>
      <w:r>
        <w:rPr>
          <w:rFonts w:ascii="Trebuchet MS" w:hAnsi="Trebuchet MS" w:cs="Trebuchet MS" w:eastAsia="Trebuchet MS" w:hint="default"/>
        </w:rPr>
        <w:t>2</w:t>
      </w:r>
      <w:r>
        <w:rPr/>
        <w:t>．</w:t>
      </w:r>
      <w:r>
        <w:rPr>
          <w:spacing w:val="38"/>
        </w:rPr>
        <w:t> </w:t>
      </w:r>
      <w:r>
        <w:rPr/>
        <w:t>商誉减值准备</w:t>
      </w:r>
      <w:r>
        <w:rPr>
          <w:b w:val="0"/>
          <w:bCs w:val="0"/>
        </w:rPr>
      </w:r>
    </w:p>
    <w:p>
      <w:pPr>
        <w:spacing w:after="0" w:line="335" w:lineRule="exact"/>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382" w:type="dxa"/>
        <w:tblLayout w:type="fixed"/>
        <w:tblCellMar>
          <w:top w:w="0" w:type="dxa"/>
          <w:left w:w="0" w:type="dxa"/>
          <w:bottom w:w="0" w:type="dxa"/>
          <w:right w:w="0" w:type="dxa"/>
        </w:tblCellMar>
        <w:tblLook w:val="01E0"/>
      </w:tblPr>
      <w:tblGrid>
        <w:gridCol w:w="1814"/>
        <w:gridCol w:w="1335"/>
        <w:gridCol w:w="1020"/>
        <w:gridCol w:w="879"/>
        <w:gridCol w:w="1027"/>
        <w:gridCol w:w="744"/>
        <w:gridCol w:w="1561"/>
      </w:tblGrid>
      <w:tr>
        <w:trPr>
          <w:trHeight w:val="360" w:hRule="exact"/>
        </w:trPr>
        <w:tc>
          <w:tcPr>
            <w:tcW w:w="1814" w:type="dxa"/>
            <w:vMerge w:val="restart"/>
            <w:tcBorders>
              <w:top w:val="single" w:sz="12" w:space="0" w:color="000000"/>
              <w:left w:val="nil" w:sz="6" w:space="0" w:color="auto"/>
              <w:right w:val="dotted" w:sz="4" w:space="0" w:color="000000"/>
            </w:tcBorders>
          </w:tcPr>
          <w:p>
            <w:pPr>
              <w:pStyle w:val="TableParagraph"/>
              <w:spacing w:line="232" w:lineRule="exact" w:before="105"/>
              <w:ind w:left="283" w:right="173" w:hanging="89"/>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335"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9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58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7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5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vMerge w:val="restart"/>
            <w:tcBorders>
              <w:top w:val="single" w:sz="12" w:space="0" w:color="000000"/>
              <w:left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814" w:type="dxa"/>
            <w:vMerge/>
            <w:tcBorders>
              <w:left w:val="nil" w:sz="6" w:space="0" w:color="auto"/>
              <w:bottom w:val="dotted" w:sz="4" w:space="0" w:color="000000"/>
              <w:right w:val="dotted" w:sz="4" w:space="0" w:color="000000"/>
            </w:tcBorders>
          </w:tcPr>
          <w:p>
            <w:pPr/>
          </w:p>
        </w:tc>
        <w:tc>
          <w:tcPr>
            <w:tcW w:w="1335" w:type="dxa"/>
            <w:vMerge/>
            <w:tcBorders>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7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vMerge/>
            <w:tcBorders>
              <w:left w:val="dotted" w:sz="4" w:space="0" w:color="000000"/>
              <w:bottom w:val="dotted" w:sz="4" w:space="0" w:color="000000"/>
              <w:right w:val="nil" w:sz="6" w:space="0" w:color="auto"/>
            </w:tcBorders>
          </w:tcPr>
          <w:p>
            <w:pPr/>
          </w:p>
        </w:tc>
      </w:tr>
      <w:tr>
        <w:trPr>
          <w:trHeight w:val="713" w:hRule="exact"/>
        </w:trPr>
        <w:tc>
          <w:tcPr>
            <w:tcW w:w="1814"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国盛证券有限责任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82,118,607.28</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9" w:type="dxa"/>
            <w:tcBorders>
              <w:top w:val="dotted" w:sz="4" w:space="0" w:color="000000"/>
              <w:left w:val="dotted" w:sz="4" w:space="0" w:color="000000"/>
              <w:bottom w:val="dotted" w:sz="4" w:space="0" w:color="000000"/>
              <w:right w:val="dotted" w:sz="4" w:space="0" w:color="000000"/>
            </w:tcBorders>
          </w:tcPr>
          <w:p>
            <w:pPr/>
          </w:p>
        </w:tc>
        <w:tc>
          <w:tcPr>
            <w:tcW w:w="1027"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82,118,607.28</w:t>
            </w:r>
          </w:p>
        </w:tc>
      </w:tr>
      <w:tr>
        <w:trPr>
          <w:trHeight w:val="1027" w:hRule="exact"/>
        </w:trPr>
        <w:tc>
          <w:tcPr>
            <w:tcW w:w="1814" w:type="dxa"/>
            <w:tcBorders>
              <w:top w:val="dotted" w:sz="4" w:space="0" w:color="000000"/>
              <w:left w:val="nil" w:sz="6" w:space="0" w:color="auto"/>
              <w:bottom w:val="dotted" w:sz="4" w:space="0" w:color="000000"/>
              <w:right w:val="dotted" w:sz="4" w:space="0" w:color="000000"/>
            </w:tcBorders>
          </w:tcPr>
          <w:p>
            <w:pPr>
              <w:pStyle w:val="TableParagraph"/>
              <w:spacing w:line="360" w:lineRule="auto" w:before="93"/>
              <w:ind w:left="122" w:right="100"/>
              <w:jc w:val="both"/>
              <w:rPr>
                <w:rFonts w:ascii="Times New Roman" w:hAnsi="Times New Roman" w:cs="Times New Roman" w:eastAsia="Times New Roman" w:hint="default"/>
                <w:sz w:val="18"/>
                <w:szCs w:val="18"/>
              </w:rPr>
            </w:pPr>
            <w:r>
              <w:rPr>
                <w:rFonts w:ascii="Times New Roman"/>
                <w:sz w:val="18"/>
              </w:rPr>
              <w:t>Kingley Ying</w:t>
            </w:r>
            <w:r>
              <w:rPr>
                <w:rFonts w:ascii="Times New Roman"/>
                <w:spacing w:val="6"/>
                <w:sz w:val="18"/>
              </w:rPr>
              <w:t> </w:t>
            </w:r>
            <w:r>
              <w:rPr>
                <w:rFonts w:ascii="Times New Roman"/>
                <w:sz w:val="18"/>
              </w:rPr>
              <w:t>Fat</w:t>
            </w:r>
            <w:r>
              <w:rPr>
                <w:rFonts w:ascii="Times New Roman"/>
                <w:sz w:val="18"/>
              </w:rPr>
              <w:t> Paper Products</w:t>
            </w:r>
            <w:r>
              <w:rPr>
                <w:rFonts w:ascii="Times New Roman"/>
                <w:spacing w:val="38"/>
                <w:sz w:val="18"/>
              </w:rPr>
              <w:t> </w:t>
            </w:r>
            <w:r>
              <w:rPr>
                <w:rFonts w:ascii="Times New Roman"/>
                <w:sz w:val="18"/>
              </w:rPr>
              <w:t>&amp;</w:t>
            </w:r>
            <w:r>
              <w:rPr>
                <w:rFonts w:ascii="Times New Roman"/>
                <w:sz w:val="18"/>
              </w:rPr>
              <w:t> Printing</w:t>
            </w:r>
            <w:r>
              <w:rPr>
                <w:rFonts w:ascii="Times New Roman"/>
                <w:spacing w:val="-8"/>
                <w:sz w:val="18"/>
              </w:rPr>
              <w:t> </w:t>
            </w:r>
            <w:r>
              <w:rPr>
                <w:rFonts w:ascii="Times New Roman"/>
                <w:sz w:val="18"/>
              </w:rPr>
              <w:t>Limited</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2,069,370.36</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9" w:type="dxa"/>
            <w:tcBorders>
              <w:top w:val="dotted" w:sz="4" w:space="0" w:color="000000"/>
              <w:left w:val="dotted" w:sz="4" w:space="0" w:color="000000"/>
              <w:bottom w:val="dotted" w:sz="4" w:space="0" w:color="000000"/>
              <w:right w:val="dotted" w:sz="4" w:space="0" w:color="000000"/>
            </w:tcBorders>
          </w:tcPr>
          <w:p>
            <w:pPr/>
          </w:p>
        </w:tc>
        <w:tc>
          <w:tcPr>
            <w:tcW w:w="1027"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2,069,370.36</w:t>
            </w:r>
          </w:p>
        </w:tc>
      </w:tr>
      <w:tr>
        <w:trPr>
          <w:trHeight w:val="713" w:hRule="exact"/>
        </w:trPr>
        <w:tc>
          <w:tcPr>
            <w:tcW w:w="1814" w:type="dxa"/>
            <w:tcBorders>
              <w:top w:val="dotted" w:sz="4" w:space="0" w:color="000000"/>
              <w:left w:val="nil" w:sz="6" w:space="0" w:color="auto"/>
              <w:bottom w:val="dotted" w:sz="4" w:space="0" w:color="000000"/>
              <w:right w:val="dotted" w:sz="4" w:space="0" w:color="000000"/>
            </w:tcBorders>
          </w:tcPr>
          <w:p>
            <w:pPr>
              <w:pStyle w:val="TableParagraph"/>
              <w:spacing w:line="319" w:lineRule="auto" w:before="49"/>
              <w:ind w:left="122" w:right="99"/>
              <w:jc w:val="left"/>
              <w:rPr>
                <w:rFonts w:ascii="宋体" w:hAnsi="宋体" w:cs="宋体" w:eastAsia="宋体" w:hint="default"/>
                <w:sz w:val="18"/>
                <w:szCs w:val="18"/>
              </w:rPr>
            </w:pPr>
            <w:r>
              <w:rPr>
                <w:rFonts w:ascii="宋体" w:hAnsi="宋体" w:cs="宋体" w:eastAsia="宋体" w:hint="default"/>
                <w:spacing w:val="17"/>
                <w:sz w:val="18"/>
                <w:szCs w:val="18"/>
              </w:rPr>
              <w:t>天津国盛信安科技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473,955.15</w:t>
            </w:r>
          </w:p>
        </w:tc>
        <w:tc>
          <w:tcPr>
            <w:tcW w:w="1020" w:type="dxa"/>
            <w:tcBorders>
              <w:top w:val="dotted" w:sz="4" w:space="0" w:color="000000"/>
              <w:left w:val="dotted" w:sz="4" w:space="0" w:color="000000"/>
              <w:bottom w:val="dotted" w:sz="4" w:space="0" w:color="000000"/>
              <w:right w:val="dotted" w:sz="4" w:space="0" w:color="000000"/>
            </w:tcBorders>
          </w:tcPr>
          <w:p>
            <w:pPr/>
          </w:p>
        </w:tc>
        <w:tc>
          <w:tcPr>
            <w:tcW w:w="879" w:type="dxa"/>
            <w:tcBorders>
              <w:top w:val="dotted" w:sz="4" w:space="0" w:color="000000"/>
              <w:left w:val="dotted" w:sz="4" w:space="0" w:color="000000"/>
              <w:bottom w:val="dotted" w:sz="4" w:space="0" w:color="000000"/>
              <w:right w:val="dotted" w:sz="4" w:space="0" w:color="000000"/>
            </w:tcBorders>
          </w:tcPr>
          <w:p>
            <w:pPr/>
          </w:p>
        </w:tc>
        <w:tc>
          <w:tcPr>
            <w:tcW w:w="1027"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473,955.15</w:t>
            </w:r>
          </w:p>
        </w:tc>
      </w:tr>
      <w:tr>
        <w:trPr>
          <w:trHeight w:val="715" w:hRule="exact"/>
        </w:trPr>
        <w:tc>
          <w:tcPr>
            <w:tcW w:w="1814"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51"/>
              <w:ind w:left="122" w:right="99"/>
              <w:jc w:val="left"/>
              <w:rPr>
                <w:rFonts w:ascii="宋体" w:hAnsi="宋体" w:cs="宋体" w:eastAsia="宋体" w:hint="default"/>
                <w:sz w:val="18"/>
                <w:szCs w:val="18"/>
              </w:rPr>
            </w:pPr>
            <w:r>
              <w:rPr>
                <w:rFonts w:ascii="宋体" w:hAnsi="宋体" w:cs="宋体" w:eastAsia="宋体" w:hint="default"/>
                <w:spacing w:val="17"/>
                <w:sz w:val="18"/>
                <w:szCs w:val="18"/>
              </w:rPr>
              <w:t>上海多专科技有限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335" w:type="dxa"/>
            <w:tcBorders>
              <w:top w:val="dotted" w:sz="4" w:space="0" w:color="000000"/>
              <w:left w:val="dotted" w:sz="4" w:space="0" w:color="000000"/>
              <w:bottom w:val="dotted" w:sz="4" w:space="0" w:color="000000"/>
              <w:right w:val="dotted" w:sz="4" w:space="0" w:color="000000"/>
            </w:tcBorders>
          </w:tcPr>
          <w:p>
            <w:pPr/>
          </w:p>
        </w:tc>
        <w:tc>
          <w:tcPr>
            <w:tcW w:w="10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20,300.00</w:t>
            </w:r>
          </w:p>
        </w:tc>
        <w:tc>
          <w:tcPr>
            <w:tcW w:w="879" w:type="dxa"/>
            <w:tcBorders>
              <w:top w:val="dotted" w:sz="4" w:space="0" w:color="000000"/>
              <w:left w:val="dotted" w:sz="4" w:space="0" w:color="000000"/>
              <w:bottom w:val="dotted" w:sz="4" w:space="0" w:color="000000"/>
              <w:right w:val="dotted" w:sz="4" w:space="0" w:color="000000"/>
            </w:tcBorders>
          </w:tcPr>
          <w:p>
            <w:pPr/>
          </w:p>
        </w:tc>
        <w:tc>
          <w:tcPr>
            <w:tcW w:w="1027" w:type="dxa"/>
            <w:tcBorders>
              <w:top w:val="dotted" w:sz="4" w:space="0" w:color="000000"/>
              <w:left w:val="dotted" w:sz="4" w:space="0" w:color="000000"/>
              <w:bottom w:val="dotted" w:sz="4" w:space="0" w:color="000000"/>
              <w:right w:val="dotted" w:sz="4" w:space="0" w:color="000000"/>
            </w:tcBorders>
          </w:tcPr>
          <w:p>
            <w:pPr/>
          </w:p>
        </w:tc>
        <w:tc>
          <w:tcPr>
            <w:tcW w:w="744"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20,300.00</w:t>
            </w:r>
          </w:p>
        </w:tc>
      </w:tr>
      <w:tr>
        <w:trPr>
          <w:trHeight w:val="360" w:hRule="exact"/>
        </w:trPr>
        <w:tc>
          <w:tcPr>
            <w:tcW w:w="18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84,661,932.79</w:t>
            </w:r>
          </w:p>
        </w:tc>
        <w:tc>
          <w:tcPr>
            <w:tcW w:w="10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84" w:right="0"/>
              <w:jc w:val="center"/>
              <w:rPr>
                <w:rFonts w:ascii="Times New Roman" w:hAnsi="Times New Roman" w:cs="Times New Roman" w:eastAsia="Times New Roman" w:hint="default"/>
                <w:sz w:val="18"/>
                <w:szCs w:val="18"/>
              </w:rPr>
            </w:pPr>
            <w:r>
              <w:rPr>
                <w:rFonts w:ascii="Times New Roman"/>
                <w:sz w:val="18"/>
              </w:rPr>
              <w:t>20,300.00</w:t>
            </w:r>
          </w:p>
        </w:tc>
        <w:tc>
          <w:tcPr>
            <w:tcW w:w="879" w:type="dxa"/>
            <w:tcBorders>
              <w:top w:val="dotted" w:sz="4" w:space="0" w:color="000000"/>
              <w:left w:val="dotted" w:sz="4" w:space="0" w:color="000000"/>
              <w:bottom w:val="single" w:sz="12" w:space="0" w:color="000000"/>
              <w:right w:val="dotted" w:sz="4" w:space="0" w:color="000000"/>
            </w:tcBorders>
          </w:tcPr>
          <w:p>
            <w:pPr/>
          </w:p>
        </w:tc>
        <w:tc>
          <w:tcPr>
            <w:tcW w:w="1027" w:type="dxa"/>
            <w:tcBorders>
              <w:top w:val="dotted" w:sz="4" w:space="0" w:color="000000"/>
              <w:left w:val="dotted" w:sz="4" w:space="0" w:color="000000"/>
              <w:bottom w:val="single" w:sz="12" w:space="0" w:color="000000"/>
              <w:right w:val="dotted" w:sz="4" w:space="0" w:color="000000"/>
            </w:tcBorders>
          </w:tcPr>
          <w:p>
            <w:pPr/>
          </w:p>
        </w:tc>
        <w:tc>
          <w:tcPr>
            <w:tcW w:w="744" w:type="dxa"/>
            <w:tcBorders>
              <w:top w:val="dotted" w:sz="4" w:space="0" w:color="000000"/>
              <w:left w:val="dotted" w:sz="4" w:space="0" w:color="000000"/>
              <w:bottom w:val="single" w:sz="12" w:space="0" w:color="000000"/>
              <w:right w:val="dotted" w:sz="4" w:space="0" w:color="000000"/>
            </w:tcBorders>
          </w:tcPr>
          <w:p>
            <w:pPr/>
          </w:p>
        </w:tc>
        <w:tc>
          <w:tcPr>
            <w:tcW w:w="15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84,682,232.79</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860" w:right="1808"/>
        <w:jc w:val="left"/>
        <w:rPr>
          <w:b w:val="0"/>
          <w:bCs w:val="0"/>
        </w:rPr>
      </w:pPr>
      <w:r>
        <w:rPr>
          <w:rFonts w:ascii="Trebuchet MS" w:hAnsi="Trebuchet MS" w:cs="Trebuchet MS" w:eastAsia="Trebuchet MS" w:hint="default"/>
        </w:rPr>
        <w:t>3</w:t>
      </w:r>
      <w:r>
        <w:rPr/>
        <w:t>．</w:t>
      </w:r>
      <w:r>
        <w:rPr>
          <w:spacing w:val="38"/>
        </w:rPr>
        <w:t> </w:t>
      </w:r>
      <w:r>
        <w:rPr/>
        <w:t>商誉账面价值</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382" w:type="dxa"/>
        <w:tblLayout w:type="fixed"/>
        <w:tblCellMar>
          <w:top w:w="0" w:type="dxa"/>
          <w:left w:w="0" w:type="dxa"/>
          <w:bottom w:w="0" w:type="dxa"/>
          <w:right w:w="0" w:type="dxa"/>
        </w:tblCellMar>
        <w:tblLook w:val="01E0"/>
      </w:tblPr>
      <w:tblGrid>
        <w:gridCol w:w="2811"/>
        <w:gridCol w:w="1433"/>
        <w:gridCol w:w="1052"/>
        <w:gridCol w:w="1514"/>
        <w:gridCol w:w="1568"/>
      </w:tblGrid>
      <w:tr>
        <w:trPr>
          <w:trHeight w:val="427" w:hRule="exact"/>
        </w:trPr>
        <w:tc>
          <w:tcPr>
            <w:tcW w:w="281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0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1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3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left="2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85" w:hRule="exact"/>
        </w:trPr>
        <w:tc>
          <w:tcPr>
            <w:tcW w:w="28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国盛证券有限责任公司【注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9"/>
              <w:ind w:right="10"/>
              <w:jc w:val="right"/>
              <w:rPr>
                <w:rFonts w:ascii="Times New Roman" w:hAnsi="Times New Roman" w:cs="Times New Roman" w:eastAsia="Times New Roman" w:hint="default"/>
                <w:sz w:val="18"/>
                <w:szCs w:val="18"/>
              </w:rPr>
            </w:pPr>
            <w:r>
              <w:rPr>
                <w:rFonts w:ascii="Times New Roman"/>
                <w:spacing w:val="-1"/>
                <w:sz w:val="18"/>
              </w:rPr>
              <w:t>3,079,912,343.55</w:t>
            </w:r>
          </w:p>
        </w:tc>
        <w:tc>
          <w:tcPr>
            <w:tcW w:w="1052" w:type="dxa"/>
            <w:tcBorders>
              <w:top w:val="dotted" w:sz="4" w:space="0" w:color="000000"/>
              <w:left w:val="dotted" w:sz="4" w:space="0" w:color="000000"/>
              <w:bottom w:val="dotted" w:sz="4" w:space="0" w:color="000000"/>
              <w:right w:val="dotted" w:sz="4" w:space="0" w:color="000000"/>
            </w:tcBorders>
          </w:tcPr>
          <w:p>
            <w:pPr/>
          </w:p>
        </w:tc>
        <w:tc>
          <w:tcPr>
            <w:tcW w:w="1514" w:type="dxa"/>
            <w:tcBorders>
              <w:top w:val="dotted" w:sz="4" w:space="0" w:color="000000"/>
              <w:left w:val="dotted" w:sz="4" w:space="0" w:color="000000"/>
              <w:bottom w:val="dotted" w:sz="4" w:space="0" w:color="000000"/>
              <w:right w:val="dotted" w:sz="4" w:space="0" w:color="000000"/>
            </w:tcBorders>
          </w:tcPr>
          <w:p>
            <w:pPr/>
          </w:p>
        </w:tc>
        <w:tc>
          <w:tcPr>
            <w:tcW w:w="1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9"/>
              <w:ind w:right="15"/>
              <w:jc w:val="right"/>
              <w:rPr>
                <w:rFonts w:ascii="Times New Roman" w:hAnsi="Times New Roman" w:cs="Times New Roman" w:eastAsia="Times New Roman" w:hint="default"/>
                <w:sz w:val="18"/>
                <w:szCs w:val="18"/>
              </w:rPr>
            </w:pPr>
            <w:r>
              <w:rPr>
                <w:rFonts w:ascii="Times New Roman"/>
                <w:spacing w:val="-1"/>
                <w:sz w:val="18"/>
              </w:rPr>
              <w:t>3,079,912,343.55</w:t>
            </w:r>
          </w:p>
        </w:tc>
      </w:tr>
      <w:tr>
        <w:trPr>
          <w:trHeight w:val="730" w:hRule="exact"/>
        </w:trPr>
        <w:tc>
          <w:tcPr>
            <w:tcW w:w="2811"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1322" w:right="41" w:hanging="1260"/>
              <w:jc w:val="left"/>
              <w:rPr>
                <w:rFonts w:ascii="宋体" w:hAnsi="宋体" w:cs="宋体" w:eastAsia="宋体" w:hint="default"/>
                <w:sz w:val="18"/>
                <w:szCs w:val="18"/>
              </w:rPr>
            </w:pPr>
            <w:r>
              <w:rPr>
                <w:rFonts w:ascii="宋体" w:hAnsi="宋体" w:cs="宋体" w:eastAsia="宋体" w:hint="default"/>
                <w:sz w:val="18"/>
                <w:szCs w:val="18"/>
              </w:rPr>
              <w:t>深圳前海弘大嘉豪资本管理有限公 司</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w:t>
            </w:r>
          </w:p>
        </w:tc>
        <w:tc>
          <w:tcPr>
            <w:tcW w:w="1052" w:type="dxa"/>
            <w:tcBorders>
              <w:top w:val="dotted" w:sz="4" w:space="0" w:color="000000"/>
              <w:left w:val="dotted" w:sz="4" w:space="0" w:color="000000"/>
              <w:bottom w:val="dotted" w:sz="4" w:space="0" w:color="000000"/>
              <w:right w:val="dotted" w:sz="4" w:space="0" w:color="000000"/>
            </w:tcBorders>
          </w:tcPr>
          <w:p>
            <w:pPr/>
          </w:p>
        </w:tc>
        <w:tc>
          <w:tcPr>
            <w:tcW w:w="1514" w:type="dxa"/>
            <w:tcBorders>
              <w:top w:val="dotted" w:sz="4" w:space="0" w:color="000000"/>
              <w:left w:val="dotted" w:sz="4" w:space="0" w:color="000000"/>
              <w:bottom w:val="dotted" w:sz="4" w:space="0" w:color="000000"/>
              <w:right w:val="dotted" w:sz="4" w:space="0" w:color="000000"/>
            </w:tcBorders>
          </w:tcPr>
          <w:p>
            <w:pPr/>
          </w:p>
        </w:tc>
        <w:tc>
          <w:tcPr>
            <w:tcW w:w="15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w:t>
            </w:r>
          </w:p>
        </w:tc>
      </w:tr>
      <w:tr>
        <w:trPr>
          <w:trHeight w:val="425" w:hRule="exact"/>
        </w:trPr>
        <w:tc>
          <w:tcPr>
            <w:tcW w:w="281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20" w:right="0"/>
              <w:jc w:val="center"/>
              <w:rPr>
                <w:rFonts w:ascii="宋体" w:hAnsi="宋体" w:cs="宋体" w:eastAsia="宋体" w:hint="default"/>
                <w:sz w:val="18"/>
                <w:szCs w:val="18"/>
              </w:rPr>
            </w:pPr>
            <w:r>
              <w:rPr>
                <w:rFonts w:ascii="宋体" w:hAnsi="宋体" w:cs="宋体" w:eastAsia="宋体" w:hint="default"/>
                <w:sz w:val="18"/>
                <w:szCs w:val="18"/>
              </w:rPr>
              <w:t>上海多专科技有限公司</w:t>
            </w:r>
          </w:p>
        </w:tc>
        <w:tc>
          <w:tcPr>
            <w:tcW w:w="1433" w:type="dxa"/>
            <w:tcBorders>
              <w:top w:val="dotted" w:sz="4" w:space="0" w:color="000000"/>
              <w:left w:val="dotted" w:sz="4" w:space="0" w:color="000000"/>
              <w:bottom w:val="dotted" w:sz="4" w:space="0" w:color="000000"/>
              <w:right w:val="dotted" w:sz="4" w:space="0" w:color="000000"/>
            </w:tcBorders>
          </w:tcPr>
          <w:p>
            <w:pP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
              <w:jc w:val="right"/>
              <w:rPr>
                <w:rFonts w:ascii="Times New Roman" w:hAnsi="Times New Roman" w:cs="Times New Roman" w:eastAsia="Times New Roman" w:hint="default"/>
                <w:sz w:val="18"/>
                <w:szCs w:val="18"/>
              </w:rPr>
            </w:pPr>
            <w:r>
              <w:rPr>
                <w:rFonts w:ascii="Times New Roman"/>
                <w:spacing w:val="-1"/>
                <w:sz w:val="18"/>
              </w:rPr>
              <w:t>20,300.00</w:t>
            </w: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9"/>
              <w:jc w:val="right"/>
              <w:rPr>
                <w:rFonts w:ascii="Times New Roman" w:hAnsi="Times New Roman" w:cs="Times New Roman" w:eastAsia="Times New Roman" w:hint="default"/>
                <w:sz w:val="18"/>
                <w:szCs w:val="18"/>
              </w:rPr>
            </w:pPr>
            <w:r>
              <w:rPr>
                <w:rFonts w:ascii="Times New Roman"/>
                <w:spacing w:val="-1"/>
                <w:sz w:val="18"/>
              </w:rPr>
              <w:t>20,300.00</w:t>
            </w:r>
          </w:p>
        </w:tc>
        <w:tc>
          <w:tcPr>
            <w:tcW w:w="1568" w:type="dxa"/>
            <w:tcBorders>
              <w:top w:val="dotted" w:sz="4" w:space="0" w:color="000000"/>
              <w:left w:val="dotted" w:sz="4" w:space="0" w:color="000000"/>
              <w:bottom w:val="dotted" w:sz="4" w:space="0" w:color="000000"/>
              <w:right w:val="nil" w:sz="6" w:space="0" w:color="auto"/>
            </w:tcBorders>
          </w:tcPr>
          <w:p>
            <w:pPr/>
          </w:p>
        </w:tc>
      </w:tr>
      <w:tr>
        <w:trPr>
          <w:trHeight w:val="434" w:hRule="exact"/>
        </w:trPr>
        <w:tc>
          <w:tcPr>
            <w:tcW w:w="281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8"/>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0"/>
              <w:ind w:right="10"/>
              <w:jc w:val="right"/>
              <w:rPr>
                <w:rFonts w:ascii="Times New Roman" w:hAnsi="Times New Roman" w:cs="Times New Roman" w:eastAsia="Times New Roman" w:hint="default"/>
                <w:sz w:val="18"/>
                <w:szCs w:val="18"/>
              </w:rPr>
            </w:pPr>
            <w:r>
              <w:rPr>
                <w:rFonts w:ascii="Times New Roman"/>
                <w:spacing w:val="-1"/>
                <w:sz w:val="18"/>
              </w:rPr>
              <w:t>3,079,912,344.55</w:t>
            </w:r>
          </w:p>
        </w:tc>
        <w:tc>
          <w:tcPr>
            <w:tcW w:w="10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0"/>
              <w:ind w:right="10"/>
              <w:jc w:val="right"/>
              <w:rPr>
                <w:rFonts w:ascii="Times New Roman" w:hAnsi="Times New Roman" w:cs="Times New Roman" w:eastAsia="Times New Roman" w:hint="default"/>
                <w:sz w:val="18"/>
                <w:szCs w:val="18"/>
              </w:rPr>
            </w:pPr>
            <w:r>
              <w:rPr>
                <w:rFonts w:ascii="Times New Roman"/>
                <w:spacing w:val="-1"/>
                <w:sz w:val="18"/>
              </w:rPr>
              <w:t>20,300.00</w:t>
            </w:r>
          </w:p>
        </w:tc>
        <w:tc>
          <w:tcPr>
            <w:tcW w:w="15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0"/>
              <w:ind w:right="9"/>
              <w:jc w:val="right"/>
              <w:rPr>
                <w:rFonts w:ascii="Times New Roman" w:hAnsi="Times New Roman" w:cs="Times New Roman" w:eastAsia="Times New Roman" w:hint="default"/>
                <w:sz w:val="18"/>
                <w:szCs w:val="18"/>
              </w:rPr>
            </w:pPr>
            <w:r>
              <w:rPr>
                <w:rFonts w:ascii="Times New Roman"/>
                <w:spacing w:val="-1"/>
                <w:sz w:val="18"/>
              </w:rPr>
              <w:t>20,300.00</w:t>
            </w:r>
          </w:p>
        </w:tc>
        <w:tc>
          <w:tcPr>
            <w:tcW w:w="15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0"/>
              <w:ind w:right="15"/>
              <w:jc w:val="right"/>
              <w:rPr>
                <w:rFonts w:ascii="Times New Roman" w:hAnsi="Times New Roman" w:cs="Times New Roman" w:eastAsia="Times New Roman" w:hint="default"/>
                <w:sz w:val="18"/>
                <w:szCs w:val="18"/>
              </w:rPr>
            </w:pPr>
            <w:r>
              <w:rPr>
                <w:rFonts w:ascii="Times New Roman"/>
                <w:spacing w:val="-1"/>
                <w:sz w:val="18"/>
              </w:rPr>
              <w:t>3,079,912,344.55</w:t>
            </w:r>
          </w:p>
        </w:tc>
      </w:tr>
    </w:tbl>
    <w:p>
      <w:pPr>
        <w:spacing w:line="212" w:lineRule="exact" w:before="0"/>
        <w:ind w:left="438"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：本公司期末商誉账面价值进行减值测试。对因收购国盛证券产生的商誉（以下简称国盛证券商誉）减</w:t>
      </w:r>
    </w:p>
    <w:p>
      <w:pPr>
        <w:spacing w:line="229" w:lineRule="exact" w:before="0"/>
        <w:ind w:left="438" w:right="0" w:firstLine="0"/>
        <w:jc w:val="both"/>
        <w:rPr>
          <w:rFonts w:ascii="宋体" w:hAnsi="宋体" w:cs="宋体" w:eastAsia="宋体" w:hint="default"/>
          <w:sz w:val="18"/>
          <w:szCs w:val="18"/>
        </w:rPr>
      </w:pPr>
      <w:r>
        <w:rPr>
          <w:rFonts w:ascii="宋体" w:hAnsi="宋体" w:cs="宋体" w:eastAsia="宋体" w:hint="default"/>
          <w:sz w:val="18"/>
          <w:szCs w:val="18"/>
        </w:rPr>
        <w:t>值测试情况如下：</w:t>
      </w:r>
    </w:p>
    <w:p>
      <w:pPr>
        <w:spacing w:line="232" w:lineRule="exact" w:before="142"/>
        <w:ind w:left="438" w:right="1706" w:firstLine="0"/>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）资产组的确认：公司将可辨认的国盛证券全部资产及负债作为一个资产组（以下简称国盛证券资产组）。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自收购以来各年度减值测试评估基准日与购买日确认的资产组保持了一致。</w:t>
      </w:r>
    </w:p>
    <w:p>
      <w:pPr>
        <w:spacing w:line="225" w:lineRule="auto" w:before="108"/>
        <w:ind w:left="438" w:right="1791"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）商誉减值测试的具体方法：减值测试基于国盛证券资产组的可回收金额测算，可回收金额为市场价值</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
          <w:sz w:val="18"/>
          <w:szCs w:val="18"/>
        </w:rPr>
        <w:t>减去处置费用后的净额。减值测试采用市场法之上市公司比较法确定资产组市场价值</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并根据国盛证券所处</w:t>
      </w:r>
      <w:r>
        <w:rPr>
          <w:rFonts w:ascii="宋体" w:hAnsi="宋体" w:cs="宋体" w:eastAsia="宋体" w:hint="default"/>
          <w:spacing w:val="-56"/>
          <w:sz w:val="18"/>
          <w:szCs w:val="18"/>
        </w:rPr>
        <w:t> </w:t>
      </w:r>
      <w:r>
        <w:rPr>
          <w:rFonts w:ascii="宋体" w:hAnsi="宋体" w:cs="宋体" w:eastAsia="宋体" w:hint="default"/>
          <w:sz w:val="18"/>
          <w:szCs w:val="18"/>
        </w:rPr>
        <w:t>行业特点选择市净率（</w:t>
      </w:r>
      <w:r>
        <w:rPr>
          <w:rFonts w:ascii="Times New Roman" w:hAnsi="Times New Roman" w:cs="Times New Roman" w:eastAsia="Times New Roman" w:hint="default"/>
          <w:sz w:val="18"/>
          <w:szCs w:val="18"/>
        </w:rPr>
        <w:t>P/B</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估值模型，即：被评估资产组市场价值</w:t>
      </w:r>
      <w:r>
        <w:rPr>
          <w:rFonts w:ascii="Times New Roman" w:hAnsi="Times New Roman" w:cs="Times New Roman" w:eastAsia="Times New Roman" w:hint="default"/>
          <w:sz w:val="18"/>
          <w:szCs w:val="18"/>
        </w:rPr>
        <w:t>=</w:t>
      </w:r>
      <w:r>
        <w:rPr>
          <w:rFonts w:ascii="宋体" w:hAnsi="宋体" w:cs="宋体" w:eastAsia="宋体" w:hint="default"/>
          <w:sz w:val="18"/>
          <w:szCs w:val="18"/>
        </w:rPr>
        <w:t>经营性资产净值×可比证券公司平均 </w:t>
      </w:r>
      <w:r>
        <w:rPr>
          <w:rFonts w:ascii="Times New Roman" w:hAnsi="Times New Roman" w:cs="Times New Roman" w:eastAsia="Times New Roman" w:hint="default"/>
          <w:sz w:val="18"/>
          <w:szCs w:val="18"/>
        </w:rPr>
        <w:t>P/B</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流通性折扣）</w:t>
      </w:r>
      <w:r>
        <w:rPr>
          <w:rFonts w:ascii="Times New Roman" w:hAnsi="Times New Roman" w:cs="Times New Roman" w:eastAsia="Times New Roman" w:hint="default"/>
          <w:sz w:val="18"/>
          <w:szCs w:val="18"/>
        </w:rPr>
        <w:t>+</w:t>
      </w:r>
      <w:r>
        <w:rPr>
          <w:rFonts w:ascii="宋体" w:hAnsi="宋体" w:cs="宋体" w:eastAsia="宋体" w:hint="default"/>
          <w:sz w:val="18"/>
          <w:szCs w:val="18"/>
        </w:rPr>
        <w:t>国盛证券非经营性资产净值。</w:t>
      </w:r>
    </w:p>
    <w:p>
      <w:pPr>
        <w:spacing w:line="242" w:lineRule="exact" w:before="106"/>
        <w:ind w:left="4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）商誉减值测试结果：根据北京中同华资产评估有限公司出具的中同华评报字（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 </w:t>
      </w:r>
      <w:r>
        <w:rPr>
          <w:rFonts w:ascii="Times New Roman" w:hAnsi="Times New Roman" w:cs="Times New Roman" w:eastAsia="Times New Roman" w:hint="default"/>
          <w:sz w:val="18"/>
          <w:szCs w:val="18"/>
        </w:rPr>
        <w:t>030305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号评</w:t>
      </w:r>
    </w:p>
    <w:p>
      <w:pPr>
        <w:spacing w:line="233" w:lineRule="exact" w:before="0"/>
        <w:ind w:left="438" w:right="0" w:firstLine="0"/>
        <w:jc w:val="both"/>
        <w:rPr>
          <w:rFonts w:ascii="宋体" w:hAnsi="宋体" w:cs="宋体" w:eastAsia="宋体" w:hint="default"/>
          <w:sz w:val="18"/>
          <w:szCs w:val="18"/>
        </w:rPr>
      </w:pPr>
      <w:r>
        <w:rPr>
          <w:rFonts w:ascii="宋体" w:hAnsi="宋体" w:cs="宋体" w:eastAsia="宋体" w:hint="default"/>
          <w:sz w:val="18"/>
          <w:szCs w:val="18"/>
        </w:rPr>
        <w:t>估报告，国盛证券资产组可收回金额为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15,927,000,000.00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元，高于含商誉的国盛证券资产组可辨认净资产</w:t>
      </w:r>
    </w:p>
    <w:p>
      <w:pPr>
        <w:spacing w:line="240" w:lineRule="exact" w:before="0"/>
        <w:ind w:left="438" w:right="0" w:firstLine="0"/>
        <w:jc w:val="both"/>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12,883,960,163.92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元，因此本年末未计提商誉减值准备。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left="438" w:right="0"/>
        <w:jc w:val="both"/>
        <w:rPr>
          <w:b w:val="0"/>
          <w:bCs w:val="0"/>
        </w:rPr>
      </w:pPr>
      <w:r>
        <w:rPr/>
        <w:t>注释 </w:t>
      </w:r>
      <w:r>
        <w:rPr>
          <w:rFonts w:ascii="Times New Roman" w:hAnsi="Times New Roman" w:cs="Times New Roman" w:eastAsia="Times New Roman" w:hint="default"/>
        </w:rPr>
        <w:t>25. </w:t>
      </w:r>
      <w:r>
        <w:rPr>
          <w:rFonts w:ascii="Times New Roman" w:hAnsi="Times New Roman" w:cs="Times New Roman" w:eastAsia="Times New Roman" w:hint="default"/>
          <w:spacing w:val="9"/>
        </w:rPr>
        <w:t> </w:t>
      </w:r>
      <w:r>
        <w:rPr/>
        <w:t>长期待摊费用</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2134"/>
        <w:gridCol w:w="1702"/>
        <w:gridCol w:w="1702"/>
        <w:gridCol w:w="1702"/>
        <w:gridCol w:w="1700"/>
      </w:tblGrid>
      <w:tr>
        <w:trPr>
          <w:trHeight w:val="413" w:hRule="exact"/>
        </w:trPr>
        <w:tc>
          <w:tcPr>
            <w:tcW w:w="21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4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70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租赁物业的装修工程</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555" w:right="0"/>
              <w:jc w:val="left"/>
              <w:rPr>
                <w:rFonts w:ascii="Times New Roman" w:hAnsi="Times New Roman" w:cs="Times New Roman" w:eastAsia="Times New Roman" w:hint="default"/>
                <w:sz w:val="18"/>
                <w:szCs w:val="18"/>
              </w:rPr>
            </w:pPr>
            <w:r>
              <w:rPr>
                <w:rFonts w:ascii="Times New Roman"/>
                <w:sz w:val="18"/>
              </w:rPr>
              <w:t>48,911,851.68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31,988,238.99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23,999,223.34</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56,900,867.33</w:t>
            </w:r>
          </w:p>
        </w:tc>
      </w:tr>
      <w:tr>
        <w:trPr>
          <w:trHeight w:val="413" w:hRule="exact"/>
        </w:trPr>
        <w:tc>
          <w:tcPr>
            <w:tcW w:w="21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1702" w:type="dxa"/>
            <w:tcBorders>
              <w:top w:val="dotted" w:sz="4" w:space="0" w:color="000000"/>
              <w:left w:val="dotted" w:sz="4" w:space="0" w:color="000000"/>
              <w:bottom w:val="single" w:sz="12" w:space="0" w:color="000000"/>
              <w:right w:val="dotted" w:sz="4" w:space="0" w:color="000000"/>
            </w:tcBorders>
          </w:tcPr>
          <w:p>
            <w:pP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7,166,400.00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1,791,600.01</w:t>
            </w:r>
          </w:p>
        </w:tc>
        <w:tc>
          <w:tcPr>
            <w:tcW w:w="17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5,374,799.99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3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134"/>
        <w:gridCol w:w="1702"/>
        <w:gridCol w:w="1702"/>
        <w:gridCol w:w="1702"/>
        <w:gridCol w:w="1700"/>
      </w:tblGrid>
      <w:tr>
        <w:trPr>
          <w:trHeight w:val="413" w:hRule="exact"/>
        </w:trPr>
        <w:tc>
          <w:tcPr>
            <w:tcW w:w="21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租赁物业的装修设计</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5,437,289.29</w:t>
            </w:r>
          </w:p>
        </w:tc>
        <w:tc>
          <w:tcPr>
            <w:tcW w:w="1702" w:type="dxa"/>
            <w:tcBorders>
              <w:top w:val="single" w:sz="12" w:space="0" w:color="000000"/>
              <w:left w:val="dotted" w:sz="4" w:space="0" w:color="000000"/>
              <w:bottom w:val="dotted" w:sz="4" w:space="0" w:color="000000"/>
              <w:right w:val="dotted" w:sz="4" w:space="0" w:color="000000"/>
            </w:tcBorders>
          </w:tcPr>
          <w:p>
            <w:pP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1,717,969.56</w:t>
            </w:r>
          </w:p>
        </w:tc>
        <w:tc>
          <w:tcPr>
            <w:tcW w:w="170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3,719,319.73</w:t>
            </w:r>
          </w:p>
        </w:tc>
      </w:tr>
      <w:tr>
        <w:trPr>
          <w:trHeight w:val="401"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自有物业装修费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129,990.13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33,980.59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53,501.42</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110,469.30</w:t>
            </w:r>
          </w:p>
        </w:tc>
      </w:tr>
      <w:tr>
        <w:trPr>
          <w:trHeight w:val="403"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202,790.58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87,860.64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213,908.94</w:t>
            </w:r>
          </w:p>
        </w:tc>
        <w:tc>
          <w:tcPr>
            <w:tcW w:w="170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76,742.28</w:t>
            </w:r>
          </w:p>
        </w:tc>
      </w:tr>
      <w:tr>
        <w:trPr>
          <w:trHeight w:val="413" w:hRule="exact"/>
        </w:trPr>
        <w:tc>
          <w:tcPr>
            <w:tcW w:w="21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54,681,921.68</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39,276,480.22</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27,776,203.27</w:t>
            </w:r>
          </w:p>
        </w:tc>
        <w:tc>
          <w:tcPr>
            <w:tcW w:w="170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66,182,198.63</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829" w:right="1808"/>
        <w:jc w:val="left"/>
        <w:rPr>
          <w:b w:val="0"/>
          <w:bCs w:val="0"/>
        </w:rPr>
      </w:pPr>
      <w:r>
        <w:rPr/>
        <w:t>注释 </w:t>
      </w:r>
      <w:r>
        <w:rPr>
          <w:rFonts w:ascii="Times New Roman" w:hAnsi="Times New Roman" w:cs="Times New Roman" w:eastAsia="Times New Roman" w:hint="default"/>
        </w:rPr>
        <w:t>26. </w:t>
      </w:r>
      <w:r>
        <w:rPr>
          <w:rFonts w:ascii="Times New Roman" w:hAnsi="Times New Roman" w:cs="Times New Roman" w:eastAsia="Times New Roman" w:hint="default"/>
          <w:spacing w:val="16"/>
        </w:rPr>
        <w:t> </w:t>
      </w:r>
      <w:r>
        <w:rPr/>
        <w:t>递延所得税资产和递延所得税负债</w:t>
      </w:r>
      <w:r>
        <w:rPr>
          <w:b w:val="0"/>
          <w:bCs w:val="0"/>
        </w:rPr>
      </w:r>
    </w:p>
    <w:p>
      <w:pPr>
        <w:pStyle w:val="Heading4"/>
        <w:spacing w:line="240" w:lineRule="auto" w:before="84"/>
        <w:ind w:left="858" w:right="1808"/>
        <w:jc w:val="left"/>
        <w:rPr>
          <w:b w:val="0"/>
          <w:bCs w:val="0"/>
        </w:rPr>
      </w:pPr>
      <w:r>
        <w:rPr>
          <w:rFonts w:ascii="Trebuchet MS" w:hAnsi="Trebuchet MS" w:cs="Trebuchet MS" w:eastAsia="Trebuchet MS" w:hint="default"/>
        </w:rPr>
        <w:t>1</w:t>
      </w:r>
      <w:r>
        <w:rPr/>
        <w:t>．</w:t>
      </w:r>
      <w:r>
        <w:rPr>
          <w:spacing w:val="42"/>
        </w:rPr>
        <w:t> </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409" w:type="dxa"/>
        <w:tblLayout w:type="fixed"/>
        <w:tblCellMar>
          <w:top w:w="0" w:type="dxa"/>
          <w:left w:w="0" w:type="dxa"/>
          <w:bottom w:w="0" w:type="dxa"/>
          <w:right w:w="0" w:type="dxa"/>
        </w:tblCellMar>
        <w:tblLook w:val="01E0"/>
      </w:tblPr>
      <w:tblGrid>
        <w:gridCol w:w="2362"/>
        <w:gridCol w:w="1594"/>
        <w:gridCol w:w="1594"/>
        <w:gridCol w:w="1726"/>
        <w:gridCol w:w="1543"/>
      </w:tblGrid>
      <w:tr>
        <w:trPr>
          <w:trHeight w:val="427" w:hRule="exact"/>
        </w:trPr>
        <w:tc>
          <w:tcPr>
            <w:tcW w:w="2362"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09" w:hRule="exact"/>
        </w:trPr>
        <w:tc>
          <w:tcPr>
            <w:tcW w:w="2362" w:type="dxa"/>
            <w:vMerge/>
            <w:tcBorders>
              <w:left w:val="nil" w:sz="6" w:space="0" w:color="auto"/>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69"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16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4"/>
              <w:ind w:left="13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4"/>
              <w:ind w:left="13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72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56"/>
              <w:ind w:left="28" w:right="-5"/>
              <w:jc w:val="left"/>
              <w:rPr>
                <w:rFonts w:ascii="宋体" w:hAnsi="宋体" w:cs="宋体" w:eastAsia="宋体" w:hint="default"/>
                <w:sz w:val="18"/>
                <w:szCs w:val="18"/>
              </w:rPr>
            </w:pPr>
            <w:r>
              <w:rPr>
                <w:rFonts w:ascii="宋体" w:hAnsi="宋体" w:cs="宋体" w:eastAsia="宋体" w:hint="default"/>
                <w:spacing w:val="14"/>
                <w:sz w:val="18"/>
                <w:szCs w:val="18"/>
              </w:rPr>
              <w:t>以公允价值计量的金融资产 </w:t>
            </w:r>
            <w:r>
              <w:rPr>
                <w:rFonts w:ascii="宋体" w:hAnsi="宋体" w:cs="宋体" w:eastAsia="宋体" w:hint="default"/>
                <w:sz w:val="18"/>
                <w:szCs w:val="18"/>
              </w:rPr>
              <w:t>公允价值变动</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6,946,050.43</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1,736,512.60</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477,157,970.65</w:t>
            </w:r>
          </w:p>
        </w:tc>
        <w:tc>
          <w:tcPr>
            <w:tcW w:w="15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119,289,492.66</w:t>
            </w:r>
          </w:p>
        </w:tc>
      </w:tr>
      <w:tr>
        <w:trPr>
          <w:trHeight w:val="408"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13,139,306.20</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3,284,826.54</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52,000.00</w:t>
            </w:r>
          </w:p>
        </w:tc>
        <w:tc>
          <w:tcPr>
            <w:tcW w:w="15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406"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37,466,268.00</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9,366,567.00</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11,530,108.37</w:t>
            </w:r>
          </w:p>
        </w:tc>
        <w:tc>
          <w:tcPr>
            <w:tcW w:w="15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2,882,527.09</w:t>
            </w:r>
          </w:p>
        </w:tc>
      </w:tr>
      <w:tr>
        <w:trPr>
          <w:trHeight w:val="692"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170,139.64</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42,534.91</w:t>
            </w:r>
          </w:p>
        </w:tc>
        <w:tc>
          <w:tcPr>
            <w:tcW w:w="1726" w:type="dxa"/>
            <w:tcBorders>
              <w:top w:val="dotted" w:sz="4" w:space="0" w:color="000000"/>
              <w:left w:val="dotted" w:sz="4" w:space="0" w:color="000000"/>
              <w:bottom w:val="dotted" w:sz="4" w:space="0" w:color="000000"/>
              <w:right w:val="dotted" w:sz="4" w:space="0" w:color="000000"/>
            </w:tcBorders>
          </w:tcPr>
          <w:p>
            <w:pPr/>
          </w:p>
        </w:tc>
        <w:tc>
          <w:tcPr>
            <w:tcW w:w="1543" w:type="dxa"/>
            <w:tcBorders>
              <w:top w:val="dotted" w:sz="4" w:space="0" w:color="000000"/>
              <w:left w:val="dotted" w:sz="4" w:space="0" w:color="000000"/>
              <w:bottom w:val="dotted" w:sz="4" w:space="0" w:color="000000"/>
              <w:right w:val="nil" w:sz="6" w:space="0" w:color="auto"/>
            </w:tcBorders>
          </w:tcPr>
          <w:p>
            <w:pPr/>
          </w:p>
        </w:tc>
      </w:tr>
      <w:tr>
        <w:trPr>
          <w:trHeight w:val="463"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
              <w:jc w:val="right"/>
              <w:rPr>
                <w:rFonts w:ascii="Times New Roman" w:hAnsi="Times New Roman" w:cs="Times New Roman" w:eastAsia="Times New Roman" w:hint="default"/>
                <w:sz w:val="18"/>
                <w:szCs w:val="18"/>
              </w:rPr>
            </w:pPr>
            <w:r>
              <w:rPr>
                <w:rFonts w:ascii="Times New Roman"/>
                <w:spacing w:val="-1"/>
                <w:sz w:val="18"/>
              </w:rPr>
              <w:t>105,182,871.97</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8"/>
              <w:jc w:val="right"/>
              <w:rPr>
                <w:rFonts w:ascii="Times New Roman" w:hAnsi="Times New Roman" w:cs="Times New Roman" w:eastAsia="Times New Roman" w:hint="default"/>
                <w:sz w:val="18"/>
                <w:szCs w:val="18"/>
              </w:rPr>
            </w:pPr>
            <w:r>
              <w:rPr>
                <w:rFonts w:ascii="Times New Roman"/>
                <w:spacing w:val="-1"/>
                <w:sz w:val="18"/>
              </w:rPr>
              <w:t>26,295,718.02</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
              <w:jc w:val="right"/>
              <w:rPr>
                <w:rFonts w:ascii="Times New Roman" w:hAnsi="Times New Roman" w:cs="Times New Roman" w:eastAsia="Times New Roman" w:hint="default"/>
                <w:sz w:val="18"/>
                <w:szCs w:val="18"/>
              </w:rPr>
            </w:pPr>
            <w:r>
              <w:rPr>
                <w:rFonts w:ascii="Times New Roman"/>
                <w:spacing w:val="-1"/>
                <w:sz w:val="18"/>
              </w:rPr>
              <w:t>13,605,951.95</w:t>
            </w:r>
          </w:p>
        </w:tc>
        <w:tc>
          <w:tcPr>
            <w:tcW w:w="15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8"/>
                <w:szCs w:val="18"/>
              </w:rPr>
            </w:pPr>
            <w:r>
              <w:rPr>
                <w:rFonts w:ascii="Times New Roman"/>
                <w:spacing w:val="-1"/>
                <w:sz w:val="18"/>
              </w:rPr>
              <w:t>3,401,487.99</w:t>
            </w:r>
          </w:p>
        </w:tc>
      </w:tr>
      <w:tr>
        <w:trPr>
          <w:trHeight w:val="408"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9"/>
              <w:jc w:val="right"/>
              <w:rPr>
                <w:rFonts w:ascii="Times New Roman" w:hAnsi="Times New Roman" w:cs="Times New Roman" w:eastAsia="Times New Roman" w:hint="default"/>
                <w:sz w:val="18"/>
                <w:szCs w:val="18"/>
              </w:rPr>
            </w:pPr>
            <w:r>
              <w:rPr>
                <w:rFonts w:ascii="Times New Roman"/>
                <w:w w:val="95"/>
                <w:sz w:val="18"/>
              </w:rPr>
              <w:t>8,000.00</w:t>
            </w:r>
          </w:p>
        </w:tc>
        <w:tc>
          <w:tcPr>
            <w:tcW w:w="15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7"/>
              <w:jc w:val="right"/>
              <w:rPr>
                <w:rFonts w:ascii="Times New Roman" w:hAnsi="Times New Roman" w:cs="Times New Roman" w:eastAsia="Times New Roman" w:hint="default"/>
                <w:sz w:val="18"/>
                <w:szCs w:val="18"/>
              </w:rPr>
            </w:pPr>
            <w:r>
              <w:rPr>
                <w:rFonts w:ascii="Times New Roman"/>
                <w:w w:val="95"/>
                <w:sz w:val="18"/>
              </w:rPr>
              <w:t>2,000.00</w:t>
            </w:r>
          </w:p>
        </w:tc>
        <w:tc>
          <w:tcPr>
            <w:tcW w:w="17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10"/>
              <w:jc w:val="right"/>
              <w:rPr>
                <w:rFonts w:ascii="Times New Roman" w:hAnsi="Times New Roman" w:cs="Times New Roman" w:eastAsia="Times New Roman" w:hint="default"/>
                <w:sz w:val="18"/>
                <w:szCs w:val="18"/>
              </w:rPr>
            </w:pPr>
            <w:r>
              <w:rPr>
                <w:rFonts w:ascii="Times New Roman"/>
                <w:spacing w:val="-1"/>
                <w:sz w:val="18"/>
              </w:rPr>
              <w:t>3,134,000.00</w:t>
            </w:r>
          </w:p>
        </w:tc>
        <w:tc>
          <w:tcPr>
            <w:tcW w:w="15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783,500.00</w:t>
            </w:r>
          </w:p>
        </w:tc>
      </w:tr>
      <w:tr>
        <w:trPr>
          <w:trHeight w:val="418" w:hRule="exact"/>
        </w:trPr>
        <w:tc>
          <w:tcPr>
            <w:tcW w:w="23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162,912,636.24</w:t>
            </w:r>
          </w:p>
        </w:tc>
        <w:tc>
          <w:tcPr>
            <w:tcW w:w="15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40,728,159.07</w:t>
            </w:r>
          </w:p>
        </w:tc>
        <w:tc>
          <w:tcPr>
            <w:tcW w:w="17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505,480,030.97</w:t>
            </w:r>
          </w:p>
        </w:tc>
        <w:tc>
          <w:tcPr>
            <w:tcW w:w="15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126,370,007.74</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858" w:right="1808"/>
        <w:jc w:val="left"/>
        <w:rPr>
          <w:b w:val="0"/>
          <w:bCs w:val="0"/>
        </w:rPr>
      </w:pPr>
      <w:r>
        <w:rPr>
          <w:rFonts w:ascii="Trebuchet MS" w:hAnsi="Trebuchet MS" w:cs="Trebuchet MS" w:eastAsia="Trebuchet MS" w:hint="default"/>
        </w:rPr>
        <w:t>2. </w:t>
      </w:r>
      <w:r>
        <w:rPr>
          <w:rFonts w:ascii="Trebuchet MS" w:hAnsi="Trebuchet MS" w:cs="Trebuchet MS" w:eastAsia="Trebuchet MS" w:hint="default"/>
          <w:spacing w:val="38"/>
        </w:rPr>
        <w:t> </w:t>
      </w:r>
      <w:r>
        <w:rPr/>
        <w:t>未经抵销的递延所得税负债</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409" w:type="dxa"/>
        <w:tblLayout w:type="fixed"/>
        <w:tblCellMar>
          <w:top w:w="0" w:type="dxa"/>
          <w:left w:w="0" w:type="dxa"/>
          <w:bottom w:w="0" w:type="dxa"/>
          <w:right w:w="0" w:type="dxa"/>
        </w:tblCellMar>
        <w:tblLook w:val="01E0"/>
      </w:tblPr>
      <w:tblGrid>
        <w:gridCol w:w="2055"/>
        <w:gridCol w:w="1740"/>
        <w:gridCol w:w="1740"/>
        <w:gridCol w:w="1755"/>
        <w:gridCol w:w="1529"/>
      </w:tblGrid>
      <w:tr>
        <w:trPr>
          <w:trHeight w:val="430" w:hRule="exact"/>
        </w:trPr>
        <w:tc>
          <w:tcPr>
            <w:tcW w:w="205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7" w:hRule="exact"/>
        </w:trPr>
        <w:tc>
          <w:tcPr>
            <w:tcW w:w="2055" w:type="dxa"/>
            <w:vMerge/>
            <w:tcBorders>
              <w:left w:val="nil" w:sz="6" w:space="0" w:color="auto"/>
              <w:bottom w:val="dotted" w:sz="4" w:space="0" w:color="000000"/>
              <w:right w:val="dotted" w:sz="4" w:space="0" w:color="000000"/>
            </w:tcBorders>
          </w:tcPr>
          <w:p>
            <w:pP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left="14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left="2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0"/>
              <w:ind w:left="15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0"/>
              <w:ind w:left="12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27" w:hRule="exact"/>
        </w:trPr>
        <w:tc>
          <w:tcPr>
            <w:tcW w:w="2055"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12"/>
              <w:jc w:val="left"/>
              <w:rPr>
                <w:rFonts w:ascii="宋体" w:hAnsi="宋体" w:cs="宋体" w:eastAsia="宋体" w:hint="default"/>
                <w:sz w:val="18"/>
                <w:szCs w:val="18"/>
              </w:rPr>
            </w:pPr>
            <w:r>
              <w:rPr>
                <w:rFonts w:ascii="宋体" w:hAnsi="宋体" w:cs="宋体" w:eastAsia="宋体" w:hint="default"/>
                <w:spacing w:val="2"/>
                <w:sz w:val="18"/>
                <w:szCs w:val="18"/>
              </w:rPr>
              <w:t>按税法加速折旧的固定资</w:t>
            </w:r>
            <w:r>
              <w:rPr>
                <w:rFonts w:ascii="宋体" w:hAnsi="宋体" w:cs="宋体" w:eastAsia="宋体" w:hint="default"/>
                <w:sz w:val="18"/>
                <w:szCs w:val="18"/>
              </w:rPr>
              <w:t> 产折旧变动</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5,129,401.48</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1,282,350.37</w:t>
            </w:r>
          </w:p>
        </w:tc>
        <w:tc>
          <w:tcPr>
            <w:tcW w:w="17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1,901,549.10</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475,387.28</w:t>
            </w:r>
          </w:p>
        </w:tc>
      </w:tr>
      <w:tr>
        <w:trPr>
          <w:trHeight w:val="730" w:hRule="exact"/>
        </w:trPr>
        <w:tc>
          <w:tcPr>
            <w:tcW w:w="2055"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12"/>
              <w:jc w:val="left"/>
              <w:rPr>
                <w:rFonts w:ascii="宋体" w:hAnsi="宋体" w:cs="宋体" w:eastAsia="宋体" w:hint="default"/>
                <w:sz w:val="18"/>
                <w:szCs w:val="18"/>
              </w:rPr>
            </w:pPr>
            <w:r>
              <w:rPr>
                <w:rFonts w:ascii="宋体" w:hAnsi="宋体" w:cs="宋体" w:eastAsia="宋体" w:hint="default"/>
                <w:spacing w:val="2"/>
                <w:sz w:val="18"/>
                <w:szCs w:val="18"/>
              </w:rPr>
              <w:t>以公允价值计量的金融资</w:t>
            </w:r>
            <w:r>
              <w:rPr>
                <w:rFonts w:ascii="宋体" w:hAnsi="宋体" w:cs="宋体" w:eastAsia="宋体" w:hint="default"/>
                <w:sz w:val="18"/>
                <w:szCs w:val="18"/>
              </w:rPr>
              <w:t> 产公允价值变动</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5,965,417.64</w:t>
            </w:r>
          </w:p>
        </w:tc>
        <w:tc>
          <w:tcPr>
            <w:tcW w:w="17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1,491,354.41</w:t>
            </w:r>
          </w:p>
        </w:tc>
        <w:tc>
          <w:tcPr>
            <w:tcW w:w="17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11,867,394.09</w:t>
            </w:r>
          </w:p>
        </w:tc>
        <w:tc>
          <w:tcPr>
            <w:tcW w:w="15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2,966,848.51</w:t>
            </w:r>
          </w:p>
        </w:tc>
      </w:tr>
      <w:tr>
        <w:trPr>
          <w:trHeight w:val="427" w:hRule="exact"/>
        </w:trPr>
        <w:tc>
          <w:tcPr>
            <w:tcW w:w="20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11,094,819.12</w:t>
            </w:r>
          </w:p>
        </w:tc>
        <w:tc>
          <w:tcPr>
            <w:tcW w:w="17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2,773,704.78</w:t>
            </w:r>
          </w:p>
        </w:tc>
        <w:tc>
          <w:tcPr>
            <w:tcW w:w="17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13,768,943.19</w:t>
            </w:r>
          </w:p>
        </w:tc>
        <w:tc>
          <w:tcPr>
            <w:tcW w:w="15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3,442,235.79</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1040" w:right="1808"/>
        <w:jc w:val="left"/>
        <w:rPr>
          <w:b w:val="0"/>
          <w:bCs w:val="0"/>
        </w:rPr>
      </w:pPr>
      <w:r>
        <w:rPr/>
        <w:t>注释 </w:t>
      </w:r>
      <w:r>
        <w:rPr>
          <w:rFonts w:ascii="Times New Roman" w:hAnsi="Times New Roman" w:cs="Times New Roman" w:eastAsia="Times New Roman" w:hint="default"/>
        </w:rPr>
        <w:t>27. </w:t>
      </w:r>
      <w:r>
        <w:rPr>
          <w:rFonts w:ascii="Times New Roman" w:hAnsi="Times New Roman" w:cs="Times New Roman" w:eastAsia="Times New Roman" w:hint="default"/>
          <w:spacing w:val="10"/>
        </w:rPr>
        <w:t> </w:t>
      </w:r>
      <w:r>
        <w:rPr/>
        <w:t>其他非流动资产</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409" w:type="dxa"/>
        <w:tblLayout w:type="fixed"/>
        <w:tblCellMar>
          <w:top w:w="0" w:type="dxa"/>
          <w:left w:w="0" w:type="dxa"/>
          <w:bottom w:w="0" w:type="dxa"/>
          <w:right w:w="0" w:type="dxa"/>
        </w:tblCellMar>
        <w:tblLook w:val="01E0"/>
      </w:tblPr>
      <w:tblGrid>
        <w:gridCol w:w="2686"/>
        <w:gridCol w:w="2909"/>
        <w:gridCol w:w="3224"/>
      </w:tblGrid>
      <w:tr>
        <w:trPr>
          <w:trHeight w:val="428" w:hRule="exact"/>
        </w:trPr>
        <w:tc>
          <w:tcPr>
            <w:tcW w:w="268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left="897" w:right="0"/>
              <w:jc w:val="left"/>
              <w:rPr>
                <w:rFonts w:ascii="宋体" w:hAnsi="宋体" w:cs="宋体" w:eastAsia="宋体" w:hint="default"/>
                <w:sz w:val="18"/>
                <w:szCs w:val="18"/>
              </w:rPr>
            </w:pPr>
            <w:r>
              <w:rPr>
                <w:rFonts w:ascii="宋体" w:hAnsi="宋体" w:cs="宋体" w:eastAsia="宋体" w:hint="default"/>
                <w:sz w:val="18"/>
                <w:szCs w:val="18"/>
              </w:rPr>
              <w:t>类别及内容</w:t>
            </w:r>
          </w:p>
        </w:tc>
        <w:tc>
          <w:tcPr>
            <w:tcW w:w="29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26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长期资产预付款</w:t>
            </w:r>
          </w:p>
        </w:tc>
        <w:tc>
          <w:tcPr>
            <w:tcW w:w="29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1763" w:right="0"/>
              <w:jc w:val="left"/>
              <w:rPr>
                <w:rFonts w:ascii="Times New Roman" w:hAnsi="Times New Roman" w:cs="Times New Roman" w:eastAsia="Times New Roman" w:hint="default"/>
                <w:sz w:val="18"/>
                <w:szCs w:val="18"/>
              </w:rPr>
            </w:pPr>
            <w:r>
              <w:rPr>
                <w:rFonts w:ascii="Times New Roman"/>
                <w:sz w:val="18"/>
              </w:rPr>
              <w:t>185,182,864.29</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76,525,981.26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3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p>
      <w:pPr>
        <w:spacing w:line="465" w:lineRule="exact"/>
        <w:ind w:left="109"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8"/>
          <w:sz w:val="20"/>
          <w:szCs w:val="20"/>
        </w:rPr>
        <w:pict>
          <v:group style="width:442.4pt;height:23.3pt;mso-position-horizontal-relative:char;mso-position-vertical-relative:line" coordorigin="0,0" coordsize="8848,466">
            <v:group style="position:absolute;left:29;top:14;width:2667;height:2" coordorigin="29,14" coordsize="2667,2">
              <v:shape style="position:absolute;left:29;top:14;width:2667;height:2" coordorigin="29,14" coordsize="2667,0" path="m29,14l2696,14e" filled="false" stroked="true" strokeweight="1.44pt" strokecolor="#000000">
                <v:path arrowok="t"/>
              </v:shape>
            </v:group>
            <v:group style="position:absolute;left:2696;top:37;width:10;height:2" coordorigin="2696,37" coordsize="10,2">
              <v:shape style="position:absolute;left:2696;top:37;width:10;height:2" coordorigin="2696,37" coordsize="10,0" path="m2696,37l2705,37e" filled="false" stroked="true" strokeweight=".84pt" strokecolor="#000000">
                <v:path arrowok="t"/>
                <v:stroke dashstyle="dash"/>
              </v:shape>
            </v:group>
            <v:group style="position:absolute;left:2696;top:14;width:29;height:2" coordorigin="2696,14" coordsize="29,2">
              <v:shape style="position:absolute;left:2696;top:14;width:29;height:2" coordorigin="2696,14" coordsize="29,0" path="m2696,14l2725,14e" filled="false" stroked="true" strokeweight="1.44pt" strokecolor="#000000">
                <v:path arrowok="t"/>
              </v:shape>
            </v:group>
            <v:group style="position:absolute;left:2725;top:14;width:2881;height:2" coordorigin="2725,14" coordsize="2881,2">
              <v:shape style="position:absolute;left:2725;top:14;width:2881;height:2" coordorigin="2725,14" coordsize="2881,0" path="m2725,14l5605,14e" filled="false" stroked="true" strokeweight="1.44pt" strokecolor="#000000">
                <v:path arrowok="t"/>
              </v:shape>
            </v:group>
            <v:group style="position:absolute;left:5605;top:37;width:10;height:2" coordorigin="5605,37" coordsize="10,2">
              <v:shape style="position:absolute;left:5605;top:37;width:10;height:2" coordorigin="5605,37" coordsize="10,0" path="m5605,37l5615,37e" filled="false" stroked="true" strokeweight=".84pt" strokecolor="#000000">
                <v:path arrowok="t"/>
                <v:stroke dashstyle="dash"/>
              </v:shape>
            </v:group>
            <v:group style="position:absolute;left:5605;top:14;width:29;height:2" coordorigin="5605,14" coordsize="29,2">
              <v:shape style="position:absolute;left:5605;top:14;width:29;height:2" coordorigin="5605,14" coordsize="29,0" path="m5605,14l5634,14e" filled="false" stroked="true" strokeweight="1.44pt" strokecolor="#000000">
                <v:path arrowok="t"/>
              </v:shape>
            </v:group>
            <v:group style="position:absolute;left:5634;top:14;width:3200;height:2" coordorigin="5634,14" coordsize="3200,2">
              <v:shape style="position:absolute;left:5634;top:14;width:3200;height:2" coordorigin="5634,14" coordsize="3200,0" path="m5634,14l8833,14e" filled="false" stroked="true" strokeweight="1.44pt" strokecolor="#000000">
                <v:path arrowok="t"/>
              </v:shape>
            </v:group>
            <v:group style="position:absolute;left:14;top:451;width:2682;height:2" coordorigin="14,451" coordsize="2682,2">
              <v:shape style="position:absolute;left:14;top:451;width:2682;height:2" coordorigin="14,451" coordsize="2682,0" path="m14,451l2696,451e" filled="false" stroked="true" strokeweight="1.44pt" strokecolor="#000000">
                <v:path arrowok="t"/>
              </v:shape>
            </v:group>
            <v:group style="position:absolute;left:2701;top:46;width:2;height:392" coordorigin="2701,46" coordsize="2,392">
              <v:shape style="position:absolute;left:2701;top:46;width:2;height:392" coordorigin="2701,46" coordsize="0,392" path="m2701,46l2701,437e" filled="false" stroked="true" strokeweight=".48pt" strokecolor="#000000">
                <v:path arrowok="t"/>
                <v:stroke dashstyle="dash"/>
              </v:shape>
            </v:group>
            <v:group style="position:absolute;left:2696;top:451;width:29;height:2" coordorigin="2696,451" coordsize="29,2">
              <v:shape style="position:absolute;left:2696;top:451;width:29;height:2" coordorigin="2696,451" coordsize="29,0" path="m2696,451l2725,451e" filled="false" stroked="true" strokeweight="1.44pt" strokecolor="#000000">
                <v:path arrowok="t"/>
              </v:shape>
            </v:group>
            <v:group style="position:absolute;left:2725;top:451;width:2881;height:2" coordorigin="2725,451" coordsize="2881,2">
              <v:shape style="position:absolute;left:2725;top:451;width:2881;height:2" coordorigin="2725,451" coordsize="2881,0" path="m2725,451l5605,451e" filled="false" stroked="true" strokeweight="1.44pt" strokecolor="#000000">
                <v:path arrowok="t"/>
              </v:shape>
            </v:group>
            <v:group style="position:absolute;left:5610;top:46;width:2;height:392" coordorigin="5610,46" coordsize="2,392">
              <v:shape style="position:absolute;left:5610;top:46;width:2;height:392" coordorigin="5610,46" coordsize="0,392" path="m5610,46l5610,437e" filled="false" stroked="true" strokeweight=".48pt" strokecolor="#000000">
                <v:path arrowok="t"/>
                <v:stroke dashstyle="dash"/>
              </v:shape>
            </v:group>
            <v:group style="position:absolute;left:5605;top:451;width:29;height:2" coordorigin="5605,451" coordsize="29,2">
              <v:shape style="position:absolute;left:5605;top:451;width:29;height:2" coordorigin="5605,451" coordsize="29,0" path="m5605,451l5634,451e" filled="false" stroked="true" strokeweight="1.44pt" strokecolor="#000000">
                <v:path arrowok="t"/>
              </v:shape>
            </v:group>
            <v:group style="position:absolute;left:5634;top:451;width:3200;height:2" coordorigin="5634,451" coordsize="3200,2">
              <v:shape style="position:absolute;left:5634;top:451;width:3200;height:2" coordorigin="5634,451" coordsize="3200,0" path="m5634,451l8833,451e" filled="false" stroked="true" strokeweight="1.44pt" strokecolor="#000000">
                <v:path arrowok="t"/>
              </v:shape>
              <v:shape style="position:absolute;left:2701;top:14;width:2910;height:437" type="#_x0000_t202" filled="false" stroked="false">
                <v:textbox inset="0,0,0,0">
                  <w:txbxContent>
                    <w:p>
                      <w:pPr>
                        <w:spacing w:before="122"/>
                        <w:ind w:left="1768" w:right="0" w:firstLine="0"/>
                        <w:jc w:val="left"/>
                        <w:rPr>
                          <w:rFonts w:ascii="Times New Roman" w:hAnsi="Times New Roman" w:cs="Times New Roman" w:eastAsia="Times New Roman" w:hint="default"/>
                          <w:sz w:val="18"/>
                          <w:szCs w:val="18"/>
                        </w:rPr>
                      </w:pPr>
                      <w:r>
                        <w:rPr>
                          <w:rFonts w:ascii="Times New Roman"/>
                          <w:sz w:val="18"/>
                        </w:rPr>
                        <w:t>185,182,864.29</w:t>
                      </w:r>
                    </w:p>
                  </w:txbxContent>
                </v:textbox>
                <w10:wrap type="none"/>
              </v:shape>
              <v:shape style="position:absolute;left:43;top:14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7785;top:155;width:103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76,525,981.26</w:t>
                      </w:r>
                    </w:p>
                  </w:txbxContent>
                </v:textbox>
                <w10:wrap type="none"/>
              </v:shape>
            </v:group>
          </v:group>
        </w:pict>
      </w:r>
      <w:r>
        <w:rPr>
          <w:rFonts w:ascii="Microsoft JhengHei" w:hAnsi="Microsoft JhengHei" w:cs="Microsoft JhengHei" w:eastAsia="Microsoft JhengHei" w:hint="default"/>
          <w:position w:val="-8"/>
          <w:sz w:val="20"/>
          <w:szCs w:val="20"/>
        </w:rPr>
      </w:r>
    </w:p>
    <w:p>
      <w:pPr>
        <w:spacing w:line="300" w:lineRule="auto" w:before="8"/>
        <w:ind w:left="138" w:right="157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8"/>
          <w:sz w:val="18"/>
          <w:szCs w:val="18"/>
        </w:rPr>
        <w:t> </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：因执行新金融工具准则，该项目期初余额与上年末余额存在差异。差异情况详见附注四（四十二）</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内容。</w:t>
      </w:r>
    </w:p>
    <w:p>
      <w:pPr>
        <w:spacing w:before="151"/>
        <w:ind w:left="138" w:right="17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：期末其他非流动资产增加主要因支付国盛证券南昌总部大楼购房款。</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Heading4"/>
        <w:spacing w:line="295" w:lineRule="auto"/>
        <w:ind w:left="558" w:right="7981" w:firstLine="2"/>
        <w:jc w:val="left"/>
        <w:rPr>
          <w:b w:val="0"/>
          <w:bCs w:val="0"/>
        </w:rPr>
      </w:pPr>
      <w:r>
        <w:rPr/>
        <w:t>注释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短期借款</w:t>
      </w:r>
      <w:r>
        <w:rPr>
          <w:w w:val="100"/>
        </w:rPr>
        <w:t> </w:t>
      </w:r>
      <w:r>
        <w:rPr>
          <w:rFonts w:ascii="Trebuchet MS" w:hAnsi="Trebuchet MS" w:cs="Trebuchet MS" w:eastAsia="Trebuchet MS" w:hint="default"/>
        </w:rPr>
        <w:t>1</w:t>
      </w:r>
      <w:r>
        <w:rPr/>
        <w:t>．</w:t>
      </w:r>
      <w:r>
        <w:rPr>
          <w:spacing w:val="41"/>
        </w:rPr>
        <w:t> </w:t>
      </w:r>
      <w:r>
        <w:rPr/>
        <w:t>短期借款分类</w:t>
      </w:r>
      <w:r>
        <w:rPr>
          <w:b w:val="0"/>
          <w:bCs w:val="0"/>
        </w:rPr>
      </w:r>
    </w:p>
    <w:p>
      <w:pPr>
        <w:spacing w:line="240" w:lineRule="auto" w:before="1"/>
        <w:rPr>
          <w:rFonts w:ascii="Microsoft JhengHei" w:hAnsi="Microsoft JhengHei" w:cs="Microsoft JhengHei" w:eastAsia="Microsoft JhengHei"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2857"/>
        <w:gridCol w:w="2844"/>
        <w:gridCol w:w="2842"/>
      </w:tblGrid>
      <w:tr>
        <w:trPr>
          <w:trHeight w:val="360" w:hRule="exact"/>
        </w:trPr>
        <w:tc>
          <w:tcPr>
            <w:tcW w:w="28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234"/>
              <w:jc w:val="right"/>
              <w:rPr>
                <w:rFonts w:ascii="宋体" w:hAnsi="宋体" w:cs="宋体" w:eastAsia="宋体" w:hint="default"/>
                <w:sz w:val="18"/>
                <w:szCs w:val="18"/>
              </w:rPr>
            </w:pPr>
            <w:r>
              <w:rPr>
                <w:rFonts w:ascii="宋体" w:hAnsi="宋体" w:cs="宋体" w:eastAsia="宋体" w:hint="default"/>
                <w:sz w:val="18"/>
                <w:szCs w:val="18"/>
              </w:rPr>
              <w:t>项目</w:t>
            </w:r>
          </w:p>
        </w:tc>
        <w:tc>
          <w:tcPr>
            <w:tcW w:w="2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44" w:type="dxa"/>
            <w:tcBorders>
              <w:top w:val="dotted" w:sz="4" w:space="0" w:color="000000"/>
              <w:left w:val="dotted" w:sz="4" w:space="0" w:color="000000"/>
              <w:bottom w:val="dotted" w:sz="4" w:space="0" w:color="000000"/>
              <w:right w:val="dotted" w:sz="4" w:space="0" w:color="000000"/>
            </w:tcBorders>
          </w:tcPr>
          <w:p>
            <w:pP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51,475,609.80</w:t>
            </w:r>
          </w:p>
        </w:tc>
      </w:tr>
      <w:tr>
        <w:trPr>
          <w:trHeight w:val="413" w:hRule="exact"/>
        </w:trPr>
        <w:tc>
          <w:tcPr>
            <w:tcW w:w="2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1234"/>
              <w:jc w:val="right"/>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dotted" w:sz="4" w:space="0" w:color="000000"/>
              <w:left w:val="dotted" w:sz="4" w:space="0" w:color="000000"/>
              <w:bottom w:val="single" w:sz="12" w:space="0" w:color="000000"/>
              <w:right w:val="dotted" w:sz="4" w:space="0" w:color="000000"/>
            </w:tcBorders>
          </w:tcPr>
          <w:p>
            <w:pP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51,475,609.80</w:t>
            </w:r>
          </w:p>
        </w:tc>
      </w:tr>
    </w:tbl>
    <w:p>
      <w:pPr>
        <w:spacing w:line="234" w:lineRule="exact" w:before="8"/>
        <w:ind w:left="138" w:right="1786" w:firstLine="0"/>
        <w:jc w:val="left"/>
        <w:rPr>
          <w:rFonts w:ascii="宋体" w:hAnsi="宋体" w:cs="宋体" w:eastAsia="宋体" w:hint="default"/>
          <w:sz w:val="18"/>
          <w:szCs w:val="18"/>
        </w:rPr>
      </w:pPr>
      <w:r>
        <w:rPr>
          <w:rFonts w:ascii="宋体" w:hAnsi="宋体" w:cs="宋体" w:eastAsia="宋体" w:hint="default"/>
          <w:sz w:val="18"/>
          <w:szCs w:val="18"/>
        </w:rPr>
        <w:t>注：因执行新金融工具准则，该项目期初余额与上年末余额存在差异。差异情况详见附注四（四十二）</w:t>
      </w:r>
      <w:r>
        <w:rPr>
          <w:rFonts w:ascii="宋体" w:hAnsi="宋体" w:cs="宋体" w:eastAsia="宋体" w:hint="default"/>
          <w:sz w:val="18"/>
          <w:szCs w:val="18"/>
        </w:rPr>
        <w:t>1</w:t>
      </w:r>
    </w:p>
    <w:p>
      <w:pPr>
        <w:spacing w:line="234"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1786"/>
        <w:jc w:val="left"/>
        <w:rPr>
          <w:b w:val="0"/>
          <w:bCs w:val="0"/>
        </w:rPr>
      </w:pPr>
      <w:r>
        <w:rPr/>
        <w:t>注释 </w:t>
      </w:r>
      <w:r>
        <w:rPr>
          <w:rFonts w:ascii="Times New Roman" w:hAnsi="Times New Roman" w:cs="Times New Roman" w:eastAsia="Times New Roman" w:hint="default"/>
        </w:rPr>
        <w:t>29. </w:t>
      </w:r>
      <w:r>
        <w:rPr>
          <w:rFonts w:ascii="Times New Roman" w:hAnsi="Times New Roman" w:cs="Times New Roman" w:eastAsia="Times New Roman" w:hint="default"/>
          <w:spacing w:val="10"/>
        </w:rPr>
        <w:t> </w:t>
      </w:r>
      <w:r>
        <w:rPr/>
        <w:t>应付短期融资款</w:t>
      </w:r>
      <w:r>
        <w:rPr>
          <w:b w:val="0"/>
          <w:bCs w:val="0"/>
        </w:rPr>
      </w:r>
    </w:p>
    <w:p>
      <w:pPr>
        <w:pStyle w:val="Heading4"/>
        <w:spacing w:line="240" w:lineRule="auto" w:before="83"/>
        <w:ind w:left="558" w:right="1786"/>
        <w:jc w:val="left"/>
        <w:rPr>
          <w:b w:val="0"/>
          <w:bCs w:val="0"/>
        </w:rPr>
      </w:pPr>
      <w:r>
        <w:rPr>
          <w:rFonts w:ascii="Calibri" w:hAnsi="Calibri" w:cs="Calibri" w:eastAsia="Calibri" w:hint="default"/>
        </w:rPr>
        <w:t>1</w:t>
      </w:r>
      <w:r>
        <w:rPr/>
        <w:t>、  分类</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47" w:type="dxa"/>
        <w:tblLayout w:type="fixed"/>
        <w:tblCellMar>
          <w:top w:w="0" w:type="dxa"/>
          <w:left w:w="0" w:type="dxa"/>
          <w:bottom w:w="0" w:type="dxa"/>
          <w:right w:w="0" w:type="dxa"/>
        </w:tblCellMar>
        <w:tblLook w:val="01E0"/>
      </w:tblPr>
      <w:tblGrid>
        <w:gridCol w:w="3219"/>
        <w:gridCol w:w="2549"/>
        <w:gridCol w:w="2360"/>
      </w:tblGrid>
      <w:tr>
        <w:trPr>
          <w:trHeight w:val="499" w:hRule="exact"/>
        </w:trPr>
        <w:tc>
          <w:tcPr>
            <w:tcW w:w="32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9"/>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25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9"/>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32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应付短期融资款</w:t>
            </w:r>
          </w:p>
        </w:tc>
        <w:tc>
          <w:tcPr>
            <w:tcW w:w="25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1,854,971,761.64</w:t>
            </w:r>
          </w:p>
        </w:tc>
        <w:tc>
          <w:tcPr>
            <w:tcW w:w="23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599,552,837.79</w:t>
            </w:r>
          </w:p>
        </w:tc>
      </w:tr>
      <w:tr>
        <w:trPr>
          <w:trHeight w:val="502" w:hRule="exact"/>
        </w:trPr>
        <w:tc>
          <w:tcPr>
            <w:tcW w:w="32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2"/>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25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1,854,971,761.64</w:t>
            </w:r>
          </w:p>
        </w:tc>
        <w:tc>
          <w:tcPr>
            <w:tcW w:w="23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599,552,837.79</w:t>
            </w:r>
          </w:p>
        </w:tc>
      </w:tr>
    </w:tbl>
    <w:p>
      <w:pPr>
        <w:spacing w:line="215" w:lineRule="exact" w:before="0"/>
        <w:ind w:left="138" w:right="1578" w:firstLine="0"/>
        <w:jc w:val="left"/>
        <w:rPr>
          <w:rFonts w:ascii="Calibri" w:hAnsi="Calibri" w:cs="Calibri" w:eastAsia="Calibri" w:hint="default"/>
          <w:sz w:val="18"/>
          <w:szCs w:val="18"/>
        </w:rPr>
      </w:pP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Calibri" w:hAnsi="Calibri" w:cs="Calibri" w:eastAsia="Calibri" w:hint="default"/>
          <w:sz w:val="18"/>
          <w:szCs w:val="18"/>
        </w:rPr>
        <w:t>1</w:t>
      </w:r>
      <w:r>
        <w:rPr>
          <w:rFonts w:ascii="宋体" w:hAnsi="宋体" w:cs="宋体" w:eastAsia="宋体" w:hint="default"/>
          <w:sz w:val="18"/>
          <w:szCs w:val="18"/>
        </w:rPr>
        <w:t>：因执行新金融工具准则，该项目期初余额与上年末余额存在差异。差异情况详见附注四（四十二）</w:t>
      </w:r>
      <w:r>
        <w:rPr>
          <w:rFonts w:ascii="Calibri" w:hAnsi="Calibri" w:cs="Calibri" w:eastAsia="Calibri" w:hint="default"/>
          <w:sz w:val="18"/>
          <w:szCs w:val="18"/>
        </w:rPr>
        <w:t>1</w:t>
      </w:r>
    </w:p>
    <w:p>
      <w:pPr>
        <w:spacing w:line="246"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）相关内容。</w:t>
      </w:r>
    </w:p>
    <w:p>
      <w:pPr>
        <w:spacing w:before="142"/>
        <w:ind w:left="138" w:right="17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Calibri" w:hAnsi="Calibri" w:cs="Calibri" w:eastAsia="Calibri" w:hint="default"/>
          <w:sz w:val="18"/>
          <w:szCs w:val="18"/>
        </w:rPr>
        <w:t>2</w:t>
      </w:r>
      <w:r>
        <w:rPr>
          <w:rFonts w:ascii="宋体" w:hAnsi="宋体" w:cs="宋体" w:eastAsia="宋体" w:hint="default"/>
          <w:sz w:val="18"/>
          <w:szCs w:val="18"/>
        </w:rPr>
        <w:t>：两融业务规模扩大，公司扩大收益凭证发行规模以满足业务需要。</w:t>
      </w:r>
    </w:p>
    <w:p>
      <w:pPr>
        <w:spacing w:line="240" w:lineRule="auto" w:before="0"/>
        <w:rPr>
          <w:rFonts w:ascii="宋体" w:hAnsi="宋体" w:cs="宋体" w:eastAsia="宋体" w:hint="default"/>
          <w:sz w:val="28"/>
          <w:szCs w:val="28"/>
        </w:rPr>
      </w:pPr>
    </w:p>
    <w:p>
      <w:pPr>
        <w:pStyle w:val="Heading4"/>
        <w:spacing w:line="240" w:lineRule="auto"/>
        <w:ind w:left="558" w:right="1786"/>
        <w:jc w:val="left"/>
        <w:rPr>
          <w:b w:val="0"/>
          <w:bCs w:val="0"/>
        </w:rPr>
      </w:pPr>
      <w:r>
        <w:rPr>
          <w:rFonts w:ascii="Calibri" w:hAnsi="Calibri" w:cs="Calibri" w:eastAsia="Calibri" w:hint="default"/>
        </w:rPr>
        <w:t>2</w:t>
      </w:r>
      <w:r>
        <w:rPr/>
        <w:t>、 </w:t>
      </w:r>
      <w:r>
        <w:rPr>
          <w:spacing w:val="8"/>
        </w:rPr>
        <w:t> </w:t>
      </w:r>
      <w:r>
        <w:rPr/>
        <w:t>应付短期融资款明细</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55"/>
        <w:gridCol w:w="859"/>
        <w:gridCol w:w="1136"/>
        <w:gridCol w:w="1274"/>
        <w:gridCol w:w="1419"/>
        <w:gridCol w:w="1361"/>
        <w:gridCol w:w="1304"/>
      </w:tblGrid>
      <w:tr>
        <w:trPr>
          <w:trHeight w:val="1634" w:hRule="exact"/>
        </w:trPr>
        <w:tc>
          <w:tcPr>
            <w:tcW w:w="955" w:type="dxa"/>
            <w:tcBorders>
              <w:top w:val="single" w:sz="12" w:space="0" w:color="000000"/>
              <w:left w:val="nil" w:sz="6" w:space="0" w:color="auto"/>
              <w:bottom w:val="dotted" w:sz="4" w:space="0" w:color="000000"/>
              <w:right w:val="dotted" w:sz="4" w:space="0" w:color="000000"/>
            </w:tcBorders>
          </w:tcPr>
          <w:p>
            <w:pPr/>
          </w:p>
        </w:tc>
        <w:tc>
          <w:tcPr>
            <w:tcW w:w="8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剩余期限</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0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0"/>
                <w:szCs w:val="20"/>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8" w:hRule="exact"/>
        </w:trPr>
        <w:tc>
          <w:tcPr>
            <w:tcW w:w="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已到期</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4.00%-7.00%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599,552,837.79</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3,376,763,139.89</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66" w:right="0"/>
              <w:jc w:val="center"/>
              <w:rPr>
                <w:rFonts w:ascii="Times New Roman" w:hAnsi="Times New Roman" w:cs="Times New Roman" w:eastAsia="Times New Roman" w:hint="default"/>
                <w:sz w:val="18"/>
                <w:szCs w:val="18"/>
              </w:rPr>
            </w:pPr>
            <w:r>
              <w:rPr>
                <w:rFonts w:ascii="Times New Roman"/>
                <w:sz w:val="18"/>
              </w:rPr>
              <w:t>3,976,315,977.68</w:t>
            </w:r>
          </w:p>
        </w:tc>
        <w:tc>
          <w:tcPr>
            <w:tcW w:w="130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362,787,841.10</w:t>
            </w:r>
          </w:p>
        </w:tc>
        <w:tc>
          <w:tcPr>
            <w:tcW w:w="1361"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362,787,841.10</w:t>
            </w:r>
          </w:p>
        </w:tc>
      </w:tr>
      <w:tr>
        <w:trPr>
          <w:trHeight w:val="415" w:hRule="exact"/>
        </w:trPr>
        <w:tc>
          <w:tcPr>
            <w:tcW w:w="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4.00%-5.00%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456,004,879.45</w:t>
            </w:r>
          </w:p>
        </w:tc>
        <w:tc>
          <w:tcPr>
            <w:tcW w:w="1361"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456,004,879.45</w:t>
            </w:r>
          </w:p>
        </w:tc>
      </w:tr>
      <w:tr>
        <w:trPr>
          <w:trHeight w:val="418" w:hRule="exact"/>
        </w:trPr>
        <w:tc>
          <w:tcPr>
            <w:tcW w:w="9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5.00%</w:t>
            </w:r>
          </w:p>
        </w:tc>
        <w:tc>
          <w:tcPr>
            <w:tcW w:w="1274"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1,036,179,041.09</w:t>
            </w:r>
          </w:p>
        </w:tc>
        <w:tc>
          <w:tcPr>
            <w:tcW w:w="1361"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1,036,179,041.09</w:t>
            </w:r>
          </w:p>
        </w:tc>
      </w:tr>
      <w:tr>
        <w:trPr>
          <w:trHeight w:val="427" w:hRule="exact"/>
        </w:trPr>
        <w:tc>
          <w:tcPr>
            <w:tcW w:w="9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9" w:type="dxa"/>
            <w:tcBorders>
              <w:top w:val="dotted" w:sz="4" w:space="0" w:color="000000"/>
              <w:left w:val="dotted" w:sz="4" w:space="0" w:color="000000"/>
              <w:bottom w:val="single" w:sz="12" w:space="0" w:color="000000"/>
              <w:right w:val="dotted" w:sz="4" w:space="0" w:color="000000"/>
            </w:tcBorders>
          </w:tcPr>
          <w:p>
            <w:pPr/>
          </w:p>
        </w:tc>
        <w:tc>
          <w:tcPr>
            <w:tcW w:w="1136" w:type="dxa"/>
            <w:tcBorders>
              <w:top w:val="dotted" w:sz="4" w:space="0" w:color="000000"/>
              <w:left w:val="dotted" w:sz="4" w:space="0" w:color="000000"/>
              <w:bottom w:val="single" w:sz="12" w:space="0" w:color="000000"/>
              <w:right w:val="dotted" w:sz="4" w:space="0" w:color="000000"/>
            </w:tcBorders>
          </w:tcPr>
          <w:p>
            <w:pP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599,552,837.79</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5,231,734,901.53</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66" w:right="0"/>
              <w:jc w:val="center"/>
              <w:rPr>
                <w:rFonts w:ascii="Times New Roman" w:hAnsi="Times New Roman" w:cs="Times New Roman" w:eastAsia="Times New Roman" w:hint="default"/>
                <w:sz w:val="18"/>
                <w:szCs w:val="18"/>
              </w:rPr>
            </w:pPr>
            <w:r>
              <w:rPr>
                <w:rFonts w:ascii="Times New Roman"/>
                <w:sz w:val="18"/>
              </w:rPr>
              <w:t>3,976,315,977.68</w:t>
            </w:r>
          </w:p>
        </w:tc>
        <w:tc>
          <w:tcPr>
            <w:tcW w:w="13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1,854,971,761.64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760" w:right="0"/>
        <w:jc w:val="left"/>
        <w:rPr>
          <w:b w:val="0"/>
          <w:bCs w:val="0"/>
        </w:rPr>
      </w:pPr>
      <w:r>
        <w:rPr/>
        <w:t>注释 </w:t>
      </w:r>
      <w:r>
        <w:rPr>
          <w:rFonts w:ascii="Times New Roman" w:hAnsi="Times New Roman" w:cs="Times New Roman" w:eastAsia="Times New Roman" w:hint="default"/>
        </w:rPr>
        <w:t>30. </w:t>
      </w:r>
      <w:r>
        <w:rPr>
          <w:rFonts w:ascii="Times New Roman" w:hAnsi="Times New Roman" w:cs="Times New Roman" w:eastAsia="Times New Roman" w:hint="default"/>
          <w:spacing w:val="6"/>
        </w:rPr>
        <w:t> </w:t>
      </w:r>
      <w:r>
        <w:rPr/>
        <w:t>拆入资金</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290" w:type="dxa"/>
        <w:tblLayout w:type="fixed"/>
        <w:tblCellMar>
          <w:top w:w="0" w:type="dxa"/>
          <w:left w:w="0" w:type="dxa"/>
          <w:bottom w:w="0" w:type="dxa"/>
          <w:right w:w="0" w:type="dxa"/>
        </w:tblCellMar>
        <w:tblLook w:val="01E0"/>
      </w:tblPr>
      <w:tblGrid>
        <w:gridCol w:w="3557"/>
        <w:gridCol w:w="2412"/>
        <w:gridCol w:w="2038"/>
      </w:tblGrid>
      <w:tr>
        <w:trPr>
          <w:trHeight w:val="499" w:hRule="exact"/>
        </w:trPr>
        <w:tc>
          <w:tcPr>
            <w:tcW w:w="35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586"/>
              <w:jc w:val="right"/>
              <w:rPr>
                <w:rFonts w:ascii="宋体" w:hAnsi="宋体" w:cs="宋体" w:eastAsia="宋体" w:hint="default"/>
                <w:sz w:val="18"/>
                <w:szCs w:val="18"/>
              </w:rPr>
            </w:pPr>
            <w:r>
              <w:rPr>
                <w:rFonts w:ascii="宋体" w:hAnsi="宋体" w:cs="宋体" w:eastAsia="宋体" w:hint="default"/>
                <w:sz w:val="18"/>
                <w:szCs w:val="18"/>
              </w:rPr>
              <w:t>项目</w:t>
            </w:r>
          </w:p>
        </w:tc>
        <w:tc>
          <w:tcPr>
            <w:tcW w:w="24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3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35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转融通拆入资金</w:t>
            </w:r>
          </w:p>
        </w:tc>
        <w:tc>
          <w:tcPr>
            <w:tcW w:w="2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2,367,688,263.84</w:t>
            </w:r>
          </w:p>
        </w:tc>
        <w:tc>
          <w:tcPr>
            <w:tcW w:w="20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left="662" w:right="0"/>
              <w:jc w:val="left"/>
              <w:rPr>
                <w:rFonts w:ascii="Times New Roman" w:hAnsi="Times New Roman" w:cs="Times New Roman" w:eastAsia="Times New Roman" w:hint="default"/>
                <w:sz w:val="18"/>
                <w:szCs w:val="18"/>
              </w:rPr>
            </w:pPr>
            <w:r>
              <w:rPr>
                <w:rFonts w:ascii="Times New Roman"/>
                <w:sz w:val="18"/>
              </w:rPr>
              <w:t>1,469,734,166.67</w:t>
            </w:r>
          </w:p>
        </w:tc>
      </w:tr>
      <w:tr>
        <w:trPr>
          <w:trHeight w:val="492" w:hRule="exact"/>
        </w:trPr>
        <w:tc>
          <w:tcPr>
            <w:tcW w:w="35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银行拆入资金</w:t>
            </w:r>
          </w:p>
        </w:tc>
        <w:tc>
          <w:tcPr>
            <w:tcW w:w="2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2"/>
                <w:sz w:val="18"/>
              </w:rPr>
              <w:t>400,223,611.11</w:t>
            </w:r>
          </w:p>
        </w:tc>
        <w:tc>
          <w:tcPr>
            <w:tcW w:w="20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left="676" w:right="0"/>
              <w:jc w:val="left"/>
              <w:rPr>
                <w:rFonts w:ascii="Times New Roman" w:hAnsi="Times New Roman" w:cs="Times New Roman" w:eastAsia="Times New Roman" w:hint="default"/>
                <w:sz w:val="18"/>
                <w:szCs w:val="18"/>
              </w:rPr>
            </w:pPr>
            <w:r>
              <w:rPr>
                <w:rFonts w:ascii="Times New Roman"/>
                <w:sz w:val="18"/>
              </w:rPr>
              <w:t>1,295,999,111.12</w:t>
            </w:r>
          </w:p>
        </w:tc>
      </w:tr>
      <w:tr>
        <w:trPr>
          <w:trHeight w:val="500" w:hRule="exact"/>
        </w:trPr>
        <w:tc>
          <w:tcPr>
            <w:tcW w:w="35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586"/>
              <w:jc w:val="right"/>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2,767,911,874.95</w:t>
            </w:r>
          </w:p>
        </w:tc>
        <w:tc>
          <w:tcPr>
            <w:tcW w:w="20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left="662" w:right="0"/>
              <w:jc w:val="left"/>
              <w:rPr>
                <w:rFonts w:ascii="Times New Roman" w:hAnsi="Times New Roman" w:cs="Times New Roman" w:eastAsia="Times New Roman" w:hint="default"/>
                <w:sz w:val="18"/>
                <w:szCs w:val="18"/>
              </w:rPr>
            </w:pPr>
            <w:r>
              <w:rPr>
                <w:rFonts w:ascii="Times New Roman"/>
                <w:sz w:val="18"/>
              </w:rPr>
              <w:t>2,765,733,277.79</w:t>
            </w:r>
          </w:p>
        </w:tc>
      </w:tr>
    </w:tbl>
    <w:p>
      <w:pPr>
        <w:spacing w:line="246" w:lineRule="exact" w:before="8"/>
        <w:ind w:left="158" w:right="0" w:firstLine="0"/>
        <w:jc w:val="left"/>
        <w:rPr>
          <w:rFonts w:ascii="Calibri" w:hAnsi="Calibri" w:cs="Calibri" w:eastAsia="Calibri" w:hint="default"/>
          <w:sz w:val="18"/>
          <w:szCs w:val="18"/>
        </w:rPr>
      </w:pPr>
      <w:r>
        <w:rPr>
          <w:rFonts w:ascii="宋体" w:hAnsi="宋体" w:cs="宋体" w:eastAsia="宋体" w:hint="default"/>
          <w:sz w:val="18"/>
          <w:szCs w:val="18"/>
        </w:rPr>
        <w:t>注</w:t>
      </w:r>
      <w:r>
        <w:rPr>
          <w:rFonts w:ascii="宋体" w:hAnsi="宋体" w:cs="宋体" w:eastAsia="宋体" w:hint="default"/>
          <w:spacing w:val="-60"/>
          <w:sz w:val="18"/>
          <w:szCs w:val="18"/>
        </w:rPr>
        <w:t> </w:t>
      </w:r>
      <w:r>
        <w:rPr>
          <w:rFonts w:ascii="Calibri" w:hAnsi="Calibri" w:cs="Calibri" w:eastAsia="Calibri" w:hint="default"/>
          <w:sz w:val="18"/>
          <w:szCs w:val="18"/>
        </w:rPr>
        <w:t>1</w:t>
      </w:r>
      <w:r>
        <w:rPr>
          <w:rFonts w:ascii="宋体" w:hAnsi="宋体" w:cs="宋体" w:eastAsia="宋体" w:hint="default"/>
          <w:sz w:val="18"/>
          <w:szCs w:val="18"/>
        </w:rPr>
        <w:t>：因执行新金融工具准则，该项目期初余额与上年末余额存在差异。差异情况详见附注四（四十二）</w:t>
      </w:r>
      <w:r>
        <w:rPr>
          <w:rFonts w:ascii="Calibri" w:hAnsi="Calibri" w:cs="Calibri" w:eastAsia="Calibri" w:hint="default"/>
          <w:sz w:val="18"/>
          <w:szCs w:val="18"/>
        </w:rPr>
        <w:t>1</w:t>
      </w:r>
    </w:p>
    <w:p>
      <w:pPr>
        <w:spacing w:line="246" w:lineRule="exact" w:before="0"/>
        <w:ind w:left="15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）相关内容。</w:t>
      </w:r>
    </w:p>
    <w:p>
      <w:pPr>
        <w:spacing w:before="15"/>
        <w:ind w:left="158"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Calibri" w:hAnsi="Calibri" w:cs="Calibri" w:eastAsia="Calibri" w:hint="default"/>
          <w:sz w:val="18"/>
          <w:szCs w:val="18"/>
        </w:rPr>
        <w:t>2</w:t>
      </w:r>
      <w:r>
        <w:rPr>
          <w:rFonts w:ascii="宋体" w:hAnsi="宋体" w:cs="宋体" w:eastAsia="宋体" w:hint="default"/>
          <w:sz w:val="18"/>
          <w:szCs w:val="18"/>
        </w:rPr>
        <w:t>：融资市场行情变化，本期转融通拆入资金增加，银行拆入资金减少。</w:t>
      </w:r>
    </w:p>
    <w:p>
      <w:pPr>
        <w:spacing w:line="240" w:lineRule="auto" w:before="11"/>
        <w:rPr>
          <w:rFonts w:ascii="宋体" w:hAnsi="宋体" w:cs="宋体" w:eastAsia="宋体" w:hint="default"/>
          <w:sz w:val="20"/>
          <w:szCs w:val="20"/>
        </w:rPr>
      </w:pPr>
    </w:p>
    <w:p>
      <w:pPr>
        <w:pStyle w:val="BodyText"/>
        <w:spacing w:line="240" w:lineRule="auto"/>
        <w:ind w:left="158" w:right="0"/>
        <w:jc w:val="left"/>
      </w:pPr>
      <w:r>
        <w:rPr/>
        <w:pict>
          <v:group style="position:absolute;margin-left:280.369995pt;margin-top:39.983654pt;width:.5pt;height:.1pt;mso-position-horizontal-relative:page;mso-position-vertical-relative:paragraph;z-index:-1328080" coordorigin="5607,800" coordsize="10,2">
            <v:shape style="position:absolute;left:5607;top:800;width:10;height:2" coordorigin="5607,800" coordsize="10,0" path="m5607,800l5617,800e" filled="false" stroked="true" strokeweight=".72pt" strokecolor="#000000">
              <v:path arrowok="t"/>
              <v:stroke dashstyle="dash"/>
            </v:shape>
            <w10:wrap type="none"/>
          </v:group>
        </w:pict>
      </w:r>
      <w:r>
        <w:rPr/>
        <w:pict>
          <v:group style="position:absolute;margin-left:434.109985pt;margin-top:39.983654pt;width:.5pt;height:.1pt;mso-position-horizontal-relative:page;mso-position-vertical-relative:paragraph;z-index:-1328056" coordorigin="8682,800" coordsize="10,2">
            <v:shape style="position:absolute;left:8682;top:800;width:10;height:2" coordorigin="8682,800" coordsize="10,0" path="m8682,800l8692,800e" filled="false" stroked="true" strokeweight=".72pt" strokecolor="#000000">
              <v:path arrowok="t"/>
              <v:stroke dashstyle="dash"/>
            </v:shape>
            <w10:wrap type="none"/>
          </v:group>
        </w:pict>
      </w:r>
      <w:r>
        <w:rPr/>
        <w:t>转融通拆入资金按剩余期限分类</w:t>
      </w:r>
    </w:p>
    <w:p>
      <w:pPr>
        <w:spacing w:line="240" w:lineRule="auto" w:before="6"/>
        <w:rPr>
          <w:rFonts w:ascii="宋体" w:hAnsi="宋体" w:cs="宋体" w:eastAsia="宋体" w:hint="default"/>
          <w:sz w:val="5"/>
          <w:szCs w:val="5"/>
        </w:rPr>
      </w:pPr>
    </w:p>
    <w:tbl>
      <w:tblPr>
        <w:tblW w:w="0" w:type="auto"/>
        <w:jc w:val="left"/>
        <w:tblInd w:w="158" w:type="dxa"/>
        <w:tblLayout w:type="fixed"/>
        <w:tblCellMar>
          <w:top w:w="0" w:type="dxa"/>
          <w:left w:w="0" w:type="dxa"/>
          <w:bottom w:w="0" w:type="dxa"/>
          <w:right w:w="0" w:type="dxa"/>
        </w:tblCellMar>
        <w:tblLook w:val="01E0"/>
      </w:tblPr>
      <w:tblGrid>
        <w:gridCol w:w="1606"/>
        <w:gridCol w:w="2194"/>
        <w:gridCol w:w="1546"/>
        <w:gridCol w:w="1529"/>
        <w:gridCol w:w="1397"/>
      </w:tblGrid>
      <w:tr>
        <w:trPr>
          <w:trHeight w:val="427" w:hRule="exact"/>
        </w:trPr>
        <w:tc>
          <w:tcPr>
            <w:tcW w:w="16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448" w:right="0"/>
              <w:jc w:val="left"/>
              <w:rPr>
                <w:rFonts w:ascii="宋体" w:hAnsi="宋体" w:cs="宋体" w:eastAsia="宋体" w:hint="default"/>
                <w:sz w:val="18"/>
                <w:szCs w:val="18"/>
              </w:rPr>
            </w:pPr>
            <w:r>
              <w:rPr>
                <w:rFonts w:ascii="宋体" w:hAnsi="宋体" w:cs="宋体" w:eastAsia="宋体" w:hint="default"/>
                <w:sz w:val="18"/>
                <w:szCs w:val="18"/>
              </w:rPr>
              <w:t>剩余期限</w:t>
            </w:r>
          </w:p>
        </w:tc>
        <w:tc>
          <w:tcPr>
            <w:tcW w:w="374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26"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1606" w:type="dxa"/>
            <w:tcBorders>
              <w:top w:val="dotted" w:sz="4" w:space="0" w:color="000000"/>
              <w:left w:val="nil" w:sz="6" w:space="0" w:color="auto"/>
              <w:bottom w:val="dotted" w:sz="4" w:space="0" w:color="000000"/>
              <w:right w:val="dotted" w:sz="4" w:space="0" w:color="000000"/>
            </w:tcBorders>
          </w:tcPr>
          <w:p>
            <w:pP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91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left="405" w:right="0"/>
              <w:jc w:val="left"/>
              <w:rPr>
                <w:rFonts w:ascii="宋体" w:hAnsi="宋体" w:cs="宋体" w:eastAsia="宋体" w:hint="default"/>
                <w:sz w:val="18"/>
                <w:szCs w:val="18"/>
              </w:rPr>
            </w:pPr>
            <w:r>
              <w:rPr>
                <w:rFonts w:ascii="宋体" w:hAnsi="宋体" w:cs="宋体" w:eastAsia="宋体" w:hint="default"/>
                <w:sz w:val="18"/>
                <w:szCs w:val="18"/>
              </w:rPr>
              <w:t>利率区间</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3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331" w:right="0"/>
              <w:jc w:val="left"/>
              <w:rPr>
                <w:rFonts w:ascii="宋体" w:hAnsi="宋体" w:cs="宋体" w:eastAsia="宋体" w:hint="default"/>
                <w:sz w:val="18"/>
                <w:szCs w:val="18"/>
              </w:rPr>
            </w:pPr>
            <w:r>
              <w:rPr>
                <w:rFonts w:ascii="宋体" w:hAnsi="宋体" w:cs="宋体" w:eastAsia="宋体" w:hint="default"/>
                <w:sz w:val="18"/>
                <w:szCs w:val="18"/>
              </w:rPr>
              <w:t>利率区间</w:t>
            </w:r>
          </w:p>
        </w:tc>
      </w:tr>
      <w:tr>
        <w:trPr>
          <w:trHeight w:val="418" w:hRule="exact"/>
        </w:trPr>
        <w:tc>
          <w:tcPr>
            <w:tcW w:w="16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912" w:right="0"/>
              <w:jc w:val="left"/>
              <w:rPr>
                <w:rFonts w:ascii="Times New Roman" w:hAnsi="Times New Roman" w:cs="Times New Roman" w:eastAsia="Times New Roman" w:hint="default"/>
                <w:sz w:val="18"/>
                <w:szCs w:val="18"/>
              </w:rPr>
            </w:pPr>
            <w:r>
              <w:rPr>
                <w:rFonts w:ascii="Times New Roman"/>
                <w:sz w:val="18"/>
              </w:rPr>
              <w:t>1,010,490,277.78</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10"/>
              <w:jc w:val="right"/>
              <w:rPr>
                <w:rFonts w:ascii="Arial" w:hAnsi="Arial" w:cs="Arial" w:eastAsia="Arial" w:hint="default"/>
                <w:sz w:val="18"/>
                <w:szCs w:val="18"/>
              </w:rPr>
            </w:pPr>
            <w:r>
              <w:rPr>
                <w:rFonts w:ascii="Arial"/>
                <w:spacing w:val="-1"/>
                <w:w w:val="80"/>
                <w:sz w:val="18"/>
              </w:rPr>
              <w:t>3.5%</w:t>
            </w:r>
            <w:r>
              <w:rPr>
                <w:rFonts w:ascii="Arial"/>
                <w:spacing w:val="-1"/>
                <w:sz w:val="18"/>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859,279,166.67</w:t>
            </w:r>
          </w:p>
        </w:tc>
        <w:tc>
          <w:tcPr>
            <w:tcW w:w="13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5"/>
              <w:jc w:val="right"/>
              <w:rPr>
                <w:rFonts w:ascii="Arial" w:hAnsi="Arial" w:cs="Arial" w:eastAsia="Arial" w:hint="default"/>
                <w:sz w:val="18"/>
                <w:szCs w:val="18"/>
              </w:rPr>
            </w:pPr>
            <w:r>
              <w:rPr>
                <w:rFonts w:ascii="Arial"/>
                <w:spacing w:val="-1"/>
                <w:w w:val="80"/>
                <w:sz w:val="18"/>
              </w:rPr>
              <w:t>5.10%</w:t>
            </w:r>
            <w:r>
              <w:rPr>
                <w:rFonts w:ascii="Arial"/>
                <w:spacing w:val="-1"/>
                <w:sz w:val="18"/>
              </w:rPr>
            </w:r>
          </w:p>
        </w:tc>
      </w:tr>
      <w:tr>
        <w:trPr>
          <w:trHeight w:val="418" w:hRule="exact"/>
        </w:trPr>
        <w:tc>
          <w:tcPr>
            <w:tcW w:w="16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21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912" w:right="0"/>
              <w:jc w:val="left"/>
              <w:rPr>
                <w:rFonts w:ascii="Times New Roman" w:hAnsi="Times New Roman" w:cs="Times New Roman" w:eastAsia="Times New Roman" w:hint="default"/>
                <w:sz w:val="18"/>
                <w:szCs w:val="18"/>
              </w:rPr>
            </w:pPr>
            <w:r>
              <w:rPr>
                <w:rFonts w:ascii="Times New Roman"/>
                <w:sz w:val="18"/>
              </w:rPr>
              <w:t>1,357,197,986.06</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right="10"/>
              <w:jc w:val="right"/>
              <w:rPr>
                <w:rFonts w:ascii="Arial" w:hAnsi="Arial" w:cs="Arial" w:eastAsia="Arial" w:hint="default"/>
                <w:sz w:val="18"/>
                <w:szCs w:val="18"/>
              </w:rPr>
            </w:pPr>
            <w:r>
              <w:rPr>
                <w:rFonts w:ascii="Arial"/>
                <w:spacing w:val="-1"/>
                <w:w w:val="80"/>
                <w:sz w:val="18"/>
              </w:rPr>
              <w:t>3.25%</w:t>
            </w:r>
            <w:r>
              <w:rPr>
                <w:rFonts w:ascii="Arial"/>
                <w:spacing w:val="-1"/>
                <w:sz w:val="18"/>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610,455,000.00</w:t>
            </w:r>
          </w:p>
        </w:tc>
        <w:tc>
          <w:tcPr>
            <w:tcW w:w="13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9"/>
              <w:ind w:right="15"/>
              <w:jc w:val="right"/>
              <w:rPr>
                <w:rFonts w:ascii="Arial" w:hAnsi="Arial" w:cs="Arial" w:eastAsia="Arial" w:hint="default"/>
                <w:sz w:val="18"/>
                <w:szCs w:val="18"/>
              </w:rPr>
            </w:pPr>
            <w:r>
              <w:rPr>
                <w:rFonts w:ascii="Arial"/>
                <w:spacing w:val="-1"/>
                <w:w w:val="80"/>
                <w:sz w:val="18"/>
              </w:rPr>
              <w:t>5.10%</w:t>
            </w:r>
            <w:r>
              <w:rPr>
                <w:rFonts w:ascii="Arial"/>
                <w:spacing w:val="-1"/>
                <w:sz w:val="18"/>
              </w:rPr>
            </w:r>
          </w:p>
        </w:tc>
      </w:tr>
      <w:tr>
        <w:trPr>
          <w:trHeight w:val="428" w:hRule="exact"/>
        </w:trPr>
        <w:tc>
          <w:tcPr>
            <w:tcW w:w="16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left="912" w:right="0"/>
              <w:jc w:val="left"/>
              <w:rPr>
                <w:rFonts w:ascii="Times New Roman" w:hAnsi="Times New Roman" w:cs="Times New Roman" w:eastAsia="Times New Roman" w:hint="default"/>
                <w:sz w:val="18"/>
                <w:szCs w:val="18"/>
              </w:rPr>
            </w:pPr>
            <w:r>
              <w:rPr>
                <w:rFonts w:ascii="Times New Roman"/>
                <w:sz w:val="18"/>
              </w:rPr>
              <w:t>2,367,688,263.84</w:t>
            </w:r>
          </w:p>
        </w:tc>
        <w:tc>
          <w:tcPr>
            <w:tcW w:w="1546" w:type="dxa"/>
            <w:tcBorders>
              <w:top w:val="dotted" w:sz="4" w:space="0" w:color="000000"/>
              <w:left w:val="dotted" w:sz="4" w:space="0" w:color="000000"/>
              <w:bottom w:val="single" w:sz="12" w:space="0" w:color="000000"/>
              <w:right w:val="dotted" w:sz="4" w:space="0" w:color="000000"/>
            </w:tcBorders>
          </w:tcPr>
          <w:p>
            <w:pP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1,469,734,166.67</w:t>
            </w:r>
          </w:p>
        </w:tc>
        <w:tc>
          <w:tcPr>
            <w:tcW w:w="139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8"/>
          <w:szCs w:val="28"/>
        </w:rPr>
      </w:pPr>
    </w:p>
    <w:p>
      <w:pPr>
        <w:pStyle w:val="Heading4"/>
        <w:spacing w:line="335" w:lineRule="exact"/>
        <w:ind w:left="158" w:right="0"/>
        <w:jc w:val="left"/>
        <w:rPr>
          <w:b w:val="0"/>
          <w:bCs w:val="0"/>
        </w:rPr>
      </w:pPr>
      <w:r>
        <w:rPr/>
        <w:t>注释 </w:t>
      </w:r>
      <w:r>
        <w:rPr>
          <w:rFonts w:ascii="Times New Roman" w:hAnsi="Times New Roman" w:cs="Times New Roman" w:eastAsia="Times New Roman" w:hint="default"/>
        </w:rPr>
        <w:t>31. </w:t>
      </w:r>
      <w:r>
        <w:rPr>
          <w:rFonts w:ascii="Times New Roman" w:hAnsi="Times New Roman" w:cs="Times New Roman" w:eastAsia="Times New Roman" w:hint="default"/>
          <w:spacing w:val="10"/>
        </w:rPr>
        <w:t> </w:t>
      </w:r>
      <w:r>
        <w:rPr/>
        <w:t>交易性金融负债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94" w:type="dxa"/>
        <w:tblLayout w:type="fixed"/>
        <w:tblCellMar>
          <w:top w:w="0" w:type="dxa"/>
          <w:left w:w="0" w:type="dxa"/>
          <w:bottom w:w="0" w:type="dxa"/>
          <w:right w:w="0" w:type="dxa"/>
        </w:tblCellMar>
        <w:tblLook w:val="01E0"/>
      </w:tblPr>
      <w:tblGrid>
        <w:gridCol w:w="799"/>
        <w:gridCol w:w="1340"/>
        <w:gridCol w:w="1142"/>
        <w:gridCol w:w="1342"/>
        <w:gridCol w:w="1267"/>
        <w:gridCol w:w="1066"/>
        <w:gridCol w:w="1239"/>
      </w:tblGrid>
      <w:tr>
        <w:trPr>
          <w:trHeight w:val="418" w:hRule="exact"/>
        </w:trPr>
        <w:tc>
          <w:tcPr>
            <w:tcW w:w="7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82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5" w:hRule="exact"/>
        </w:trPr>
        <w:tc>
          <w:tcPr>
            <w:tcW w:w="799" w:type="dxa"/>
            <w:vMerge/>
            <w:tcBorders>
              <w:left w:val="nil" w:sz="6" w:space="0" w:color="auto"/>
              <w:right w:val="dotted" w:sz="4" w:space="0" w:color="000000"/>
            </w:tcBorders>
          </w:tcPr>
          <w:p>
            <w:pPr/>
          </w:p>
        </w:tc>
        <w:tc>
          <w:tcPr>
            <w:tcW w:w="1340" w:type="dxa"/>
            <w:tcBorders>
              <w:top w:val="dotted" w:sz="4" w:space="0" w:color="000000"/>
              <w:left w:val="dotted" w:sz="4" w:space="0" w:color="000000"/>
              <w:bottom w:val="nil" w:sz="6" w:space="0" w:color="auto"/>
              <w:right w:val="dotted" w:sz="4" w:space="0" w:color="000000"/>
            </w:tcBorders>
          </w:tcPr>
          <w:p>
            <w:pPr/>
          </w:p>
        </w:tc>
        <w:tc>
          <w:tcPr>
            <w:tcW w:w="1142" w:type="dxa"/>
            <w:tcBorders>
              <w:top w:val="dotted" w:sz="4" w:space="0" w:color="000000"/>
              <w:left w:val="dotted" w:sz="4" w:space="0" w:color="000000"/>
              <w:bottom w:val="nil" w:sz="6" w:space="0" w:color="auto"/>
              <w:right w:val="dotted" w:sz="4" w:space="0" w:color="000000"/>
            </w:tcBorders>
          </w:tcPr>
          <w:p>
            <w:pPr/>
          </w:p>
        </w:tc>
        <w:tc>
          <w:tcPr>
            <w:tcW w:w="1342" w:type="dxa"/>
            <w:tcBorders>
              <w:top w:val="dotted" w:sz="4" w:space="0" w:color="000000"/>
              <w:left w:val="dotted" w:sz="4" w:space="0" w:color="000000"/>
              <w:bottom w:val="nil" w:sz="6" w:space="0" w:color="auto"/>
              <w:right w:val="dotted" w:sz="4" w:space="0" w:color="000000"/>
            </w:tcBorders>
          </w:tcPr>
          <w:p>
            <w:pPr/>
          </w:p>
        </w:tc>
        <w:tc>
          <w:tcPr>
            <w:tcW w:w="1267" w:type="dxa"/>
            <w:tcBorders>
              <w:top w:val="dotted" w:sz="4" w:space="0" w:color="000000"/>
              <w:left w:val="dotted" w:sz="4" w:space="0" w:color="000000"/>
              <w:bottom w:val="nil" w:sz="6" w:space="0" w:color="auto"/>
              <w:right w:val="dotted" w:sz="4" w:space="0" w:color="000000"/>
            </w:tcBorders>
          </w:tcPr>
          <w:p>
            <w:pPr/>
          </w:p>
        </w:tc>
        <w:tc>
          <w:tcPr>
            <w:tcW w:w="1066"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指定为以</w:t>
            </w:r>
          </w:p>
        </w:tc>
        <w:tc>
          <w:tcPr>
            <w:tcW w:w="1239" w:type="dxa"/>
            <w:tcBorders>
              <w:top w:val="dotted" w:sz="4" w:space="0" w:color="000000"/>
              <w:left w:val="dotted" w:sz="4" w:space="0" w:color="000000"/>
              <w:bottom w:val="nil" w:sz="6" w:space="0" w:color="auto"/>
              <w:right w:val="nil" w:sz="6" w:space="0" w:color="auto"/>
            </w:tcBorders>
          </w:tcPr>
          <w:p>
            <w:pPr/>
          </w:p>
        </w:tc>
      </w:tr>
      <w:tr>
        <w:trPr>
          <w:trHeight w:val="235" w:hRule="exact"/>
        </w:trPr>
        <w:tc>
          <w:tcPr>
            <w:tcW w:w="799" w:type="dxa"/>
            <w:vMerge/>
            <w:tcBorders>
              <w:left w:val="nil" w:sz="6" w:space="0" w:color="auto"/>
              <w:right w:val="dotted" w:sz="4" w:space="0" w:color="000000"/>
            </w:tcBorders>
          </w:tcPr>
          <w:p>
            <w:pPr/>
          </w:p>
        </w:tc>
        <w:tc>
          <w:tcPr>
            <w:tcW w:w="1340"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分类为以公允</w:t>
            </w:r>
          </w:p>
        </w:tc>
        <w:tc>
          <w:tcPr>
            <w:tcW w:w="1142"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指定为以公</w:t>
            </w:r>
          </w:p>
        </w:tc>
        <w:tc>
          <w:tcPr>
            <w:tcW w:w="1342" w:type="dxa"/>
            <w:tcBorders>
              <w:top w:val="nil" w:sz="6" w:space="0" w:color="auto"/>
              <w:left w:val="dotted" w:sz="4" w:space="0" w:color="000000"/>
              <w:bottom w:val="nil" w:sz="6" w:space="0" w:color="auto"/>
              <w:right w:val="dotted" w:sz="4" w:space="0" w:color="000000"/>
            </w:tcBorders>
          </w:tcPr>
          <w:p>
            <w:pPr/>
          </w:p>
        </w:tc>
        <w:tc>
          <w:tcPr>
            <w:tcW w:w="1267"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hAnsi="宋体" w:cs="宋体" w:eastAsia="宋体" w:hint="default"/>
                <w:sz w:val="18"/>
                <w:szCs w:val="18"/>
              </w:rPr>
              <w:t>分类为以公</w:t>
            </w:r>
          </w:p>
        </w:tc>
        <w:tc>
          <w:tcPr>
            <w:tcW w:w="1066" w:type="dxa"/>
            <w:tcBorders>
              <w:top w:val="nil" w:sz="6" w:space="0" w:color="auto"/>
              <w:left w:val="dotted" w:sz="4" w:space="0" w:color="000000"/>
              <w:bottom w:val="nil" w:sz="6" w:space="0" w:color="auto"/>
              <w:right w:val="dotted"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1239" w:type="dxa"/>
            <w:tcBorders>
              <w:top w:val="nil" w:sz="6" w:space="0" w:color="auto"/>
              <w:left w:val="dotted" w:sz="4" w:space="0" w:color="000000"/>
              <w:bottom w:val="nil" w:sz="6" w:space="0" w:color="auto"/>
              <w:right w:val="nil" w:sz="6" w:space="0" w:color="auto"/>
            </w:tcBorders>
          </w:tcPr>
          <w:p>
            <w:pPr/>
          </w:p>
        </w:tc>
      </w:tr>
      <w:tr>
        <w:trPr>
          <w:trHeight w:val="233" w:hRule="exact"/>
        </w:trPr>
        <w:tc>
          <w:tcPr>
            <w:tcW w:w="799" w:type="dxa"/>
            <w:vMerge/>
            <w:tcBorders>
              <w:left w:val="nil" w:sz="6" w:space="0" w:color="auto"/>
              <w:right w:val="dotted" w:sz="4" w:space="0" w:color="000000"/>
            </w:tcBorders>
          </w:tcPr>
          <w:p>
            <w:pPr/>
          </w:p>
        </w:tc>
        <w:tc>
          <w:tcPr>
            <w:tcW w:w="1340"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价值计量且其</w:t>
            </w:r>
          </w:p>
        </w:tc>
        <w:tc>
          <w:tcPr>
            <w:tcW w:w="1142"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允价值计量</w:t>
            </w:r>
          </w:p>
        </w:tc>
        <w:tc>
          <w:tcPr>
            <w:tcW w:w="1342" w:type="dxa"/>
            <w:tcBorders>
              <w:top w:val="nil" w:sz="6" w:space="0" w:color="auto"/>
              <w:left w:val="dotted" w:sz="4" w:space="0" w:color="000000"/>
              <w:bottom w:val="nil" w:sz="6" w:space="0" w:color="auto"/>
              <w:right w:val="dotted" w:sz="4" w:space="0" w:color="000000"/>
            </w:tcBorders>
          </w:tcPr>
          <w:p>
            <w:pPr/>
          </w:p>
        </w:tc>
        <w:tc>
          <w:tcPr>
            <w:tcW w:w="1267"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hAnsi="宋体" w:cs="宋体" w:eastAsia="宋体" w:hint="default"/>
                <w:sz w:val="18"/>
                <w:szCs w:val="18"/>
              </w:rPr>
              <w:t>允价值计量</w:t>
            </w:r>
          </w:p>
        </w:tc>
        <w:tc>
          <w:tcPr>
            <w:tcW w:w="1066"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计量且其</w:t>
            </w:r>
          </w:p>
        </w:tc>
        <w:tc>
          <w:tcPr>
            <w:tcW w:w="1239" w:type="dxa"/>
            <w:tcBorders>
              <w:top w:val="nil" w:sz="6" w:space="0" w:color="auto"/>
              <w:left w:val="dotted" w:sz="4" w:space="0" w:color="000000"/>
              <w:bottom w:val="nil" w:sz="6" w:space="0" w:color="auto"/>
              <w:right w:val="nil" w:sz="6" w:space="0" w:color="auto"/>
            </w:tcBorders>
          </w:tcPr>
          <w:p>
            <w:pPr/>
          </w:p>
        </w:tc>
      </w:tr>
      <w:tr>
        <w:trPr>
          <w:trHeight w:val="235" w:hRule="exact"/>
        </w:trPr>
        <w:tc>
          <w:tcPr>
            <w:tcW w:w="799" w:type="dxa"/>
            <w:vMerge/>
            <w:tcBorders>
              <w:left w:val="nil" w:sz="6" w:space="0" w:color="auto"/>
              <w:right w:val="dotted" w:sz="4" w:space="0" w:color="000000"/>
            </w:tcBorders>
          </w:tcPr>
          <w:p>
            <w:pPr/>
          </w:p>
        </w:tc>
        <w:tc>
          <w:tcPr>
            <w:tcW w:w="1340" w:type="dxa"/>
            <w:tcBorders>
              <w:top w:val="nil" w:sz="6" w:space="0" w:color="auto"/>
              <w:left w:val="dotted" w:sz="4" w:space="0" w:color="000000"/>
              <w:bottom w:val="nil" w:sz="6" w:space="0" w:color="auto"/>
              <w:right w:val="dotted"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变动计入当期</w:t>
            </w:r>
          </w:p>
        </w:tc>
        <w:tc>
          <w:tcPr>
            <w:tcW w:w="1142" w:type="dxa"/>
            <w:tcBorders>
              <w:top w:val="nil" w:sz="6" w:space="0" w:color="auto"/>
              <w:left w:val="dotted" w:sz="4" w:space="0" w:color="000000"/>
              <w:bottom w:val="nil" w:sz="6" w:space="0" w:color="auto"/>
              <w:right w:val="dotted" w:sz="4" w:space="0" w:color="000000"/>
            </w:tcBorders>
          </w:tcPr>
          <w:p>
            <w:pPr>
              <w:pStyle w:val="TableParagraph"/>
              <w:spacing w:line="209" w:lineRule="exact"/>
              <w:ind w:left="2" w:right="0"/>
              <w:jc w:val="center"/>
              <w:rPr>
                <w:rFonts w:ascii="宋体" w:hAnsi="宋体" w:cs="宋体" w:eastAsia="宋体" w:hint="default"/>
                <w:sz w:val="18"/>
                <w:szCs w:val="18"/>
              </w:rPr>
            </w:pPr>
            <w:r>
              <w:rPr>
                <w:rFonts w:ascii="宋体" w:hAnsi="宋体" w:cs="宋体" w:eastAsia="宋体" w:hint="default"/>
                <w:sz w:val="18"/>
                <w:szCs w:val="18"/>
              </w:rPr>
              <w:t>且其变动计</w:t>
            </w:r>
          </w:p>
        </w:tc>
        <w:tc>
          <w:tcPr>
            <w:tcW w:w="1342"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7" w:type="dxa"/>
            <w:tcBorders>
              <w:top w:val="nil" w:sz="6" w:space="0" w:color="auto"/>
              <w:left w:val="dotted" w:sz="4" w:space="0" w:color="000000"/>
              <w:bottom w:val="nil" w:sz="6" w:space="0" w:color="auto"/>
              <w:right w:val="dotted" w:sz="4" w:space="0" w:color="000000"/>
            </w:tcBorders>
          </w:tcPr>
          <w:p>
            <w:pPr>
              <w:pStyle w:val="TableParagraph"/>
              <w:spacing w:line="209" w:lineRule="exact"/>
              <w:ind w:left="177" w:right="0"/>
              <w:jc w:val="left"/>
              <w:rPr>
                <w:rFonts w:ascii="宋体" w:hAnsi="宋体" w:cs="宋体" w:eastAsia="宋体" w:hint="default"/>
                <w:sz w:val="18"/>
                <w:szCs w:val="18"/>
              </w:rPr>
            </w:pPr>
            <w:r>
              <w:rPr>
                <w:rFonts w:ascii="宋体" w:hAnsi="宋体" w:cs="宋体" w:eastAsia="宋体" w:hint="default"/>
                <w:sz w:val="18"/>
                <w:szCs w:val="18"/>
              </w:rPr>
              <w:t>且其变动计</w:t>
            </w:r>
          </w:p>
        </w:tc>
        <w:tc>
          <w:tcPr>
            <w:tcW w:w="1066" w:type="dxa"/>
            <w:tcBorders>
              <w:top w:val="nil" w:sz="6" w:space="0" w:color="auto"/>
              <w:left w:val="dotted" w:sz="4" w:space="0" w:color="000000"/>
              <w:bottom w:val="nil" w:sz="6" w:space="0" w:color="auto"/>
              <w:right w:val="dotted"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变动计入</w:t>
            </w:r>
          </w:p>
        </w:tc>
        <w:tc>
          <w:tcPr>
            <w:tcW w:w="1239" w:type="dxa"/>
            <w:tcBorders>
              <w:top w:val="nil" w:sz="6" w:space="0" w:color="auto"/>
              <w:left w:val="dotted" w:sz="4" w:space="0" w:color="000000"/>
              <w:bottom w:val="nil" w:sz="6" w:space="0" w:color="auto"/>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32" w:hRule="exact"/>
        </w:trPr>
        <w:tc>
          <w:tcPr>
            <w:tcW w:w="799" w:type="dxa"/>
            <w:vMerge/>
            <w:tcBorders>
              <w:left w:val="nil" w:sz="6" w:space="0" w:color="auto"/>
              <w:right w:val="dotted" w:sz="4" w:space="0" w:color="000000"/>
            </w:tcBorders>
          </w:tcPr>
          <w:p>
            <w:pPr/>
          </w:p>
        </w:tc>
        <w:tc>
          <w:tcPr>
            <w:tcW w:w="1340"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损益的金融负</w:t>
            </w:r>
          </w:p>
        </w:tc>
        <w:tc>
          <w:tcPr>
            <w:tcW w:w="1142"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入当期损益</w:t>
            </w:r>
          </w:p>
        </w:tc>
        <w:tc>
          <w:tcPr>
            <w:tcW w:w="1342" w:type="dxa"/>
            <w:tcBorders>
              <w:top w:val="nil" w:sz="6" w:space="0" w:color="auto"/>
              <w:left w:val="dotted" w:sz="4" w:space="0" w:color="000000"/>
              <w:bottom w:val="nil" w:sz="6" w:space="0" w:color="auto"/>
              <w:right w:val="dotted" w:sz="4" w:space="0" w:color="000000"/>
            </w:tcBorders>
          </w:tcPr>
          <w:p>
            <w:pPr/>
          </w:p>
        </w:tc>
        <w:tc>
          <w:tcPr>
            <w:tcW w:w="1267"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hAnsi="宋体" w:cs="宋体" w:eastAsia="宋体" w:hint="default"/>
                <w:sz w:val="18"/>
                <w:szCs w:val="18"/>
              </w:rPr>
              <w:t>入当期损益</w:t>
            </w:r>
          </w:p>
        </w:tc>
        <w:tc>
          <w:tcPr>
            <w:tcW w:w="1066" w:type="dxa"/>
            <w:tcBorders>
              <w:top w:val="nil" w:sz="6" w:space="0" w:color="auto"/>
              <w:left w:val="dotted" w:sz="4" w:space="0" w:color="000000"/>
              <w:bottom w:val="nil" w:sz="6" w:space="0" w:color="auto"/>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当期损益</w:t>
            </w:r>
          </w:p>
        </w:tc>
        <w:tc>
          <w:tcPr>
            <w:tcW w:w="1239" w:type="dxa"/>
            <w:tcBorders>
              <w:top w:val="nil" w:sz="6" w:space="0" w:color="auto"/>
              <w:left w:val="dotted" w:sz="4" w:space="0" w:color="000000"/>
              <w:bottom w:val="nil" w:sz="6" w:space="0" w:color="auto"/>
              <w:right w:val="nil" w:sz="6" w:space="0" w:color="auto"/>
            </w:tcBorders>
          </w:tcPr>
          <w:p>
            <w:pPr/>
          </w:p>
        </w:tc>
      </w:tr>
      <w:tr>
        <w:trPr>
          <w:trHeight w:val="233" w:hRule="exact"/>
        </w:trPr>
        <w:tc>
          <w:tcPr>
            <w:tcW w:w="799" w:type="dxa"/>
            <w:vMerge/>
            <w:tcBorders>
              <w:left w:val="nil" w:sz="6" w:space="0" w:color="auto"/>
              <w:right w:val="dotted" w:sz="4" w:space="0" w:color="000000"/>
            </w:tcBorders>
          </w:tcPr>
          <w:p>
            <w:pPr/>
          </w:p>
        </w:tc>
        <w:tc>
          <w:tcPr>
            <w:tcW w:w="1340" w:type="dxa"/>
            <w:tcBorders>
              <w:top w:val="nil" w:sz="6" w:space="0" w:color="auto"/>
              <w:left w:val="dotted" w:sz="4" w:space="0" w:color="000000"/>
              <w:bottom w:val="nil" w:sz="6" w:space="0" w:color="auto"/>
              <w:right w:val="dotted"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1142" w:type="dxa"/>
            <w:tcBorders>
              <w:top w:val="nil" w:sz="6" w:space="0" w:color="auto"/>
              <w:left w:val="dotted" w:sz="4" w:space="0" w:color="000000"/>
              <w:bottom w:val="nil" w:sz="6" w:space="0" w:color="auto"/>
              <w:right w:val="dotted"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的金融负债</w:t>
            </w:r>
          </w:p>
        </w:tc>
        <w:tc>
          <w:tcPr>
            <w:tcW w:w="1342" w:type="dxa"/>
            <w:tcBorders>
              <w:top w:val="nil" w:sz="6" w:space="0" w:color="auto"/>
              <w:left w:val="dotted" w:sz="4" w:space="0" w:color="000000"/>
              <w:bottom w:val="nil" w:sz="6" w:space="0" w:color="auto"/>
              <w:right w:val="dotted" w:sz="4" w:space="0" w:color="000000"/>
            </w:tcBorders>
          </w:tcPr>
          <w:p>
            <w:pPr/>
          </w:p>
        </w:tc>
        <w:tc>
          <w:tcPr>
            <w:tcW w:w="1267" w:type="dxa"/>
            <w:tcBorders>
              <w:top w:val="nil" w:sz="6" w:space="0" w:color="auto"/>
              <w:left w:val="dotted" w:sz="4" w:space="0" w:color="000000"/>
              <w:bottom w:val="nil" w:sz="6" w:space="0" w:color="auto"/>
              <w:right w:val="dotted"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1066" w:type="dxa"/>
            <w:tcBorders>
              <w:top w:val="nil" w:sz="6" w:space="0" w:color="auto"/>
              <w:left w:val="dotted" w:sz="4" w:space="0" w:color="000000"/>
              <w:bottom w:val="nil" w:sz="6" w:space="0" w:color="auto"/>
              <w:right w:val="dotted"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的金融负</w:t>
            </w:r>
          </w:p>
        </w:tc>
        <w:tc>
          <w:tcPr>
            <w:tcW w:w="1239" w:type="dxa"/>
            <w:tcBorders>
              <w:top w:val="nil" w:sz="6" w:space="0" w:color="auto"/>
              <w:left w:val="dotted" w:sz="4" w:space="0" w:color="000000"/>
              <w:bottom w:val="nil" w:sz="6" w:space="0" w:color="auto"/>
              <w:right w:val="nil" w:sz="6" w:space="0" w:color="auto"/>
            </w:tcBorders>
          </w:tcPr>
          <w:p>
            <w:pPr/>
          </w:p>
        </w:tc>
      </w:tr>
      <w:tr>
        <w:trPr>
          <w:trHeight w:val="281" w:hRule="exact"/>
        </w:trPr>
        <w:tc>
          <w:tcPr>
            <w:tcW w:w="799" w:type="dxa"/>
            <w:vMerge/>
            <w:tcBorders>
              <w:left w:val="nil" w:sz="6" w:space="0" w:color="auto"/>
              <w:bottom w:val="dotted" w:sz="4" w:space="0" w:color="000000"/>
              <w:right w:val="dotted" w:sz="4" w:space="0" w:color="000000"/>
            </w:tcBorders>
          </w:tcPr>
          <w:p>
            <w:pPr/>
          </w:p>
        </w:tc>
        <w:tc>
          <w:tcPr>
            <w:tcW w:w="1340" w:type="dxa"/>
            <w:tcBorders>
              <w:top w:val="nil" w:sz="6" w:space="0" w:color="auto"/>
              <w:left w:val="dotted" w:sz="4" w:space="0" w:color="000000"/>
              <w:bottom w:val="dotted" w:sz="4" w:space="0" w:color="000000"/>
              <w:right w:val="dotted" w:sz="4" w:space="0" w:color="000000"/>
            </w:tcBorders>
          </w:tcPr>
          <w:p>
            <w:pPr/>
          </w:p>
        </w:tc>
        <w:tc>
          <w:tcPr>
            <w:tcW w:w="1142" w:type="dxa"/>
            <w:tcBorders>
              <w:top w:val="nil" w:sz="6" w:space="0" w:color="auto"/>
              <w:left w:val="dotted" w:sz="4" w:space="0" w:color="000000"/>
              <w:bottom w:val="dotted" w:sz="4" w:space="0" w:color="000000"/>
              <w:right w:val="dotted" w:sz="4" w:space="0" w:color="000000"/>
            </w:tcBorders>
          </w:tcPr>
          <w:p>
            <w:pPr/>
          </w:p>
        </w:tc>
        <w:tc>
          <w:tcPr>
            <w:tcW w:w="1342" w:type="dxa"/>
            <w:tcBorders>
              <w:top w:val="nil" w:sz="6" w:space="0" w:color="auto"/>
              <w:left w:val="dotted" w:sz="4" w:space="0" w:color="000000"/>
              <w:bottom w:val="dotted" w:sz="4" w:space="0" w:color="000000"/>
              <w:right w:val="dotted" w:sz="4" w:space="0" w:color="000000"/>
            </w:tcBorders>
          </w:tcPr>
          <w:p>
            <w:pPr/>
          </w:p>
        </w:tc>
        <w:tc>
          <w:tcPr>
            <w:tcW w:w="1267" w:type="dxa"/>
            <w:tcBorders>
              <w:top w:val="nil" w:sz="6" w:space="0" w:color="auto"/>
              <w:left w:val="dotted" w:sz="4" w:space="0" w:color="000000"/>
              <w:bottom w:val="dotted" w:sz="4" w:space="0" w:color="000000"/>
              <w:right w:val="dotted" w:sz="4" w:space="0" w:color="000000"/>
            </w:tcBorders>
          </w:tcPr>
          <w:p>
            <w:pPr/>
          </w:p>
        </w:tc>
        <w:tc>
          <w:tcPr>
            <w:tcW w:w="1066" w:type="dxa"/>
            <w:tcBorders>
              <w:top w:val="nil" w:sz="6" w:space="0" w:color="auto"/>
              <w:left w:val="dotted" w:sz="4" w:space="0" w:color="000000"/>
              <w:bottom w:val="dotted" w:sz="4" w:space="0" w:color="000000"/>
              <w:right w:val="dotted"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1239" w:type="dxa"/>
            <w:tcBorders>
              <w:top w:val="nil" w:sz="6" w:space="0" w:color="auto"/>
              <w:left w:val="dotted" w:sz="4" w:space="0" w:color="000000"/>
              <w:bottom w:val="dotted" w:sz="4" w:space="0" w:color="000000"/>
              <w:right w:val="nil" w:sz="6" w:space="0" w:color="auto"/>
            </w:tcBorders>
          </w:tcPr>
          <w:p>
            <w:pPr/>
          </w:p>
        </w:tc>
      </w:tr>
      <w:tr>
        <w:trPr>
          <w:trHeight w:val="408" w:hRule="exact"/>
        </w:trPr>
        <w:tc>
          <w:tcPr>
            <w:tcW w:w="7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债券</w:t>
            </w:r>
          </w:p>
        </w:tc>
        <w:tc>
          <w:tcPr>
            <w:tcW w:w="13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872,205,750.00</w:t>
            </w:r>
          </w:p>
        </w:tc>
        <w:tc>
          <w:tcPr>
            <w:tcW w:w="1142" w:type="dxa"/>
            <w:tcBorders>
              <w:top w:val="dotted" w:sz="4" w:space="0" w:color="000000"/>
              <w:left w:val="dotted" w:sz="4" w:space="0" w:color="000000"/>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872,205,750.00</w:t>
            </w:r>
          </w:p>
        </w:tc>
        <w:tc>
          <w:tcPr>
            <w:tcW w:w="1267"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dotted" w:sz="4" w:space="0" w:color="000000"/>
            </w:tcBorders>
          </w:tcPr>
          <w:p>
            <w:pPr/>
          </w:p>
        </w:tc>
        <w:tc>
          <w:tcPr>
            <w:tcW w:w="1239"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7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872,205,750.00</w:t>
            </w:r>
          </w:p>
        </w:tc>
        <w:tc>
          <w:tcPr>
            <w:tcW w:w="1142" w:type="dxa"/>
            <w:tcBorders>
              <w:top w:val="dotted" w:sz="4" w:space="0" w:color="000000"/>
              <w:left w:val="dotted" w:sz="4" w:space="0" w:color="000000"/>
              <w:bottom w:val="single" w:sz="12" w:space="0" w:color="000000"/>
              <w:right w:val="dotted" w:sz="4" w:space="0" w:color="000000"/>
            </w:tcBorders>
          </w:tcPr>
          <w:p>
            <w:pP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872,205,750.00</w:t>
            </w:r>
          </w:p>
        </w:tc>
        <w:tc>
          <w:tcPr>
            <w:tcW w:w="1267" w:type="dxa"/>
            <w:tcBorders>
              <w:top w:val="dotted" w:sz="4" w:space="0" w:color="000000"/>
              <w:left w:val="dotted" w:sz="4" w:space="0" w:color="000000"/>
              <w:bottom w:val="single" w:sz="12" w:space="0" w:color="000000"/>
              <w:right w:val="dotted" w:sz="4" w:space="0" w:color="000000"/>
            </w:tcBorders>
          </w:tcPr>
          <w:p>
            <w:pPr/>
          </w:p>
        </w:tc>
        <w:tc>
          <w:tcPr>
            <w:tcW w:w="1066" w:type="dxa"/>
            <w:tcBorders>
              <w:top w:val="dotted" w:sz="4" w:space="0" w:color="000000"/>
              <w:left w:val="dotted" w:sz="4" w:space="0" w:color="000000"/>
              <w:bottom w:val="single" w:sz="12" w:space="0" w:color="000000"/>
              <w:right w:val="dotted" w:sz="4" w:space="0" w:color="000000"/>
            </w:tcBorders>
          </w:tcPr>
          <w:p>
            <w:pPr/>
          </w:p>
        </w:tc>
        <w:tc>
          <w:tcPr>
            <w:tcW w:w="1239" w:type="dxa"/>
            <w:tcBorders>
              <w:top w:val="dotted" w:sz="4" w:space="0" w:color="000000"/>
              <w:left w:val="dotted" w:sz="4" w:space="0" w:color="000000"/>
              <w:bottom w:val="single" w:sz="12" w:space="0" w:color="000000"/>
              <w:right w:val="nil" w:sz="6" w:space="0" w:color="auto"/>
            </w:tcBorders>
          </w:tcPr>
          <w:p>
            <w:pPr/>
          </w:p>
        </w:tc>
      </w:tr>
    </w:tbl>
    <w:p>
      <w:pPr>
        <w:spacing w:before="8"/>
        <w:ind w:left="158" w:right="0" w:firstLine="0"/>
        <w:jc w:val="left"/>
        <w:rPr>
          <w:rFonts w:ascii="宋体" w:hAnsi="宋体" w:cs="宋体" w:eastAsia="宋体" w:hint="default"/>
          <w:sz w:val="18"/>
          <w:szCs w:val="18"/>
        </w:rPr>
      </w:pPr>
      <w:r>
        <w:rPr>
          <w:rFonts w:ascii="宋体" w:hAnsi="宋体" w:cs="宋体" w:eastAsia="宋体" w:hint="default"/>
          <w:sz w:val="18"/>
          <w:szCs w:val="18"/>
        </w:rPr>
        <w:t>注：期末余额为年内卖出“买入返售金融资产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债券买断式回购”的持有债券形成的负债。</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4"/>
        <w:spacing w:line="240" w:lineRule="auto"/>
        <w:ind w:left="760" w:right="0"/>
        <w:jc w:val="left"/>
        <w:rPr>
          <w:b w:val="0"/>
          <w:bCs w:val="0"/>
        </w:rPr>
      </w:pPr>
      <w:r>
        <w:rPr/>
        <w:t>注释 </w:t>
      </w:r>
      <w:r>
        <w:rPr>
          <w:rFonts w:ascii="Times New Roman" w:hAnsi="Times New Roman" w:cs="Times New Roman" w:eastAsia="Times New Roman" w:hint="default"/>
        </w:rPr>
        <w:t>32. </w:t>
      </w:r>
      <w:r>
        <w:rPr>
          <w:rFonts w:ascii="Times New Roman" w:hAnsi="Times New Roman" w:cs="Times New Roman" w:eastAsia="Times New Roman" w:hint="default"/>
          <w:spacing w:val="6"/>
        </w:rPr>
        <w:t> </w:t>
      </w:r>
      <w:r>
        <w:rPr/>
        <w:t>应付账款</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2751"/>
        <w:gridCol w:w="2844"/>
        <w:gridCol w:w="2787"/>
      </w:tblGrid>
      <w:tr>
        <w:trPr>
          <w:trHeight w:val="360" w:hRule="exact"/>
        </w:trPr>
        <w:tc>
          <w:tcPr>
            <w:tcW w:w="27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181"/>
              <w:jc w:val="right"/>
              <w:rPr>
                <w:rFonts w:ascii="宋体" w:hAnsi="宋体" w:cs="宋体" w:eastAsia="宋体" w:hint="default"/>
                <w:sz w:val="18"/>
                <w:szCs w:val="18"/>
              </w:rPr>
            </w:pPr>
            <w:r>
              <w:rPr>
                <w:rFonts w:ascii="宋体" w:hAnsi="宋体" w:cs="宋体" w:eastAsia="宋体" w:hint="default"/>
                <w:sz w:val="18"/>
                <w:szCs w:val="18"/>
              </w:rPr>
              <w:t>种类</w:t>
            </w:r>
          </w:p>
        </w:tc>
        <w:tc>
          <w:tcPr>
            <w:tcW w:w="2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8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217,135,303.43</w:t>
            </w:r>
          </w:p>
        </w:tc>
        <w:tc>
          <w:tcPr>
            <w:tcW w:w="27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299,430,708.18</w:t>
            </w:r>
          </w:p>
        </w:tc>
      </w:tr>
      <w:tr>
        <w:trPr>
          <w:trHeight w:val="413" w:hRule="exact"/>
        </w:trPr>
        <w:tc>
          <w:tcPr>
            <w:tcW w:w="27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7"/>
              <w:ind w:right="1181"/>
              <w:jc w:val="right"/>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217,135,303.43</w:t>
            </w:r>
          </w:p>
        </w:tc>
        <w:tc>
          <w:tcPr>
            <w:tcW w:w="278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299,430,708.18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5"/>
          <w:szCs w:val="15"/>
        </w:rPr>
      </w:pPr>
    </w:p>
    <w:p>
      <w:pPr>
        <w:pStyle w:val="Heading4"/>
        <w:spacing w:line="335" w:lineRule="exact"/>
        <w:ind w:left="620" w:right="931"/>
        <w:jc w:val="left"/>
        <w:rPr>
          <w:b w:val="0"/>
          <w:bCs w:val="0"/>
        </w:rPr>
      </w:pPr>
      <w:r>
        <w:rPr/>
        <w:t>（</w:t>
      </w:r>
      <w:r>
        <w:rPr>
          <w:rFonts w:ascii="Trebuchet MS" w:hAnsi="Trebuchet MS" w:cs="Trebuchet MS" w:eastAsia="Trebuchet MS" w:hint="default"/>
        </w:rPr>
        <w:t>1</w:t>
      </w:r>
      <w:r>
        <w:rPr/>
        <w:t>）应付账款列示：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35" w:type="dxa"/>
        <w:tblLayout w:type="fixed"/>
        <w:tblCellMar>
          <w:top w:w="0" w:type="dxa"/>
          <w:left w:w="0" w:type="dxa"/>
          <w:bottom w:w="0" w:type="dxa"/>
          <w:right w:w="0" w:type="dxa"/>
        </w:tblCellMar>
        <w:tblLook w:val="01E0"/>
      </w:tblPr>
      <w:tblGrid>
        <w:gridCol w:w="2144"/>
        <w:gridCol w:w="2852"/>
        <w:gridCol w:w="3399"/>
      </w:tblGrid>
      <w:tr>
        <w:trPr>
          <w:trHeight w:val="427" w:hRule="exact"/>
        </w:trPr>
        <w:tc>
          <w:tcPr>
            <w:tcW w:w="214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证券清算款</w:t>
            </w:r>
          </w:p>
        </w:tc>
        <w:tc>
          <w:tcPr>
            <w:tcW w:w="2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192,683,150.50</w:t>
            </w:r>
          </w:p>
        </w:tc>
        <w:tc>
          <w:tcPr>
            <w:tcW w:w="33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274,058,904.09</w:t>
            </w:r>
          </w:p>
        </w:tc>
      </w:tr>
      <w:tr>
        <w:trPr>
          <w:trHeight w:val="415"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手续费及佣金</w:t>
            </w:r>
          </w:p>
        </w:tc>
        <w:tc>
          <w:tcPr>
            <w:tcW w:w="2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11,107,754.35</w:t>
            </w:r>
          </w:p>
        </w:tc>
        <w:tc>
          <w:tcPr>
            <w:tcW w:w="33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6,269,050.44</w:t>
            </w:r>
          </w:p>
        </w:tc>
      </w:tr>
      <w:tr>
        <w:trPr>
          <w:trHeight w:val="418"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经纪人风险金</w:t>
            </w:r>
          </w:p>
        </w:tc>
        <w:tc>
          <w:tcPr>
            <w:tcW w:w="2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8,402,635.37</w:t>
            </w:r>
          </w:p>
        </w:tc>
        <w:tc>
          <w:tcPr>
            <w:tcW w:w="33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7,153,246.51</w:t>
            </w:r>
          </w:p>
        </w:tc>
      </w:tr>
      <w:tr>
        <w:trPr>
          <w:trHeight w:val="418"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中证投资者保护基金</w:t>
            </w:r>
          </w:p>
        </w:tc>
        <w:tc>
          <w:tcPr>
            <w:tcW w:w="2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4,257,517.04</w:t>
            </w:r>
          </w:p>
        </w:tc>
        <w:tc>
          <w:tcPr>
            <w:tcW w:w="33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6,000,555.54</w:t>
            </w:r>
          </w:p>
        </w:tc>
      </w:tr>
      <w:tr>
        <w:trPr>
          <w:trHeight w:val="418"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2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679,464.24</w:t>
            </w:r>
          </w:p>
        </w:tc>
        <w:tc>
          <w:tcPr>
            <w:tcW w:w="33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4,057,549.48</w:t>
            </w:r>
          </w:p>
        </w:tc>
      </w:tr>
      <w:tr>
        <w:trPr>
          <w:trHeight w:val="415" w:hRule="exact"/>
        </w:trPr>
        <w:tc>
          <w:tcPr>
            <w:tcW w:w="21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w w:val="95"/>
                <w:sz w:val="18"/>
              </w:rPr>
              <w:t>4,781.93</w:t>
            </w:r>
          </w:p>
        </w:tc>
        <w:tc>
          <w:tcPr>
            <w:tcW w:w="33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1,891,402.12</w:t>
            </w:r>
          </w:p>
        </w:tc>
      </w:tr>
      <w:tr>
        <w:trPr>
          <w:trHeight w:val="430" w:hRule="exact"/>
        </w:trPr>
        <w:tc>
          <w:tcPr>
            <w:tcW w:w="21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217,135,303.43</w:t>
            </w:r>
          </w:p>
        </w:tc>
        <w:tc>
          <w:tcPr>
            <w:tcW w:w="33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299,430,708.18</w:t>
            </w: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left="618" w:right="931"/>
        <w:jc w:val="left"/>
        <w:rPr>
          <w:b w:val="0"/>
          <w:bCs w:val="0"/>
        </w:rPr>
      </w:pPr>
      <w:r>
        <w:rPr>
          <w:rFonts w:ascii="Trebuchet MS" w:hAnsi="Trebuchet MS" w:cs="Trebuchet MS" w:eastAsia="Trebuchet MS" w:hint="default"/>
        </w:rPr>
        <w:t>1</w:t>
      </w:r>
      <w:r>
        <w:rPr/>
        <w:t>．</w:t>
      </w:r>
      <w:r>
        <w:rPr>
          <w:spacing w:val="43"/>
        </w:rPr>
        <w:t> </w:t>
      </w:r>
      <w:r>
        <w:rPr/>
        <w:t>账龄超过一年的重要应付账款</w:t>
      </w:r>
      <w:r>
        <w:rPr>
          <w:b w:val="0"/>
          <w:bCs w:val="0"/>
        </w:rPr>
      </w:r>
    </w:p>
    <w:p>
      <w:pPr>
        <w:pStyle w:val="BodyText"/>
        <w:spacing w:line="240" w:lineRule="auto" w:before="150"/>
        <w:ind w:left="625" w:right="931"/>
        <w:jc w:val="left"/>
      </w:pPr>
      <w:r>
        <w:rPr/>
        <w:t>本期无此事项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left="620" w:right="931"/>
        <w:jc w:val="left"/>
        <w:rPr>
          <w:b w:val="0"/>
          <w:bCs w:val="0"/>
        </w:rPr>
      </w:pPr>
      <w:r>
        <w:rPr/>
        <w:t>注释 </w:t>
      </w:r>
      <w:r>
        <w:rPr>
          <w:rFonts w:ascii="Times New Roman" w:hAnsi="Times New Roman" w:cs="Times New Roman" w:eastAsia="Times New Roman" w:hint="default"/>
        </w:rPr>
        <w:t>33. </w:t>
      </w:r>
      <w:r>
        <w:rPr>
          <w:rFonts w:ascii="Times New Roman" w:hAnsi="Times New Roman" w:cs="Times New Roman" w:eastAsia="Times New Roman" w:hint="default"/>
          <w:spacing w:val="6"/>
        </w:rPr>
        <w:t> </w:t>
      </w:r>
      <w:r>
        <w:rPr/>
        <w:t>预收款项</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14" w:type="dxa"/>
        <w:tblLayout w:type="fixed"/>
        <w:tblCellMar>
          <w:top w:w="0" w:type="dxa"/>
          <w:left w:w="0" w:type="dxa"/>
          <w:bottom w:w="0" w:type="dxa"/>
          <w:right w:w="0" w:type="dxa"/>
        </w:tblCellMar>
        <w:tblLook w:val="01E0"/>
      </w:tblPr>
      <w:tblGrid>
        <w:gridCol w:w="2751"/>
        <w:gridCol w:w="2844"/>
        <w:gridCol w:w="2845"/>
      </w:tblGrid>
      <w:tr>
        <w:trPr>
          <w:trHeight w:val="360" w:hRule="exact"/>
        </w:trPr>
        <w:tc>
          <w:tcPr>
            <w:tcW w:w="27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7,300,930.28</w:t>
            </w:r>
          </w:p>
        </w:tc>
        <w:tc>
          <w:tcPr>
            <w:tcW w:w="28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6"/>
                <w:szCs w:val="16"/>
              </w:rPr>
            </w:pPr>
            <w:r>
              <w:rPr>
                <w:rFonts w:ascii="Times New Roman"/>
                <w:spacing w:val="-1"/>
                <w:sz w:val="16"/>
              </w:rPr>
              <w:t>5,630,374.01</w:t>
            </w:r>
          </w:p>
        </w:tc>
      </w:tr>
      <w:tr>
        <w:trPr>
          <w:trHeight w:val="403"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318,658.27</w:t>
            </w:r>
          </w:p>
        </w:tc>
        <w:tc>
          <w:tcPr>
            <w:tcW w:w="28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6"/>
                <w:szCs w:val="16"/>
              </w:rPr>
            </w:pPr>
            <w:r>
              <w:rPr>
                <w:rFonts w:ascii="Times New Roman"/>
                <w:spacing w:val="-1"/>
                <w:sz w:val="16"/>
              </w:rPr>
              <w:t>6,570,199.50</w:t>
            </w:r>
          </w:p>
        </w:tc>
      </w:tr>
      <w:tr>
        <w:trPr>
          <w:trHeight w:val="413" w:hRule="exact"/>
        </w:trPr>
        <w:tc>
          <w:tcPr>
            <w:tcW w:w="27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7,619,588.55</w:t>
            </w:r>
          </w:p>
        </w:tc>
        <w:tc>
          <w:tcPr>
            <w:tcW w:w="28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2"/>
              <w:ind w:right="107"/>
              <w:jc w:val="right"/>
              <w:rPr>
                <w:rFonts w:ascii="Times New Roman" w:hAnsi="Times New Roman" w:cs="Times New Roman" w:eastAsia="Times New Roman" w:hint="default"/>
                <w:sz w:val="16"/>
                <w:szCs w:val="16"/>
              </w:rPr>
            </w:pPr>
            <w:r>
              <w:rPr>
                <w:rFonts w:ascii="Times New Roman"/>
                <w:spacing w:val="-2"/>
                <w:sz w:val="16"/>
              </w:rPr>
              <w:t>12,200,573.51</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620" w:right="931"/>
        <w:jc w:val="left"/>
        <w:rPr>
          <w:b w:val="0"/>
          <w:bCs w:val="0"/>
        </w:rPr>
      </w:pPr>
      <w:r>
        <w:rPr/>
        <w:t>注释 </w:t>
      </w:r>
      <w:r>
        <w:rPr>
          <w:rFonts w:ascii="Times New Roman" w:hAnsi="Times New Roman" w:cs="Times New Roman" w:eastAsia="Times New Roman" w:hint="default"/>
        </w:rPr>
        <w:t>34. </w:t>
      </w:r>
      <w:r>
        <w:rPr>
          <w:rFonts w:ascii="Times New Roman" w:hAnsi="Times New Roman" w:cs="Times New Roman" w:eastAsia="Times New Roman" w:hint="default"/>
          <w:spacing w:val="9"/>
        </w:rPr>
        <w:t> </w:t>
      </w:r>
      <w:r>
        <w:rPr/>
        <w:t>卖出回购金融资产款</w:t>
      </w:r>
      <w:r>
        <w:rPr>
          <w:b w:val="0"/>
          <w:bCs w:val="0"/>
        </w:rPr>
      </w:r>
    </w:p>
    <w:p>
      <w:pPr>
        <w:pStyle w:val="Heading4"/>
        <w:spacing w:line="240" w:lineRule="auto" w:before="83"/>
        <w:ind w:left="620" w:right="931"/>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7"/>
        </w:rPr>
        <w:t> </w:t>
      </w:r>
      <w:r>
        <w:rPr/>
        <w:t>按业务类别列示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95" w:type="dxa"/>
        <w:tblLayout w:type="fixed"/>
        <w:tblCellMar>
          <w:top w:w="0" w:type="dxa"/>
          <w:left w:w="0" w:type="dxa"/>
          <w:bottom w:w="0" w:type="dxa"/>
          <w:right w:w="0" w:type="dxa"/>
        </w:tblCellMar>
        <w:tblLook w:val="01E0"/>
      </w:tblPr>
      <w:tblGrid>
        <w:gridCol w:w="2708"/>
        <w:gridCol w:w="2700"/>
        <w:gridCol w:w="2864"/>
      </w:tblGrid>
      <w:tr>
        <w:trPr>
          <w:trHeight w:val="500" w:hRule="exact"/>
        </w:trPr>
        <w:tc>
          <w:tcPr>
            <w:tcW w:w="270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6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2"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买断式卖出回购</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97,388,835.27</w:t>
            </w:r>
          </w:p>
        </w:tc>
        <w:tc>
          <w:tcPr>
            <w:tcW w:w="286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质押式卖出回购</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5,261,570,303.72</w:t>
            </w:r>
          </w:p>
        </w:tc>
        <w:tc>
          <w:tcPr>
            <w:tcW w:w="28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6,503,502,037.76</w:t>
            </w:r>
          </w:p>
        </w:tc>
      </w:tr>
      <w:tr>
        <w:trPr>
          <w:trHeight w:val="499" w:hRule="exact"/>
        </w:trPr>
        <w:tc>
          <w:tcPr>
            <w:tcW w:w="27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5,358,959,138.99</w:t>
            </w:r>
          </w:p>
        </w:tc>
        <w:tc>
          <w:tcPr>
            <w:tcW w:w="28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6,503,502,037.76</w:t>
            </w:r>
          </w:p>
        </w:tc>
      </w:tr>
    </w:tbl>
    <w:p>
      <w:pPr>
        <w:spacing w:line="232" w:lineRule="exact" w:before="32"/>
        <w:ind w:left="198" w:right="931" w:firstLine="0"/>
        <w:jc w:val="left"/>
        <w:rPr>
          <w:rFonts w:ascii="宋体" w:hAnsi="宋体" w:cs="宋体" w:eastAsia="宋体" w:hint="default"/>
          <w:sz w:val="18"/>
          <w:szCs w:val="18"/>
        </w:rPr>
      </w:pPr>
      <w:r>
        <w:rPr>
          <w:rFonts w:ascii="宋体" w:hAnsi="宋体" w:cs="宋体" w:eastAsia="宋体" w:hint="default"/>
          <w:spacing w:val="-7"/>
          <w:sz w:val="18"/>
          <w:szCs w:val="18"/>
        </w:rPr>
        <w:t>注：因执行新金融工具准则，该项目期初余额与上年末余额存在差异。差异情况详见附注四（四十二）</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相关内容。</w:t>
      </w:r>
    </w:p>
    <w:p>
      <w:pPr>
        <w:spacing w:line="240" w:lineRule="auto" w:before="9"/>
        <w:rPr>
          <w:rFonts w:ascii="宋体" w:hAnsi="宋体" w:cs="宋体" w:eastAsia="宋体" w:hint="default"/>
          <w:sz w:val="22"/>
          <w:szCs w:val="22"/>
        </w:rPr>
      </w:pPr>
    </w:p>
    <w:p>
      <w:pPr>
        <w:pStyle w:val="Heading4"/>
        <w:spacing w:line="240" w:lineRule="auto"/>
        <w:ind w:left="620" w:right="931"/>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按金融资产种类列示</w:t>
      </w:r>
      <w:r>
        <w:rPr>
          <w:b w:val="0"/>
          <w:bCs w:val="0"/>
        </w:rPr>
      </w:r>
    </w:p>
    <w:p>
      <w:pPr>
        <w:spacing w:after="0" w:line="240" w:lineRule="auto"/>
        <w:jc w:val="left"/>
        <w:sectPr>
          <w:pgSz w:w="11910" w:h="16840"/>
          <w:pgMar w:header="877" w:footer="979" w:top="1100" w:bottom="1160" w:left="160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81" w:type="dxa"/>
        <w:tblLayout w:type="fixed"/>
        <w:tblCellMar>
          <w:top w:w="0" w:type="dxa"/>
          <w:left w:w="0" w:type="dxa"/>
          <w:bottom w:w="0" w:type="dxa"/>
          <w:right w:w="0" w:type="dxa"/>
        </w:tblCellMar>
        <w:tblLook w:val="01E0"/>
      </w:tblPr>
      <w:tblGrid>
        <w:gridCol w:w="2722"/>
        <w:gridCol w:w="2712"/>
        <w:gridCol w:w="2749"/>
      </w:tblGrid>
      <w:tr>
        <w:trPr>
          <w:trHeight w:val="499" w:hRule="exact"/>
        </w:trPr>
        <w:tc>
          <w:tcPr>
            <w:tcW w:w="27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167"/>
              <w:jc w:val="right"/>
              <w:rPr>
                <w:rFonts w:ascii="宋体" w:hAnsi="宋体" w:cs="宋体" w:eastAsia="宋体" w:hint="default"/>
                <w:sz w:val="18"/>
                <w:szCs w:val="18"/>
              </w:rPr>
            </w:pPr>
            <w:r>
              <w:rPr>
                <w:rFonts w:ascii="宋体" w:hAnsi="宋体" w:cs="宋体" w:eastAsia="宋体" w:hint="default"/>
                <w:sz w:val="18"/>
                <w:szCs w:val="18"/>
              </w:rPr>
              <w:t>项目</w:t>
            </w:r>
          </w:p>
        </w:tc>
        <w:tc>
          <w:tcPr>
            <w:tcW w:w="27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2" w:hRule="exact"/>
        </w:trPr>
        <w:tc>
          <w:tcPr>
            <w:tcW w:w="2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2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5,358,959,138.99</w:t>
            </w:r>
          </w:p>
        </w:tc>
        <w:tc>
          <w:tcPr>
            <w:tcW w:w="27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pacing w:val="-1"/>
                <w:sz w:val="18"/>
              </w:rPr>
              <w:t>6,503,502,037.76</w:t>
            </w:r>
          </w:p>
        </w:tc>
      </w:tr>
      <w:tr>
        <w:trPr>
          <w:trHeight w:val="499" w:hRule="exact"/>
        </w:trPr>
        <w:tc>
          <w:tcPr>
            <w:tcW w:w="27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167"/>
              <w:jc w:val="right"/>
              <w:rPr>
                <w:rFonts w:ascii="宋体" w:hAnsi="宋体" w:cs="宋体" w:eastAsia="宋体" w:hint="default"/>
                <w:sz w:val="18"/>
                <w:szCs w:val="18"/>
              </w:rPr>
            </w:pPr>
            <w:r>
              <w:rPr>
                <w:rFonts w:ascii="宋体" w:hAnsi="宋体" w:cs="宋体" w:eastAsia="宋体" w:hint="default"/>
                <w:sz w:val="18"/>
                <w:szCs w:val="18"/>
              </w:rPr>
              <w:t>合计</w:t>
            </w:r>
          </w:p>
        </w:tc>
        <w:tc>
          <w:tcPr>
            <w:tcW w:w="2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5,358,959,138.99</w:t>
            </w:r>
          </w:p>
        </w:tc>
        <w:tc>
          <w:tcPr>
            <w:tcW w:w="27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pacing w:val="-1"/>
                <w:sz w:val="18"/>
              </w:rPr>
              <w:t>6,503,502,037.76</w:t>
            </w: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8"/>
        </w:rPr>
        <w:t> </w:t>
      </w:r>
      <w:r>
        <w:rPr/>
        <w:t>按担保物金额列示</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88" w:type="dxa"/>
        <w:tblLayout w:type="fixed"/>
        <w:tblCellMar>
          <w:top w:w="0" w:type="dxa"/>
          <w:left w:w="0" w:type="dxa"/>
          <w:bottom w:w="0" w:type="dxa"/>
          <w:right w:w="0" w:type="dxa"/>
        </w:tblCellMar>
        <w:tblLook w:val="01E0"/>
      </w:tblPr>
      <w:tblGrid>
        <w:gridCol w:w="2722"/>
        <w:gridCol w:w="2715"/>
        <w:gridCol w:w="2734"/>
      </w:tblGrid>
      <w:tr>
        <w:trPr>
          <w:trHeight w:val="502" w:hRule="exact"/>
        </w:trPr>
        <w:tc>
          <w:tcPr>
            <w:tcW w:w="27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67"/>
              <w:jc w:val="right"/>
              <w:rPr>
                <w:rFonts w:ascii="宋体" w:hAnsi="宋体" w:cs="宋体" w:eastAsia="宋体" w:hint="default"/>
                <w:sz w:val="18"/>
                <w:szCs w:val="18"/>
              </w:rPr>
            </w:pPr>
            <w:r>
              <w:rPr>
                <w:rFonts w:ascii="宋体" w:hAnsi="宋体" w:cs="宋体" w:eastAsia="宋体" w:hint="default"/>
                <w:sz w:val="18"/>
                <w:szCs w:val="18"/>
              </w:rPr>
              <w:t>项目</w:t>
            </w:r>
          </w:p>
        </w:tc>
        <w:tc>
          <w:tcPr>
            <w:tcW w:w="27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2"/>
              <w:ind w:left="811"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73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2"/>
              <w:ind w:left="818"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90" w:hRule="exact"/>
        </w:trPr>
        <w:tc>
          <w:tcPr>
            <w:tcW w:w="27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27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6,253,365,858.51</w:t>
            </w:r>
          </w:p>
        </w:tc>
        <w:tc>
          <w:tcPr>
            <w:tcW w:w="273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09"/>
              <w:jc w:val="right"/>
              <w:rPr>
                <w:rFonts w:ascii="Times New Roman" w:hAnsi="Times New Roman" w:cs="Times New Roman" w:eastAsia="Times New Roman" w:hint="default"/>
                <w:sz w:val="18"/>
                <w:szCs w:val="18"/>
              </w:rPr>
            </w:pPr>
            <w:r>
              <w:rPr>
                <w:rFonts w:ascii="Times New Roman"/>
                <w:spacing w:val="-1"/>
                <w:sz w:val="18"/>
              </w:rPr>
              <w:t>7,331,143,339.95</w:t>
            </w:r>
          </w:p>
        </w:tc>
      </w:tr>
      <w:tr>
        <w:trPr>
          <w:trHeight w:val="502" w:hRule="exact"/>
        </w:trPr>
        <w:tc>
          <w:tcPr>
            <w:tcW w:w="27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right="1167"/>
              <w:jc w:val="right"/>
              <w:rPr>
                <w:rFonts w:ascii="宋体" w:hAnsi="宋体" w:cs="宋体" w:eastAsia="宋体" w:hint="default"/>
                <w:sz w:val="18"/>
                <w:szCs w:val="18"/>
              </w:rPr>
            </w:pPr>
            <w:r>
              <w:rPr>
                <w:rFonts w:ascii="宋体" w:hAnsi="宋体" w:cs="宋体" w:eastAsia="宋体" w:hint="default"/>
                <w:sz w:val="18"/>
                <w:szCs w:val="18"/>
              </w:rPr>
              <w:t>合计</w:t>
            </w:r>
          </w:p>
        </w:tc>
        <w:tc>
          <w:tcPr>
            <w:tcW w:w="27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6,253,365,858.51</w:t>
            </w:r>
          </w:p>
        </w:tc>
        <w:tc>
          <w:tcPr>
            <w:tcW w:w="273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9"/>
              <w:ind w:right="109"/>
              <w:jc w:val="right"/>
              <w:rPr>
                <w:rFonts w:ascii="Times New Roman" w:hAnsi="Times New Roman" w:cs="Times New Roman" w:eastAsia="Times New Roman" w:hint="default"/>
                <w:sz w:val="18"/>
                <w:szCs w:val="18"/>
              </w:rPr>
            </w:pPr>
            <w:r>
              <w:rPr>
                <w:rFonts w:ascii="Times New Roman"/>
                <w:spacing w:val="-1"/>
                <w:sz w:val="18"/>
              </w:rPr>
              <w:t>7,331,143,339.95</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15"/>
        </w:rPr>
        <w:t> </w:t>
      </w:r>
      <w:r>
        <w:rPr/>
        <w:t>卖出回购金融资产款按剩余期限分类</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86" w:type="dxa"/>
        <w:tblLayout w:type="fixed"/>
        <w:tblCellMar>
          <w:top w:w="0" w:type="dxa"/>
          <w:left w:w="0" w:type="dxa"/>
          <w:bottom w:w="0" w:type="dxa"/>
          <w:right w:w="0" w:type="dxa"/>
        </w:tblCellMar>
        <w:tblLook w:val="01E0"/>
      </w:tblPr>
      <w:tblGrid>
        <w:gridCol w:w="2585"/>
        <w:gridCol w:w="1476"/>
        <w:gridCol w:w="1318"/>
        <w:gridCol w:w="1476"/>
        <w:gridCol w:w="1316"/>
      </w:tblGrid>
      <w:tr>
        <w:trPr>
          <w:trHeight w:val="418" w:hRule="exact"/>
        </w:trPr>
        <w:tc>
          <w:tcPr>
            <w:tcW w:w="25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利率区间</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利率区间</w:t>
            </w:r>
          </w:p>
        </w:tc>
      </w:tr>
      <w:tr>
        <w:trPr>
          <w:trHeight w:val="406" w:hRule="exact"/>
        </w:trPr>
        <w:tc>
          <w:tcPr>
            <w:tcW w:w="25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一个月内</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5,166,414,700.63</w:t>
            </w:r>
          </w:p>
        </w:tc>
        <w:tc>
          <w:tcPr>
            <w:tcW w:w="1318" w:type="dxa"/>
            <w:vMerge w:val="restart"/>
            <w:tcBorders>
              <w:top w:val="dotted" w:sz="4"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2.05%-5.30%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6,503,502,037.76</w:t>
            </w:r>
          </w:p>
        </w:tc>
        <w:tc>
          <w:tcPr>
            <w:tcW w:w="1316" w:type="dxa"/>
            <w:vMerge w:val="restart"/>
            <w:tcBorders>
              <w:top w:val="dotted" w:sz="4" w:space="0" w:color="000000"/>
              <w:left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1.43%-7.65%</w:t>
            </w:r>
          </w:p>
        </w:tc>
      </w:tr>
      <w:tr>
        <w:trPr>
          <w:trHeight w:val="408" w:hRule="exact"/>
        </w:trPr>
        <w:tc>
          <w:tcPr>
            <w:tcW w:w="25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一个月至三个月内</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192,544,438.36</w:t>
            </w:r>
          </w:p>
        </w:tc>
        <w:tc>
          <w:tcPr>
            <w:tcW w:w="1318" w:type="dxa"/>
            <w:vMerge/>
            <w:tcBorders>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316" w:type="dxa"/>
            <w:vMerge/>
            <w:tcBorders>
              <w:left w:val="dotted" w:sz="4" w:space="0" w:color="000000"/>
              <w:bottom w:val="dotted" w:sz="4" w:space="0" w:color="000000"/>
              <w:right w:val="nil" w:sz="6" w:space="0" w:color="auto"/>
            </w:tcBorders>
          </w:tcPr>
          <w:p>
            <w:pPr/>
          </w:p>
        </w:tc>
      </w:tr>
      <w:tr>
        <w:trPr>
          <w:trHeight w:val="418" w:hRule="exact"/>
        </w:trPr>
        <w:tc>
          <w:tcPr>
            <w:tcW w:w="25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5,358,959,138.99</w:t>
            </w:r>
          </w:p>
        </w:tc>
        <w:tc>
          <w:tcPr>
            <w:tcW w:w="1318" w:type="dxa"/>
            <w:tcBorders>
              <w:top w:val="dotted" w:sz="4" w:space="0" w:color="000000"/>
              <w:left w:val="dotted" w:sz="4" w:space="0" w:color="000000"/>
              <w:bottom w:val="single" w:sz="12" w:space="0" w:color="000000"/>
              <w:right w:val="dotted" w:sz="4" w:space="0" w:color="000000"/>
            </w:tcBorders>
          </w:tcPr>
          <w:p>
            <w:pP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6,503,502,037.76</w:t>
            </w:r>
          </w:p>
        </w:tc>
        <w:tc>
          <w:tcPr>
            <w:tcW w:w="131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35. </w:t>
      </w:r>
      <w:r>
        <w:rPr>
          <w:rFonts w:ascii="Times New Roman" w:hAnsi="Times New Roman" w:cs="Times New Roman" w:eastAsia="Times New Roman" w:hint="default"/>
          <w:spacing w:val="10"/>
        </w:rPr>
        <w:t> </w:t>
      </w:r>
      <w:r>
        <w:rPr/>
        <w:t>代理买卖证券款</w:t>
      </w:r>
      <w:r>
        <w:rPr>
          <w:b w:val="0"/>
          <w:bCs w:val="0"/>
        </w:rPr>
      </w:r>
    </w:p>
    <w:p>
      <w:pPr>
        <w:pStyle w:val="Heading4"/>
        <w:spacing w:line="240" w:lineRule="auto" w:before="83"/>
        <w:ind w:left="740" w:right="178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按业务</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2859"/>
        <w:gridCol w:w="2734"/>
        <w:gridCol w:w="2737"/>
      </w:tblGrid>
      <w:tr>
        <w:trPr>
          <w:trHeight w:val="502" w:hRule="exact"/>
        </w:trPr>
        <w:tc>
          <w:tcPr>
            <w:tcW w:w="28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238"/>
              <w:jc w:val="right"/>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普通经纪业务</w:t>
            </w:r>
          </w:p>
        </w:tc>
        <w:tc>
          <w:tcPr>
            <w:tcW w:w="2734" w:type="dxa"/>
            <w:tcBorders>
              <w:top w:val="dotted" w:sz="4" w:space="0" w:color="000000"/>
              <w:left w:val="dotted" w:sz="4" w:space="0" w:color="000000"/>
              <w:bottom w:val="dotted" w:sz="4" w:space="0" w:color="000000"/>
              <w:right w:val="dotted" w:sz="4" w:space="0" w:color="000000"/>
            </w:tcBorders>
          </w:tcPr>
          <w:p>
            <w:pPr/>
          </w:p>
        </w:tc>
        <w:tc>
          <w:tcPr>
            <w:tcW w:w="2737"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其中：个人</w:t>
            </w:r>
          </w:p>
        </w:tc>
        <w:tc>
          <w:tcPr>
            <w:tcW w:w="2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5,450,336,458.95</w:t>
            </w:r>
          </w:p>
        </w:tc>
        <w:tc>
          <w:tcPr>
            <w:tcW w:w="27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spacing w:val="-1"/>
                <w:sz w:val="18"/>
              </w:rPr>
              <w:t>3,721,089,234.11</w:t>
            </w:r>
          </w:p>
        </w:tc>
      </w:tr>
      <w:tr>
        <w:trPr>
          <w:trHeight w:val="49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535,541,411.40</w:t>
            </w:r>
          </w:p>
        </w:tc>
        <w:tc>
          <w:tcPr>
            <w:tcW w:w="27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spacing w:val="-1"/>
                <w:sz w:val="18"/>
              </w:rPr>
              <w:t>513,733,292.67</w:t>
            </w:r>
          </w:p>
        </w:tc>
      </w:tr>
      <w:tr>
        <w:trPr>
          <w:trHeight w:val="49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5,985,877,870.35</w:t>
            </w:r>
          </w:p>
        </w:tc>
        <w:tc>
          <w:tcPr>
            <w:tcW w:w="27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4,234,822,526.78</w:t>
            </w:r>
          </w:p>
        </w:tc>
      </w:tr>
      <w:tr>
        <w:trPr>
          <w:trHeight w:val="49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信用业务</w:t>
            </w:r>
          </w:p>
        </w:tc>
        <w:tc>
          <w:tcPr>
            <w:tcW w:w="2734" w:type="dxa"/>
            <w:tcBorders>
              <w:top w:val="dotted" w:sz="4" w:space="0" w:color="000000"/>
              <w:left w:val="dotted" w:sz="4" w:space="0" w:color="000000"/>
              <w:bottom w:val="dotted" w:sz="4" w:space="0" w:color="000000"/>
              <w:right w:val="dotted" w:sz="4" w:space="0" w:color="000000"/>
            </w:tcBorders>
          </w:tcPr>
          <w:p>
            <w:pPr/>
          </w:p>
        </w:tc>
        <w:tc>
          <w:tcPr>
            <w:tcW w:w="2737"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其中：个人</w:t>
            </w:r>
          </w:p>
        </w:tc>
        <w:tc>
          <w:tcPr>
            <w:tcW w:w="2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pacing w:val="-1"/>
                <w:sz w:val="18"/>
              </w:rPr>
              <w:t>765,415,088.04</w:t>
            </w:r>
          </w:p>
        </w:tc>
        <w:tc>
          <w:tcPr>
            <w:tcW w:w="27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318,324,444.82</w:t>
            </w:r>
          </w:p>
        </w:tc>
      </w:tr>
      <w:tr>
        <w:trPr>
          <w:trHeight w:val="49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40,565,285.66</w:t>
            </w:r>
          </w:p>
        </w:tc>
        <w:tc>
          <w:tcPr>
            <w:tcW w:w="27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spacing w:val="-1"/>
                <w:sz w:val="18"/>
              </w:rPr>
              <w:t>20,245,632.32</w:t>
            </w:r>
          </w:p>
        </w:tc>
      </w:tr>
      <w:tr>
        <w:trPr>
          <w:trHeight w:val="490"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7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805,980,373.70</w:t>
            </w:r>
          </w:p>
        </w:tc>
        <w:tc>
          <w:tcPr>
            <w:tcW w:w="27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spacing w:val="-1"/>
                <w:sz w:val="18"/>
              </w:rPr>
              <w:t>338,570,077.14</w:t>
            </w:r>
          </w:p>
        </w:tc>
      </w:tr>
      <w:tr>
        <w:trPr>
          <w:trHeight w:val="502" w:hRule="exact"/>
        </w:trPr>
        <w:tc>
          <w:tcPr>
            <w:tcW w:w="28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238"/>
              <w:jc w:val="right"/>
              <w:rPr>
                <w:rFonts w:ascii="宋体" w:hAnsi="宋体" w:cs="宋体" w:eastAsia="宋体" w:hint="default"/>
                <w:sz w:val="18"/>
                <w:szCs w:val="18"/>
              </w:rPr>
            </w:pPr>
            <w:r>
              <w:rPr>
                <w:rFonts w:ascii="宋体" w:hAnsi="宋体" w:cs="宋体" w:eastAsia="宋体" w:hint="default"/>
                <w:sz w:val="18"/>
                <w:szCs w:val="18"/>
              </w:rPr>
              <w:t>合计</w:t>
            </w:r>
          </w:p>
        </w:tc>
        <w:tc>
          <w:tcPr>
            <w:tcW w:w="27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1"/>
                <w:sz w:val="18"/>
              </w:rPr>
              <w:t>6,791,858,244.05</w:t>
            </w:r>
          </w:p>
        </w:tc>
        <w:tc>
          <w:tcPr>
            <w:tcW w:w="27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spacing w:val="-1"/>
                <w:sz w:val="18"/>
              </w:rPr>
              <w:t>4,573,392,603.92</w:t>
            </w:r>
          </w:p>
        </w:tc>
      </w:tr>
    </w:tbl>
    <w:p>
      <w:pPr>
        <w:pStyle w:val="Heading4"/>
        <w:spacing w:line="303" w:lineRule="exact"/>
        <w:ind w:right="1786"/>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按币种</w:t>
      </w:r>
      <w:r>
        <w:rPr>
          <w:b w:val="0"/>
          <w:bCs w:val="0"/>
        </w:rPr>
      </w:r>
    </w:p>
    <w:p>
      <w:pPr>
        <w:spacing w:after="0" w:line="303" w:lineRule="exact"/>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0" w:type="dxa"/>
        <w:tblLayout w:type="fixed"/>
        <w:tblCellMar>
          <w:top w:w="0" w:type="dxa"/>
          <w:left w:w="0" w:type="dxa"/>
          <w:bottom w:w="0" w:type="dxa"/>
          <w:right w:w="0" w:type="dxa"/>
        </w:tblCellMar>
        <w:tblLook w:val="01E0"/>
      </w:tblPr>
      <w:tblGrid>
        <w:gridCol w:w="946"/>
        <w:gridCol w:w="1191"/>
        <w:gridCol w:w="890"/>
        <w:gridCol w:w="1654"/>
        <w:gridCol w:w="1339"/>
        <w:gridCol w:w="888"/>
        <w:gridCol w:w="1477"/>
      </w:tblGrid>
      <w:tr>
        <w:trPr>
          <w:trHeight w:val="418" w:hRule="exact"/>
        </w:trPr>
        <w:tc>
          <w:tcPr>
            <w:tcW w:w="946"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735"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704"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946" w:type="dxa"/>
            <w:vMerge/>
            <w:tcBorders>
              <w:left w:val="nil" w:sz="6" w:space="0" w:color="auto"/>
              <w:bottom w:val="dotted" w:sz="4" w:space="0" w:color="000000"/>
              <w:right w:val="dotted" w:sz="4" w:space="0" w:color="000000"/>
            </w:tcBorders>
          </w:tcPr>
          <w:p>
            <w:pP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本币</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本币</w:t>
            </w:r>
          </w:p>
        </w:tc>
      </w:tr>
      <w:tr>
        <w:trPr>
          <w:trHeight w:val="408"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91" w:type="dxa"/>
            <w:tcBorders>
              <w:top w:val="dotted" w:sz="4" w:space="0" w:color="000000"/>
              <w:left w:val="dotted" w:sz="4" w:space="0" w:color="000000"/>
              <w:bottom w:val="dotted" w:sz="4" w:space="0" w:color="000000"/>
              <w:right w:val="dotted" w:sz="4" w:space="0" w:color="000000"/>
            </w:tcBorders>
          </w:tcPr>
          <w:p>
            <w:pPr/>
          </w:p>
        </w:tc>
        <w:tc>
          <w:tcPr>
            <w:tcW w:w="890" w:type="dxa"/>
            <w:tcBorders>
              <w:top w:val="dotted" w:sz="4" w:space="0" w:color="000000"/>
              <w:left w:val="dotted" w:sz="4" w:space="0" w:color="000000"/>
              <w:bottom w:val="dotted" w:sz="4" w:space="0" w:color="000000"/>
              <w:right w:val="dotted" w:sz="4" w:space="0" w:color="000000"/>
            </w:tcBorders>
          </w:tcPr>
          <w:p>
            <w:pP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6,761,649,352.13</w:t>
            </w:r>
          </w:p>
        </w:tc>
        <w:tc>
          <w:tcPr>
            <w:tcW w:w="1339" w:type="dxa"/>
            <w:tcBorders>
              <w:top w:val="dotted" w:sz="4" w:space="0" w:color="000000"/>
              <w:left w:val="dotted" w:sz="4" w:space="0" w:color="000000"/>
              <w:bottom w:val="dotted" w:sz="4" w:space="0" w:color="000000"/>
              <w:right w:val="dotted" w:sz="4" w:space="0" w:color="000000"/>
            </w:tcBorders>
          </w:tcPr>
          <w:p>
            <w:pPr/>
          </w:p>
        </w:tc>
        <w:tc>
          <w:tcPr>
            <w:tcW w:w="888"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4,539,770,657.90</w:t>
            </w:r>
          </w:p>
        </w:tc>
      </w:tr>
      <w:tr>
        <w:trPr>
          <w:trHeight w:val="408"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8" w:right="0"/>
              <w:jc w:val="center"/>
              <w:rPr>
                <w:rFonts w:ascii="Times New Roman" w:hAnsi="Times New Roman" w:cs="Times New Roman" w:eastAsia="Times New Roman" w:hint="default"/>
                <w:sz w:val="18"/>
                <w:szCs w:val="18"/>
              </w:rPr>
            </w:pPr>
            <w:r>
              <w:rPr>
                <w:rFonts w:ascii="Times New Roman"/>
                <w:sz w:val="18"/>
              </w:rPr>
              <w:t>3,168,825.73</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80" w:right="0"/>
              <w:jc w:val="left"/>
              <w:rPr>
                <w:rFonts w:ascii="Times New Roman" w:hAnsi="Times New Roman" w:cs="Times New Roman" w:eastAsia="Times New Roman" w:hint="default"/>
                <w:sz w:val="18"/>
                <w:szCs w:val="18"/>
              </w:rPr>
            </w:pPr>
            <w:r>
              <w:rPr>
                <w:rFonts w:ascii="Times New Roman"/>
                <w:sz w:val="18"/>
              </w:rPr>
              <w:t>6.9762</w:t>
            </w: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22,106,362.06</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3,832,348.74</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80" w:right="0"/>
              <w:jc w:val="left"/>
              <w:rPr>
                <w:rFonts w:ascii="Times New Roman" w:hAnsi="Times New Roman" w:cs="Times New Roman" w:eastAsia="Times New Roman" w:hint="default"/>
                <w:sz w:val="18"/>
                <w:szCs w:val="18"/>
              </w:rPr>
            </w:pPr>
            <w:r>
              <w:rPr>
                <w:rFonts w:ascii="Times New Roman"/>
                <w:sz w:val="18"/>
              </w:rPr>
              <w:t>6.8632</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26,302,175.87</w:t>
            </w:r>
          </w:p>
        </w:tc>
      </w:tr>
      <w:tr>
        <w:trPr>
          <w:trHeight w:val="406" w:hRule="exact"/>
        </w:trPr>
        <w:tc>
          <w:tcPr>
            <w:tcW w:w="9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8" w:right="0"/>
              <w:jc w:val="center"/>
              <w:rPr>
                <w:rFonts w:ascii="Times New Roman" w:hAnsi="Times New Roman" w:cs="Times New Roman" w:eastAsia="Times New Roman" w:hint="default"/>
                <w:sz w:val="18"/>
                <w:szCs w:val="18"/>
              </w:rPr>
            </w:pPr>
            <w:r>
              <w:rPr>
                <w:rFonts w:ascii="Times New Roman"/>
                <w:sz w:val="18"/>
              </w:rPr>
              <w:t>9,045,021.05</w:t>
            </w:r>
          </w:p>
        </w:tc>
        <w:tc>
          <w:tcPr>
            <w:tcW w:w="8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80" w:right="0"/>
              <w:jc w:val="left"/>
              <w:rPr>
                <w:rFonts w:ascii="Times New Roman" w:hAnsi="Times New Roman" w:cs="Times New Roman" w:eastAsia="Times New Roman" w:hint="default"/>
                <w:sz w:val="18"/>
                <w:szCs w:val="18"/>
              </w:rPr>
            </w:pPr>
            <w:r>
              <w:rPr>
                <w:rFonts w:ascii="Times New Roman"/>
                <w:sz w:val="18"/>
              </w:rPr>
              <w:t>0.8958</w:t>
            </w: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8,102,529.86</w:t>
            </w:r>
          </w:p>
        </w:tc>
        <w:tc>
          <w:tcPr>
            <w:tcW w:w="13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8,353,994.69</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280" w:right="0"/>
              <w:jc w:val="left"/>
              <w:rPr>
                <w:rFonts w:ascii="Times New Roman" w:hAnsi="Times New Roman" w:cs="Times New Roman" w:eastAsia="Times New Roman" w:hint="default"/>
                <w:sz w:val="18"/>
                <w:szCs w:val="18"/>
              </w:rPr>
            </w:pPr>
            <w:r>
              <w:rPr>
                <w:rFonts w:ascii="Times New Roman"/>
                <w:sz w:val="18"/>
              </w:rPr>
              <w:t>0.8762</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7,319,770.15</w:t>
            </w:r>
          </w:p>
        </w:tc>
      </w:tr>
      <w:tr>
        <w:trPr>
          <w:trHeight w:val="418" w:hRule="exact"/>
        </w:trPr>
        <w:tc>
          <w:tcPr>
            <w:tcW w:w="9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计</w:t>
            </w:r>
          </w:p>
        </w:tc>
        <w:tc>
          <w:tcPr>
            <w:tcW w:w="1191" w:type="dxa"/>
            <w:tcBorders>
              <w:top w:val="dotted" w:sz="4" w:space="0" w:color="000000"/>
              <w:left w:val="dotted" w:sz="4" w:space="0" w:color="000000"/>
              <w:bottom w:val="single" w:sz="12" w:space="0" w:color="000000"/>
              <w:right w:val="dotted" w:sz="4" w:space="0" w:color="000000"/>
            </w:tcBorders>
          </w:tcPr>
          <w:p>
            <w:pPr/>
          </w:p>
        </w:tc>
        <w:tc>
          <w:tcPr>
            <w:tcW w:w="890" w:type="dxa"/>
            <w:tcBorders>
              <w:top w:val="dotted" w:sz="4" w:space="0" w:color="000000"/>
              <w:left w:val="dotted" w:sz="4" w:space="0" w:color="000000"/>
              <w:bottom w:val="single" w:sz="12" w:space="0" w:color="000000"/>
              <w:right w:val="dotted" w:sz="4" w:space="0" w:color="000000"/>
            </w:tcBorders>
          </w:tcPr>
          <w:p>
            <w:pPr/>
          </w:p>
        </w:tc>
        <w:tc>
          <w:tcPr>
            <w:tcW w:w="16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6,791,858,244.05</w:t>
            </w:r>
          </w:p>
        </w:tc>
        <w:tc>
          <w:tcPr>
            <w:tcW w:w="1339" w:type="dxa"/>
            <w:tcBorders>
              <w:top w:val="dotted" w:sz="4" w:space="0" w:color="000000"/>
              <w:left w:val="dotted" w:sz="4" w:space="0" w:color="000000"/>
              <w:bottom w:val="single" w:sz="12" w:space="0" w:color="000000"/>
              <w:right w:val="dotted" w:sz="4" w:space="0" w:color="000000"/>
            </w:tcBorders>
          </w:tcPr>
          <w:p>
            <w:pPr/>
          </w:p>
        </w:tc>
        <w:tc>
          <w:tcPr>
            <w:tcW w:w="888"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4,573,392,603.92</w:t>
            </w: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left="578" w:right="0" w:hanging="29"/>
        <w:jc w:val="left"/>
        <w:rPr>
          <w:b w:val="0"/>
          <w:bCs w:val="0"/>
        </w:rPr>
      </w:pPr>
      <w:r>
        <w:rPr/>
        <w:t>注释 </w:t>
      </w:r>
      <w:r>
        <w:rPr>
          <w:rFonts w:ascii="Times New Roman" w:hAnsi="Times New Roman" w:cs="Times New Roman" w:eastAsia="Times New Roman" w:hint="default"/>
        </w:rPr>
        <w:t>36. </w:t>
      </w:r>
      <w:r>
        <w:rPr>
          <w:rFonts w:ascii="Times New Roman" w:hAnsi="Times New Roman" w:cs="Times New Roman" w:eastAsia="Times New Roman" w:hint="default"/>
          <w:spacing w:val="9"/>
        </w:rPr>
        <w:t> </w:t>
      </w:r>
      <w:r>
        <w:rPr/>
        <w:t>应付职工薪酬</w:t>
      </w:r>
      <w:r>
        <w:rPr>
          <w:b w:val="0"/>
          <w:bCs w:val="0"/>
        </w:rPr>
      </w:r>
    </w:p>
    <w:p>
      <w:pPr>
        <w:pStyle w:val="Heading4"/>
        <w:spacing w:line="240" w:lineRule="auto" w:before="81"/>
        <w:ind w:left="578" w:right="0"/>
        <w:jc w:val="left"/>
        <w:rPr>
          <w:b w:val="0"/>
          <w:bCs w:val="0"/>
        </w:rPr>
      </w:pPr>
      <w:r>
        <w:rPr>
          <w:rFonts w:ascii="Trebuchet MS" w:hAnsi="Trebuchet MS" w:cs="Trebuchet MS" w:eastAsia="Trebuchet MS" w:hint="default"/>
        </w:rPr>
        <w:t>1</w:t>
      </w:r>
      <w:r>
        <w:rPr/>
        <w:t>．</w:t>
      </w:r>
      <w:r>
        <w:rPr>
          <w:spacing w:val="43"/>
        </w:rPr>
        <w:t> </w:t>
      </w:r>
      <w:r>
        <w:rPr/>
        <w:t>应付职工薪酬列示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9" w:type="dxa"/>
        <w:tblLayout w:type="fixed"/>
        <w:tblCellMar>
          <w:top w:w="0" w:type="dxa"/>
          <w:left w:w="0" w:type="dxa"/>
          <w:bottom w:w="0" w:type="dxa"/>
          <w:right w:w="0" w:type="dxa"/>
        </w:tblCellMar>
        <w:tblLook w:val="01E0"/>
      </w:tblPr>
      <w:tblGrid>
        <w:gridCol w:w="2701"/>
        <w:gridCol w:w="1214"/>
        <w:gridCol w:w="1472"/>
        <w:gridCol w:w="1320"/>
        <w:gridCol w:w="1805"/>
      </w:tblGrid>
      <w:tr>
        <w:trPr>
          <w:trHeight w:val="427" w:hRule="exact"/>
        </w:trPr>
        <w:tc>
          <w:tcPr>
            <w:tcW w:w="27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2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2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5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83,494,662.96</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954,411,614.14</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840,370,257.79</w:t>
            </w:r>
          </w:p>
        </w:tc>
        <w:tc>
          <w:tcPr>
            <w:tcW w:w="18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197,536,019.31</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Arial" w:hAnsi="Arial" w:cs="Arial" w:eastAsia="Arial" w:hint="default"/>
                <w:sz w:val="18"/>
                <w:szCs w:val="18"/>
              </w:rPr>
              <w:t>-</w:t>
            </w:r>
            <w:r>
              <w:rPr>
                <w:rFonts w:ascii="宋体" w:hAnsi="宋体" w:cs="宋体" w:eastAsia="宋体" w:hint="default"/>
                <w:sz w:val="18"/>
                <w:szCs w:val="18"/>
              </w:rPr>
              <w:t>设定提存计划</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201,994.29</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56,012,162.25</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55,933,140.54</w:t>
            </w:r>
          </w:p>
        </w:tc>
        <w:tc>
          <w:tcPr>
            <w:tcW w:w="18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281,016.00</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214" w:type="dxa"/>
            <w:tcBorders>
              <w:top w:val="dotted" w:sz="4" w:space="0" w:color="000000"/>
              <w:left w:val="dotted" w:sz="4" w:space="0" w:color="000000"/>
              <w:bottom w:val="dotted" w:sz="4" w:space="0" w:color="000000"/>
              <w:right w:val="dotted" w:sz="4" w:space="0" w:color="000000"/>
            </w:tcBorders>
          </w:tcPr>
          <w:p>
            <w:pP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752,325.73</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654,779.22</w:t>
            </w:r>
          </w:p>
        </w:tc>
        <w:tc>
          <w:tcPr>
            <w:tcW w:w="18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97,546.51</w:t>
            </w:r>
          </w:p>
        </w:tc>
      </w:tr>
      <w:tr>
        <w:trPr>
          <w:trHeight w:val="427" w:hRule="exact"/>
        </w:trPr>
        <w:tc>
          <w:tcPr>
            <w:tcW w:w="27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83,696,657.25</w:t>
            </w:r>
          </w:p>
        </w:tc>
        <w:tc>
          <w:tcPr>
            <w:tcW w:w="14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1,011,176,102.12</w:t>
            </w:r>
          </w:p>
        </w:tc>
        <w:tc>
          <w:tcPr>
            <w:tcW w:w="13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896,958,177.55</w:t>
            </w:r>
          </w:p>
        </w:tc>
        <w:tc>
          <w:tcPr>
            <w:tcW w:w="18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197,914,581.82</w:t>
            </w:r>
          </w:p>
        </w:tc>
      </w:tr>
    </w:tbl>
    <w:p>
      <w:pPr>
        <w:spacing w:line="240" w:lineRule="auto" w:before="15"/>
        <w:rPr>
          <w:rFonts w:ascii="Microsoft JhengHei" w:hAnsi="Microsoft JhengHei" w:cs="Microsoft JhengHei" w:eastAsia="Microsoft JhengHei" w:hint="default"/>
          <w:b/>
          <w:bCs/>
          <w:sz w:val="23"/>
          <w:szCs w:val="23"/>
        </w:rPr>
      </w:pPr>
    </w:p>
    <w:p>
      <w:pPr>
        <w:pStyle w:val="Heading4"/>
        <w:spacing w:line="335" w:lineRule="exact"/>
        <w:ind w:left="578" w:right="0"/>
        <w:jc w:val="left"/>
        <w:rPr>
          <w:b w:val="0"/>
          <w:bCs w:val="0"/>
        </w:rPr>
      </w:pPr>
      <w:r>
        <w:rPr>
          <w:rFonts w:ascii="Trebuchet MS" w:hAnsi="Trebuchet MS" w:cs="Trebuchet MS" w:eastAsia="Trebuchet MS" w:hint="default"/>
        </w:rPr>
        <w:t>2</w:t>
      </w:r>
      <w:r>
        <w:rPr/>
        <w:t>．</w:t>
      </w:r>
      <w:r>
        <w:rPr>
          <w:spacing w:val="41"/>
        </w:rPr>
        <w:t> </w:t>
      </w:r>
      <w:r>
        <w:rPr/>
        <w:t>短期薪酬列示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9" w:type="dxa"/>
        <w:tblLayout w:type="fixed"/>
        <w:tblCellMar>
          <w:top w:w="0" w:type="dxa"/>
          <w:left w:w="0" w:type="dxa"/>
          <w:bottom w:w="0" w:type="dxa"/>
          <w:right w:w="0" w:type="dxa"/>
        </w:tblCellMar>
        <w:tblLook w:val="01E0"/>
      </w:tblPr>
      <w:tblGrid>
        <w:gridCol w:w="2701"/>
        <w:gridCol w:w="1214"/>
        <w:gridCol w:w="1472"/>
        <w:gridCol w:w="1512"/>
        <w:gridCol w:w="1597"/>
      </w:tblGrid>
      <w:tr>
        <w:trPr>
          <w:trHeight w:val="427" w:hRule="exact"/>
        </w:trPr>
        <w:tc>
          <w:tcPr>
            <w:tcW w:w="27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2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74,240,659.55</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851,322,309.33</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743,170,439.73</w:t>
            </w:r>
          </w:p>
        </w:tc>
        <w:tc>
          <w:tcPr>
            <w:tcW w:w="1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182,392,529.15</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214" w:type="dxa"/>
            <w:tcBorders>
              <w:top w:val="dotted" w:sz="4" w:space="0" w:color="000000"/>
              <w:left w:val="dotted" w:sz="4" w:space="0" w:color="000000"/>
              <w:bottom w:val="dotted" w:sz="4" w:space="0" w:color="000000"/>
              <w:right w:val="dotted" w:sz="4" w:space="0" w:color="000000"/>
            </w:tcBorders>
          </w:tcPr>
          <w:p>
            <w:pP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19,647,687.94</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19,647,687.94</w:t>
            </w:r>
          </w:p>
        </w:tc>
        <w:tc>
          <w:tcPr>
            <w:tcW w:w="159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104,445.29</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27,188,386.84</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27,114,275.99</w:t>
            </w:r>
          </w:p>
        </w:tc>
        <w:tc>
          <w:tcPr>
            <w:tcW w:w="1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178,556.14</w:t>
            </w:r>
          </w:p>
        </w:tc>
      </w:tr>
      <w:tr>
        <w:trPr>
          <w:trHeight w:val="415"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其中：基本医疗保险费</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93,606.64</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24,362,381.89</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24,297,093.07</w:t>
            </w:r>
          </w:p>
        </w:tc>
        <w:tc>
          <w:tcPr>
            <w:tcW w:w="1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158,895.46</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568"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214" w:type="dxa"/>
            <w:tcBorders>
              <w:top w:val="dotted" w:sz="4" w:space="0" w:color="000000"/>
              <w:left w:val="dotted" w:sz="4" w:space="0" w:color="000000"/>
              <w:bottom w:val="dotted" w:sz="4" w:space="0" w:color="000000"/>
              <w:right w:val="dotted" w:sz="4" w:space="0" w:color="000000"/>
            </w:tcBorders>
          </w:tcPr>
          <w:p>
            <w:pPr/>
          </w:p>
        </w:tc>
        <w:tc>
          <w:tcPr>
            <w:tcW w:w="1472" w:type="dxa"/>
            <w:tcBorders>
              <w:top w:val="dotted" w:sz="4" w:space="0" w:color="000000"/>
              <w:left w:val="dotted" w:sz="4" w:space="0" w:color="000000"/>
              <w:bottom w:val="dotted" w:sz="4" w:space="0" w:color="000000"/>
              <w:right w:val="dotted" w:sz="4" w:space="0" w:color="000000"/>
            </w:tcBorders>
          </w:tcPr>
          <w:p>
            <w:pPr/>
          </w:p>
        </w:tc>
        <w:tc>
          <w:tcPr>
            <w:tcW w:w="1512" w:type="dxa"/>
            <w:tcBorders>
              <w:top w:val="dotted" w:sz="4" w:space="0" w:color="000000"/>
              <w:left w:val="dotted" w:sz="4" w:space="0" w:color="000000"/>
              <w:bottom w:val="dotted" w:sz="4" w:space="0" w:color="000000"/>
              <w:right w:val="dotted" w:sz="4" w:space="0" w:color="000000"/>
            </w:tcBorders>
          </w:tcPr>
          <w:p>
            <w:pPr/>
          </w:p>
        </w:tc>
        <w:tc>
          <w:tcPr>
            <w:tcW w:w="159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568"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985.53</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579,647.24</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577,924.49</w:t>
            </w:r>
          </w:p>
        </w:tc>
        <w:tc>
          <w:tcPr>
            <w:tcW w:w="1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w w:val="95"/>
                <w:sz w:val="18"/>
              </w:rPr>
              <w:t>2,708.28</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568"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w w:val="95"/>
                <w:sz w:val="18"/>
              </w:rPr>
              <w:t>9,853.12</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2,246,357.71</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2,239,258.43</w:t>
            </w:r>
          </w:p>
        </w:tc>
        <w:tc>
          <w:tcPr>
            <w:tcW w:w="1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16,952.40</w:t>
            </w:r>
          </w:p>
        </w:tc>
      </w:tr>
      <w:tr>
        <w:trPr>
          <w:trHeight w:val="415"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14" w:type="dxa"/>
            <w:tcBorders>
              <w:top w:val="dotted" w:sz="4" w:space="0" w:color="000000"/>
              <w:left w:val="dotted" w:sz="4" w:space="0" w:color="000000"/>
              <w:bottom w:val="dotted" w:sz="4" w:space="0" w:color="000000"/>
              <w:right w:val="dotted" w:sz="4" w:space="0" w:color="000000"/>
            </w:tcBorders>
          </w:tcPr>
          <w:p>
            <w:pP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36,950,511.87</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36,929,644.18</w:t>
            </w:r>
          </w:p>
        </w:tc>
        <w:tc>
          <w:tcPr>
            <w:tcW w:w="1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20,867.69</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9,149,558.12</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18,118,750.75</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12,330,531.20</w:t>
            </w:r>
          </w:p>
        </w:tc>
        <w:tc>
          <w:tcPr>
            <w:tcW w:w="1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14,937,777.67</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214" w:type="dxa"/>
            <w:tcBorders>
              <w:top w:val="dotted" w:sz="4" w:space="0" w:color="000000"/>
              <w:left w:val="dotted" w:sz="4" w:space="0" w:color="000000"/>
              <w:bottom w:val="dotted" w:sz="4" w:space="0" w:color="000000"/>
              <w:right w:val="dotted" w:sz="4" w:space="0" w:color="000000"/>
            </w:tcBorders>
          </w:tcPr>
          <w:p>
            <w:pP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1,183,967.41</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1,177,678.75</w:t>
            </w:r>
          </w:p>
        </w:tc>
        <w:tc>
          <w:tcPr>
            <w:tcW w:w="15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w w:val="95"/>
                <w:sz w:val="18"/>
              </w:rPr>
              <w:t>6,288.66</w:t>
            </w:r>
          </w:p>
        </w:tc>
      </w:tr>
      <w:tr>
        <w:trPr>
          <w:trHeight w:val="427" w:hRule="exact"/>
        </w:trPr>
        <w:tc>
          <w:tcPr>
            <w:tcW w:w="27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83,494,662.96</w:t>
            </w:r>
          </w:p>
        </w:tc>
        <w:tc>
          <w:tcPr>
            <w:tcW w:w="14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954,411,614.14</w:t>
            </w:r>
          </w:p>
        </w:tc>
        <w:tc>
          <w:tcPr>
            <w:tcW w:w="15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840,370,257.79</w:t>
            </w:r>
          </w:p>
        </w:tc>
        <w:tc>
          <w:tcPr>
            <w:tcW w:w="15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197,536,019.31</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578" w:right="0"/>
        <w:jc w:val="left"/>
        <w:rPr>
          <w:b w:val="0"/>
          <w:bCs w:val="0"/>
        </w:rPr>
      </w:pPr>
      <w:r>
        <w:rPr>
          <w:rFonts w:ascii="Trebuchet MS" w:hAnsi="Trebuchet MS" w:cs="Trebuchet MS" w:eastAsia="Trebuchet MS" w:hint="default"/>
        </w:rPr>
        <w:t>3</w:t>
      </w:r>
      <w:r>
        <w:rPr/>
        <w:t>．</w:t>
      </w:r>
      <w:r>
        <w:rPr>
          <w:spacing w:val="43"/>
        </w:rPr>
        <w:t> </w:t>
      </w:r>
      <w:r>
        <w:rPr/>
        <w:t>设定提存计划列示</w:t>
      </w:r>
      <w:r>
        <w:rPr>
          <w:b w:val="0"/>
          <w:bCs w:val="0"/>
        </w:rPr>
      </w:r>
    </w:p>
    <w:p>
      <w:pPr>
        <w:spacing w:after="0" w:line="335" w:lineRule="exact"/>
        <w:jc w:val="left"/>
        <w:sectPr>
          <w:pgSz w:w="11910" w:h="16840"/>
          <w:pgMar w:header="877" w:footer="979" w:top="1100" w:bottom="1160" w:left="16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29" w:type="dxa"/>
        <w:tblLayout w:type="fixed"/>
        <w:tblCellMar>
          <w:top w:w="0" w:type="dxa"/>
          <w:left w:w="0" w:type="dxa"/>
          <w:bottom w:w="0" w:type="dxa"/>
          <w:right w:w="0" w:type="dxa"/>
        </w:tblCellMar>
        <w:tblLook w:val="01E0"/>
      </w:tblPr>
      <w:tblGrid>
        <w:gridCol w:w="2701"/>
        <w:gridCol w:w="1214"/>
        <w:gridCol w:w="1472"/>
        <w:gridCol w:w="1320"/>
        <w:gridCol w:w="1822"/>
      </w:tblGrid>
      <w:tr>
        <w:trPr>
          <w:trHeight w:val="427" w:hRule="exact"/>
        </w:trPr>
        <w:tc>
          <w:tcPr>
            <w:tcW w:w="27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right="1157"/>
              <w:jc w:val="right"/>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2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3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2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5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8"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197,067.83</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54,551,439.44</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54,475,844.07</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272,663.20</w:t>
            </w:r>
          </w:p>
        </w:tc>
      </w:tr>
      <w:tr>
        <w:trPr>
          <w:trHeight w:val="415"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w w:val="95"/>
                <w:sz w:val="18"/>
              </w:rPr>
              <w:t>4,926.46</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1,460,722.81</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1,457,296.47</w:t>
            </w:r>
          </w:p>
        </w:tc>
        <w:tc>
          <w:tcPr>
            <w:tcW w:w="18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5"/>
                <w:sz w:val="18"/>
              </w:rPr>
              <w:t>8,352.80</w:t>
            </w:r>
          </w:p>
        </w:tc>
      </w:tr>
      <w:tr>
        <w:trPr>
          <w:trHeight w:val="430" w:hRule="exact"/>
        </w:trPr>
        <w:tc>
          <w:tcPr>
            <w:tcW w:w="27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right="1157"/>
              <w:jc w:val="right"/>
              <w:rPr>
                <w:rFonts w:ascii="宋体" w:hAnsi="宋体" w:cs="宋体" w:eastAsia="宋体" w:hint="default"/>
                <w:sz w:val="18"/>
                <w:szCs w:val="18"/>
              </w:rPr>
            </w:pPr>
            <w:r>
              <w:rPr>
                <w:rFonts w:ascii="宋体" w:hAnsi="宋体" w:cs="宋体" w:eastAsia="宋体" w:hint="default"/>
                <w:sz w:val="18"/>
                <w:szCs w:val="18"/>
              </w:rPr>
              <w:t>合计</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201,994.29</w:t>
            </w:r>
          </w:p>
        </w:tc>
        <w:tc>
          <w:tcPr>
            <w:tcW w:w="14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56,012,162.25</w:t>
            </w:r>
          </w:p>
        </w:tc>
        <w:tc>
          <w:tcPr>
            <w:tcW w:w="13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55,933,140.54</w:t>
            </w:r>
          </w:p>
        </w:tc>
        <w:tc>
          <w:tcPr>
            <w:tcW w:w="18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281,016.00</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760" w:right="0"/>
        <w:jc w:val="left"/>
        <w:rPr>
          <w:b w:val="0"/>
          <w:bCs w:val="0"/>
        </w:rPr>
      </w:pPr>
      <w:r>
        <w:rPr/>
        <w:t>注释 </w:t>
      </w:r>
      <w:r>
        <w:rPr>
          <w:rFonts w:ascii="Times New Roman" w:hAnsi="Times New Roman" w:cs="Times New Roman" w:eastAsia="Times New Roman" w:hint="default"/>
        </w:rPr>
        <w:t>37. </w:t>
      </w:r>
      <w:r>
        <w:rPr>
          <w:rFonts w:ascii="Times New Roman" w:hAnsi="Times New Roman" w:cs="Times New Roman" w:eastAsia="Times New Roman" w:hint="default"/>
          <w:spacing w:val="6"/>
        </w:rPr>
        <w:t> </w:t>
      </w:r>
      <w:r>
        <w:rPr/>
        <w:t>应交税费</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9" w:type="dxa"/>
        <w:tblLayout w:type="fixed"/>
        <w:tblCellMar>
          <w:top w:w="0" w:type="dxa"/>
          <w:left w:w="0" w:type="dxa"/>
          <w:bottom w:w="0" w:type="dxa"/>
          <w:right w:w="0" w:type="dxa"/>
        </w:tblCellMar>
        <w:tblLook w:val="01E0"/>
      </w:tblPr>
      <w:tblGrid>
        <w:gridCol w:w="2794"/>
        <w:gridCol w:w="2832"/>
        <w:gridCol w:w="2801"/>
      </w:tblGrid>
      <w:tr>
        <w:trPr>
          <w:trHeight w:val="428" w:hRule="exact"/>
        </w:trPr>
        <w:tc>
          <w:tcPr>
            <w:tcW w:w="27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4"/>
              <w:ind w:left="13"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28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0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4"/>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21,176.62</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33,302,763.32</w:t>
            </w:r>
          </w:p>
        </w:tc>
      </w:tr>
      <w:tr>
        <w:trPr>
          <w:trHeight w:val="415"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1,108,758.93</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4,046,514.45</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258,267.56</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358,867.43</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155,376.77</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219,496.73</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57,189.19</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59,502.48</w:t>
            </w:r>
          </w:p>
        </w:tc>
      </w:tr>
      <w:tr>
        <w:trPr>
          <w:trHeight w:val="415"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w w:val="95"/>
                <w:sz w:val="18"/>
              </w:rPr>
              <w:t>2,649.17</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w w:val="95"/>
                <w:sz w:val="18"/>
              </w:rPr>
              <w:t>2,649.12</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256,562.73</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205,626.47</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16,880,617.20</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7,067,391.10</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w w:val="95"/>
                <w:sz w:val="18"/>
              </w:rPr>
              <w:t>3,577.51</w:t>
            </w:r>
          </w:p>
        </w:tc>
        <w:tc>
          <w:tcPr>
            <w:tcW w:w="28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959.27</w:t>
            </w:r>
          </w:p>
        </w:tc>
      </w:tr>
      <w:tr>
        <w:trPr>
          <w:trHeight w:val="427" w:hRule="exact"/>
        </w:trPr>
        <w:tc>
          <w:tcPr>
            <w:tcW w:w="27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18,744,175.68</w:t>
            </w:r>
          </w:p>
        </w:tc>
        <w:tc>
          <w:tcPr>
            <w:tcW w:w="280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45,263,770.37</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760" w:right="0"/>
        <w:jc w:val="left"/>
        <w:rPr>
          <w:b w:val="0"/>
          <w:bCs w:val="0"/>
        </w:rPr>
      </w:pPr>
      <w:r>
        <w:rPr/>
        <w:t>注释 </w:t>
      </w:r>
      <w:r>
        <w:rPr>
          <w:rFonts w:ascii="Times New Roman" w:hAnsi="Times New Roman" w:cs="Times New Roman" w:eastAsia="Times New Roman" w:hint="default"/>
        </w:rPr>
        <w:t>38. </w:t>
      </w:r>
      <w:r>
        <w:rPr>
          <w:rFonts w:ascii="Times New Roman" w:hAnsi="Times New Roman" w:cs="Times New Roman" w:eastAsia="Times New Roman" w:hint="default"/>
          <w:spacing w:val="7"/>
        </w:rPr>
        <w:t> </w:t>
      </w:r>
      <w:r>
        <w:rPr/>
        <w:t>其他应付款</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9" w:type="dxa"/>
        <w:tblLayout w:type="fixed"/>
        <w:tblCellMar>
          <w:top w:w="0" w:type="dxa"/>
          <w:left w:w="0" w:type="dxa"/>
          <w:bottom w:w="0" w:type="dxa"/>
          <w:right w:w="0" w:type="dxa"/>
        </w:tblCellMar>
        <w:tblLook w:val="01E0"/>
      </w:tblPr>
      <w:tblGrid>
        <w:gridCol w:w="3507"/>
        <w:gridCol w:w="2331"/>
        <w:gridCol w:w="2705"/>
      </w:tblGrid>
      <w:tr>
        <w:trPr>
          <w:trHeight w:val="360" w:hRule="exact"/>
        </w:trPr>
        <w:tc>
          <w:tcPr>
            <w:tcW w:w="350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562"/>
              <w:jc w:val="right"/>
              <w:rPr>
                <w:rFonts w:ascii="宋体" w:hAnsi="宋体" w:cs="宋体" w:eastAsia="宋体" w:hint="default"/>
                <w:sz w:val="18"/>
                <w:szCs w:val="18"/>
              </w:rPr>
            </w:pPr>
            <w:r>
              <w:rPr>
                <w:rFonts w:ascii="宋体" w:hAnsi="宋体" w:cs="宋体" w:eastAsia="宋体" w:hint="default"/>
                <w:sz w:val="18"/>
                <w:szCs w:val="18"/>
              </w:rPr>
              <w:t>项目</w:t>
            </w:r>
          </w:p>
        </w:tc>
        <w:tc>
          <w:tcPr>
            <w:tcW w:w="23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35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486,728,922.83</w:t>
            </w:r>
          </w:p>
        </w:tc>
        <w:tc>
          <w:tcPr>
            <w:tcW w:w="270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384,823,985.82</w:t>
            </w:r>
          </w:p>
        </w:tc>
      </w:tr>
      <w:tr>
        <w:trPr>
          <w:trHeight w:val="502" w:hRule="exact"/>
        </w:trPr>
        <w:tc>
          <w:tcPr>
            <w:tcW w:w="35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2"/>
              <w:ind w:right="1562"/>
              <w:jc w:val="right"/>
              <w:rPr>
                <w:rFonts w:ascii="宋体" w:hAnsi="宋体" w:cs="宋体" w:eastAsia="宋体" w:hint="default"/>
                <w:sz w:val="18"/>
                <w:szCs w:val="18"/>
              </w:rPr>
            </w:pPr>
            <w:r>
              <w:rPr>
                <w:rFonts w:ascii="宋体" w:hAnsi="宋体" w:cs="宋体" w:eastAsia="宋体" w:hint="default"/>
                <w:sz w:val="18"/>
                <w:szCs w:val="18"/>
              </w:rPr>
              <w:t>合计</w:t>
            </w:r>
          </w:p>
        </w:tc>
        <w:tc>
          <w:tcPr>
            <w:tcW w:w="23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spacing w:val="-1"/>
                <w:sz w:val="18"/>
              </w:rPr>
              <w:t>486,728,922.83</w:t>
            </w:r>
          </w:p>
        </w:tc>
        <w:tc>
          <w:tcPr>
            <w:tcW w:w="270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384,823,985.82</w:t>
            </w:r>
          </w:p>
        </w:tc>
      </w:tr>
    </w:tbl>
    <w:p>
      <w:pPr>
        <w:spacing w:line="240" w:lineRule="auto" w:before="13"/>
        <w:rPr>
          <w:rFonts w:ascii="Microsoft JhengHei" w:hAnsi="Microsoft JhengHei" w:cs="Microsoft JhengHei" w:eastAsia="Microsoft JhengHei" w:hint="default"/>
          <w:b/>
          <w:bCs/>
          <w:sz w:val="5"/>
          <w:szCs w:val="5"/>
        </w:rPr>
      </w:pPr>
    </w:p>
    <w:p>
      <w:pPr>
        <w:spacing w:line="234" w:lineRule="exact" w:before="44"/>
        <w:ind w:left="158" w:right="0"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因执行新金融工具准则，该项目期初余额与上年末余额存在差异。差异情况详见附注四（四十二）</w:t>
      </w:r>
      <w:r>
        <w:rPr>
          <w:rFonts w:ascii="宋体" w:hAnsi="宋体" w:cs="宋体" w:eastAsia="宋体" w:hint="default"/>
          <w:sz w:val="18"/>
          <w:szCs w:val="18"/>
        </w:rPr>
        <w:t>1</w:t>
      </w:r>
    </w:p>
    <w:p>
      <w:pPr>
        <w:spacing w:line="234" w:lineRule="exact" w:before="0"/>
        <w:ind w:left="15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pStyle w:val="Heading4"/>
        <w:spacing w:line="240" w:lineRule="auto" w:before="120"/>
        <w:ind w:left="578" w:right="0"/>
        <w:jc w:val="left"/>
        <w:rPr>
          <w:b w:val="0"/>
          <w:bCs w:val="0"/>
        </w:rPr>
      </w:pPr>
      <w:r>
        <w:rPr/>
        <w:t>按款项性质列示的其他应付款</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14" w:type="dxa"/>
        <w:tblLayout w:type="fixed"/>
        <w:tblCellMar>
          <w:top w:w="0" w:type="dxa"/>
          <w:left w:w="0" w:type="dxa"/>
          <w:bottom w:w="0" w:type="dxa"/>
          <w:right w:w="0" w:type="dxa"/>
        </w:tblCellMar>
        <w:tblLook w:val="01E0"/>
      </w:tblPr>
      <w:tblGrid>
        <w:gridCol w:w="4069"/>
        <w:gridCol w:w="2273"/>
        <w:gridCol w:w="2014"/>
      </w:tblGrid>
      <w:tr>
        <w:trPr>
          <w:trHeight w:val="360" w:hRule="exact"/>
        </w:trPr>
        <w:tc>
          <w:tcPr>
            <w:tcW w:w="40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2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1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position w:val="1"/>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押金</w:t>
            </w:r>
            <w:r>
              <w:rPr>
                <w:rFonts w:ascii="宋体" w:hAnsi="宋体" w:cs="宋体" w:eastAsia="宋体" w:hint="default"/>
                <w:sz w:val="18"/>
                <w:szCs w:val="18"/>
              </w:rPr>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401,389,689.50</w:t>
            </w:r>
          </w:p>
        </w:tc>
        <w:tc>
          <w:tcPr>
            <w:tcW w:w="20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330,744,540.46</w:t>
            </w:r>
          </w:p>
        </w:tc>
      </w:tr>
      <w:tr>
        <w:trPr>
          <w:trHeight w:val="40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费用报销</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1,913,814.47</w:t>
            </w:r>
          </w:p>
        </w:tc>
        <w:tc>
          <w:tcPr>
            <w:tcW w:w="20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8,304,615.85</w:t>
            </w:r>
          </w:p>
        </w:tc>
      </w:tr>
      <w:tr>
        <w:trPr>
          <w:trHeight w:val="404"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2273" w:type="dxa"/>
            <w:tcBorders>
              <w:top w:val="dotted" w:sz="4" w:space="0" w:color="000000"/>
              <w:left w:val="dotted" w:sz="4" w:space="0" w:color="000000"/>
              <w:bottom w:val="dotted" w:sz="4" w:space="0" w:color="000000"/>
              <w:right w:val="dotted" w:sz="4" w:space="0" w:color="000000"/>
            </w:tcBorders>
          </w:tcPr>
          <w:p>
            <w:pPr/>
          </w:p>
        </w:tc>
        <w:tc>
          <w:tcPr>
            <w:tcW w:w="20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6,431,617.57</w:t>
            </w:r>
          </w:p>
        </w:tc>
      </w:tr>
      <w:tr>
        <w:trPr>
          <w:trHeight w:val="413" w:hRule="exact"/>
        </w:trPr>
        <w:tc>
          <w:tcPr>
            <w:tcW w:w="40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2273" w:type="dxa"/>
            <w:tcBorders>
              <w:top w:val="dotted" w:sz="4" w:space="0" w:color="000000"/>
              <w:left w:val="dotted" w:sz="4" w:space="0" w:color="000000"/>
              <w:bottom w:val="single" w:sz="12" w:space="0" w:color="000000"/>
              <w:right w:val="dotted" w:sz="4" w:space="0" w:color="000000"/>
            </w:tcBorders>
          </w:tcPr>
          <w:p>
            <w:pPr/>
          </w:p>
        </w:tc>
        <w:tc>
          <w:tcPr>
            <w:tcW w:w="20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5,660,015.22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40" w:right="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74.112pt;margin-top:152.779984pt;width:28.5pt;height:.1pt;mso-position-horizontal-relative:page;mso-position-vertical-relative:page;z-index:-1328032" coordorigin="1482,3056" coordsize="570,2">
            <v:shape style="position:absolute;left:1482;top:3056;width:570;height:2" coordorigin="1482,3056" coordsize="570,0" path="m1482,3056l2052,3056e" filled="false" stroked="true" strokeweight=".48pt" strokecolor="#000000">
              <v:path arrowok="t"/>
              <v:stroke dashstyle="dash"/>
            </v:shape>
            <w10:wrap type="none"/>
          </v:group>
        </w:pict>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394" w:type="dxa"/>
        <w:tblLayout w:type="fixed"/>
        <w:tblCellMar>
          <w:top w:w="0" w:type="dxa"/>
          <w:left w:w="0" w:type="dxa"/>
          <w:bottom w:w="0" w:type="dxa"/>
          <w:right w:w="0" w:type="dxa"/>
        </w:tblCellMar>
        <w:tblLook w:val="01E0"/>
      </w:tblPr>
      <w:tblGrid>
        <w:gridCol w:w="4069"/>
        <w:gridCol w:w="2273"/>
        <w:gridCol w:w="2014"/>
      </w:tblGrid>
      <w:tr>
        <w:trPr>
          <w:trHeight w:val="360" w:hRule="exact"/>
        </w:trPr>
        <w:tc>
          <w:tcPr>
            <w:tcW w:w="40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2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1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房租及水电费</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3,098,122.06</w:t>
            </w:r>
          </w:p>
        </w:tc>
        <w:tc>
          <w:tcPr>
            <w:tcW w:w="20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5,767,110.57</w:t>
            </w:r>
          </w:p>
        </w:tc>
      </w:tr>
      <w:tr>
        <w:trPr>
          <w:trHeight w:val="40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14,487,799.31</w:t>
            </w:r>
          </w:p>
        </w:tc>
        <w:tc>
          <w:tcPr>
            <w:tcW w:w="20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16,873,150.36</w:t>
            </w:r>
          </w:p>
        </w:tc>
      </w:tr>
      <w:tr>
        <w:trPr>
          <w:trHeight w:val="403"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代缴社保及公积金</w:t>
            </w:r>
          </w:p>
        </w:tc>
        <w:tc>
          <w:tcPr>
            <w:tcW w:w="2273" w:type="dxa"/>
            <w:tcBorders>
              <w:top w:val="dotted" w:sz="4" w:space="0" w:color="000000"/>
              <w:left w:val="dotted" w:sz="4" w:space="0" w:color="000000"/>
              <w:bottom w:val="dotted" w:sz="4" w:space="0" w:color="000000"/>
              <w:right w:val="dotted" w:sz="4" w:space="0" w:color="000000"/>
            </w:tcBorders>
          </w:tcPr>
          <w:p>
            <w:pPr/>
          </w:p>
        </w:tc>
        <w:tc>
          <w:tcPr>
            <w:tcW w:w="20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1,334,728.86</w:t>
            </w:r>
          </w:p>
        </w:tc>
      </w:tr>
      <w:tr>
        <w:trPr>
          <w:trHeight w:val="401"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应付融资款</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63,028,767.12</w:t>
            </w:r>
          </w:p>
        </w:tc>
        <w:tc>
          <w:tcPr>
            <w:tcW w:w="2014"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4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2,810,730.37</w:t>
            </w:r>
          </w:p>
        </w:tc>
        <w:tc>
          <w:tcPr>
            <w:tcW w:w="20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9,708,206.93</w:t>
            </w:r>
          </w:p>
        </w:tc>
      </w:tr>
      <w:tr>
        <w:trPr>
          <w:trHeight w:val="413" w:hRule="exact"/>
        </w:trPr>
        <w:tc>
          <w:tcPr>
            <w:tcW w:w="40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486,728,922.83</w:t>
            </w:r>
          </w:p>
        </w:tc>
        <w:tc>
          <w:tcPr>
            <w:tcW w:w="20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384,823,985.82</w:t>
            </w: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left="829" w:right="1808"/>
        <w:jc w:val="left"/>
        <w:rPr>
          <w:b w:val="0"/>
          <w:bCs w:val="0"/>
        </w:rPr>
      </w:pPr>
      <w:r>
        <w:rPr/>
        <w:t>注释 </w:t>
      </w:r>
      <w:r>
        <w:rPr>
          <w:rFonts w:ascii="Times New Roman" w:hAnsi="Times New Roman" w:cs="Times New Roman" w:eastAsia="Times New Roman" w:hint="default"/>
        </w:rPr>
        <w:t>39. </w:t>
      </w:r>
      <w:r>
        <w:rPr>
          <w:rFonts w:ascii="Times New Roman" w:hAnsi="Times New Roman" w:cs="Times New Roman" w:eastAsia="Times New Roman" w:hint="default"/>
          <w:spacing w:val="12"/>
        </w:rPr>
        <w:t> </w:t>
      </w:r>
      <w:r>
        <w:rPr/>
        <w:t>一年内到期的非流动负债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409" w:type="dxa"/>
        <w:tblLayout w:type="fixed"/>
        <w:tblCellMar>
          <w:top w:w="0" w:type="dxa"/>
          <w:left w:w="0" w:type="dxa"/>
          <w:bottom w:w="0" w:type="dxa"/>
          <w:right w:w="0" w:type="dxa"/>
        </w:tblCellMar>
        <w:tblLook w:val="01E0"/>
      </w:tblPr>
      <w:tblGrid>
        <w:gridCol w:w="4191"/>
        <w:gridCol w:w="2184"/>
        <w:gridCol w:w="2168"/>
      </w:tblGrid>
      <w:tr>
        <w:trPr>
          <w:trHeight w:val="360" w:hRule="exact"/>
        </w:trPr>
        <w:tc>
          <w:tcPr>
            <w:tcW w:w="41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901"/>
              <w:jc w:val="right"/>
              <w:rPr>
                <w:rFonts w:ascii="宋体" w:hAnsi="宋体" w:cs="宋体" w:eastAsia="宋体" w:hint="default"/>
                <w:sz w:val="18"/>
                <w:szCs w:val="18"/>
              </w:rPr>
            </w:pPr>
            <w:r>
              <w:rPr>
                <w:rFonts w:ascii="宋体" w:hAnsi="宋体" w:cs="宋体" w:eastAsia="宋体" w:hint="default"/>
                <w:sz w:val="18"/>
                <w:szCs w:val="18"/>
              </w:rPr>
              <w:t>项目</w:t>
            </w:r>
          </w:p>
        </w:tc>
        <w:tc>
          <w:tcPr>
            <w:tcW w:w="21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71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1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21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2,274,584,221.65</w:t>
            </w:r>
          </w:p>
        </w:tc>
        <w:tc>
          <w:tcPr>
            <w:tcW w:w="21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599,643,592.87</w:t>
            </w:r>
          </w:p>
        </w:tc>
      </w:tr>
      <w:tr>
        <w:trPr>
          <w:trHeight w:val="413" w:hRule="exact"/>
        </w:trPr>
        <w:tc>
          <w:tcPr>
            <w:tcW w:w="41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right="1901"/>
              <w:jc w:val="right"/>
              <w:rPr>
                <w:rFonts w:ascii="宋体" w:hAnsi="宋体" w:cs="宋体" w:eastAsia="宋体" w:hint="default"/>
                <w:sz w:val="18"/>
                <w:szCs w:val="18"/>
              </w:rPr>
            </w:pPr>
            <w:r>
              <w:rPr>
                <w:rFonts w:ascii="宋体" w:hAnsi="宋体" w:cs="宋体" w:eastAsia="宋体" w:hint="default"/>
                <w:sz w:val="18"/>
                <w:szCs w:val="18"/>
              </w:rPr>
              <w:t>合计</w:t>
            </w:r>
          </w:p>
        </w:tc>
        <w:tc>
          <w:tcPr>
            <w:tcW w:w="21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2,274,584,221.65</w:t>
            </w:r>
          </w:p>
        </w:tc>
        <w:tc>
          <w:tcPr>
            <w:tcW w:w="21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599,643,592.87</w:t>
            </w:r>
          </w:p>
        </w:tc>
      </w:tr>
    </w:tbl>
    <w:p>
      <w:pPr>
        <w:spacing w:before="8"/>
        <w:ind w:left="438" w:right="1808" w:firstLine="0"/>
        <w:jc w:val="left"/>
        <w:rPr>
          <w:rFonts w:ascii="宋体" w:hAnsi="宋体" w:cs="宋体" w:eastAsia="宋体" w:hint="default"/>
          <w:sz w:val="18"/>
          <w:szCs w:val="18"/>
        </w:rPr>
      </w:pPr>
      <w:r>
        <w:rPr>
          <w:rFonts w:ascii="宋体" w:hAnsi="宋体" w:cs="宋体" w:eastAsia="宋体" w:hint="default"/>
          <w:sz w:val="18"/>
          <w:szCs w:val="18"/>
        </w:rPr>
        <w:t>注：期末余额较期初余额增减变动原因主要是：</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国</w:t>
      </w:r>
      <w:r>
        <w:rPr>
          <w:rFonts w:ascii="宋体" w:hAnsi="宋体" w:cs="宋体" w:eastAsia="宋体" w:hint="default"/>
          <w:spacing w:val="-3"/>
          <w:sz w:val="18"/>
          <w:szCs w:val="18"/>
        </w:rPr>
        <w:t>盛</w:t>
      </w:r>
      <w:r>
        <w:rPr>
          <w:rFonts w:ascii="宋体" w:hAnsi="宋体" w:cs="宋体" w:eastAsia="宋体" w:hint="default"/>
          <w:sz w:val="18"/>
          <w:szCs w:val="18"/>
        </w:rPr>
        <w:t>金”附第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年末发行人上调</w:t>
      </w:r>
      <w:r>
        <w:rPr>
          <w:rFonts w:ascii="宋体" w:hAnsi="宋体" w:cs="宋体" w:eastAsia="宋体" w:hint="default"/>
          <w:spacing w:val="-3"/>
          <w:sz w:val="18"/>
          <w:szCs w:val="18"/>
        </w:rPr>
        <w:t>票</w:t>
      </w:r>
      <w:r>
        <w:rPr>
          <w:rFonts w:ascii="宋体" w:hAnsi="宋体" w:cs="宋体" w:eastAsia="宋体" w:hint="default"/>
          <w:sz w:val="18"/>
          <w:szCs w:val="18"/>
        </w:rPr>
        <w:t>面利率选择权</w:t>
      </w:r>
    </w:p>
    <w:p>
      <w:pPr>
        <w:spacing w:before="99"/>
        <w:ind w:left="438" w:right="1808" w:firstLine="0"/>
        <w:jc w:val="left"/>
        <w:rPr>
          <w:rFonts w:ascii="宋体" w:hAnsi="宋体" w:cs="宋体" w:eastAsia="宋体" w:hint="default"/>
          <w:sz w:val="18"/>
          <w:szCs w:val="18"/>
        </w:rPr>
      </w:pPr>
      <w:r>
        <w:rPr>
          <w:rFonts w:ascii="宋体" w:hAnsi="宋体" w:cs="宋体" w:eastAsia="宋体" w:hint="default"/>
          <w:sz w:val="18"/>
          <w:szCs w:val="18"/>
        </w:rPr>
        <w:t>及投资者回售选择权，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日，经债券持有人大会同意，由“</w:t>
      </w:r>
      <w:r>
        <w:rPr>
          <w:rFonts w:ascii="Times New Roman" w:hAnsi="Times New Roman" w:cs="Times New Roman" w:eastAsia="Times New Roman" w:hint="default"/>
          <w:sz w:val="18"/>
          <w:szCs w:val="18"/>
        </w:rPr>
        <w:t>3+2</w:t>
      </w:r>
      <w:r>
        <w:rPr>
          <w:rFonts w:ascii="宋体" w:hAnsi="宋体" w:cs="宋体" w:eastAsia="宋体" w:hint="default"/>
          <w:sz w:val="18"/>
          <w:szCs w:val="18"/>
        </w:rPr>
        <w:t>”年变更为“</w:t>
      </w:r>
      <w:r>
        <w:rPr>
          <w:rFonts w:ascii="Times New Roman" w:hAnsi="Times New Roman" w:cs="Times New Roman" w:eastAsia="Times New Roman" w:hint="default"/>
          <w:sz w:val="18"/>
          <w:szCs w:val="18"/>
        </w:rPr>
        <w:t>3+1+1</w:t>
      </w:r>
      <w:r>
        <w:rPr>
          <w:rFonts w:ascii="宋体" w:hAnsi="宋体" w:cs="宋体" w:eastAsia="宋体" w:hint="default"/>
          <w:sz w:val="18"/>
          <w:szCs w:val="18"/>
        </w:rPr>
        <w:t>”年。</w:t>
      </w:r>
    </w:p>
    <w:p>
      <w:pPr>
        <w:spacing w:line="348" w:lineRule="auto" w:before="101"/>
        <w:ind w:left="438" w:right="1808" w:firstLine="0"/>
        <w:jc w:val="left"/>
        <w:rPr>
          <w:rFonts w:ascii="宋体" w:hAnsi="宋体" w:cs="宋体" w:eastAsia="宋体" w:hint="default"/>
          <w:sz w:val="18"/>
          <w:szCs w:val="18"/>
        </w:rPr>
      </w:pPr>
      <w:r>
        <w:rPr>
          <w:rFonts w:ascii="宋体" w:hAnsi="宋体" w:cs="宋体" w:eastAsia="宋体" w:hint="default"/>
          <w:spacing w:val="-3"/>
          <w:sz w:val="18"/>
          <w:szCs w:val="18"/>
        </w:rPr>
        <w:t>报表日，根据回售登记日安排调整至一年内到期的非流动负债。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年末发行人上调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票面利率选择权及投资者回售选择权。报表日，根据回售登记日安排，调整至一年内到期的非流动负债， 详见注释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应付债券。</w:t>
      </w:r>
    </w:p>
    <w:p>
      <w:pPr>
        <w:spacing w:line="240" w:lineRule="auto" w:before="5"/>
        <w:rPr>
          <w:rFonts w:ascii="宋体" w:hAnsi="宋体" w:cs="宋体" w:eastAsia="宋体" w:hint="default"/>
          <w:sz w:val="25"/>
          <w:szCs w:val="25"/>
        </w:rPr>
      </w:pPr>
    </w:p>
    <w:p>
      <w:pPr>
        <w:pStyle w:val="Heading4"/>
        <w:spacing w:line="240" w:lineRule="auto"/>
        <w:ind w:left="829" w:right="1808"/>
        <w:jc w:val="left"/>
        <w:rPr>
          <w:b w:val="0"/>
          <w:bCs w:val="0"/>
        </w:rPr>
      </w:pPr>
      <w:r>
        <w:rPr/>
        <w:t>注释 </w:t>
      </w:r>
      <w:r>
        <w:rPr>
          <w:rFonts w:ascii="Times New Roman" w:hAnsi="Times New Roman" w:cs="Times New Roman" w:eastAsia="Times New Roman" w:hint="default"/>
        </w:rPr>
        <w:t>40. </w:t>
      </w:r>
      <w:r>
        <w:rPr>
          <w:rFonts w:ascii="Times New Roman" w:hAnsi="Times New Roman" w:cs="Times New Roman" w:eastAsia="Times New Roman" w:hint="default"/>
          <w:spacing w:val="9"/>
        </w:rPr>
        <w:t> </w:t>
      </w:r>
      <w:r>
        <w:rPr/>
        <w:t>其他流动负债</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409" w:type="dxa"/>
        <w:tblLayout w:type="fixed"/>
        <w:tblCellMar>
          <w:top w:w="0" w:type="dxa"/>
          <w:left w:w="0" w:type="dxa"/>
          <w:bottom w:w="0" w:type="dxa"/>
          <w:right w:w="0" w:type="dxa"/>
        </w:tblCellMar>
        <w:tblLook w:val="01E0"/>
      </w:tblPr>
      <w:tblGrid>
        <w:gridCol w:w="3428"/>
        <w:gridCol w:w="2384"/>
        <w:gridCol w:w="2633"/>
      </w:tblGrid>
      <w:tr>
        <w:trPr>
          <w:trHeight w:val="427" w:hRule="exact"/>
        </w:trPr>
        <w:tc>
          <w:tcPr>
            <w:tcW w:w="342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34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期货风险准备金</w:t>
            </w:r>
          </w:p>
        </w:tc>
        <w:tc>
          <w:tcPr>
            <w:tcW w:w="23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5,065,338.72</w:t>
            </w:r>
          </w:p>
        </w:tc>
        <w:tc>
          <w:tcPr>
            <w:tcW w:w="2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4,688,800.14</w:t>
            </w:r>
          </w:p>
        </w:tc>
      </w:tr>
      <w:tr>
        <w:trPr>
          <w:trHeight w:val="475" w:hRule="exact"/>
        </w:trPr>
        <w:tc>
          <w:tcPr>
            <w:tcW w:w="34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1"/>
              <w:ind w:left="28" w:right="0"/>
              <w:jc w:val="left"/>
              <w:rPr>
                <w:rFonts w:ascii="宋体" w:hAnsi="宋体" w:cs="宋体" w:eastAsia="宋体" w:hint="default"/>
                <w:sz w:val="18"/>
                <w:szCs w:val="18"/>
              </w:rPr>
            </w:pPr>
            <w:r>
              <w:rPr>
                <w:rFonts w:ascii="宋体" w:hAnsi="宋体" w:cs="宋体" w:eastAsia="宋体" w:hint="default"/>
                <w:sz w:val="18"/>
                <w:szCs w:val="18"/>
              </w:rPr>
              <w:t>应付期货投资者保障基金</w:t>
            </w:r>
          </w:p>
        </w:tc>
        <w:tc>
          <w:tcPr>
            <w:tcW w:w="23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9"/>
              <w:jc w:val="right"/>
              <w:rPr>
                <w:rFonts w:ascii="Times New Roman" w:hAnsi="Times New Roman" w:cs="Times New Roman" w:eastAsia="Times New Roman" w:hint="default"/>
                <w:sz w:val="18"/>
                <w:szCs w:val="18"/>
              </w:rPr>
            </w:pPr>
            <w:r>
              <w:rPr>
                <w:rFonts w:ascii="Times New Roman"/>
                <w:spacing w:val="-1"/>
                <w:sz w:val="18"/>
              </w:rPr>
              <w:t>11,660.68</w:t>
            </w:r>
          </w:p>
        </w:tc>
        <w:tc>
          <w:tcPr>
            <w:tcW w:w="26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spacing w:val="-1"/>
                <w:sz w:val="18"/>
              </w:rPr>
              <w:t>14,869.63</w:t>
            </w:r>
          </w:p>
        </w:tc>
      </w:tr>
      <w:tr>
        <w:trPr>
          <w:trHeight w:val="476" w:hRule="exact"/>
        </w:trPr>
        <w:tc>
          <w:tcPr>
            <w:tcW w:w="34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1"/>
              <w:ind w:left="28"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23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9"/>
              <w:jc w:val="right"/>
              <w:rPr>
                <w:rFonts w:ascii="Times New Roman" w:hAnsi="Times New Roman" w:cs="Times New Roman" w:eastAsia="Times New Roman" w:hint="default"/>
                <w:sz w:val="18"/>
                <w:szCs w:val="18"/>
              </w:rPr>
            </w:pPr>
            <w:r>
              <w:rPr>
                <w:rFonts w:ascii="Times New Roman"/>
                <w:spacing w:val="-1"/>
                <w:sz w:val="18"/>
              </w:rPr>
              <w:t>1,037,084.48</w:t>
            </w:r>
          </w:p>
        </w:tc>
        <w:tc>
          <w:tcPr>
            <w:tcW w:w="2633"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34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1"/>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6,114,083.88</w:t>
            </w:r>
          </w:p>
        </w:tc>
        <w:tc>
          <w:tcPr>
            <w:tcW w:w="26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4,703,669.77</w:t>
            </w:r>
          </w:p>
        </w:tc>
      </w:tr>
    </w:tbl>
    <w:p>
      <w:pPr>
        <w:spacing w:line="240" w:lineRule="auto" w:before="2"/>
        <w:rPr>
          <w:rFonts w:ascii="Microsoft JhengHei" w:hAnsi="Microsoft JhengHei" w:cs="Microsoft JhengHei" w:eastAsia="Microsoft JhengHei" w:hint="default"/>
          <w:b/>
          <w:bCs/>
          <w:sz w:val="12"/>
          <w:szCs w:val="12"/>
        </w:rPr>
      </w:pPr>
    </w:p>
    <w:p>
      <w:pPr>
        <w:pStyle w:val="Heading4"/>
        <w:spacing w:line="335" w:lineRule="exact"/>
        <w:ind w:left="1040" w:right="1808"/>
        <w:jc w:val="left"/>
        <w:rPr>
          <w:b w:val="0"/>
          <w:bCs w:val="0"/>
        </w:rPr>
      </w:pPr>
      <w:r>
        <w:rPr/>
        <w:t>注释 </w:t>
      </w:r>
      <w:r>
        <w:rPr>
          <w:rFonts w:ascii="Times New Roman" w:hAnsi="Times New Roman" w:cs="Times New Roman" w:eastAsia="Times New Roman" w:hint="default"/>
        </w:rPr>
        <w:t>41. </w:t>
      </w:r>
      <w:r>
        <w:rPr>
          <w:rFonts w:ascii="Times New Roman" w:hAnsi="Times New Roman" w:cs="Times New Roman" w:eastAsia="Times New Roman" w:hint="default"/>
          <w:spacing w:val="6"/>
        </w:rPr>
        <w:t> </w:t>
      </w:r>
      <w:r>
        <w:rPr/>
        <w:t>应付债券</w:t>
      </w:r>
      <w:r>
        <w:rPr>
          <w:b w:val="0"/>
          <w:bCs w:val="0"/>
        </w:rPr>
      </w:r>
    </w:p>
    <w:p>
      <w:pPr>
        <w:pStyle w:val="Heading4"/>
        <w:spacing w:line="240" w:lineRule="auto" w:before="81"/>
        <w:ind w:left="1040" w:right="1808"/>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6"/>
        </w:rPr>
        <w:t> </w:t>
      </w:r>
      <w:r>
        <w:rPr/>
        <w:t>应付债券类别</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409" w:type="dxa"/>
        <w:tblLayout w:type="fixed"/>
        <w:tblCellMar>
          <w:top w:w="0" w:type="dxa"/>
          <w:left w:w="0" w:type="dxa"/>
          <w:bottom w:w="0" w:type="dxa"/>
          <w:right w:w="0" w:type="dxa"/>
        </w:tblCellMar>
        <w:tblLook w:val="01E0"/>
      </w:tblPr>
      <w:tblGrid>
        <w:gridCol w:w="2775"/>
        <w:gridCol w:w="2849"/>
        <w:gridCol w:w="2852"/>
      </w:tblGrid>
      <w:tr>
        <w:trPr>
          <w:trHeight w:val="427" w:hRule="exact"/>
        </w:trPr>
        <w:tc>
          <w:tcPr>
            <w:tcW w:w="27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27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国盛</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28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571,367,803.35</w:t>
            </w:r>
          </w:p>
        </w:tc>
        <w:tc>
          <w:tcPr>
            <w:tcW w:w="2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423,123,561.20</w:t>
            </w:r>
          </w:p>
        </w:tc>
      </w:tr>
      <w:tr>
        <w:trPr>
          <w:trHeight w:val="418" w:hRule="exact"/>
        </w:trPr>
        <w:tc>
          <w:tcPr>
            <w:tcW w:w="27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w:t>
            </w:r>
          </w:p>
        </w:tc>
        <w:tc>
          <w:tcPr>
            <w:tcW w:w="2849" w:type="dxa"/>
            <w:tcBorders>
              <w:top w:val="dotted" w:sz="4" w:space="0" w:color="000000"/>
              <w:left w:val="dotted" w:sz="4" w:space="0" w:color="000000"/>
              <w:bottom w:val="dotted" w:sz="4" w:space="0" w:color="000000"/>
              <w:right w:val="dotted" w:sz="4" w:space="0" w:color="000000"/>
            </w:tcBorders>
          </w:tcPr>
          <w:p>
            <w:pPr/>
          </w:p>
        </w:tc>
        <w:tc>
          <w:tcPr>
            <w:tcW w:w="2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1,003,626,575.34</w:t>
            </w:r>
          </w:p>
        </w:tc>
      </w:tr>
      <w:tr>
        <w:trPr>
          <w:trHeight w:val="418" w:hRule="exact"/>
        </w:trPr>
        <w:tc>
          <w:tcPr>
            <w:tcW w:w="27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国盛控</w:t>
            </w:r>
          </w:p>
        </w:tc>
        <w:tc>
          <w:tcPr>
            <w:tcW w:w="28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pacing w:val="-1"/>
                <w:sz w:val="18"/>
              </w:rPr>
              <w:t>600,041,956.32</w:t>
            </w:r>
          </w:p>
        </w:tc>
        <w:tc>
          <w:tcPr>
            <w:tcW w:w="28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pacing w:val="-1"/>
                <w:sz w:val="18"/>
              </w:rPr>
              <w:t>2,008,493,150.68</w:t>
            </w:r>
          </w:p>
        </w:tc>
      </w:tr>
      <w:tr>
        <w:trPr>
          <w:trHeight w:val="418" w:hRule="exact"/>
        </w:trPr>
        <w:tc>
          <w:tcPr>
            <w:tcW w:w="27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w:t>
            </w:r>
          </w:p>
        </w:tc>
        <w:tc>
          <w:tcPr>
            <w:tcW w:w="2849" w:type="dxa"/>
            <w:tcBorders>
              <w:top w:val="dotted" w:sz="4" w:space="0" w:color="000000"/>
              <w:left w:val="dotted" w:sz="4" w:space="0" w:color="000000"/>
              <w:bottom w:val="dotted" w:sz="4" w:space="0" w:color="000000"/>
              <w:right w:val="dotted" w:sz="4" w:space="0" w:color="000000"/>
            </w:tcBorders>
          </w:tcPr>
          <w:p>
            <w:pPr/>
          </w:p>
        </w:tc>
        <w:tc>
          <w:tcPr>
            <w:tcW w:w="2852" w:type="dxa"/>
            <w:tcBorders>
              <w:top w:val="dotted" w:sz="4" w:space="0" w:color="000000"/>
              <w:left w:val="dotted" w:sz="4" w:space="0" w:color="000000"/>
              <w:bottom w:val="nil" w:sz="6" w:space="0" w:color="auto"/>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2,001,568,095.15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3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2775"/>
        <w:gridCol w:w="2849"/>
        <w:gridCol w:w="2852"/>
      </w:tblGrid>
      <w:tr>
        <w:trPr>
          <w:trHeight w:val="427" w:hRule="exact"/>
        </w:trPr>
        <w:tc>
          <w:tcPr>
            <w:tcW w:w="27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27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1569" w:right="0"/>
              <w:jc w:val="left"/>
              <w:rPr>
                <w:rFonts w:ascii="Times New Roman" w:hAnsi="Times New Roman" w:cs="Times New Roman" w:eastAsia="Times New Roman" w:hint="default"/>
                <w:sz w:val="18"/>
                <w:szCs w:val="18"/>
              </w:rPr>
            </w:pPr>
            <w:r>
              <w:rPr>
                <w:rFonts w:ascii="Times New Roman"/>
                <w:sz w:val="18"/>
              </w:rPr>
              <w:t>1,171,409,759.67</w:t>
            </w:r>
          </w:p>
        </w:tc>
        <w:tc>
          <w:tcPr>
            <w:tcW w:w="28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left="1570" w:right="0"/>
              <w:jc w:val="left"/>
              <w:rPr>
                <w:rFonts w:ascii="Times New Roman" w:hAnsi="Times New Roman" w:cs="Times New Roman" w:eastAsia="Times New Roman" w:hint="default"/>
                <w:sz w:val="18"/>
                <w:szCs w:val="18"/>
              </w:rPr>
            </w:pPr>
            <w:r>
              <w:rPr>
                <w:rFonts w:ascii="Times New Roman"/>
                <w:sz w:val="18"/>
              </w:rPr>
              <w:t>5,436,811,382.37</w:t>
            </w:r>
          </w:p>
        </w:tc>
      </w:tr>
    </w:tbl>
    <w:p>
      <w:pPr>
        <w:spacing w:line="240" w:lineRule="auto" w:before="16"/>
        <w:rPr>
          <w:rFonts w:ascii="Microsoft JhengHei" w:hAnsi="Microsoft JhengHei" w:cs="Microsoft JhengHei" w:eastAsia="Microsoft JhengHei" w:hint="default"/>
          <w:b/>
          <w:bCs/>
          <w:sz w:val="4"/>
          <w:szCs w:val="4"/>
        </w:rPr>
      </w:pPr>
    </w:p>
    <w:p>
      <w:pPr>
        <w:spacing w:line="240" w:lineRule="exact" w:before="44"/>
        <w:ind w:left="138" w:right="178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注：因执行新金融工具准则，该项目期初余额与上年末余额存在差异。差异情况详见附注四（四十二）</w:t>
      </w:r>
      <w:r>
        <w:rPr>
          <w:rFonts w:ascii="Times New Roman" w:hAnsi="Times New Roman" w:cs="Times New Roman" w:eastAsia="Times New Roman" w:hint="default"/>
          <w:sz w:val="18"/>
          <w:szCs w:val="18"/>
        </w:rPr>
        <w:t>1</w:t>
      </w:r>
    </w:p>
    <w:p>
      <w:pPr>
        <w:spacing w:line="240"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after="0" w:line="240" w:lineRule="exact"/>
        <w:jc w:val="left"/>
        <w:rPr>
          <w:rFonts w:ascii="宋体" w:hAnsi="宋体" w:cs="宋体" w:eastAsia="宋体"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335" w:lineRule="exact"/>
        <w:ind w:left="562"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7"/>
        </w:rPr>
        <w:t> </w:t>
      </w:r>
      <w:r>
        <w:rPr/>
        <w:t>应付债券的增减变动（不包括划分为金融负债的优先股、永续债等其他金融工具）</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236" w:type="dxa"/>
        <w:tblLayout w:type="fixed"/>
        <w:tblCellMar>
          <w:top w:w="0" w:type="dxa"/>
          <w:left w:w="0" w:type="dxa"/>
          <w:bottom w:w="0" w:type="dxa"/>
          <w:right w:w="0" w:type="dxa"/>
        </w:tblCellMar>
        <w:tblLook w:val="01E0"/>
      </w:tblPr>
      <w:tblGrid>
        <w:gridCol w:w="1400"/>
        <w:gridCol w:w="1526"/>
        <w:gridCol w:w="1633"/>
        <w:gridCol w:w="1627"/>
        <w:gridCol w:w="1700"/>
        <w:gridCol w:w="1673"/>
        <w:gridCol w:w="2009"/>
        <w:gridCol w:w="1567"/>
      </w:tblGrid>
      <w:tr>
        <w:trPr>
          <w:trHeight w:val="410" w:hRule="exact"/>
        </w:trPr>
        <w:tc>
          <w:tcPr>
            <w:tcW w:w="140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5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本期回售</w:t>
            </w:r>
          </w:p>
        </w:tc>
        <w:tc>
          <w:tcPr>
            <w:tcW w:w="16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本期转售</w:t>
            </w:r>
          </w:p>
        </w:tc>
        <w:tc>
          <w:tcPr>
            <w:tcW w:w="17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right="123"/>
              <w:jc w:val="right"/>
              <w:rPr>
                <w:rFonts w:ascii="宋体" w:hAnsi="宋体" w:cs="宋体" w:eastAsia="宋体" w:hint="default"/>
                <w:sz w:val="18"/>
                <w:szCs w:val="18"/>
              </w:rPr>
            </w:pPr>
            <w:r>
              <w:rPr>
                <w:rFonts w:ascii="宋体" w:hAnsi="宋体" w:cs="宋体" w:eastAsia="宋体" w:hint="default"/>
                <w:sz w:val="18"/>
                <w:szCs w:val="18"/>
              </w:rPr>
              <w:t>本期增加应计利息</w:t>
            </w:r>
          </w:p>
        </w:tc>
        <w:tc>
          <w:tcPr>
            <w:tcW w:w="16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本期支付利息</w:t>
            </w:r>
          </w:p>
        </w:tc>
        <w:tc>
          <w:tcPr>
            <w:tcW w:w="20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重分类金额</w:t>
            </w:r>
          </w:p>
        </w:tc>
        <w:tc>
          <w:tcPr>
            <w:tcW w:w="15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国盛</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423,123,561.20</w:t>
            </w:r>
          </w:p>
        </w:tc>
        <w:tc>
          <w:tcPr>
            <w:tcW w:w="16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601,500,000.00</w:t>
            </w:r>
          </w:p>
        </w:tc>
        <w:tc>
          <w:tcPr>
            <w:tcW w:w="16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157,000,000.00</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35,900,649.28</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42,800,000.00</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599,643,592.87</w:t>
            </w:r>
          </w:p>
        </w:tc>
        <w:tc>
          <w:tcPr>
            <w:tcW w:w="15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571,367,803.35</w:t>
            </w:r>
          </w:p>
        </w:tc>
      </w:tr>
      <w:tr>
        <w:trPr>
          <w:trHeight w:val="401"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1,003,626,575.34</w:t>
            </w:r>
          </w:p>
        </w:tc>
        <w:tc>
          <w:tcPr>
            <w:tcW w:w="16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732,006,700.00</w:t>
            </w:r>
          </w:p>
        </w:tc>
        <w:tc>
          <w:tcPr>
            <w:tcW w:w="1627"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40,325,283.77</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42,700,000.00</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-269,245,159.11</w:t>
            </w:r>
          </w:p>
        </w:tc>
        <w:tc>
          <w:tcPr>
            <w:tcW w:w="1567" w:type="dxa"/>
            <w:tcBorders>
              <w:top w:val="dotted" w:sz="4" w:space="0" w:color="000000"/>
              <w:left w:val="dotted" w:sz="4" w:space="0" w:color="000000"/>
              <w:bottom w:val="dotted" w:sz="4" w:space="0" w:color="000000"/>
              <w:right w:val="nil" w:sz="6" w:space="0" w:color="auto"/>
            </w:tcBorders>
          </w:tcPr>
          <w:p>
            <w:pPr/>
          </w:p>
        </w:tc>
      </w:tr>
      <w:tr>
        <w:trPr>
          <w:trHeight w:val="404"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国盛控</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2,008,493,150.68</w:t>
            </w:r>
          </w:p>
        </w:tc>
        <w:tc>
          <w:tcPr>
            <w:tcW w:w="16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1,400,000,000.00</w:t>
            </w:r>
          </w:p>
        </w:tc>
        <w:tc>
          <w:tcPr>
            <w:tcW w:w="1627"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94,819,178.09</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-3,270,372.45</w:t>
            </w:r>
          </w:p>
        </w:tc>
        <w:tc>
          <w:tcPr>
            <w:tcW w:w="15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600,041,956.32</w:t>
            </w:r>
          </w:p>
        </w:tc>
      </w:tr>
      <w:tr>
        <w:trPr>
          <w:trHeight w:val="401" w:hRule="exact"/>
        </w:trPr>
        <w:tc>
          <w:tcPr>
            <w:tcW w:w="14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w:t>
            </w:r>
          </w:p>
        </w:tc>
        <w:tc>
          <w:tcPr>
            <w:tcW w:w="15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2,001,568,095.15</w:t>
            </w:r>
          </w:p>
        </w:tc>
        <w:tc>
          <w:tcPr>
            <w:tcW w:w="1633" w:type="dxa"/>
            <w:tcBorders>
              <w:top w:val="dotted" w:sz="4" w:space="0" w:color="000000"/>
              <w:left w:val="dotted" w:sz="4" w:space="0" w:color="000000"/>
              <w:bottom w:val="dotted" w:sz="4" w:space="0" w:color="000000"/>
              <w:right w:val="dotted" w:sz="4" w:space="0" w:color="000000"/>
            </w:tcBorders>
          </w:tcPr>
          <w:p>
            <w:pPr/>
          </w:p>
        </w:tc>
        <w:tc>
          <w:tcPr>
            <w:tcW w:w="1627" w:type="dxa"/>
            <w:tcBorders>
              <w:top w:val="dotted" w:sz="4" w:space="0" w:color="000000"/>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126,500,594.94</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126,000,000.00</w:t>
            </w:r>
          </w:p>
        </w:tc>
        <w:tc>
          <w:tcPr>
            <w:tcW w:w="20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-2,002,068,690.09</w:t>
            </w:r>
          </w:p>
        </w:tc>
        <w:tc>
          <w:tcPr>
            <w:tcW w:w="1567" w:type="dxa"/>
            <w:tcBorders>
              <w:top w:val="dotted" w:sz="4" w:space="0" w:color="000000"/>
              <w:left w:val="dotted" w:sz="4" w:space="0" w:color="000000"/>
              <w:bottom w:val="dotted" w:sz="4" w:space="0" w:color="000000"/>
              <w:right w:val="nil" w:sz="6" w:space="0" w:color="auto"/>
            </w:tcBorders>
          </w:tcPr>
          <w:p>
            <w:pPr/>
          </w:p>
        </w:tc>
      </w:tr>
      <w:tr>
        <w:trPr>
          <w:trHeight w:val="422" w:hRule="exact"/>
        </w:trPr>
        <w:tc>
          <w:tcPr>
            <w:tcW w:w="14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3"/>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5,436,811,382.37</w:t>
            </w:r>
          </w:p>
        </w:tc>
        <w:tc>
          <w:tcPr>
            <w:tcW w:w="16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2,733,506,700.00</w:t>
            </w:r>
          </w:p>
        </w:tc>
        <w:tc>
          <w:tcPr>
            <w:tcW w:w="16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157,000,000.00</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297,545,706.08</w:t>
            </w:r>
          </w:p>
        </w:tc>
        <w:tc>
          <w:tcPr>
            <w:tcW w:w="16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311,500,000.00</w:t>
            </w:r>
          </w:p>
        </w:tc>
        <w:tc>
          <w:tcPr>
            <w:tcW w:w="20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-1,674,940,628.78</w:t>
            </w:r>
          </w:p>
        </w:tc>
        <w:tc>
          <w:tcPr>
            <w:tcW w:w="15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1,171,409,759.67</w:t>
            </w:r>
          </w:p>
        </w:tc>
      </w:tr>
    </w:tbl>
    <w:p>
      <w:pPr>
        <w:spacing w:line="240" w:lineRule="auto" w:before="14"/>
        <w:rPr>
          <w:rFonts w:ascii="Microsoft JhengHei" w:hAnsi="Microsoft JhengHei" w:cs="Microsoft JhengHei" w:eastAsia="Microsoft JhengHei" w:hint="default"/>
          <w:b/>
          <w:bCs/>
          <w:sz w:val="11"/>
          <w:szCs w:val="11"/>
        </w:rPr>
      </w:pPr>
    </w:p>
    <w:p>
      <w:pPr>
        <w:pStyle w:val="Heading4"/>
        <w:spacing w:line="335" w:lineRule="exact"/>
        <w:ind w:left="567"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7"/>
        </w:rPr>
        <w:t> </w:t>
      </w:r>
      <w:r>
        <w:rPr/>
        <w:t>债券的基本信息</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250" w:type="dxa"/>
        <w:tblLayout w:type="fixed"/>
        <w:tblCellMar>
          <w:top w:w="0" w:type="dxa"/>
          <w:left w:w="0" w:type="dxa"/>
          <w:bottom w:w="0" w:type="dxa"/>
          <w:right w:w="0" w:type="dxa"/>
        </w:tblCellMar>
        <w:tblLook w:val="01E0"/>
      </w:tblPr>
      <w:tblGrid>
        <w:gridCol w:w="2772"/>
        <w:gridCol w:w="1820"/>
        <w:gridCol w:w="2624"/>
        <w:gridCol w:w="1927"/>
        <w:gridCol w:w="2002"/>
        <w:gridCol w:w="1975"/>
      </w:tblGrid>
      <w:tr>
        <w:trPr>
          <w:trHeight w:val="420" w:hRule="exact"/>
        </w:trPr>
        <w:tc>
          <w:tcPr>
            <w:tcW w:w="27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3"/>
              <w:ind w:left="17"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8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left="184" w:right="0"/>
              <w:jc w:val="left"/>
              <w:rPr>
                <w:rFonts w:ascii="宋体" w:hAnsi="宋体" w:cs="宋体" w:eastAsia="宋体" w:hint="default"/>
                <w:sz w:val="18"/>
                <w:szCs w:val="18"/>
              </w:rPr>
            </w:pPr>
            <w:r>
              <w:rPr>
                <w:rFonts w:ascii="宋体" w:hAnsi="宋体" w:cs="宋体" w:eastAsia="宋体" w:hint="default"/>
                <w:sz w:val="18"/>
                <w:szCs w:val="18"/>
              </w:rPr>
              <w:t>发行规模（亿元）</w:t>
            </w:r>
          </w:p>
        </w:tc>
        <w:tc>
          <w:tcPr>
            <w:tcW w:w="26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9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left="237" w:right="0"/>
              <w:jc w:val="left"/>
              <w:rPr>
                <w:rFonts w:ascii="宋体" w:hAnsi="宋体" w:cs="宋体" w:eastAsia="宋体" w:hint="default"/>
                <w:sz w:val="18"/>
                <w:szCs w:val="18"/>
              </w:rPr>
            </w:pPr>
            <w:r>
              <w:rPr>
                <w:rFonts w:ascii="宋体" w:hAnsi="宋体" w:cs="宋体" w:eastAsia="宋体" w:hint="default"/>
                <w:sz w:val="18"/>
                <w:szCs w:val="18"/>
              </w:rPr>
              <w:t>当前规模（亿元）</w:t>
            </w:r>
          </w:p>
        </w:tc>
        <w:tc>
          <w:tcPr>
            <w:tcW w:w="20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当前债券期限</w:t>
            </w:r>
          </w:p>
        </w:tc>
        <w:tc>
          <w:tcPr>
            <w:tcW w:w="19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当前票面利率</w:t>
            </w:r>
          </w:p>
        </w:tc>
      </w:tr>
      <w:tr>
        <w:trPr>
          <w:trHeight w:val="410" w:hRule="exact"/>
        </w:trPr>
        <w:tc>
          <w:tcPr>
            <w:tcW w:w="27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国盛</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10.00</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5.56</w:t>
            </w:r>
          </w:p>
        </w:tc>
        <w:tc>
          <w:tcPr>
            <w:tcW w:w="20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3+2</w:t>
            </w:r>
          </w:p>
        </w:tc>
        <w:tc>
          <w:tcPr>
            <w:tcW w:w="1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5.00%</w:t>
            </w:r>
          </w:p>
        </w:tc>
      </w:tr>
      <w:tr>
        <w:trPr>
          <w:trHeight w:val="411" w:hRule="exact"/>
        </w:trPr>
        <w:tc>
          <w:tcPr>
            <w:tcW w:w="27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10.00</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9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2.68</w:t>
            </w:r>
          </w:p>
        </w:tc>
        <w:tc>
          <w:tcPr>
            <w:tcW w:w="20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3+1+1</w:t>
            </w:r>
          </w:p>
        </w:tc>
        <w:tc>
          <w:tcPr>
            <w:tcW w:w="1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5.50%</w:t>
            </w:r>
          </w:p>
        </w:tc>
      </w:tr>
      <w:tr>
        <w:trPr>
          <w:trHeight w:val="410" w:hRule="exact"/>
        </w:trPr>
        <w:tc>
          <w:tcPr>
            <w:tcW w:w="27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国盛控</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20.00</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9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6.00</w:t>
            </w:r>
          </w:p>
        </w:tc>
        <w:tc>
          <w:tcPr>
            <w:tcW w:w="20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3+2</w:t>
            </w:r>
          </w:p>
        </w:tc>
        <w:tc>
          <w:tcPr>
            <w:tcW w:w="1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6.50%</w:t>
            </w:r>
          </w:p>
        </w:tc>
      </w:tr>
      <w:tr>
        <w:trPr>
          <w:trHeight w:val="410" w:hRule="exact"/>
        </w:trPr>
        <w:tc>
          <w:tcPr>
            <w:tcW w:w="27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20.00</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20.00</w:t>
            </w:r>
          </w:p>
        </w:tc>
        <w:tc>
          <w:tcPr>
            <w:tcW w:w="20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3+2</w:t>
            </w:r>
          </w:p>
        </w:tc>
        <w:tc>
          <w:tcPr>
            <w:tcW w:w="19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6.30%</w:t>
            </w:r>
          </w:p>
        </w:tc>
      </w:tr>
      <w:tr>
        <w:trPr>
          <w:trHeight w:val="413" w:hRule="exact"/>
        </w:trPr>
        <w:tc>
          <w:tcPr>
            <w:tcW w:w="27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w:t>
            </w:r>
          </w:p>
        </w:tc>
        <w:tc>
          <w:tcPr>
            <w:tcW w:w="2624" w:type="dxa"/>
            <w:tcBorders>
              <w:top w:val="dotted" w:sz="4" w:space="0" w:color="000000"/>
              <w:left w:val="dotted" w:sz="4" w:space="0" w:color="000000"/>
              <w:bottom w:val="single" w:sz="12" w:space="0" w:color="000000"/>
              <w:right w:val="dotted" w:sz="4" w:space="0" w:color="000000"/>
            </w:tcBorders>
          </w:tcPr>
          <w:p>
            <w:pPr/>
          </w:p>
        </w:tc>
        <w:tc>
          <w:tcPr>
            <w:tcW w:w="19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34.24</w:t>
            </w:r>
          </w:p>
        </w:tc>
        <w:tc>
          <w:tcPr>
            <w:tcW w:w="2002" w:type="dxa"/>
            <w:tcBorders>
              <w:top w:val="dotted" w:sz="4" w:space="0" w:color="000000"/>
              <w:left w:val="dotted" w:sz="4" w:space="0" w:color="000000"/>
              <w:bottom w:val="single" w:sz="12" w:space="0" w:color="000000"/>
              <w:right w:val="dotted" w:sz="4" w:space="0" w:color="000000"/>
            </w:tcBorders>
          </w:tcPr>
          <w:p>
            <w:pPr/>
          </w:p>
        </w:tc>
        <w:tc>
          <w:tcPr>
            <w:tcW w:w="1975" w:type="dxa"/>
            <w:tcBorders>
              <w:top w:val="dotted" w:sz="4" w:space="0" w:color="000000"/>
              <w:left w:val="dotted" w:sz="4" w:space="0" w:color="000000"/>
              <w:bottom w:val="single" w:sz="12" w:space="0" w:color="000000"/>
              <w:right w:val="dotted" w:sz="4" w:space="0" w:color="000000"/>
            </w:tcBorders>
          </w:tcPr>
          <w:p>
            <w:pP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：公司全资子公司国盛证券于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年期面值总额为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亿元的公司债券“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国盛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”，到期日为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日，票面利率为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4.28%</w:t>
      </w:r>
      <w:r>
        <w:rPr>
          <w:rFonts w:ascii="宋体" w:hAnsi="宋体" w:cs="宋体" w:eastAsia="宋体" w:hint="default"/>
          <w:sz w:val="18"/>
          <w:szCs w:val="18"/>
        </w:rPr>
        <w:t>，附第</w:t>
      </w:r>
    </w:p>
    <w:p>
      <w:pPr>
        <w:spacing w:before="60"/>
        <w:ind w:left="14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年末发行人上调票面利率选择权及投资者回售选择权，第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年末回售金额为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601,500,000.00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元（不含利息）、转售金额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157,000,000.00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元（不含利息），票面利率自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p>
    <w:p>
      <w:pPr>
        <w:spacing w:before="63"/>
        <w:ind w:left="140"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日起调整至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p>
    <w:p>
      <w:pPr>
        <w:spacing w:before="104"/>
        <w:ind w:left="1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日发行了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年期面值总额为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亿元的公司债券“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国盛金”，到期日为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日，票面利率为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4.27%</w:t>
      </w:r>
      <w:r>
        <w:rPr>
          <w:rFonts w:ascii="宋体" w:hAnsi="宋体" w:cs="宋体" w:eastAsia="宋体" w:hint="default"/>
          <w:sz w:val="18"/>
          <w:szCs w:val="18"/>
        </w:rPr>
        <w:t>，附第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年末发行人上调票</w:t>
      </w:r>
    </w:p>
    <w:p>
      <w:pPr>
        <w:spacing w:line="300" w:lineRule="auto" w:before="63"/>
        <w:ind w:left="140" w:right="0" w:firstLine="0"/>
        <w:jc w:val="left"/>
        <w:rPr>
          <w:rFonts w:ascii="宋体" w:hAnsi="宋体" w:cs="宋体" w:eastAsia="宋体" w:hint="default"/>
          <w:sz w:val="18"/>
          <w:szCs w:val="18"/>
        </w:rPr>
      </w:pPr>
      <w:r>
        <w:rPr>
          <w:rFonts w:ascii="宋体" w:hAnsi="宋体" w:cs="宋体" w:eastAsia="宋体" w:hint="default"/>
          <w:sz w:val="18"/>
          <w:szCs w:val="18"/>
        </w:rPr>
        <w:t>面利率选择权及投资者回售选择权，第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年末回售金额为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732,006,700.00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元（不含利息），票面利率自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日起调整至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日，经债券持 有人大会同意，债券期限由“</w:t>
      </w:r>
      <w:r>
        <w:rPr>
          <w:rFonts w:ascii="Times New Roman" w:hAnsi="Times New Roman" w:cs="Times New Roman" w:eastAsia="Times New Roman" w:hint="default"/>
          <w:sz w:val="18"/>
          <w:szCs w:val="18"/>
        </w:rPr>
        <w:t>3+2</w:t>
      </w:r>
      <w:r>
        <w:rPr>
          <w:rFonts w:ascii="宋体" w:hAnsi="宋体" w:cs="宋体" w:eastAsia="宋体" w:hint="default"/>
          <w:sz w:val="18"/>
          <w:szCs w:val="18"/>
        </w:rPr>
        <w:t>”年变更为“</w:t>
      </w:r>
      <w:r>
        <w:rPr>
          <w:rFonts w:ascii="Times New Roman" w:hAnsi="Times New Roman" w:cs="Times New Roman" w:eastAsia="Times New Roman" w:hint="default"/>
          <w:sz w:val="18"/>
          <w:szCs w:val="18"/>
        </w:rPr>
        <w:t>3+1+1</w:t>
      </w:r>
      <w:r>
        <w:rPr>
          <w:rFonts w:ascii="宋体" w:hAnsi="宋体" w:cs="宋体" w:eastAsia="宋体" w:hint="default"/>
          <w:sz w:val="18"/>
          <w:szCs w:val="18"/>
        </w:rPr>
        <w:t>”年。报表日，根据回售登记日安排调整至一年内到期的非流动负债。</w:t>
      </w:r>
    </w:p>
    <w:p>
      <w:pPr>
        <w:spacing w:after="0" w:line="300" w:lineRule="auto"/>
        <w:jc w:val="left"/>
        <w:rPr>
          <w:rFonts w:ascii="宋体" w:hAnsi="宋体" w:cs="宋体" w:eastAsia="宋体" w:hint="default"/>
          <w:sz w:val="18"/>
          <w:szCs w:val="18"/>
        </w:rPr>
        <w:sectPr>
          <w:headerReference w:type="default" r:id="rId58"/>
          <w:footerReference w:type="default" r:id="rId59"/>
          <w:pgSz w:w="16840" w:h="11910" w:orient="landscape"/>
          <w:pgMar w:header="877" w:footer="980" w:top="1100" w:bottom="1160" w:left="1300" w:right="2000"/>
          <w:pgNumType w:start="1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日发行了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年期面值总额为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亿元的公司债券“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国盛控”，到期日为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日，票面利率为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年末发行人上调票</w:t>
      </w:r>
    </w:p>
    <w:p>
      <w:pPr>
        <w:spacing w:before="63"/>
        <w:ind w:left="140" w:right="0" w:firstLine="0"/>
        <w:jc w:val="left"/>
        <w:rPr>
          <w:rFonts w:ascii="宋体" w:hAnsi="宋体" w:cs="宋体" w:eastAsia="宋体" w:hint="default"/>
          <w:sz w:val="18"/>
          <w:szCs w:val="18"/>
        </w:rPr>
      </w:pPr>
      <w:r>
        <w:rPr>
          <w:rFonts w:ascii="宋体" w:hAnsi="宋体" w:cs="宋体" w:eastAsia="宋体" w:hint="default"/>
          <w:sz w:val="18"/>
          <w:szCs w:val="18"/>
        </w:rPr>
        <w:t>面利率选择权及投资者回售选择权，第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年末回售金额为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元（不含利息），票面利率自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日起调整至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w:t>
      </w:r>
      <w:r>
        <w:rPr>
          <w:rFonts w:ascii="宋体" w:hAnsi="宋体" w:cs="宋体" w:eastAsia="宋体" w:hint="default"/>
          <w:sz w:val="18"/>
          <w:szCs w:val="18"/>
        </w:rPr>
        <w:t>。</w:t>
      </w:r>
    </w:p>
    <w:p>
      <w:pPr>
        <w:spacing w:line="300" w:lineRule="auto" w:before="101"/>
        <w:ind w:left="1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日发行了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年期面值总额为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亿元的公司债券“</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国盛金”，到期日为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日，票面年利率为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6.30%</w:t>
      </w:r>
      <w:r>
        <w:rPr>
          <w:rFonts w:ascii="宋体" w:hAnsi="宋体" w:cs="宋体" w:eastAsia="宋体" w:hint="default"/>
          <w:sz w:val="18"/>
          <w:szCs w:val="18"/>
        </w:rPr>
        <w:t>，附第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年末发行人上 调票面利率选择权及投资者回售选择权。报表日，根据回售登记日安排，调整至一年内到期的非流动负债。</w:t>
      </w:r>
    </w:p>
    <w:p>
      <w:pPr>
        <w:spacing w:after="0" w:line="300" w:lineRule="auto"/>
        <w:jc w:val="left"/>
        <w:rPr>
          <w:rFonts w:ascii="宋体" w:hAnsi="宋体" w:cs="宋体" w:eastAsia="宋体" w:hint="default"/>
          <w:sz w:val="18"/>
          <w:szCs w:val="18"/>
        </w:rPr>
        <w:sectPr>
          <w:pgSz w:w="16840" w:h="11910" w:orient="landscape"/>
          <w:pgMar w:header="877" w:footer="980" w:top="1100" w:bottom="1160" w:left="1300" w:right="2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335" w:lineRule="exact"/>
        <w:ind w:left="740" w:right="1786"/>
        <w:jc w:val="left"/>
        <w:rPr>
          <w:b w:val="0"/>
          <w:bCs w:val="0"/>
        </w:rPr>
      </w:pPr>
      <w:r>
        <w:rPr/>
        <w:t>注释</w:t>
      </w:r>
      <w:r>
        <w:rPr>
          <w:spacing w:val="5"/>
        </w:rPr>
        <w:t> </w:t>
      </w:r>
      <w:r>
        <w:rPr>
          <w:rFonts w:ascii="Times New Roman" w:hAnsi="Times New Roman" w:cs="Times New Roman" w:eastAsia="Times New Roman" w:hint="default"/>
        </w:rPr>
        <w:t>42.</w:t>
      </w:r>
      <w:r>
        <w:rPr/>
        <w:t>预计负债</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093"/>
        <w:gridCol w:w="2078"/>
        <w:gridCol w:w="2079"/>
        <w:gridCol w:w="2077"/>
      </w:tblGrid>
      <w:tr>
        <w:trPr>
          <w:trHeight w:val="362" w:hRule="exact"/>
        </w:trPr>
        <w:tc>
          <w:tcPr>
            <w:tcW w:w="209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854"/>
              <w:jc w:val="right"/>
              <w:rPr>
                <w:rFonts w:ascii="宋体" w:hAnsi="宋体" w:cs="宋体" w:eastAsia="宋体" w:hint="default"/>
                <w:sz w:val="18"/>
                <w:szCs w:val="18"/>
              </w:rPr>
            </w:pPr>
            <w:r>
              <w:rPr>
                <w:rFonts w:ascii="宋体" w:hAnsi="宋体" w:cs="宋体" w:eastAsia="宋体" w:hint="default"/>
                <w:sz w:val="18"/>
                <w:szCs w:val="18"/>
              </w:rPr>
              <w:t>项目</w:t>
            </w:r>
          </w:p>
        </w:tc>
        <w:tc>
          <w:tcPr>
            <w:tcW w:w="20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6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6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67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7" w:hRule="exact"/>
        </w:trPr>
        <w:tc>
          <w:tcPr>
            <w:tcW w:w="20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0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170,139.64</w:t>
            </w:r>
          </w:p>
        </w:tc>
        <w:tc>
          <w:tcPr>
            <w:tcW w:w="2079"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2"/>
              <w:ind w:left="100" w:right="98"/>
              <w:jc w:val="left"/>
              <w:rPr>
                <w:rFonts w:ascii="宋体" w:hAnsi="宋体" w:cs="宋体" w:eastAsia="宋体" w:hint="default"/>
                <w:sz w:val="18"/>
                <w:szCs w:val="18"/>
              </w:rPr>
            </w:pPr>
            <w:r>
              <w:rPr>
                <w:rFonts w:ascii="宋体" w:hAnsi="宋体" w:cs="宋体" w:eastAsia="宋体" w:hint="default"/>
                <w:spacing w:val="7"/>
                <w:sz w:val="18"/>
                <w:szCs w:val="18"/>
              </w:rPr>
              <w:t>劳动争议，根据已有判 </w:t>
            </w:r>
            <w:r>
              <w:rPr>
                <w:rFonts w:ascii="宋体" w:hAnsi="宋体" w:cs="宋体" w:eastAsia="宋体" w:hint="default"/>
                <w:sz w:val="18"/>
                <w:szCs w:val="18"/>
              </w:rPr>
              <w:t>决计提。</w:t>
            </w:r>
          </w:p>
        </w:tc>
      </w:tr>
      <w:tr>
        <w:trPr>
          <w:trHeight w:val="360" w:hRule="exact"/>
        </w:trPr>
        <w:tc>
          <w:tcPr>
            <w:tcW w:w="20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854"/>
              <w:jc w:val="right"/>
              <w:rPr>
                <w:rFonts w:ascii="宋体" w:hAnsi="宋体" w:cs="宋体" w:eastAsia="宋体" w:hint="default"/>
                <w:sz w:val="18"/>
                <w:szCs w:val="18"/>
              </w:rPr>
            </w:pPr>
            <w:r>
              <w:rPr>
                <w:rFonts w:ascii="宋体" w:hAnsi="宋体" w:cs="宋体" w:eastAsia="宋体" w:hint="default"/>
                <w:sz w:val="18"/>
                <w:szCs w:val="18"/>
              </w:rPr>
              <w:t>合计</w:t>
            </w:r>
          </w:p>
        </w:tc>
        <w:tc>
          <w:tcPr>
            <w:tcW w:w="20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170,139.64</w:t>
            </w:r>
          </w:p>
        </w:tc>
        <w:tc>
          <w:tcPr>
            <w:tcW w:w="2079" w:type="dxa"/>
            <w:tcBorders>
              <w:top w:val="dotted" w:sz="4" w:space="0" w:color="000000"/>
              <w:left w:val="dotted" w:sz="4" w:space="0" w:color="000000"/>
              <w:bottom w:val="single" w:sz="12" w:space="0" w:color="000000"/>
              <w:right w:val="dotted" w:sz="4" w:space="0" w:color="000000"/>
            </w:tcBorders>
          </w:tcPr>
          <w:p>
            <w:pPr/>
          </w:p>
        </w:tc>
        <w:tc>
          <w:tcPr>
            <w:tcW w:w="207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9"/>
        <w:rPr>
          <w:rFonts w:ascii="Microsoft JhengHei" w:hAnsi="Microsoft JhengHei" w:cs="Microsoft JhengHei" w:eastAsia="Microsoft JhengHei" w:hint="default"/>
          <w:b/>
          <w:bCs/>
          <w:sz w:val="20"/>
          <w:szCs w:val="20"/>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43. </w:t>
      </w:r>
      <w:r>
        <w:rPr>
          <w:rFonts w:ascii="Times New Roman" w:hAnsi="Times New Roman" w:cs="Times New Roman" w:eastAsia="Times New Roman" w:hint="default"/>
          <w:spacing w:val="6"/>
        </w:rPr>
        <w:t> </w:t>
      </w:r>
      <w:r>
        <w:rPr/>
        <w:t>递延收益</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601"/>
        <w:gridCol w:w="1241"/>
        <w:gridCol w:w="1392"/>
        <w:gridCol w:w="1277"/>
        <w:gridCol w:w="1274"/>
        <w:gridCol w:w="1537"/>
      </w:tblGrid>
      <w:tr>
        <w:trPr>
          <w:trHeight w:val="361" w:hRule="exact"/>
        </w:trPr>
        <w:tc>
          <w:tcPr>
            <w:tcW w:w="16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6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1,552,000.00</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16,611,142.36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5,023,836.16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13,139,306.20</w:t>
            </w:r>
          </w:p>
        </w:tc>
        <w:tc>
          <w:tcPr>
            <w:tcW w:w="15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政府奖励及补助</w:t>
            </w:r>
          </w:p>
        </w:tc>
      </w:tr>
      <w:tr>
        <w:trPr>
          <w:trHeight w:val="413" w:hRule="exact"/>
        </w:trPr>
        <w:tc>
          <w:tcPr>
            <w:tcW w:w="16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1,552,000.00</w:t>
            </w:r>
          </w:p>
        </w:tc>
        <w:tc>
          <w:tcPr>
            <w:tcW w:w="13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16,611,142.36</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5,023,836.16</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13,139,306.20</w:t>
            </w:r>
          </w:p>
        </w:tc>
        <w:tc>
          <w:tcPr>
            <w:tcW w:w="153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t>与政府补助相关的递延收益</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115"/>
        <w:gridCol w:w="1253"/>
        <w:gridCol w:w="1253"/>
        <w:gridCol w:w="1255"/>
        <w:gridCol w:w="1253"/>
        <w:gridCol w:w="1198"/>
      </w:tblGrid>
      <w:tr>
        <w:trPr>
          <w:trHeight w:val="607" w:hRule="exact"/>
        </w:trPr>
        <w:tc>
          <w:tcPr>
            <w:tcW w:w="21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7"/>
              <w:ind w:left="70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7"/>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76" w:lineRule="auto" w:before="10"/>
              <w:ind w:left="259" w:right="262"/>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54"/>
              <w:ind w:left="170" w:right="173"/>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7"/>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54"/>
              <w:ind w:left="232" w:right="36" w:hanging="200"/>
              <w:jc w:val="left"/>
              <w:rPr>
                <w:rFonts w:ascii="宋体" w:hAnsi="宋体" w:cs="宋体" w:eastAsia="宋体" w:hint="default"/>
                <w:sz w:val="18"/>
                <w:szCs w:val="18"/>
              </w:rPr>
            </w:pPr>
            <w:r>
              <w:rPr>
                <w:rFonts w:ascii="宋体" w:hAnsi="宋体" w:cs="宋体" w:eastAsia="宋体" w:hint="default"/>
                <w:w w:val="95"/>
                <w:sz w:val="18"/>
                <w:szCs w:val="18"/>
              </w:rPr>
              <w:t>与资产相关</w:t>
            </w:r>
            <w:r>
              <w:rPr>
                <w:rFonts w:ascii="Arial" w:hAnsi="Arial" w:cs="Arial" w:eastAsia="Arial" w:hint="default"/>
                <w:w w:val="95"/>
                <w:sz w:val="18"/>
                <w:szCs w:val="18"/>
              </w:rPr>
              <w:t>/</w:t>
            </w:r>
            <w:r>
              <w:rPr>
                <w:rFonts w:ascii="宋体" w:hAnsi="宋体" w:cs="宋体" w:eastAsia="宋体" w:hint="default"/>
                <w:w w:val="95"/>
                <w:sz w:val="18"/>
                <w:szCs w:val="18"/>
              </w:rPr>
              <w:t>与</w:t>
            </w:r>
            <w:r>
              <w:rPr>
                <w:rFonts w:ascii="宋体" w:hAnsi="宋体" w:cs="宋体" w:eastAsia="宋体" w:hint="default"/>
                <w:spacing w:val="-39"/>
                <w:w w:val="95"/>
                <w:sz w:val="18"/>
                <w:szCs w:val="18"/>
              </w:rPr>
              <w:t> </w:t>
            </w:r>
            <w:r>
              <w:rPr>
                <w:rFonts w:ascii="宋体" w:hAnsi="宋体" w:cs="宋体" w:eastAsia="宋体" w:hint="default"/>
                <w:sz w:val="18"/>
                <w:szCs w:val="18"/>
              </w:rPr>
              <w:t>收益相关</w:t>
            </w:r>
          </w:p>
        </w:tc>
      </w:tr>
      <w:tr>
        <w:trPr>
          <w:trHeight w:val="716"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321" w:lineRule="auto" w:before="49"/>
              <w:ind w:left="122" w:right="82" w:firstLine="88"/>
              <w:jc w:val="left"/>
              <w:rPr>
                <w:rFonts w:ascii="宋体" w:hAnsi="宋体" w:cs="宋体" w:eastAsia="宋体" w:hint="default"/>
                <w:sz w:val="18"/>
                <w:szCs w:val="18"/>
              </w:rPr>
            </w:pPr>
            <w:r>
              <w:rPr>
                <w:rFonts w:ascii="宋体" w:hAnsi="宋体" w:cs="宋体" w:eastAsia="宋体" w:hint="default"/>
                <w:spacing w:val="18"/>
                <w:sz w:val="18"/>
                <w:szCs w:val="18"/>
              </w:rPr>
              <w:t>入驻湖南金融中心机</w:t>
            </w:r>
            <w:r>
              <w:rPr>
                <w:rFonts w:ascii="宋体" w:hAnsi="宋体" w:cs="宋体" w:eastAsia="宋体" w:hint="default"/>
                <w:spacing w:val="-69"/>
                <w:sz w:val="18"/>
                <w:szCs w:val="18"/>
              </w:rPr>
              <w:t> </w:t>
            </w:r>
            <w:r>
              <w:rPr>
                <w:rFonts w:ascii="宋体" w:hAnsi="宋体" w:cs="宋体" w:eastAsia="宋体" w:hint="default"/>
                <w:sz w:val="18"/>
                <w:szCs w:val="18"/>
              </w:rPr>
              <w:t>构奖励金（注</w:t>
            </w:r>
            <w:r>
              <w:rPr>
                <w:rFonts w:ascii="宋体" w:hAnsi="宋体" w:cs="宋体" w:eastAsia="宋体" w:hint="default"/>
                <w:spacing w:val="-64"/>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253" w:type="dxa"/>
            <w:tcBorders>
              <w:top w:val="dotted" w:sz="4" w:space="0" w:color="000000"/>
              <w:left w:val="dotted" w:sz="4" w:space="0" w:color="000000"/>
              <w:bottom w:val="dotted" w:sz="4" w:space="0" w:color="000000"/>
              <w:right w:val="dotted" w:sz="4" w:space="0" w:color="000000"/>
            </w:tcBorders>
          </w:tcPr>
          <w:p>
            <w:pPr/>
          </w:p>
        </w:tc>
        <w:tc>
          <w:tcPr>
            <w:tcW w:w="1255"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1,500,000.00</w:t>
            </w:r>
          </w:p>
        </w:tc>
        <w:tc>
          <w:tcPr>
            <w:tcW w:w="11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319" w:lineRule="auto" w:before="49"/>
              <w:ind w:left="122" w:right="82" w:firstLine="88"/>
              <w:jc w:val="both"/>
              <w:rPr>
                <w:rFonts w:ascii="宋体" w:hAnsi="宋体" w:cs="宋体" w:eastAsia="宋体" w:hint="default"/>
                <w:sz w:val="18"/>
                <w:szCs w:val="18"/>
              </w:rPr>
            </w:pPr>
            <w:r>
              <w:rPr>
                <w:rFonts w:ascii="宋体" w:hAnsi="宋体" w:cs="宋体" w:eastAsia="宋体" w:hint="default"/>
                <w:spacing w:val="18"/>
                <w:sz w:val="18"/>
                <w:szCs w:val="18"/>
              </w:rPr>
              <w:t>国盛证券总部过渡期</w:t>
            </w:r>
            <w:r>
              <w:rPr>
                <w:rFonts w:ascii="宋体" w:hAnsi="宋体" w:cs="宋体" w:eastAsia="宋体" w:hint="default"/>
                <w:spacing w:val="-69"/>
                <w:sz w:val="18"/>
                <w:szCs w:val="18"/>
              </w:rPr>
              <w:t> </w:t>
            </w:r>
            <w:r>
              <w:rPr>
                <w:rFonts w:ascii="宋体" w:hAnsi="宋体" w:cs="宋体" w:eastAsia="宋体" w:hint="default"/>
                <w:spacing w:val="9"/>
                <w:sz w:val="18"/>
                <w:szCs w:val="18"/>
              </w:rPr>
              <w:t>办公场所租赁期补助资</w:t>
            </w:r>
            <w:r>
              <w:rPr>
                <w:rFonts w:ascii="宋体" w:hAnsi="宋体" w:cs="宋体" w:eastAsia="宋体" w:hint="default"/>
                <w:spacing w:val="9"/>
                <w:sz w:val="18"/>
                <w:szCs w:val="18"/>
              </w:rPr>
              <w:t> </w:t>
            </w:r>
            <w:r>
              <w:rPr>
                <w:rFonts w:ascii="宋体" w:hAnsi="宋体" w:cs="宋体" w:eastAsia="宋体" w:hint="default"/>
                <w:sz w:val="18"/>
                <w:szCs w:val="18"/>
              </w:rPr>
              <w:t>金（注</w:t>
            </w:r>
            <w:r>
              <w:rPr>
                <w:rFonts w:ascii="宋体" w:hAnsi="宋体" w:cs="宋体" w:eastAsia="宋体" w:hint="default"/>
                <w:spacing w:val="-64"/>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4,666,666.67</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5,333,333.33</w:t>
            </w:r>
          </w:p>
        </w:tc>
        <w:tc>
          <w:tcPr>
            <w:tcW w:w="11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302" w:lineRule="auto" w:before="51"/>
              <w:ind w:left="122" w:right="58" w:firstLine="88"/>
              <w:jc w:val="left"/>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19"/>
                <w:w w:val="95"/>
                <w:sz w:val="18"/>
                <w:szCs w:val="18"/>
              </w:rPr>
              <w:t> </w:t>
            </w:r>
            <w:r>
              <w:rPr>
                <w:rFonts w:ascii="宋体" w:hAnsi="宋体" w:cs="宋体" w:eastAsia="宋体" w:hint="default"/>
                <w:w w:val="95"/>
                <w:sz w:val="18"/>
                <w:szCs w:val="18"/>
              </w:rPr>
              <w:t>年金融业和企业上</w:t>
            </w:r>
            <w:r>
              <w:rPr>
                <w:rFonts w:ascii="宋体" w:hAnsi="宋体" w:cs="宋体" w:eastAsia="宋体" w:hint="default"/>
                <w:sz w:val="18"/>
                <w:szCs w:val="18"/>
              </w:rPr>
              <w:t> 市发展扶持基金（注</w:t>
            </w:r>
            <w:r>
              <w:rPr>
                <w:rFonts w:ascii="宋体" w:hAnsi="宋体" w:cs="宋体" w:eastAsia="宋体" w:hint="default"/>
                <w:spacing w:val="-64"/>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5"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1,000,000.00</w:t>
            </w:r>
          </w:p>
        </w:tc>
        <w:tc>
          <w:tcPr>
            <w:tcW w:w="11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319" w:lineRule="auto" w:before="49"/>
              <w:ind w:left="122" w:right="82" w:firstLine="88"/>
              <w:jc w:val="left"/>
              <w:rPr>
                <w:rFonts w:ascii="宋体" w:hAnsi="宋体" w:cs="宋体" w:eastAsia="宋体" w:hint="default"/>
                <w:sz w:val="18"/>
                <w:szCs w:val="18"/>
              </w:rPr>
            </w:pPr>
            <w:r>
              <w:rPr>
                <w:rFonts w:ascii="宋体" w:hAnsi="宋体" w:cs="宋体" w:eastAsia="宋体" w:hint="default"/>
                <w:spacing w:val="18"/>
                <w:sz w:val="18"/>
                <w:szCs w:val="18"/>
              </w:rPr>
              <w:t>广州市金融发展专项</w:t>
            </w:r>
            <w:r>
              <w:rPr>
                <w:rFonts w:ascii="宋体" w:hAnsi="宋体" w:cs="宋体" w:eastAsia="宋体" w:hint="default"/>
                <w:spacing w:val="-69"/>
                <w:sz w:val="18"/>
                <w:szCs w:val="18"/>
              </w:rPr>
              <w:t> </w:t>
            </w:r>
            <w:r>
              <w:rPr>
                <w:rFonts w:ascii="宋体" w:hAnsi="宋体" w:cs="宋体" w:eastAsia="宋体" w:hint="default"/>
                <w:sz w:val="18"/>
                <w:szCs w:val="18"/>
              </w:rPr>
              <w:t>资金（注</w:t>
            </w:r>
            <w:r>
              <w:rPr>
                <w:rFonts w:ascii="宋体" w:hAnsi="宋体" w:cs="宋体" w:eastAsia="宋体" w:hint="default"/>
                <w:spacing w:val="-64"/>
                <w:sz w:val="18"/>
                <w:szCs w:val="18"/>
              </w:rPr>
              <w:t> </w:t>
            </w:r>
            <w:r>
              <w:rPr>
                <w:rFonts w:ascii="Arial" w:hAnsi="Arial" w:cs="Arial" w:eastAsia="Arial" w:hint="default"/>
                <w:sz w:val="18"/>
                <w:szCs w:val="18"/>
              </w:rPr>
              <w:t>4</w:t>
            </w:r>
            <w:r>
              <w:rPr>
                <w:rFonts w:ascii="宋体" w:hAnsi="宋体" w:cs="宋体" w:eastAsia="宋体" w:hint="default"/>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255"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2,000,000.00</w:t>
            </w:r>
          </w:p>
        </w:tc>
        <w:tc>
          <w:tcPr>
            <w:tcW w:w="11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pacing w:val="18"/>
                <w:sz w:val="18"/>
                <w:szCs w:val="18"/>
              </w:rPr>
              <w:t>金融类企业落户资金</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79"/>
              <w:ind w:left="122" w:right="0"/>
              <w:jc w:val="left"/>
              <w:rPr>
                <w:rFonts w:ascii="宋体" w:hAnsi="宋体" w:cs="宋体" w:eastAsia="宋体" w:hint="default"/>
                <w:sz w:val="18"/>
                <w:szCs w:val="18"/>
              </w:rPr>
            </w:pPr>
            <w:r>
              <w:rPr>
                <w:rFonts w:ascii="Arial" w:hAnsi="Arial" w:cs="Arial" w:eastAsia="Arial" w:hint="default"/>
                <w:w w:val="95"/>
                <w:sz w:val="18"/>
                <w:szCs w:val="18"/>
              </w:rPr>
              <w:t>100 </w:t>
            </w:r>
            <w:r>
              <w:rPr>
                <w:rFonts w:ascii="宋体" w:hAnsi="宋体" w:cs="宋体" w:eastAsia="宋体" w:hint="default"/>
                <w:w w:val="95"/>
                <w:sz w:val="18"/>
                <w:szCs w:val="18"/>
              </w:rPr>
              <w:t>万元（注</w:t>
            </w:r>
            <w:r>
              <w:rPr>
                <w:rFonts w:ascii="宋体" w:hAnsi="宋体" w:cs="宋体" w:eastAsia="宋体" w:hint="default"/>
                <w:spacing w:val="-54"/>
                <w:w w:val="95"/>
                <w:sz w:val="18"/>
                <w:szCs w:val="18"/>
              </w:rPr>
              <w:t> </w:t>
            </w:r>
            <w:r>
              <w:rPr>
                <w:rFonts w:ascii="Arial" w:hAnsi="Arial" w:cs="Arial" w:eastAsia="Arial" w:hint="default"/>
                <w:w w:val="95"/>
                <w:sz w:val="18"/>
                <w:szCs w:val="18"/>
              </w:rPr>
              <w:t>5</w:t>
            </w:r>
            <w:r>
              <w:rPr>
                <w:rFonts w:ascii="宋体" w:hAnsi="宋体" w:cs="宋体" w:eastAsia="宋体" w:hint="default"/>
                <w:w w:val="95"/>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255"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1,000,000.00</w:t>
            </w:r>
          </w:p>
        </w:tc>
        <w:tc>
          <w:tcPr>
            <w:tcW w:w="11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309" w:lineRule="auto" w:before="51"/>
              <w:ind w:left="122" w:right="89" w:firstLine="88"/>
              <w:jc w:val="both"/>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1"/>
                <w:sz w:val="18"/>
                <w:szCs w:val="18"/>
              </w:rPr>
              <w:t> </w:t>
            </w:r>
            <w:r>
              <w:rPr>
                <w:rFonts w:ascii="宋体" w:hAnsi="宋体" w:cs="宋体" w:eastAsia="宋体" w:hint="default"/>
                <w:sz w:val="18"/>
                <w:szCs w:val="18"/>
              </w:rPr>
              <w:t>年第</w:t>
            </w:r>
            <w:r>
              <w:rPr>
                <w:rFonts w:ascii="宋体" w:hAnsi="宋体" w:cs="宋体" w:eastAsia="宋体" w:hint="default"/>
                <w:spacing w:val="-50"/>
                <w:sz w:val="18"/>
                <w:szCs w:val="18"/>
              </w:rPr>
              <w:t> </w:t>
            </w:r>
            <w:r>
              <w:rPr>
                <w:rFonts w:ascii="Arial" w:hAnsi="Arial" w:cs="Arial" w:eastAsia="Arial" w:hint="default"/>
                <w:sz w:val="18"/>
                <w:szCs w:val="18"/>
              </w:rPr>
              <w:t>27</w:t>
            </w:r>
            <w:r>
              <w:rPr>
                <w:rFonts w:ascii="Arial" w:hAnsi="Arial" w:cs="Arial" w:eastAsia="Arial" w:hint="default"/>
                <w:spacing w:val="-11"/>
                <w:sz w:val="18"/>
                <w:szCs w:val="18"/>
              </w:rPr>
              <w:t> </w:t>
            </w:r>
            <w:r>
              <w:rPr>
                <w:rFonts w:ascii="宋体" w:hAnsi="宋体" w:cs="宋体" w:eastAsia="宋体" w:hint="default"/>
                <w:sz w:val="18"/>
                <w:szCs w:val="18"/>
              </w:rPr>
              <w:t>批金融发 </w:t>
            </w:r>
            <w:r>
              <w:rPr>
                <w:rFonts w:ascii="宋体" w:hAnsi="宋体" w:cs="宋体" w:eastAsia="宋体" w:hint="default"/>
                <w:spacing w:val="9"/>
                <w:sz w:val="18"/>
                <w:szCs w:val="18"/>
              </w:rPr>
              <w:t>展专项资金（一次性落</w:t>
            </w:r>
            <w:r>
              <w:rPr>
                <w:rFonts w:ascii="宋体" w:hAnsi="宋体" w:cs="宋体" w:eastAsia="宋体" w:hint="default"/>
                <w:spacing w:val="9"/>
                <w:sz w:val="18"/>
                <w:szCs w:val="18"/>
              </w:rPr>
              <w:t> </w:t>
            </w:r>
            <w:r>
              <w:rPr>
                <w:rFonts w:ascii="宋体" w:hAnsi="宋体" w:cs="宋体" w:eastAsia="宋体" w:hint="default"/>
                <w:sz w:val="18"/>
                <w:szCs w:val="18"/>
              </w:rPr>
              <w:t>户奖励）（注</w:t>
            </w:r>
            <w:r>
              <w:rPr>
                <w:rFonts w:ascii="宋体" w:hAnsi="宋体" w:cs="宋体" w:eastAsia="宋体" w:hint="default"/>
                <w:spacing w:val="-64"/>
                <w:sz w:val="18"/>
                <w:szCs w:val="18"/>
              </w:rPr>
              <w:t> </w:t>
            </w:r>
            <w:r>
              <w:rPr>
                <w:rFonts w:ascii="Arial" w:hAnsi="Arial" w:cs="Arial" w:eastAsia="Arial" w:hint="default"/>
                <w:sz w:val="18"/>
                <w:szCs w:val="18"/>
              </w:rPr>
              <w:t>6</w:t>
            </w:r>
            <w:r>
              <w:rPr>
                <w:rFonts w:ascii="宋体" w:hAnsi="宋体" w:cs="宋体" w:eastAsia="宋体" w:hint="default"/>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266,666.67</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1,733,333.33</w:t>
            </w:r>
          </w:p>
        </w:tc>
        <w:tc>
          <w:tcPr>
            <w:tcW w:w="11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300" w:lineRule="auto" w:before="51"/>
              <w:ind w:left="122" w:right="104" w:firstLine="88"/>
              <w:jc w:val="left"/>
              <w:rPr>
                <w:rFonts w:ascii="宋体" w:hAnsi="宋体" w:cs="宋体" w:eastAsia="宋体" w:hint="default"/>
                <w:sz w:val="18"/>
                <w:szCs w:val="18"/>
              </w:rPr>
            </w:pPr>
            <w:r>
              <w:rPr>
                <w:rFonts w:ascii="Arial" w:hAnsi="Arial" w:cs="Arial" w:eastAsia="Arial" w:hint="default"/>
                <w:w w:val="95"/>
                <w:sz w:val="18"/>
                <w:szCs w:val="18"/>
              </w:rPr>
              <w:t>2019</w:t>
            </w:r>
            <w:r>
              <w:rPr>
                <w:rFonts w:ascii="Arial" w:hAnsi="Arial" w:cs="Arial" w:eastAsia="Arial" w:hint="default"/>
                <w:spacing w:val="-11"/>
                <w:w w:val="95"/>
                <w:sz w:val="18"/>
                <w:szCs w:val="18"/>
              </w:rPr>
              <w:t> </w:t>
            </w:r>
            <w:r>
              <w:rPr>
                <w:rFonts w:ascii="宋体" w:hAnsi="宋体" w:cs="宋体" w:eastAsia="宋体" w:hint="default"/>
                <w:w w:val="95"/>
                <w:sz w:val="18"/>
                <w:szCs w:val="18"/>
              </w:rPr>
              <w:t>年下半年金融机构</w:t>
            </w:r>
            <w:r>
              <w:rPr>
                <w:rFonts w:ascii="宋体" w:hAnsi="宋体" w:cs="宋体" w:eastAsia="宋体" w:hint="default"/>
                <w:sz w:val="18"/>
                <w:szCs w:val="18"/>
              </w:rPr>
              <w:t> 落户</w:t>
            </w:r>
          </w:p>
        </w:tc>
        <w:tc>
          <w:tcPr>
            <w:tcW w:w="125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33,600.00</w:t>
            </w:r>
          </w:p>
        </w:tc>
        <w:tc>
          <w:tcPr>
            <w:tcW w:w="1255"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33,600.00</w:t>
            </w:r>
          </w:p>
        </w:tc>
        <w:tc>
          <w:tcPr>
            <w:tcW w:w="11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1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pacing w:val="18"/>
                <w:sz w:val="18"/>
                <w:szCs w:val="18"/>
              </w:rPr>
              <w:t>深圳市政府房租补助</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Arial" w:hAnsi="Arial" w:cs="Arial" w:eastAsia="Arial" w:hint="default"/>
                <w:sz w:val="18"/>
                <w:szCs w:val="18"/>
              </w:rPr>
              <w:t>7</w:t>
            </w:r>
            <w:r>
              <w:rPr>
                <w:rFonts w:ascii="宋体" w:hAnsi="宋体" w:cs="宋体" w:eastAsia="宋体" w:hint="default"/>
                <w:sz w:val="18"/>
                <w:szCs w:val="18"/>
              </w:rPr>
              <w:t>）</w:t>
            </w:r>
          </w:p>
        </w:tc>
        <w:tc>
          <w:tcPr>
            <w:tcW w:w="1253" w:type="dxa"/>
            <w:tcBorders>
              <w:top w:val="dotted" w:sz="4" w:space="0" w:color="000000"/>
              <w:left w:val="dotted" w:sz="4" w:space="0" w:color="000000"/>
              <w:bottom w:val="dotted" w:sz="4" w:space="0" w:color="000000"/>
              <w:right w:val="dotted" w:sz="4" w:space="0" w:color="000000"/>
            </w:tcBorders>
          </w:tcPr>
          <w:p>
            <w:pP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577,542.36</w:t>
            </w:r>
          </w:p>
        </w:tc>
        <w:tc>
          <w:tcPr>
            <w:tcW w:w="12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38,502.82</w:t>
            </w:r>
          </w:p>
        </w:tc>
        <w:tc>
          <w:tcPr>
            <w:tcW w:w="12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539,039.54</w:t>
            </w:r>
          </w:p>
        </w:tc>
        <w:tc>
          <w:tcPr>
            <w:tcW w:w="11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9" w:hRule="exact"/>
        </w:trPr>
        <w:tc>
          <w:tcPr>
            <w:tcW w:w="2115" w:type="dxa"/>
            <w:tcBorders>
              <w:top w:val="dotted" w:sz="4" w:space="0" w:color="000000"/>
              <w:left w:val="nil" w:sz="6" w:space="0" w:color="auto"/>
              <w:bottom w:val="single" w:sz="12" w:space="0" w:color="000000"/>
              <w:right w:val="dotted" w:sz="4" w:space="0" w:color="000000"/>
            </w:tcBorders>
          </w:tcPr>
          <w:p>
            <w:pPr>
              <w:pStyle w:val="TableParagraph"/>
              <w:spacing w:line="312" w:lineRule="auto" w:before="49"/>
              <w:ind w:left="122" w:right="89"/>
              <w:jc w:val="both"/>
              <w:rPr>
                <w:rFonts w:ascii="宋体" w:hAnsi="宋体" w:cs="宋体" w:eastAsia="宋体" w:hint="default"/>
                <w:sz w:val="18"/>
                <w:szCs w:val="18"/>
              </w:rPr>
            </w:pPr>
            <w:r>
              <w:rPr>
                <w:rFonts w:ascii="宋体" w:hAnsi="宋体" w:cs="宋体" w:eastAsia="宋体" w:hint="default"/>
                <w:spacing w:val="9"/>
                <w:sz w:val="18"/>
                <w:szCs w:val="18"/>
              </w:rPr>
              <w:t>佛山市顺德区经济和科 </w:t>
            </w:r>
            <w:r>
              <w:rPr>
                <w:rFonts w:ascii="宋体" w:hAnsi="宋体" w:cs="宋体" w:eastAsia="宋体" w:hint="default"/>
                <w:spacing w:val="12"/>
                <w:sz w:val="18"/>
                <w:szCs w:val="18"/>
              </w:rPr>
              <w:t>技促进局拨付 </w:t>
            </w:r>
            <w:r>
              <w:rPr>
                <w:rFonts w:ascii="Arial" w:hAnsi="Arial" w:cs="Arial" w:eastAsia="Arial" w:hint="default"/>
                <w:sz w:val="18"/>
                <w:szCs w:val="18"/>
              </w:rPr>
              <w:t>2015</w:t>
            </w:r>
            <w:r>
              <w:rPr>
                <w:rFonts w:ascii="Arial" w:hAnsi="Arial" w:cs="Arial" w:eastAsia="Arial"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9"/>
                <w:sz w:val="18"/>
                <w:szCs w:val="18"/>
              </w:rPr>
              <w:t>度容桂科技计划项目收</w:t>
            </w:r>
            <w:r>
              <w:rPr>
                <w:rFonts w:ascii="宋体" w:hAnsi="宋体" w:cs="宋体" w:eastAsia="宋体" w:hint="default"/>
                <w:spacing w:val="9"/>
                <w:sz w:val="18"/>
                <w:szCs w:val="18"/>
              </w:rPr>
              <w:t> </w:t>
            </w:r>
            <w:r>
              <w:rPr>
                <w:rFonts w:ascii="宋体" w:hAnsi="宋体" w:cs="宋体" w:eastAsia="宋体" w:hint="default"/>
                <w:sz w:val="18"/>
                <w:szCs w:val="18"/>
              </w:rPr>
              <w:t>入</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52,000.00</w:t>
            </w:r>
          </w:p>
        </w:tc>
        <w:tc>
          <w:tcPr>
            <w:tcW w:w="1253" w:type="dxa"/>
            <w:tcBorders>
              <w:top w:val="dotted" w:sz="4" w:space="0" w:color="000000"/>
              <w:left w:val="dotted" w:sz="4" w:space="0" w:color="000000"/>
              <w:bottom w:val="single" w:sz="12" w:space="0" w:color="000000"/>
              <w:right w:val="dotted" w:sz="4" w:space="0" w:color="000000"/>
            </w:tcBorders>
          </w:tcPr>
          <w:p>
            <w:pPr/>
          </w:p>
        </w:tc>
        <w:tc>
          <w:tcPr>
            <w:tcW w:w="12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52,000.00</w:t>
            </w:r>
          </w:p>
        </w:tc>
        <w:tc>
          <w:tcPr>
            <w:tcW w:w="1253" w:type="dxa"/>
            <w:tcBorders>
              <w:top w:val="dotted" w:sz="4" w:space="0" w:color="000000"/>
              <w:left w:val="dotted" w:sz="4" w:space="0" w:color="000000"/>
              <w:bottom w:val="single" w:sz="12" w:space="0" w:color="000000"/>
              <w:right w:val="dotted" w:sz="4" w:space="0" w:color="000000"/>
            </w:tcBorders>
          </w:tcPr>
          <w:p>
            <w:pPr/>
          </w:p>
        </w:tc>
        <w:tc>
          <w:tcPr>
            <w:tcW w:w="119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headerReference w:type="default" r:id="rId60"/>
          <w:footerReference w:type="default" r:id="rId61"/>
          <w:pgSz w:w="11910" w:h="16840"/>
          <w:pgMar w:header="877" w:footer="979" w:top="1100" w:bottom="1160" w:left="1660" w:right="0"/>
          <w:pgNumType w:start="20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2115"/>
        <w:gridCol w:w="1253"/>
        <w:gridCol w:w="1253"/>
        <w:gridCol w:w="1255"/>
        <w:gridCol w:w="1253"/>
        <w:gridCol w:w="1198"/>
      </w:tblGrid>
      <w:tr>
        <w:trPr>
          <w:trHeight w:val="607" w:hRule="exact"/>
        </w:trPr>
        <w:tc>
          <w:tcPr>
            <w:tcW w:w="21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5"/>
              <w:ind w:left="16"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78" w:lineRule="auto" w:before="8"/>
              <w:ind w:left="259" w:right="262"/>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55"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54"/>
              <w:ind w:left="170" w:right="173"/>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2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54"/>
              <w:ind w:left="232" w:right="36" w:hanging="200"/>
              <w:jc w:val="left"/>
              <w:rPr>
                <w:rFonts w:ascii="宋体" w:hAnsi="宋体" w:cs="宋体" w:eastAsia="宋体" w:hint="default"/>
                <w:sz w:val="18"/>
                <w:szCs w:val="18"/>
              </w:rPr>
            </w:pPr>
            <w:r>
              <w:rPr>
                <w:rFonts w:ascii="宋体" w:hAnsi="宋体" w:cs="宋体" w:eastAsia="宋体" w:hint="default"/>
                <w:w w:val="95"/>
                <w:sz w:val="18"/>
                <w:szCs w:val="18"/>
              </w:rPr>
              <w:t>与资产相关</w:t>
            </w:r>
            <w:r>
              <w:rPr>
                <w:rFonts w:ascii="Arial" w:hAnsi="Arial" w:cs="Arial" w:eastAsia="Arial" w:hint="default"/>
                <w:w w:val="95"/>
                <w:sz w:val="18"/>
                <w:szCs w:val="18"/>
              </w:rPr>
              <w:t>/</w:t>
            </w:r>
            <w:r>
              <w:rPr>
                <w:rFonts w:ascii="宋体" w:hAnsi="宋体" w:cs="宋体" w:eastAsia="宋体" w:hint="default"/>
                <w:w w:val="95"/>
                <w:sz w:val="18"/>
                <w:szCs w:val="18"/>
              </w:rPr>
              <w:t>与</w:t>
            </w:r>
            <w:r>
              <w:rPr>
                <w:rFonts w:ascii="宋体" w:hAnsi="宋体" w:cs="宋体" w:eastAsia="宋体" w:hint="default"/>
                <w:spacing w:val="-39"/>
                <w:w w:val="95"/>
                <w:sz w:val="18"/>
                <w:szCs w:val="18"/>
              </w:rPr>
              <w:t> </w:t>
            </w:r>
            <w:r>
              <w:rPr>
                <w:rFonts w:ascii="宋体" w:hAnsi="宋体" w:cs="宋体" w:eastAsia="宋体" w:hint="default"/>
                <w:sz w:val="18"/>
                <w:szCs w:val="18"/>
              </w:rPr>
              <w:t>收益相关</w:t>
            </w:r>
          </w:p>
        </w:tc>
      </w:tr>
      <w:tr>
        <w:trPr>
          <w:trHeight w:val="413" w:hRule="exact"/>
        </w:trPr>
        <w:tc>
          <w:tcPr>
            <w:tcW w:w="21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1,552,000.00</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16,611,142.36</w:t>
            </w:r>
          </w:p>
        </w:tc>
        <w:tc>
          <w:tcPr>
            <w:tcW w:w="12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5,023,836.16</w:t>
            </w:r>
          </w:p>
        </w:tc>
        <w:tc>
          <w:tcPr>
            <w:tcW w:w="12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13,139,306.20</w:t>
            </w:r>
          </w:p>
        </w:tc>
        <w:tc>
          <w:tcPr>
            <w:tcW w:w="119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7"/>
        <w:rPr>
          <w:rFonts w:ascii="Microsoft JhengHei" w:hAnsi="Microsoft JhengHei" w:cs="Microsoft JhengHei" w:eastAsia="Microsoft JhengHei" w:hint="default"/>
          <w:b/>
          <w:bCs/>
          <w:sz w:val="8"/>
          <w:szCs w:val="8"/>
        </w:rPr>
      </w:pPr>
    </w:p>
    <w:p>
      <w:pPr>
        <w:spacing w:line="309" w:lineRule="auto" w:before="44"/>
        <w:ind w:left="138" w:right="1794"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：根据湖南湘江新区管理委员会湘新管字</w:t>
      </w:r>
      <w:r>
        <w:rPr>
          <w:rFonts w:ascii="Times New Roman" w:hAnsi="Times New Roman" w:cs="Times New Roman" w:eastAsia="Times New Roman" w:hint="default"/>
          <w:sz w:val="18"/>
          <w:szCs w:val="18"/>
        </w:rPr>
        <w:t>[2018]108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号文件，经湖南湘江新区管理委员会批准，对 持牌金融机构在湘江新区金融中心新设非独立法人的区域总部，并在当地有结算、产生税收的证券公司、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期货公司、保险公司给予一次性开业奖励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万元，由于该补助设置了退回条款，故暂未摊销。</w:t>
      </w:r>
    </w:p>
    <w:p>
      <w:pPr>
        <w:spacing w:line="300" w:lineRule="auto" w:before="46"/>
        <w:ind w:left="138" w:right="1792"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：根据公司与南昌市新建区人民政府签订的</w:t>
      </w:r>
      <w:r>
        <w:rPr>
          <w:rFonts w:ascii="Times New Roman" w:hAnsi="Times New Roman" w:cs="Times New Roman" w:eastAsia="Times New Roman" w:hint="default"/>
          <w:sz w:val="18"/>
          <w:szCs w:val="18"/>
        </w:rPr>
        <w:t>“</w:t>
      </w:r>
      <w:r>
        <w:rPr>
          <w:rFonts w:ascii="宋体" w:hAnsi="宋体" w:cs="宋体" w:eastAsia="宋体" w:hint="default"/>
          <w:sz w:val="18"/>
          <w:szCs w:val="18"/>
        </w:rPr>
        <w:t>国盛证券总部项目合作协议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国盛证券总部项目合 作补充协议</w:t>
      </w:r>
      <w:r>
        <w:rPr>
          <w:rFonts w:ascii="Times New Roman" w:hAnsi="Times New Roman" w:cs="Times New Roman" w:eastAsia="Times New Roman" w:hint="default"/>
          <w:sz w:val="18"/>
          <w:szCs w:val="18"/>
        </w:rPr>
        <w:t>”</w:t>
      </w:r>
      <w:r>
        <w:rPr>
          <w:rFonts w:ascii="宋体" w:hAnsi="宋体" w:cs="宋体" w:eastAsia="宋体" w:hint="default"/>
          <w:sz w:val="18"/>
          <w:szCs w:val="18"/>
        </w:rPr>
        <w:t>约定，南昌市新建区人民政府向乙方提供</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万元人民币的过渡期办公场所租赁补助资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金，公司根据预计租赁期限摊销。</w:t>
      </w:r>
    </w:p>
    <w:p>
      <w:pPr>
        <w:spacing w:line="300" w:lineRule="auto" w:before="72"/>
        <w:ind w:left="138" w:right="1795"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：根据南京市建邺区人民政府转发的《建邺区关于支持金融业和企业上市发展的暂行办法》，给予</w:t>
      </w:r>
      <w:r>
        <w:rPr>
          <w:rFonts w:ascii="宋体" w:hAnsi="宋体" w:cs="宋体" w:eastAsia="宋体" w:hint="default"/>
          <w:sz w:val="18"/>
          <w:szCs w:val="18"/>
        </w:rPr>
        <w:t> 江苏分公司金融业和企业上市发展扶持基金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51"/>
        <w:ind w:left="138" w:right="1793"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：根据广州市人民政府关于印发《支持广州区域金融中心建设若干规定的通知》，给予设立广东地</w:t>
      </w:r>
      <w:r>
        <w:rPr>
          <w:rFonts w:ascii="宋体" w:hAnsi="宋体" w:cs="宋体" w:eastAsia="宋体" w:hint="default"/>
          <w:sz w:val="18"/>
          <w:szCs w:val="18"/>
        </w:rPr>
        <w:t> 区总部奖励补贴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万元，由于该补助设置了退回条款，故暂未摊销。</w:t>
      </w:r>
    </w:p>
    <w:p>
      <w:pPr>
        <w:spacing w:line="300" w:lineRule="auto" w:before="53"/>
        <w:ind w:left="138" w:right="1793"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：根据深圳分公司与深圳市福田区投资推广署签订的《投资合作协议》，给予一次性金融类企业落</w:t>
      </w:r>
      <w:r>
        <w:rPr>
          <w:rFonts w:ascii="宋体" w:hAnsi="宋体" w:cs="宋体" w:eastAsia="宋体" w:hint="default"/>
          <w:sz w:val="18"/>
          <w:szCs w:val="18"/>
        </w:rPr>
        <w:t> 户支持奖励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万元，由于该补助设置了退回条款，故暂未摊销。</w:t>
      </w:r>
    </w:p>
    <w:p>
      <w:pPr>
        <w:spacing w:line="300" w:lineRule="auto" w:before="53"/>
        <w:ind w:left="138" w:right="1791" w:firstLine="359"/>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：根据深圳市人民政府金融发展服务办公室深府金发【</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号《关于下达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年第二十七批 市金融发展专项资金补助计划的通知》，给予金融机构一次性落户奖励</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万元，公司按照通知要求及 实际入驻期限摊销。</w:t>
      </w:r>
    </w:p>
    <w:p>
      <w:pPr>
        <w:spacing w:line="300" w:lineRule="auto" w:before="70"/>
        <w:ind w:left="138" w:right="1791" w:firstLine="359"/>
        <w:jc w:val="both"/>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7</w:t>
      </w:r>
      <w:r>
        <w:rPr>
          <w:rFonts w:ascii="宋体" w:hAnsi="宋体" w:cs="宋体" w:eastAsia="宋体" w:hint="default"/>
          <w:sz w:val="18"/>
          <w:szCs w:val="18"/>
        </w:rPr>
        <w:t>：根据深圳市人民政府根据《深圳市扶持金融企业发展若干措施》深府规</w:t>
      </w:r>
      <w:r>
        <w:rPr>
          <w:rFonts w:ascii="Times New Roman" w:hAnsi="Times New Roman" w:cs="Times New Roman" w:eastAsia="Times New Roman" w:hint="default"/>
          <w:sz w:val="18"/>
          <w:szCs w:val="18"/>
        </w:rPr>
        <w:t>[2017]2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号文件，和《</w:t>
      </w:r>
      <w:r>
        <w:rPr>
          <w:rFonts w:ascii="Times New Roman" w:hAnsi="Times New Roman" w:cs="Times New Roman" w:eastAsia="Times New Roman" w:hint="default"/>
          <w:sz w:val="18"/>
          <w:szCs w:val="18"/>
        </w:rPr>
        <w:t>&lt; </w:t>
      </w:r>
      <w:r>
        <w:rPr>
          <w:rFonts w:ascii="宋体" w:hAnsi="宋体" w:cs="宋体" w:eastAsia="宋体" w:hint="default"/>
          <w:spacing w:val="-2"/>
          <w:sz w:val="18"/>
          <w:szCs w:val="18"/>
        </w:rPr>
        <w:t>深圳市扶持金融企业发展若干措施</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资助项目申报操作指引》（深金规</w:t>
      </w:r>
      <w:r>
        <w:rPr>
          <w:rFonts w:ascii="Times New Roman" w:hAnsi="Times New Roman" w:cs="Times New Roman" w:eastAsia="Times New Roman" w:hint="default"/>
          <w:spacing w:val="-2"/>
          <w:sz w:val="18"/>
          <w:szCs w:val="18"/>
        </w:rPr>
        <w:t>{2018}1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号）对深圳市金融办受理并 审核通过符合条件的证券机构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年度自用办公用房租房补贴，国盛证券资管公司符合条件并于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spacing w:before="13"/>
        <w:ind w:left="138" w:right="1786" w:firstLine="0"/>
        <w:jc w:val="left"/>
        <w:rPr>
          <w:rFonts w:ascii="宋体" w:hAnsi="宋体" w:cs="宋体" w:eastAsia="宋体" w:hint="default"/>
          <w:sz w:val="18"/>
          <w:szCs w:val="18"/>
        </w:rPr>
      </w:pPr>
      <w:r>
        <w:rPr>
          <w:rFonts w:ascii="宋体" w:hAnsi="宋体" w:cs="宋体" w:eastAsia="宋体" w:hint="default"/>
          <w:sz w:val="18"/>
          <w:szCs w:val="18"/>
        </w:rPr>
        <w:t>收到补贴款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万元，根据租赁期限摊销。</w:t>
      </w:r>
    </w:p>
    <w:p>
      <w:pPr>
        <w:spacing w:after="0"/>
        <w:jc w:val="left"/>
        <w:rPr>
          <w:rFonts w:ascii="宋体" w:hAnsi="宋体" w:cs="宋体" w:eastAsia="宋体" w:hint="default"/>
          <w:sz w:val="18"/>
          <w:szCs w:val="18"/>
        </w:rPr>
        <w:sectPr>
          <w:pgSz w:w="11910" w:h="16840"/>
          <w:pgMar w:header="877" w:footer="979" w:top="1100" w:bottom="1160" w:left="1660" w:right="0"/>
        </w:sectPr>
      </w:pPr>
    </w:p>
    <w:p>
      <w:pPr>
        <w:spacing w:before="15"/>
        <w:ind w:left="0" w:right="148" w:firstLine="0"/>
        <w:jc w:val="righ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65.9pt;height:.75pt;mso-position-horizontal-relative:char;mso-position-vertical-relative:line" coordorigin="0,0" coordsize="13318,15">
            <v:group style="position:absolute;left:7;top:7;width:13304;height:2" coordorigin="7,7" coordsize="13304,2">
              <v:shape style="position:absolute;left:7;top:7;width:13304;height:2" coordorigin="7,7" coordsize="13304,0" path="m7,7l13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335" w:lineRule="exact"/>
        <w:ind w:left="742" w:right="0"/>
        <w:jc w:val="left"/>
        <w:rPr>
          <w:b w:val="0"/>
          <w:bCs w:val="0"/>
        </w:rPr>
      </w:pPr>
      <w:r>
        <w:rPr/>
        <w:pict>
          <v:group style="position:absolute;margin-left:279.049988pt;margin-top:48.755001pt;width:.5pt;height:.1pt;mso-position-horizontal-relative:page;mso-position-vertical-relative:paragraph;z-index:-1327984" coordorigin="5581,975" coordsize="10,2">
            <v:shape style="position:absolute;left:5581;top:975;width:10;height:2" coordorigin="5581,975" coordsize="10,0" path="m5581,975l5591,975e" filled="false" stroked="true" strokeweight=".72pt" strokecolor="#000000">
              <v:path arrowok="t"/>
              <v:stroke dashstyle="dash"/>
            </v:shape>
            <w10:wrap type="none"/>
          </v:group>
        </w:pict>
      </w:r>
      <w:r>
        <w:rPr/>
        <w:pict>
          <v:group style="position:absolute;margin-left:327.170013pt;margin-top:48.755001pt;width:.5pt;height:.1pt;mso-position-horizontal-relative:page;mso-position-vertical-relative:paragraph;z-index:-1327960" coordorigin="6543,975" coordsize="10,2">
            <v:shape style="position:absolute;left:6543;top:975;width:10;height:2" coordorigin="6543,975" coordsize="10,0" path="m6543,975l6553,975e" filled="false" stroked="true" strokeweight=".72pt" strokecolor="#000000">
              <v:path arrowok="t"/>
              <v:stroke dashstyle="dash"/>
            </v:shape>
            <w10:wrap type="none"/>
          </v:group>
        </w:pict>
      </w:r>
      <w:r>
        <w:rPr/>
        <w:pict>
          <v:group style="position:absolute;margin-left:405.890015pt;margin-top:48.755001pt;width:.5pt;height:.1pt;mso-position-horizontal-relative:page;mso-position-vertical-relative:paragraph;z-index:-1327936" coordorigin="8118,975" coordsize="10,2">
            <v:shape style="position:absolute;left:8118;top:975;width:10;height:2" coordorigin="8118,975" coordsize="10,0" path="m8118,975l8127,975e" filled="false" stroked="true" strokeweight=".72pt" strokecolor="#000000">
              <v:path arrowok="t"/>
              <v:stroke dashstyle="dash"/>
            </v:shape>
            <w10:wrap type="none"/>
          </v:group>
        </w:pict>
      </w:r>
      <w:r>
        <w:rPr/>
        <w:pict>
          <v:group style="position:absolute;margin-left:507.790009pt;margin-top:48.755001pt;width:.5pt;height:.1pt;mso-position-horizontal-relative:page;mso-position-vertical-relative:paragraph;z-index:-1327912" coordorigin="10156,975" coordsize="10,2">
            <v:shape style="position:absolute;left:10156;top:975;width:10;height:2" coordorigin="10156,975" coordsize="10,0" path="m10156,975l10165,975e" filled="false" stroked="true" strokeweight=".72pt" strokecolor="#000000">
              <v:path arrowok="t"/>
              <v:stroke dashstyle="dash"/>
            </v:shape>
            <w10:wrap type="none"/>
          </v:group>
        </w:pict>
      </w:r>
      <w:r>
        <w:rPr/>
        <w:t>注释 </w:t>
      </w:r>
      <w:r>
        <w:rPr>
          <w:rFonts w:ascii="Times New Roman" w:hAnsi="Times New Roman" w:cs="Times New Roman" w:eastAsia="Times New Roman" w:hint="default"/>
        </w:rPr>
        <w:t>44. </w:t>
      </w:r>
      <w:r>
        <w:rPr>
          <w:rFonts w:ascii="Times New Roman" w:hAnsi="Times New Roman" w:cs="Times New Roman" w:eastAsia="Times New Roman" w:hint="default"/>
          <w:spacing w:val="4"/>
        </w:rPr>
        <w:t> </w:t>
      </w:r>
      <w:r>
        <w:rPr/>
        <w:t>股本</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1316"/>
        <w:gridCol w:w="1783"/>
        <w:gridCol w:w="1061"/>
        <w:gridCol w:w="962"/>
        <w:gridCol w:w="1574"/>
        <w:gridCol w:w="2038"/>
        <w:gridCol w:w="2427"/>
        <w:gridCol w:w="2062"/>
      </w:tblGrid>
      <w:tr>
        <w:trPr>
          <w:trHeight w:val="427" w:hRule="exact"/>
        </w:trPr>
        <w:tc>
          <w:tcPr>
            <w:tcW w:w="1316"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3"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63"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本期变动增（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w:t>
            </w:r>
          </w:p>
        </w:tc>
        <w:tc>
          <w:tcPr>
            <w:tcW w:w="20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left="66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316" w:type="dxa"/>
            <w:vMerge/>
            <w:tcBorders>
              <w:left w:val="nil" w:sz="6" w:space="0" w:color="auto"/>
              <w:bottom w:val="dotted" w:sz="4" w:space="0" w:color="000000"/>
              <w:right w:val="dotted" w:sz="4" w:space="0" w:color="000000"/>
            </w:tcBorders>
          </w:tcPr>
          <w:p>
            <w:pPr/>
          </w:p>
        </w:tc>
        <w:tc>
          <w:tcPr>
            <w:tcW w:w="1783" w:type="dxa"/>
            <w:vMerge/>
            <w:tcBorders>
              <w:left w:val="dotted" w:sz="4" w:space="0" w:color="000000"/>
              <w:bottom w:val="dotted" w:sz="4" w:space="0" w:color="000000"/>
              <w:right w:val="dotted" w:sz="4" w:space="0" w:color="000000"/>
            </w:tcBorders>
          </w:tcPr>
          <w:p>
            <w:pPr/>
          </w:p>
        </w:tc>
        <w:tc>
          <w:tcPr>
            <w:tcW w:w="10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6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9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33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20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4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2062" w:type="dxa"/>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13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股份总额</w:t>
            </w:r>
          </w:p>
        </w:tc>
        <w:tc>
          <w:tcPr>
            <w:tcW w:w="17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503" w:right="0"/>
              <w:jc w:val="left"/>
              <w:rPr>
                <w:rFonts w:ascii="Times New Roman" w:hAnsi="Times New Roman" w:cs="Times New Roman" w:eastAsia="Times New Roman" w:hint="default"/>
                <w:sz w:val="18"/>
                <w:szCs w:val="18"/>
              </w:rPr>
            </w:pPr>
            <w:r>
              <w:rPr>
                <w:rFonts w:ascii="Times New Roman"/>
                <w:sz w:val="18"/>
              </w:rPr>
              <w:t>1,935,084,653.00</w:t>
            </w:r>
          </w:p>
        </w:tc>
        <w:tc>
          <w:tcPr>
            <w:tcW w:w="1061" w:type="dxa"/>
            <w:tcBorders>
              <w:top w:val="dotted" w:sz="4" w:space="0" w:color="000000"/>
              <w:left w:val="dotted" w:sz="4" w:space="0" w:color="000000"/>
              <w:bottom w:val="single" w:sz="12" w:space="0" w:color="000000"/>
              <w:right w:val="dotted" w:sz="4" w:space="0" w:color="000000"/>
            </w:tcBorders>
          </w:tcPr>
          <w:p>
            <w:pPr/>
          </w:p>
        </w:tc>
        <w:tc>
          <w:tcPr>
            <w:tcW w:w="962" w:type="dxa"/>
            <w:tcBorders>
              <w:top w:val="dotted" w:sz="4" w:space="0" w:color="000000"/>
              <w:left w:val="dotted" w:sz="4" w:space="0" w:color="000000"/>
              <w:bottom w:val="single" w:sz="12" w:space="0" w:color="000000"/>
              <w:right w:val="dotted" w:sz="4" w:space="0" w:color="000000"/>
            </w:tcBorders>
          </w:tcPr>
          <w:p>
            <w:pPr/>
          </w:p>
        </w:tc>
        <w:tc>
          <w:tcPr>
            <w:tcW w:w="1574" w:type="dxa"/>
            <w:tcBorders>
              <w:top w:val="dotted" w:sz="4" w:space="0" w:color="000000"/>
              <w:left w:val="dotted" w:sz="4" w:space="0" w:color="000000"/>
              <w:bottom w:val="single" w:sz="12" w:space="0" w:color="000000"/>
              <w:right w:val="dotted" w:sz="4" w:space="0" w:color="000000"/>
            </w:tcBorders>
          </w:tcPr>
          <w:p>
            <w:pPr/>
          </w:p>
        </w:tc>
        <w:tc>
          <w:tcPr>
            <w:tcW w:w="2038" w:type="dxa"/>
            <w:tcBorders>
              <w:top w:val="dotted" w:sz="4" w:space="0" w:color="000000"/>
              <w:left w:val="dotted" w:sz="4" w:space="0" w:color="000000"/>
              <w:bottom w:val="single" w:sz="12" w:space="0" w:color="000000"/>
              <w:right w:val="dotted" w:sz="4" w:space="0" w:color="000000"/>
            </w:tcBorders>
          </w:tcPr>
          <w:p>
            <w:pPr/>
          </w:p>
        </w:tc>
        <w:tc>
          <w:tcPr>
            <w:tcW w:w="2427" w:type="dxa"/>
            <w:tcBorders>
              <w:top w:val="dotted" w:sz="4" w:space="0" w:color="000000"/>
              <w:left w:val="dotted" w:sz="4" w:space="0" w:color="000000"/>
              <w:bottom w:val="single" w:sz="12" w:space="0" w:color="000000"/>
              <w:right w:val="dotted" w:sz="4" w:space="0" w:color="000000"/>
            </w:tcBorders>
          </w:tcPr>
          <w:p>
            <w:pPr/>
          </w:p>
        </w:tc>
        <w:tc>
          <w:tcPr>
            <w:tcW w:w="20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left="780" w:right="0"/>
              <w:jc w:val="left"/>
              <w:rPr>
                <w:rFonts w:ascii="Times New Roman" w:hAnsi="Times New Roman" w:cs="Times New Roman" w:eastAsia="Times New Roman" w:hint="default"/>
                <w:sz w:val="18"/>
                <w:szCs w:val="18"/>
              </w:rPr>
            </w:pPr>
            <w:r>
              <w:rPr>
                <w:rFonts w:ascii="Times New Roman"/>
                <w:sz w:val="18"/>
              </w:rPr>
              <w:t>1,935,084,653.00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6"/>
          <w:szCs w:val="26"/>
        </w:rPr>
      </w:pPr>
    </w:p>
    <w:p>
      <w:pPr>
        <w:spacing w:before="76"/>
        <w:ind w:left="0" w:right="148" w:firstLine="0"/>
        <w:jc w:val="right"/>
        <w:rPr>
          <w:rFonts w:ascii="Times New Roman" w:hAnsi="Times New Roman" w:cs="Times New Roman" w:eastAsia="Times New Roman" w:hint="default"/>
          <w:sz w:val="18"/>
          <w:szCs w:val="18"/>
        </w:rPr>
      </w:pPr>
      <w:r>
        <w:rPr>
          <w:rFonts w:ascii="Times New Roman"/>
          <w:sz w:val="18"/>
        </w:rPr>
        <w:t>203</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62"/>
          <w:footerReference w:type="default" r:id="rId63"/>
          <w:pgSz w:w="16840" w:h="11910" w:orient="landscape"/>
          <w:pgMar w:header="0" w:footer="0" w:top="800" w:bottom="0" w:left="1300" w:right="2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45. </w:t>
      </w:r>
      <w:r>
        <w:rPr>
          <w:rFonts w:ascii="Times New Roman" w:hAnsi="Times New Roman" w:cs="Times New Roman" w:eastAsia="Times New Roman" w:hint="default"/>
          <w:spacing w:val="6"/>
        </w:rPr>
        <w:t> </w:t>
      </w:r>
      <w:r>
        <w:rPr/>
        <w:t>资本公积</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204"/>
        <w:gridCol w:w="1603"/>
        <w:gridCol w:w="1520"/>
        <w:gridCol w:w="1397"/>
        <w:gridCol w:w="1604"/>
      </w:tblGrid>
      <w:tr>
        <w:trPr>
          <w:trHeight w:val="413" w:hRule="exact"/>
        </w:trPr>
        <w:tc>
          <w:tcPr>
            <w:tcW w:w="220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9"/>
              <w:ind w:left="4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8" w:hRule="exact"/>
        </w:trPr>
        <w:tc>
          <w:tcPr>
            <w:tcW w:w="22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603" w:type="dxa"/>
            <w:tcBorders>
              <w:top w:val="dotted" w:sz="4" w:space="0" w:color="000000"/>
              <w:left w:val="dotted" w:sz="4" w:space="0" w:color="000000"/>
              <w:bottom w:val="dotted" w:sz="4" w:space="0" w:color="000000"/>
              <w:right w:val="dotted" w:sz="4" w:space="0" w:color="000000"/>
            </w:tcBorders>
          </w:tcPr>
          <w:p>
            <w:pPr/>
          </w:p>
        </w:tc>
        <w:tc>
          <w:tcPr>
            <w:tcW w:w="1520"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604" w:type="dxa"/>
            <w:tcBorders>
              <w:top w:val="dotted" w:sz="4" w:space="0" w:color="000000"/>
              <w:left w:val="dotted" w:sz="4" w:space="0" w:color="000000"/>
              <w:bottom w:val="dotted" w:sz="4" w:space="0" w:color="000000"/>
              <w:right w:val="nil" w:sz="6" w:space="0" w:color="auto"/>
            </w:tcBorders>
          </w:tcPr>
          <w:p>
            <w:pPr/>
          </w:p>
        </w:tc>
      </w:tr>
      <w:tr>
        <w:trPr>
          <w:trHeight w:val="466" w:hRule="exact"/>
        </w:trPr>
        <w:tc>
          <w:tcPr>
            <w:tcW w:w="22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）投资者投入的资本</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8,855,586,507.20</w:t>
            </w:r>
          </w:p>
        </w:tc>
        <w:tc>
          <w:tcPr>
            <w:tcW w:w="1520"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8,855,586,507.20</w:t>
            </w:r>
          </w:p>
        </w:tc>
      </w:tr>
      <w:tr>
        <w:trPr>
          <w:trHeight w:val="805" w:hRule="exact"/>
        </w:trPr>
        <w:tc>
          <w:tcPr>
            <w:tcW w:w="2204" w:type="dxa"/>
            <w:tcBorders>
              <w:top w:val="dotted" w:sz="4" w:space="0" w:color="000000"/>
              <w:left w:val="nil" w:sz="6" w:space="0" w:color="auto"/>
              <w:bottom w:val="dotted" w:sz="4" w:space="0" w:color="000000"/>
              <w:right w:val="dotted" w:sz="4" w:space="0" w:color="000000"/>
            </w:tcBorders>
          </w:tcPr>
          <w:p>
            <w:pPr>
              <w:pStyle w:val="TableParagraph"/>
              <w:spacing w:line="300" w:lineRule="auto" w:before="94"/>
              <w:ind w:left="122" w:right="105"/>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）同一控制下企业合</w:t>
            </w:r>
            <w:r>
              <w:rPr>
                <w:rFonts w:ascii="宋体" w:hAnsi="宋体" w:cs="宋体" w:eastAsia="宋体" w:hint="default"/>
                <w:sz w:val="18"/>
                <w:szCs w:val="18"/>
              </w:rPr>
              <w:t> 并的影响</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4,585,017.45</w:t>
            </w:r>
          </w:p>
        </w:tc>
        <w:tc>
          <w:tcPr>
            <w:tcW w:w="1520"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4,585,017.45</w:t>
            </w:r>
          </w:p>
        </w:tc>
      </w:tr>
      <w:tr>
        <w:trPr>
          <w:trHeight w:val="1116" w:hRule="exact"/>
        </w:trPr>
        <w:tc>
          <w:tcPr>
            <w:tcW w:w="22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5"/>
                <w:szCs w:val="25"/>
              </w:rPr>
            </w:pPr>
          </w:p>
          <w:p>
            <w:pPr>
              <w:pStyle w:val="TableParagraph"/>
              <w:spacing w:line="297" w:lineRule="auto"/>
              <w:ind w:left="122" w:right="105"/>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）购买子公司少数股</w:t>
            </w:r>
            <w:r>
              <w:rPr>
                <w:rFonts w:ascii="宋体" w:hAnsi="宋体" w:cs="宋体" w:eastAsia="宋体" w:hint="default"/>
                <w:sz w:val="18"/>
                <w:szCs w:val="18"/>
              </w:rPr>
              <w:t> 权</w:t>
            </w:r>
          </w:p>
        </w:tc>
        <w:tc>
          <w:tcPr>
            <w:tcW w:w="16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918,781.77</w:t>
            </w:r>
          </w:p>
        </w:tc>
        <w:tc>
          <w:tcPr>
            <w:tcW w:w="1520" w:type="dxa"/>
            <w:tcBorders>
              <w:top w:val="dotted" w:sz="4" w:space="0" w:color="000000"/>
              <w:left w:val="dotted" w:sz="4" w:space="0" w:color="000000"/>
              <w:bottom w:val="dotted" w:sz="4" w:space="0" w:color="000000"/>
              <w:right w:val="dotted" w:sz="4" w:space="0" w:color="000000"/>
            </w:tcBorders>
          </w:tcPr>
          <w:p>
            <w:pPr/>
          </w:p>
        </w:tc>
        <w:tc>
          <w:tcPr>
            <w:tcW w:w="1397" w:type="dxa"/>
            <w:tcBorders>
              <w:top w:val="dotted" w:sz="4" w:space="0" w:color="000000"/>
              <w:left w:val="dotted" w:sz="4" w:space="0" w:color="000000"/>
              <w:bottom w:val="dotted" w:sz="4" w:space="0" w:color="000000"/>
              <w:right w:val="dotted" w:sz="4" w:space="0" w:color="000000"/>
            </w:tcBorders>
          </w:tcPr>
          <w:p>
            <w:pP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918,781.77</w:t>
            </w:r>
          </w:p>
        </w:tc>
      </w:tr>
      <w:tr>
        <w:trPr>
          <w:trHeight w:val="442" w:hRule="exact"/>
        </w:trPr>
        <w:tc>
          <w:tcPr>
            <w:tcW w:w="22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22" w:right="0"/>
              <w:jc w:val="left"/>
              <w:rPr>
                <w:rFonts w:ascii="宋体" w:hAnsi="宋体" w:cs="宋体" w:eastAsia="宋体" w:hint="default"/>
                <w:sz w:val="18"/>
                <w:szCs w:val="18"/>
              </w:rPr>
            </w:pPr>
            <w:r>
              <w:rPr>
                <w:rFonts w:ascii="宋体" w:hAnsi="宋体" w:cs="宋体" w:eastAsia="宋体" w:hint="default"/>
                <w:sz w:val="18"/>
                <w:szCs w:val="18"/>
              </w:rPr>
              <w:t>其他资本公积（注）</w:t>
            </w:r>
          </w:p>
        </w:tc>
        <w:tc>
          <w:tcPr>
            <w:tcW w:w="1603" w:type="dxa"/>
            <w:tcBorders>
              <w:top w:val="dotted" w:sz="4" w:space="0" w:color="000000"/>
              <w:left w:val="dotted" w:sz="4" w:space="0" w:color="000000"/>
              <w:bottom w:val="dotted" w:sz="4" w:space="0" w:color="000000"/>
              <w:right w:val="dotted" w:sz="4" w:space="0" w:color="000000"/>
            </w:tcBorders>
          </w:tcPr>
          <w:p>
            <w:pP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736,687.61</w:t>
            </w:r>
          </w:p>
        </w:tc>
        <w:tc>
          <w:tcPr>
            <w:tcW w:w="1397" w:type="dxa"/>
            <w:tcBorders>
              <w:top w:val="dotted" w:sz="4" w:space="0" w:color="000000"/>
              <w:left w:val="dotted" w:sz="4" w:space="0" w:color="000000"/>
              <w:bottom w:val="dotted" w:sz="4" w:space="0" w:color="000000"/>
              <w:right w:val="dotted" w:sz="4" w:space="0" w:color="000000"/>
            </w:tcBorders>
          </w:tcPr>
          <w:p>
            <w:pPr/>
          </w:p>
        </w:tc>
        <w:tc>
          <w:tcPr>
            <w:tcW w:w="16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spacing w:val="-1"/>
                <w:sz w:val="18"/>
              </w:rPr>
              <w:t>736,687.61</w:t>
            </w:r>
          </w:p>
        </w:tc>
      </w:tr>
      <w:tr>
        <w:trPr>
          <w:trHeight w:val="413" w:hRule="exact"/>
        </w:trPr>
        <w:tc>
          <w:tcPr>
            <w:tcW w:w="22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8,861,090,306.42</w:t>
            </w:r>
          </w:p>
        </w:tc>
        <w:tc>
          <w:tcPr>
            <w:tcW w:w="15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736,687.61</w:t>
            </w:r>
          </w:p>
        </w:tc>
        <w:tc>
          <w:tcPr>
            <w:tcW w:w="1397" w:type="dxa"/>
            <w:tcBorders>
              <w:top w:val="dotted" w:sz="4" w:space="0" w:color="000000"/>
              <w:left w:val="dotted" w:sz="4" w:space="0" w:color="000000"/>
              <w:bottom w:val="single" w:sz="12" w:space="0" w:color="000000"/>
              <w:right w:val="dotted" w:sz="4" w:space="0" w:color="000000"/>
            </w:tcBorders>
          </w:tcPr>
          <w:p>
            <w:pPr/>
          </w:p>
        </w:tc>
        <w:tc>
          <w:tcPr>
            <w:tcW w:w="16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8,861,826,994.03</w:t>
            </w:r>
          </w:p>
        </w:tc>
      </w:tr>
    </w:tbl>
    <w:p>
      <w:pPr>
        <w:spacing w:line="232" w:lineRule="exact" w:before="32"/>
        <w:ind w:left="138" w:right="1789" w:firstLine="19"/>
        <w:jc w:val="left"/>
        <w:rPr>
          <w:rFonts w:ascii="宋体" w:hAnsi="宋体" w:cs="宋体" w:eastAsia="宋体" w:hint="default"/>
          <w:sz w:val="18"/>
          <w:szCs w:val="18"/>
        </w:rPr>
      </w:pPr>
      <w:r>
        <w:rPr>
          <w:rFonts w:ascii="宋体" w:hAnsi="宋体" w:cs="宋体" w:eastAsia="宋体" w:hint="default"/>
          <w:sz w:val="18"/>
          <w:szCs w:val="18"/>
        </w:rPr>
        <w:t>注：本期增加系联营公司国盛国际集团引入其他新股东，子公司国盛香港对其持股比例发生变动，按最新 持股比例计算应享有的净资产份额并调整长期股权投资账面价值，同时将差额计入资本公积。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76"/>
        <w:ind w:left="0" w:right="1791" w:firstLine="0"/>
        <w:jc w:val="right"/>
        <w:rPr>
          <w:rFonts w:ascii="Times New Roman" w:hAnsi="Times New Roman" w:cs="Times New Roman" w:eastAsia="Times New Roman" w:hint="default"/>
          <w:sz w:val="18"/>
          <w:szCs w:val="18"/>
        </w:rPr>
      </w:pPr>
      <w:r>
        <w:rPr/>
        <w:pict>
          <v:shape style="position:absolute;margin-left:535.634705pt;margin-top:28.72287pt;width:59.493346pt;height:26.794713pt;mso-position-horizontal-relative:page;mso-position-vertical-relative:paragraph;z-index:4696" type="#_x0000_t75" stroked="false">
            <v:imagedata r:id="rId15" o:title=""/>
          </v:shape>
        </w:pict>
      </w:r>
      <w:r>
        <w:rPr>
          <w:rFonts w:ascii="Times New Roman"/>
          <w:sz w:val="18"/>
        </w:rPr>
        <w:t>204</w:t>
      </w:r>
    </w:p>
    <w:p>
      <w:pPr>
        <w:spacing w:after="0"/>
        <w:jc w:val="right"/>
        <w:rPr>
          <w:rFonts w:ascii="Times New Roman" w:hAnsi="Times New Roman" w:cs="Times New Roman" w:eastAsia="Times New Roman" w:hint="default"/>
          <w:sz w:val="18"/>
          <w:szCs w:val="18"/>
        </w:rPr>
        <w:sectPr>
          <w:headerReference w:type="default" r:id="rId64"/>
          <w:footerReference w:type="default" r:id="rId65"/>
          <w:pgSz w:w="11910" w:h="16840"/>
          <w:pgMar w:header="877" w:footer="0" w:top="1100" w:bottom="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4"/>
        <w:spacing w:line="335" w:lineRule="exact"/>
        <w:ind w:left="562" w:right="0"/>
        <w:jc w:val="left"/>
        <w:rPr>
          <w:b w:val="0"/>
          <w:bCs w:val="0"/>
        </w:rPr>
      </w:pPr>
      <w:r>
        <w:rPr/>
        <w:pict>
          <v:group style="position:absolute;margin-left:372.290009pt;margin-top:42.634998pt;width:.5pt;height:.1pt;mso-position-horizontal-relative:page;mso-position-vertical-relative:paragraph;z-index:-1327864" coordorigin="7446,853" coordsize="10,2">
            <v:shape style="position:absolute;left:7446;top:853;width:10;height:2" coordorigin="7446,853" coordsize="10,0" path="m7446,853l7455,853e" filled="false" stroked="true" strokeweight=".72pt" strokecolor="#000000">
              <v:path arrowok="t"/>
              <v:stroke dashstyle="dash"/>
            </v:shape>
            <w10:wrap type="none"/>
          </v:group>
        </w:pict>
      </w:r>
      <w:r>
        <w:rPr/>
        <w:pict>
          <v:group style="position:absolute;margin-left:440.470001pt;margin-top:42.634998pt;width:.5pt;height:.1pt;mso-position-horizontal-relative:page;mso-position-vertical-relative:paragraph;z-index:-1327840" coordorigin="8809,853" coordsize="10,2">
            <v:shape style="position:absolute;left:8809;top:853;width:10;height:2" coordorigin="8809,853" coordsize="10,0" path="m8809,853l8819,853e" filled="false" stroked="true" strokeweight=".72pt" strokecolor="#000000">
              <v:path arrowok="t"/>
              <v:stroke dashstyle="dash"/>
            </v:shape>
            <w10:wrap type="none"/>
          </v:group>
        </w:pict>
      </w:r>
      <w:r>
        <w:rPr/>
        <w:pict>
          <v:group style="position:absolute;margin-left:501.790009pt;margin-top:42.634998pt;width:.5pt;height:.1pt;mso-position-horizontal-relative:page;mso-position-vertical-relative:paragraph;z-index:-1327816" coordorigin="10036,853" coordsize="10,2">
            <v:shape style="position:absolute;left:10036;top:853;width:10;height:2" coordorigin="10036,853" coordsize="10,0" path="m10036,853l10045,853e" filled="false" stroked="true" strokeweight=".72pt" strokecolor="#000000">
              <v:path arrowok="t"/>
              <v:stroke dashstyle="dash"/>
            </v:shape>
            <w10:wrap type="none"/>
          </v:group>
        </w:pict>
      </w:r>
      <w:r>
        <w:rPr/>
        <w:pict>
          <v:group style="position:absolute;margin-left:559.51001pt;margin-top:42.634998pt;width:.5pt;height:.1pt;mso-position-horizontal-relative:page;mso-position-vertical-relative:paragraph;z-index:-1327792" coordorigin="11190,853" coordsize="10,2">
            <v:shape style="position:absolute;left:11190;top:853;width:10;height:2" coordorigin="11190,853" coordsize="10,0" path="m11190,853l11200,853e" filled="false" stroked="true" strokeweight=".72pt" strokecolor="#000000">
              <v:path arrowok="t"/>
              <v:stroke dashstyle="dash"/>
            </v:shape>
            <w10:wrap type="none"/>
          </v:group>
        </w:pict>
      </w:r>
      <w:r>
        <w:rPr/>
        <w:pict>
          <v:group style="position:absolute;margin-left:632.979980pt;margin-top:42.634998pt;width:.5pt;height:.1pt;mso-position-horizontal-relative:page;mso-position-vertical-relative:paragraph;z-index:-1327768" coordorigin="12660,853" coordsize="10,2">
            <v:shape style="position:absolute;left:12660;top:853;width:10;height:2" coordorigin="12660,853" coordsize="10,0" path="m12660,853l12669,853e" filled="false" stroked="true" strokeweight=".72pt" strokecolor="#000000">
              <v:path arrowok="t"/>
              <v:stroke dashstyle="dash"/>
            </v:shape>
            <w10:wrap type="none"/>
          </v:group>
        </w:pict>
      </w:r>
      <w:r>
        <w:rPr/>
        <w:t>注释 </w:t>
      </w:r>
      <w:r>
        <w:rPr>
          <w:rFonts w:ascii="Times New Roman" w:hAnsi="Times New Roman" w:cs="Times New Roman" w:eastAsia="Times New Roman" w:hint="default"/>
        </w:rPr>
        <w:t>46. </w:t>
      </w:r>
      <w:r>
        <w:rPr>
          <w:rFonts w:ascii="Times New Roman" w:hAnsi="Times New Roman" w:cs="Times New Roman" w:eastAsia="Times New Roman" w:hint="default"/>
          <w:spacing w:val="9"/>
        </w:rPr>
        <w:t> </w:t>
      </w:r>
      <w:r>
        <w:rPr>
          <w:spacing w:val="9"/>
        </w:rPr>
      </w:r>
      <w:r>
        <w:rPr>
          <w:u w:val="dotted" w:color="000000"/>
        </w:rPr>
        <w:t>其</w:t>
      </w:r>
      <w:r>
        <w:rPr/>
        <w:t>他综合收益</w:t>
      </w:r>
      <w:r>
        <w:rPr>
          <w:b w:val="0"/>
          <w:bCs w:val="0"/>
        </w:rPr>
      </w:r>
    </w:p>
    <w:p>
      <w:pPr>
        <w:spacing w:line="240" w:lineRule="auto" w:before="12"/>
        <w:rPr>
          <w:rFonts w:ascii="Microsoft JhengHei" w:hAnsi="Microsoft JhengHei" w:cs="Microsoft JhengHei" w:eastAsia="Microsoft JhengHei"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1800"/>
        <w:gridCol w:w="1378"/>
        <w:gridCol w:w="1378"/>
        <w:gridCol w:w="1469"/>
        <w:gridCol w:w="1364"/>
        <w:gridCol w:w="1226"/>
        <w:gridCol w:w="1154"/>
        <w:gridCol w:w="1469"/>
        <w:gridCol w:w="950"/>
        <w:gridCol w:w="1066"/>
      </w:tblGrid>
      <w:tr>
        <w:trPr>
          <w:trHeight w:val="427" w:hRule="exact"/>
        </w:trPr>
        <w:tc>
          <w:tcPr>
            <w:tcW w:w="180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37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633"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066"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4" w:hRule="exact"/>
        </w:trPr>
        <w:tc>
          <w:tcPr>
            <w:tcW w:w="1800" w:type="dxa"/>
            <w:vMerge/>
            <w:tcBorders>
              <w:left w:val="nil" w:sz="6" w:space="0" w:color="auto"/>
              <w:bottom w:val="dotted" w:sz="4" w:space="0" w:color="000000"/>
              <w:right w:val="dotted" w:sz="4" w:space="0" w:color="000000"/>
            </w:tcBorders>
          </w:tcPr>
          <w:p>
            <w:pPr/>
          </w:p>
        </w:tc>
        <w:tc>
          <w:tcPr>
            <w:tcW w:w="1378" w:type="dxa"/>
            <w:vMerge/>
            <w:tcBorders>
              <w:left w:val="dotted" w:sz="4" w:space="0" w:color="000000"/>
              <w:bottom w:val="dotted" w:sz="4" w:space="0" w:color="000000"/>
              <w:right w:val="dotted" w:sz="4" w:space="0" w:color="000000"/>
            </w:tcBorders>
          </w:tcPr>
          <w:p>
            <w:pPr/>
          </w:p>
        </w:tc>
        <w:tc>
          <w:tcPr>
            <w:tcW w:w="1378" w:type="dxa"/>
            <w:vMerge/>
            <w:tcBorders>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314" w:lineRule="auto"/>
              <w:ind w:left="549" w:right="98" w:hanging="452"/>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45" w:right="46"/>
              <w:jc w:val="center"/>
              <w:rPr>
                <w:rFonts w:ascii="宋体" w:hAnsi="宋体" w:cs="宋体" w:eastAsia="宋体" w:hint="default"/>
                <w:sz w:val="18"/>
                <w:szCs w:val="18"/>
              </w:rPr>
            </w:pPr>
            <w:r>
              <w:rPr>
                <w:rFonts w:ascii="宋体" w:hAnsi="宋体" w:cs="宋体" w:eastAsia="宋体" w:hint="default"/>
                <w:sz w:val="18"/>
                <w:szCs w:val="18"/>
              </w:rPr>
              <w:t>减：前期计入其 他综合收益当期 转入损益</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5"/>
              <w:ind w:left="67" w:right="67"/>
              <w:jc w:val="center"/>
              <w:rPr>
                <w:rFonts w:ascii="宋体" w:hAnsi="宋体" w:cs="宋体" w:eastAsia="宋体" w:hint="default"/>
                <w:sz w:val="18"/>
                <w:szCs w:val="18"/>
              </w:rPr>
            </w:pPr>
            <w:r>
              <w:rPr>
                <w:rFonts w:ascii="宋体" w:hAnsi="宋体" w:cs="宋体" w:eastAsia="宋体" w:hint="default"/>
                <w:sz w:val="18"/>
                <w:szCs w:val="18"/>
              </w:rPr>
              <w:t>减：前期计入 其他综合收益 当期转入留存 收益</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314" w:lineRule="auto"/>
              <w:ind w:left="480" w:right="31" w:hanging="449"/>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314" w:lineRule="auto"/>
              <w:ind w:left="107" w:right="19"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66" w:type="dxa"/>
            <w:vMerge/>
            <w:tcBorders>
              <w:left w:val="dotted" w:sz="4" w:space="0" w:color="000000"/>
              <w:bottom w:val="dotted" w:sz="4" w:space="0" w:color="000000"/>
              <w:right w:val="nil" w:sz="6" w:space="0" w:color="auto"/>
            </w:tcBorders>
          </w:tcPr>
          <w:p>
            <w:pPr/>
          </w:p>
        </w:tc>
      </w:tr>
      <w:tr>
        <w:trPr>
          <w:trHeight w:val="730"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5"/>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．将重分类进损益的 </w:t>
            </w:r>
            <w:r>
              <w:rPr>
                <w:rFonts w:ascii="宋体" w:hAnsi="宋体" w:cs="宋体" w:eastAsia="宋体" w:hint="default"/>
                <w:sz w:val="18"/>
                <w:szCs w:val="18"/>
              </w:rPr>
              <w:t>其他综合收益</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-38,172,787.92</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-10,701,046.72</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31,450,924.55</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-1,601,394.33</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2,416,262.74</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30,636,056.14</w:t>
            </w: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19,935,009.42</w:t>
            </w:r>
          </w:p>
        </w:tc>
      </w:tr>
      <w:tr>
        <w:trPr>
          <w:trHeight w:val="727"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9"/>
              <w:jc w:val="left"/>
              <w:rPr>
                <w:rFonts w:ascii="宋体" w:hAnsi="宋体" w:cs="宋体" w:eastAsia="宋体" w:hint="default"/>
                <w:sz w:val="18"/>
                <w:szCs w:val="18"/>
              </w:rPr>
            </w:pPr>
            <w:r>
              <w:rPr>
                <w:rFonts w:ascii="宋体" w:hAnsi="宋体" w:cs="宋体" w:eastAsia="宋体" w:hint="default"/>
                <w:spacing w:val="-5"/>
                <w:sz w:val="18"/>
                <w:szCs w:val="18"/>
              </w:rPr>
              <w:t>其中：权益法下可转损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益的其他综合收益</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-7,296,218.97</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-7,296,449.48</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5,567,256.92</w:t>
            </w:r>
          </w:p>
        </w:tc>
        <w:tc>
          <w:tcPr>
            <w:tcW w:w="1364"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5,567,256.92</w:t>
            </w: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-1,729,192.56</w:t>
            </w:r>
          </w:p>
        </w:tc>
      </w:tr>
      <w:tr>
        <w:trPr>
          <w:trHeight w:val="730"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15" w:firstLine="542"/>
              <w:jc w:val="left"/>
              <w:rPr>
                <w:rFonts w:ascii="宋体" w:hAnsi="宋体" w:cs="宋体" w:eastAsia="宋体" w:hint="default"/>
                <w:sz w:val="18"/>
                <w:szCs w:val="18"/>
              </w:rPr>
            </w:pPr>
            <w:r>
              <w:rPr>
                <w:rFonts w:ascii="宋体" w:hAnsi="宋体" w:cs="宋体" w:eastAsia="宋体" w:hint="default"/>
                <w:spacing w:val="21"/>
                <w:sz w:val="18"/>
                <w:szCs w:val="18"/>
              </w:rPr>
              <w:t>其他债权投资</w:t>
            </w:r>
            <w:r>
              <w:rPr>
                <w:rFonts w:ascii="宋体" w:hAnsi="宋体" w:cs="宋体" w:eastAsia="宋体" w:hint="default"/>
                <w:spacing w:val="-64"/>
                <w:sz w:val="18"/>
                <w:szCs w:val="18"/>
              </w:rPr>
              <w:t> </w:t>
            </w:r>
            <w:r>
              <w:rPr>
                <w:rFonts w:ascii="宋体" w:hAnsi="宋体" w:cs="宋体" w:eastAsia="宋体" w:hint="default"/>
                <w:sz w:val="18"/>
                <w:szCs w:val="18"/>
              </w:rPr>
              <w:t>公允价值变动</w:t>
            </w:r>
          </w:p>
        </w:tc>
        <w:tc>
          <w:tcPr>
            <w:tcW w:w="1378"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-7,027,538.84</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8,063,656.63</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-1,601,394.33</w:t>
            </w: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2,416,262.74</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7,248,788.22</w:t>
            </w: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221,249.38</w:t>
            </w:r>
          </w:p>
        </w:tc>
      </w:tr>
      <w:tr>
        <w:trPr>
          <w:trHeight w:val="1042"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6"/>
              <w:ind w:left="28" w:right="-15" w:firstLine="542"/>
              <w:jc w:val="both"/>
              <w:rPr>
                <w:rFonts w:ascii="宋体" w:hAnsi="宋体" w:cs="宋体" w:eastAsia="宋体" w:hint="default"/>
                <w:sz w:val="18"/>
                <w:szCs w:val="18"/>
              </w:rPr>
            </w:pPr>
            <w:r>
              <w:rPr>
                <w:rFonts w:ascii="宋体" w:hAnsi="宋体" w:cs="宋体" w:eastAsia="宋体" w:hint="default"/>
                <w:spacing w:val="21"/>
                <w:sz w:val="18"/>
                <w:szCs w:val="18"/>
              </w:rPr>
              <w:t>可供出售金融</w:t>
            </w:r>
            <w:r>
              <w:rPr>
                <w:rFonts w:ascii="宋体" w:hAnsi="宋体" w:cs="宋体" w:eastAsia="宋体" w:hint="default"/>
                <w:spacing w:val="-64"/>
                <w:sz w:val="18"/>
                <w:szCs w:val="18"/>
              </w:rPr>
              <w:t> </w:t>
            </w:r>
            <w:r>
              <w:rPr>
                <w:rFonts w:ascii="宋体" w:hAnsi="宋体" w:cs="宋体" w:eastAsia="宋体" w:hint="default"/>
                <w:spacing w:val="14"/>
                <w:sz w:val="18"/>
                <w:szCs w:val="18"/>
              </w:rPr>
              <w:t>资产公允价值变动损</w:t>
            </w:r>
            <w:r>
              <w:rPr>
                <w:rFonts w:ascii="宋体" w:hAnsi="宋体" w:cs="宋体" w:eastAsia="宋体" w:hint="default"/>
                <w:spacing w:val="-74"/>
                <w:sz w:val="18"/>
                <w:szCs w:val="18"/>
              </w:rPr>
              <w:t> </w:t>
            </w:r>
            <w:r>
              <w:rPr>
                <w:rFonts w:ascii="宋体" w:hAnsi="宋体" w:cs="宋体" w:eastAsia="宋体" w:hint="default"/>
                <w:sz w:val="18"/>
                <w:szCs w:val="18"/>
              </w:rPr>
              <w:t>益</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4"/>
                <w:szCs w:val="2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-33,913,929.59</w:t>
            </w:r>
          </w:p>
        </w:tc>
        <w:tc>
          <w:tcPr>
            <w:tcW w:w="1378"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nil" w:sz="6" w:space="0" w:color="auto"/>
            </w:tcBorders>
          </w:tcPr>
          <w:p>
            <w:pPr/>
          </w:p>
        </w:tc>
      </w:tr>
      <w:tr>
        <w:trPr>
          <w:trHeight w:val="1042"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15" w:firstLine="542"/>
              <w:jc w:val="both"/>
              <w:rPr>
                <w:rFonts w:ascii="宋体" w:hAnsi="宋体" w:cs="宋体" w:eastAsia="宋体" w:hint="default"/>
                <w:sz w:val="18"/>
                <w:szCs w:val="18"/>
              </w:rPr>
            </w:pPr>
            <w:r>
              <w:rPr>
                <w:rFonts w:ascii="宋体" w:hAnsi="宋体" w:cs="宋体" w:eastAsia="宋体" w:hint="default"/>
                <w:spacing w:val="21"/>
                <w:sz w:val="18"/>
                <w:szCs w:val="18"/>
              </w:rPr>
              <w:t>金融资产重分</w:t>
            </w:r>
            <w:r>
              <w:rPr>
                <w:rFonts w:ascii="宋体" w:hAnsi="宋体" w:cs="宋体" w:eastAsia="宋体" w:hint="default"/>
                <w:spacing w:val="-64"/>
                <w:sz w:val="18"/>
                <w:szCs w:val="18"/>
              </w:rPr>
              <w:t> </w:t>
            </w:r>
            <w:r>
              <w:rPr>
                <w:rFonts w:ascii="宋体" w:hAnsi="宋体" w:cs="宋体" w:eastAsia="宋体" w:hint="default"/>
                <w:spacing w:val="14"/>
                <w:sz w:val="18"/>
                <w:szCs w:val="18"/>
              </w:rPr>
              <w:t>类计入其他综合收益</w:t>
            </w:r>
            <w:r>
              <w:rPr>
                <w:rFonts w:ascii="宋体" w:hAnsi="宋体" w:cs="宋体" w:eastAsia="宋体" w:hint="default"/>
                <w:spacing w:val="-74"/>
                <w:sz w:val="18"/>
                <w:szCs w:val="18"/>
              </w:rPr>
              <w:t> </w:t>
            </w:r>
            <w:r>
              <w:rPr>
                <w:rFonts w:ascii="宋体" w:hAnsi="宋体" w:cs="宋体" w:eastAsia="宋体" w:hint="default"/>
                <w:sz w:val="18"/>
                <w:szCs w:val="18"/>
              </w:rPr>
              <w:t>的金额</w:t>
            </w:r>
          </w:p>
        </w:tc>
        <w:tc>
          <w:tcPr>
            <w:tcW w:w="1378"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nil" w:sz="6" w:space="0" w:color="auto"/>
            </w:tcBorders>
          </w:tcPr>
          <w:p>
            <w:pPr/>
          </w:p>
        </w:tc>
      </w:tr>
      <w:tr>
        <w:trPr>
          <w:trHeight w:val="1040"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9" w:lineRule="auto" w:before="63"/>
              <w:ind w:left="28" w:right="-15" w:firstLine="542"/>
              <w:jc w:val="both"/>
              <w:rPr>
                <w:rFonts w:ascii="宋体" w:hAnsi="宋体" w:cs="宋体" w:eastAsia="宋体" w:hint="default"/>
                <w:sz w:val="18"/>
                <w:szCs w:val="18"/>
              </w:rPr>
            </w:pPr>
            <w:r>
              <w:rPr>
                <w:rFonts w:ascii="宋体" w:hAnsi="宋体" w:cs="宋体" w:eastAsia="宋体" w:hint="default"/>
                <w:spacing w:val="21"/>
                <w:sz w:val="18"/>
                <w:szCs w:val="18"/>
              </w:rPr>
              <w:t>持有至到期投</w:t>
            </w:r>
            <w:r>
              <w:rPr>
                <w:rFonts w:ascii="宋体" w:hAnsi="宋体" w:cs="宋体" w:eastAsia="宋体" w:hint="default"/>
                <w:spacing w:val="-64"/>
                <w:sz w:val="18"/>
                <w:szCs w:val="18"/>
              </w:rPr>
              <w:t> </w:t>
            </w:r>
            <w:r>
              <w:rPr>
                <w:rFonts w:ascii="宋体" w:hAnsi="宋体" w:cs="宋体" w:eastAsia="宋体" w:hint="default"/>
                <w:spacing w:val="14"/>
                <w:sz w:val="18"/>
                <w:szCs w:val="18"/>
              </w:rPr>
              <w:t>资重分类为可供出售</w:t>
            </w:r>
            <w:r>
              <w:rPr>
                <w:rFonts w:ascii="宋体" w:hAnsi="宋体" w:cs="宋体" w:eastAsia="宋体" w:hint="default"/>
                <w:spacing w:val="-74"/>
                <w:sz w:val="18"/>
                <w:szCs w:val="18"/>
              </w:rPr>
              <w:t> </w:t>
            </w:r>
            <w:r>
              <w:rPr>
                <w:rFonts w:ascii="宋体" w:hAnsi="宋体" w:cs="宋体" w:eastAsia="宋体" w:hint="default"/>
                <w:sz w:val="18"/>
                <w:szCs w:val="18"/>
              </w:rPr>
              <w:t>金融资产损益</w:t>
            </w:r>
          </w:p>
        </w:tc>
        <w:tc>
          <w:tcPr>
            <w:tcW w:w="1378"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15" w:firstLine="542"/>
              <w:jc w:val="left"/>
              <w:rPr>
                <w:rFonts w:ascii="宋体" w:hAnsi="宋体" w:cs="宋体" w:eastAsia="宋体" w:hint="default"/>
                <w:sz w:val="18"/>
                <w:szCs w:val="18"/>
              </w:rPr>
            </w:pPr>
            <w:r>
              <w:rPr>
                <w:rFonts w:ascii="宋体" w:hAnsi="宋体" w:cs="宋体" w:eastAsia="宋体" w:hint="default"/>
                <w:spacing w:val="21"/>
                <w:sz w:val="18"/>
                <w:szCs w:val="18"/>
              </w:rPr>
              <w:t>其他债权投资</w:t>
            </w:r>
            <w:r>
              <w:rPr>
                <w:rFonts w:ascii="宋体" w:hAnsi="宋体" w:cs="宋体" w:eastAsia="宋体" w:hint="default"/>
                <w:spacing w:val="-64"/>
                <w:sz w:val="18"/>
                <w:szCs w:val="18"/>
              </w:rPr>
              <w:t> </w:t>
            </w:r>
            <w:r>
              <w:rPr>
                <w:rFonts w:ascii="宋体" w:hAnsi="宋体" w:cs="宋体" w:eastAsia="宋体" w:hint="default"/>
                <w:sz w:val="18"/>
                <w:szCs w:val="18"/>
              </w:rPr>
              <w:t>信用减值准备</w:t>
            </w:r>
          </w:p>
        </w:tc>
        <w:tc>
          <w:tcPr>
            <w:tcW w:w="1378"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585,580.96</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-296,891.38</w:t>
            </w:r>
          </w:p>
        </w:tc>
        <w:tc>
          <w:tcPr>
            <w:tcW w:w="1364"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-296,891.38</w:t>
            </w: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288,689.58</w:t>
            </w:r>
          </w:p>
        </w:tc>
      </w:tr>
    </w:tbl>
    <w:p>
      <w:pPr>
        <w:spacing w:after="0" w:line="240" w:lineRule="auto"/>
        <w:jc w:val="right"/>
        <w:rPr>
          <w:rFonts w:ascii="Times New Roman" w:hAnsi="Times New Roman" w:cs="Times New Roman" w:eastAsia="Times New Roman" w:hint="default"/>
          <w:sz w:val="18"/>
          <w:szCs w:val="18"/>
        </w:rPr>
        <w:sectPr>
          <w:headerReference w:type="default" r:id="rId66"/>
          <w:footerReference w:type="default" r:id="rId67"/>
          <w:pgSz w:w="16840" w:h="11910" w:orient="landscape"/>
          <w:pgMar w:header="877" w:footer="980" w:top="1100" w:bottom="1160" w:left="1300" w:right="2000"/>
          <w:pgNumType w:start="205"/>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372.290009pt;margin-top:112.580009pt;width:.5pt;height:.1pt;mso-position-horizontal-relative:page;mso-position-vertical-relative:page;z-index:-1327744" coordorigin="7446,2252" coordsize="10,2">
            <v:shape style="position:absolute;left:7446;top:2252;width:10;height:2" coordorigin="7446,2252" coordsize="10,0" path="m7446,2252l7455,2252e" filled="false" stroked="true" strokeweight=".72pt" strokecolor="#000000">
              <v:path arrowok="t"/>
              <v:stroke dashstyle="dash"/>
            </v:shape>
            <w10:wrap type="none"/>
          </v:group>
        </w:pict>
      </w:r>
      <w:r>
        <w:rPr/>
        <w:pict>
          <v:group style="position:absolute;margin-left:440.470001pt;margin-top:112.580009pt;width:.5pt;height:.1pt;mso-position-horizontal-relative:page;mso-position-vertical-relative:page;z-index:-1327720" coordorigin="8809,2252" coordsize="10,2">
            <v:shape style="position:absolute;left:8809;top:2252;width:10;height:2" coordorigin="8809,2252" coordsize="10,0" path="m8809,2252l8819,2252e" filled="false" stroked="true" strokeweight=".72pt" strokecolor="#000000">
              <v:path arrowok="t"/>
              <v:stroke dashstyle="dash"/>
            </v:shape>
            <w10:wrap type="none"/>
          </v:group>
        </w:pict>
      </w:r>
      <w:r>
        <w:rPr/>
        <w:pict>
          <v:group style="position:absolute;margin-left:501.790009pt;margin-top:112.580009pt;width:.5pt;height:.1pt;mso-position-horizontal-relative:page;mso-position-vertical-relative:page;z-index:-1327696" coordorigin="10036,2252" coordsize="10,2">
            <v:shape style="position:absolute;left:10036;top:2252;width:10;height:2" coordorigin="10036,2252" coordsize="10,0" path="m10036,2252l10045,2252e" filled="false" stroked="true" strokeweight=".72pt" strokecolor="#000000">
              <v:path arrowok="t"/>
              <v:stroke dashstyle="dash"/>
            </v:shape>
            <w10:wrap type="none"/>
          </v:group>
        </w:pict>
      </w:r>
      <w:r>
        <w:rPr/>
        <w:pict>
          <v:group style="position:absolute;margin-left:559.51001pt;margin-top:112.580009pt;width:.5pt;height:.1pt;mso-position-horizontal-relative:page;mso-position-vertical-relative:page;z-index:-1327672" coordorigin="11190,2252" coordsize="10,2">
            <v:shape style="position:absolute;left:11190;top:2252;width:10;height:2" coordorigin="11190,2252" coordsize="10,0" path="m11190,2252l11200,2252e" filled="false" stroked="true" strokeweight=".72pt" strokecolor="#000000">
              <v:path arrowok="t"/>
              <v:stroke dashstyle="dash"/>
            </v:shape>
            <w10:wrap type="none"/>
          </v:group>
        </w:pict>
      </w:r>
      <w:r>
        <w:rPr/>
        <w:pict>
          <v:group style="position:absolute;margin-left:632.979980pt;margin-top:112.580009pt;width:.5pt;height:.1pt;mso-position-horizontal-relative:page;mso-position-vertical-relative:page;z-index:-1327648" coordorigin="12660,2252" coordsize="10,2">
            <v:shape style="position:absolute;left:12660;top:2252;width:10;height:2" coordorigin="12660,2252" coordsize="10,0" path="m12660,2252l12669,2252e" filled="false" stroked="true" strokeweight=".72pt" strokecolor="#000000">
              <v:path arrowok="t"/>
              <v:stroke dashstyle="dash"/>
            </v:shape>
            <w10:wrap type="none"/>
          </v:group>
        </w:pict>
      </w:r>
    </w:p>
    <w:p>
      <w:pPr>
        <w:spacing w:line="240" w:lineRule="auto" w:before="1"/>
        <w:rPr>
          <w:rFonts w:ascii="Microsoft JhengHei" w:hAnsi="Microsoft JhengHei" w:cs="Microsoft JhengHei" w:eastAsia="Microsoft JhengHei"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1800"/>
        <w:gridCol w:w="1378"/>
        <w:gridCol w:w="1378"/>
        <w:gridCol w:w="1469"/>
        <w:gridCol w:w="1364"/>
        <w:gridCol w:w="1226"/>
        <w:gridCol w:w="1154"/>
        <w:gridCol w:w="1469"/>
        <w:gridCol w:w="950"/>
        <w:gridCol w:w="1066"/>
      </w:tblGrid>
      <w:tr>
        <w:trPr>
          <w:trHeight w:val="427" w:hRule="exact"/>
        </w:trPr>
        <w:tc>
          <w:tcPr>
            <w:tcW w:w="180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37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633"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066"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4" w:hRule="exact"/>
        </w:trPr>
        <w:tc>
          <w:tcPr>
            <w:tcW w:w="1800" w:type="dxa"/>
            <w:vMerge/>
            <w:tcBorders>
              <w:left w:val="nil" w:sz="6" w:space="0" w:color="auto"/>
              <w:bottom w:val="dotted" w:sz="4" w:space="0" w:color="000000"/>
              <w:right w:val="dotted" w:sz="4" w:space="0" w:color="000000"/>
            </w:tcBorders>
          </w:tcPr>
          <w:p>
            <w:pPr/>
          </w:p>
        </w:tc>
        <w:tc>
          <w:tcPr>
            <w:tcW w:w="1378" w:type="dxa"/>
            <w:vMerge/>
            <w:tcBorders>
              <w:left w:val="dotted" w:sz="4" w:space="0" w:color="000000"/>
              <w:bottom w:val="dotted" w:sz="4" w:space="0" w:color="000000"/>
              <w:right w:val="dotted" w:sz="4" w:space="0" w:color="000000"/>
            </w:tcBorders>
          </w:tcPr>
          <w:p>
            <w:pPr/>
          </w:p>
        </w:tc>
        <w:tc>
          <w:tcPr>
            <w:tcW w:w="1378" w:type="dxa"/>
            <w:vMerge/>
            <w:tcBorders>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316" w:lineRule="auto"/>
              <w:ind w:left="549" w:right="98" w:hanging="452"/>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316" w:lineRule="auto"/>
              <w:ind w:left="45" w:right="46"/>
              <w:jc w:val="center"/>
              <w:rPr>
                <w:rFonts w:ascii="宋体" w:hAnsi="宋体" w:cs="宋体" w:eastAsia="宋体" w:hint="default"/>
                <w:sz w:val="18"/>
                <w:szCs w:val="18"/>
              </w:rPr>
            </w:pPr>
            <w:r>
              <w:rPr>
                <w:rFonts w:ascii="宋体" w:hAnsi="宋体" w:cs="宋体" w:eastAsia="宋体" w:hint="default"/>
                <w:sz w:val="18"/>
                <w:szCs w:val="18"/>
              </w:rPr>
              <w:t>减：前期计入其 他综合收益当期 转入损益</w:t>
            </w:r>
          </w:p>
        </w:tc>
        <w:tc>
          <w:tcPr>
            <w:tcW w:w="1226"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67" w:right="67"/>
              <w:jc w:val="center"/>
              <w:rPr>
                <w:rFonts w:ascii="宋体" w:hAnsi="宋体" w:cs="宋体" w:eastAsia="宋体" w:hint="default"/>
                <w:sz w:val="18"/>
                <w:szCs w:val="18"/>
              </w:rPr>
            </w:pPr>
            <w:r>
              <w:rPr>
                <w:rFonts w:ascii="宋体" w:hAnsi="宋体" w:cs="宋体" w:eastAsia="宋体" w:hint="default"/>
                <w:sz w:val="18"/>
                <w:szCs w:val="18"/>
              </w:rPr>
              <w:t>减：前期计入 其他综合收益 当期转入留存 收益</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316" w:lineRule="auto"/>
              <w:ind w:left="480" w:right="31" w:hanging="449"/>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9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316" w:lineRule="auto"/>
              <w:ind w:left="107" w:right="19"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66" w:type="dxa"/>
            <w:vMerge/>
            <w:tcBorders>
              <w:left w:val="dotted" w:sz="4" w:space="0" w:color="000000"/>
              <w:bottom w:val="dotted" w:sz="4" w:space="0" w:color="000000"/>
              <w:right w:val="nil" w:sz="6" w:space="0" w:color="auto"/>
            </w:tcBorders>
          </w:tcPr>
          <w:p>
            <w:pPr/>
          </w:p>
        </w:tc>
      </w:tr>
      <w:tr>
        <w:trPr>
          <w:trHeight w:val="1040"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4"/>
              <w:ind w:left="28" w:right="-15" w:firstLine="542"/>
              <w:jc w:val="both"/>
              <w:rPr>
                <w:rFonts w:ascii="宋体" w:hAnsi="宋体" w:cs="宋体" w:eastAsia="宋体" w:hint="default"/>
                <w:sz w:val="18"/>
                <w:szCs w:val="18"/>
              </w:rPr>
            </w:pPr>
            <w:r>
              <w:rPr>
                <w:rFonts w:ascii="宋体" w:hAnsi="宋体" w:cs="宋体" w:eastAsia="宋体" w:hint="default"/>
                <w:spacing w:val="21"/>
                <w:sz w:val="18"/>
                <w:szCs w:val="18"/>
              </w:rPr>
              <w:t>现金流量套期</w:t>
            </w:r>
            <w:r>
              <w:rPr>
                <w:rFonts w:ascii="宋体" w:hAnsi="宋体" w:cs="宋体" w:eastAsia="宋体" w:hint="default"/>
                <w:spacing w:val="-64"/>
                <w:sz w:val="18"/>
                <w:szCs w:val="18"/>
              </w:rPr>
              <w:t> </w:t>
            </w:r>
            <w:r>
              <w:rPr>
                <w:rFonts w:ascii="宋体" w:hAnsi="宋体" w:cs="宋体" w:eastAsia="宋体" w:hint="default"/>
                <w:spacing w:val="-5"/>
                <w:sz w:val="18"/>
                <w:szCs w:val="18"/>
              </w:rPr>
              <w:t>储备（现金流量套期损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益的有效部分）</w:t>
            </w:r>
          </w:p>
        </w:tc>
        <w:tc>
          <w:tcPr>
            <w:tcW w:w="1378"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
        </w:tc>
        <w:tc>
          <w:tcPr>
            <w:tcW w:w="1364"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800"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15" w:firstLine="542"/>
              <w:jc w:val="left"/>
              <w:rPr>
                <w:rFonts w:ascii="宋体" w:hAnsi="宋体" w:cs="宋体" w:eastAsia="宋体" w:hint="default"/>
                <w:sz w:val="18"/>
                <w:szCs w:val="18"/>
              </w:rPr>
            </w:pPr>
            <w:r>
              <w:rPr>
                <w:rFonts w:ascii="宋体" w:hAnsi="宋体" w:cs="宋体" w:eastAsia="宋体" w:hint="default"/>
                <w:spacing w:val="21"/>
                <w:sz w:val="18"/>
                <w:szCs w:val="18"/>
              </w:rPr>
              <w:t>外币财务报表</w:t>
            </w:r>
            <w:r>
              <w:rPr>
                <w:rFonts w:ascii="宋体" w:hAnsi="宋体" w:cs="宋体" w:eastAsia="宋体" w:hint="default"/>
                <w:spacing w:val="-64"/>
                <w:sz w:val="18"/>
                <w:szCs w:val="18"/>
              </w:rPr>
              <w:t> </w:t>
            </w:r>
            <w:r>
              <w:rPr>
                <w:rFonts w:ascii="宋体" w:hAnsi="宋体" w:cs="宋体" w:eastAsia="宋体" w:hint="default"/>
                <w:sz w:val="18"/>
                <w:szCs w:val="18"/>
              </w:rPr>
              <w:t>折算差额</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3,037,360.64</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3,037,360.64</w:t>
            </w: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18,104,947.64</w:t>
            </w:r>
          </w:p>
        </w:tc>
        <w:tc>
          <w:tcPr>
            <w:tcW w:w="1364" w:type="dxa"/>
            <w:tcBorders>
              <w:top w:val="dotted" w:sz="4" w:space="0" w:color="000000"/>
              <w:left w:val="dotted" w:sz="4" w:space="0" w:color="000000"/>
              <w:bottom w:val="dotted" w:sz="4" w:space="0" w:color="000000"/>
              <w:right w:val="dotted" w:sz="4" w:space="0" w:color="000000"/>
            </w:tcBorders>
          </w:tcPr>
          <w:p>
            <w:pPr/>
          </w:p>
        </w:tc>
        <w:tc>
          <w:tcPr>
            <w:tcW w:w="1226" w:type="dxa"/>
            <w:tcBorders>
              <w:top w:val="dotted" w:sz="4" w:space="0" w:color="000000"/>
              <w:left w:val="dotted" w:sz="4" w:space="0" w:color="000000"/>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
        </w:tc>
        <w:tc>
          <w:tcPr>
            <w:tcW w:w="14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18,104,947.64</w:t>
            </w:r>
          </w:p>
        </w:tc>
        <w:tc>
          <w:tcPr>
            <w:tcW w:w="950" w:type="dxa"/>
            <w:tcBorders>
              <w:top w:val="dotted" w:sz="4" w:space="0" w:color="000000"/>
              <w:left w:val="dotted" w:sz="4" w:space="0" w:color="000000"/>
              <w:bottom w:val="dotted" w:sz="4" w:space="0" w:color="000000"/>
              <w:right w:val="dotted" w:sz="4" w:space="0" w:color="000000"/>
            </w:tcBorders>
          </w:tcPr>
          <w:p>
            <w:pPr/>
          </w:p>
        </w:tc>
        <w:tc>
          <w:tcPr>
            <w:tcW w:w="10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21,142,308.28</w:t>
            </w:r>
          </w:p>
        </w:tc>
      </w:tr>
      <w:tr>
        <w:trPr>
          <w:trHeight w:val="427" w:hRule="exact"/>
        </w:trPr>
        <w:tc>
          <w:tcPr>
            <w:tcW w:w="18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-38,172,787.92</w:t>
            </w:r>
          </w:p>
        </w:tc>
        <w:tc>
          <w:tcPr>
            <w:tcW w:w="13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-10,701,046.72</w:t>
            </w:r>
          </w:p>
        </w:tc>
        <w:tc>
          <w:tcPr>
            <w:tcW w:w="14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31,438,969.81</w:t>
            </w:r>
          </w:p>
        </w:tc>
        <w:tc>
          <w:tcPr>
            <w:tcW w:w="13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-1,601,394.33</w:t>
            </w:r>
          </w:p>
        </w:tc>
        <w:tc>
          <w:tcPr>
            <w:tcW w:w="1226" w:type="dxa"/>
            <w:tcBorders>
              <w:top w:val="dotted" w:sz="4" w:space="0" w:color="000000"/>
              <w:left w:val="dotted" w:sz="4" w:space="0" w:color="000000"/>
              <w:bottom w:val="single" w:sz="12" w:space="0" w:color="000000"/>
              <w:right w:val="dotted" w:sz="4" w:space="0" w:color="000000"/>
            </w:tcBorders>
          </w:tcPr>
          <w:p>
            <w:pP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2,416,262.74</w:t>
            </w:r>
          </w:p>
        </w:tc>
        <w:tc>
          <w:tcPr>
            <w:tcW w:w="14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30,624,101.40</w:t>
            </w:r>
          </w:p>
        </w:tc>
        <w:tc>
          <w:tcPr>
            <w:tcW w:w="950" w:type="dxa"/>
            <w:tcBorders>
              <w:top w:val="dotted" w:sz="4" w:space="0" w:color="000000"/>
              <w:left w:val="dotted" w:sz="4" w:space="0" w:color="000000"/>
              <w:bottom w:val="single" w:sz="12" w:space="0" w:color="000000"/>
              <w:right w:val="dotted" w:sz="4" w:space="0" w:color="000000"/>
            </w:tcBorders>
          </w:tcPr>
          <w:p>
            <w:pPr/>
          </w:p>
        </w:tc>
        <w:tc>
          <w:tcPr>
            <w:tcW w:w="10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19,923,054.68</w:t>
            </w:r>
          </w:p>
        </w:tc>
      </w:tr>
    </w:tbl>
    <w:p>
      <w:pPr>
        <w:spacing w:before="8"/>
        <w:ind w:left="140" w:right="0" w:firstLine="0"/>
        <w:jc w:val="left"/>
        <w:rPr>
          <w:rFonts w:ascii="宋体" w:hAnsi="宋体" w:cs="宋体" w:eastAsia="宋体" w:hint="default"/>
          <w:sz w:val="18"/>
          <w:szCs w:val="18"/>
        </w:rPr>
      </w:pPr>
      <w:r>
        <w:rPr>
          <w:rFonts w:ascii="宋体" w:hAnsi="宋体" w:cs="宋体" w:eastAsia="宋体" w:hint="default"/>
          <w:sz w:val="18"/>
          <w:szCs w:val="18"/>
        </w:rPr>
        <w:t>注：因执行新金融工具准则，该项目期初余额与上年末余额存在差异。差异情况详见附注四（四十二）</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after="0"/>
        <w:jc w:val="left"/>
        <w:rPr>
          <w:rFonts w:ascii="宋体" w:hAnsi="宋体" w:cs="宋体" w:eastAsia="宋体" w:hint="default"/>
          <w:sz w:val="18"/>
          <w:szCs w:val="18"/>
        </w:rPr>
        <w:sectPr>
          <w:pgSz w:w="16840" w:h="11910" w:orient="landscape"/>
          <w:pgMar w:header="877" w:footer="980" w:top="1100" w:bottom="1160" w:left="1300" w:right="2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47. </w:t>
      </w:r>
      <w:r>
        <w:rPr>
          <w:rFonts w:ascii="Times New Roman" w:hAnsi="Times New Roman" w:cs="Times New Roman" w:eastAsia="Times New Roman" w:hint="default"/>
          <w:spacing w:val="6"/>
        </w:rPr>
        <w:t> </w:t>
      </w:r>
      <w:r>
        <w:rPr/>
        <w:t>盈余公积</w:t>
      </w:r>
      <w:r>
        <w:rPr>
          <w:b w:val="0"/>
          <w:bCs w:val="0"/>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1978"/>
        <w:gridCol w:w="1669"/>
        <w:gridCol w:w="1457"/>
        <w:gridCol w:w="1560"/>
        <w:gridCol w:w="1664"/>
      </w:tblGrid>
      <w:tr>
        <w:trPr>
          <w:trHeight w:val="360" w:hRule="exact"/>
        </w:trPr>
        <w:tc>
          <w:tcPr>
            <w:tcW w:w="19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794"/>
              <w:jc w:val="right"/>
              <w:rPr>
                <w:rFonts w:ascii="宋体" w:hAnsi="宋体" w:cs="宋体" w:eastAsia="宋体" w:hint="default"/>
                <w:sz w:val="18"/>
                <w:szCs w:val="18"/>
              </w:rPr>
            </w:pPr>
            <w:r>
              <w:rPr>
                <w:rFonts w:ascii="宋体" w:hAnsi="宋体" w:cs="宋体" w:eastAsia="宋体" w:hint="default"/>
                <w:sz w:val="18"/>
                <w:szCs w:val="18"/>
              </w:rPr>
              <w:t>项目</w:t>
            </w:r>
          </w:p>
        </w:tc>
        <w:tc>
          <w:tcPr>
            <w:tcW w:w="1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4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768"/>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44,253,651.01</w:t>
            </w:r>
          </w:p>
        </w:tc>
        <w:tc>
          <w:tcPr>
            <w:tcW w:w="1457"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16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44,253,651.01</w:t>
            </w:r>
          </w:p>
        </w:tc>
      </w:tr>
      <w:tr>
        <w:trPr>
          <w:trHeight w:val="360" w:hRule="exact"/>
        </w:trPr>
        <w:tc>
          <w:tcPr>
            <w:tcW w:w="19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794"/>
              <w:jc w:val="right"/>
              <w:rPr>
                <w:rFonts w:ascii="宋体" w:hAnsi="宋体" w:cs="宋体" w:eastAsia="宋体" w:hint="default"/>
                <w:sz w:val="18"/>
                <w:szCs w:val="18"/>
              </w:rPr>
            </w:pPr>
            <w:r>
              <w:rPr>
                <w:rFonts w:ascii="宋体" w:hAnsi="宋体" w:cs="宋体" w:eastAsia="宋体" w:hint="default"/>
                <w:sz w:val="18"/>
                <w:szCs w:val="18"/>
              </w:rPr>
              <w:t>合计</w:t>
            </w:r>
          </w:p>
        </w:tc>
        <w:tc>
          <w:tcPr>
            <w:tcW w:w="16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44,253,651.01</w:t>
            </w:r>
          </w:p>
        </w:tc>
        <w:tc>
          <w:tcPr>
            <w:tcW w:w="1457" w:type="dxa"/>
            <w:tcBorders>
              <w:top w:val="dotted" w:sz="4" w:space="0" w:color="000000"/>
              <w:left w:val="dotted" w:sz="4" w:space="0" w:color="000000"/>
              <w:bottom w:val="single" w:sz="12" w:space="0" w:color="000000"/>
              <w:right w:val="dotted" w:sz="4" w:space="0" w:color="000000"/>
            </w:tcBorders>
          </w:tcPr>
          <w:p>
            <w:pPr/>
          </w:p>
        </w:tc>
        <w:tc>
          <w:tcPr>
            <w:tcW w:w="1560" w:type="dxa"/>
            <w:tcBorders>
              <w:top w:val="dotted" w:sz="4" w:space="0" w:color="000000"/>
              <w:left w:val="dotted" w:sz="4" w:space="0" w:color="000000"/>
              <w:bottom w:val="single" w:sz="12" w:space="0" w:color="000000"/>
              <w:right w:val="dotted" w:sz="4" w:space="0" w:color="000000"/>
            </w:tcBorders>
          </w:tcPr>
          <w:p>
            <w:pPr/>
          </w:p>
        </w:tc>
        <w:tc>
          <w:tcPr>
            <w:tcW w:w="16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44,253,651.01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48. </w:t>
      </w:r>
      <w:r>
        <w:rPr>
          <w:rFonts w:ascii="Times New Roman" w:hAnsi="Times New Roman" w:cs="Times New Roman" w:eastAsia="Times New Roman" w:hint="default"/>
          <w:spacing w:val="9"/>
        </w:rPr>
        <w:t> </w:t>
      </w:r>
      <w:r>
        <w:rPr/>
        <w:t>一般风险准备</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33" w:type="dxa"/>
        <w:tblLayout w:type="fixed"/>
        <w:tblCellMar>
          <w:top w:w="0" w:type="dxa"/>
          <w:left w:w="0" w:type="dxa"/>
          <w:bottom w:w="0" w:type="dxa"/>
          <w:right w:w="0" w:type="dxa"/>
        </w:tblCellMar>
        <w:tblLook w:val="01E0"/>
      </w:tblPr>
      <w:tblGrid>
        <w:gridCol w:w="2338"/>
        <w:gridCol w:w="1469"/>
        <w:gridCol w:w="1551"/>
        <w:gridCol w:w="1368"/>
        <w:gridCol w:w="1553"/>
      </w:tblGrid>
      <w:tr>
        <w:trPr>
          <w:trHeight w:val="418" w:hRule="exact"/>
        </w:trPr>
        <w:tc>
          <w:tcPr>
            <w:tcW w:w="233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2"/>
              <w:ind w:right="975"/>
              <w:jc w:val="right"/>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2"/>
              <w:ind w:left="3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69" w:type="dxa"/>
            <w:tcBorders>
              <w:top w:val="dotted" w:sz="4" w:space="0" w:color="000000"/>
              <w:left w:val="dotted" w:sz="4" w:space="0" w:color="000000"/>
              <w:bottom w:val="dotted" w:sz="4" w:space="0" w:color="000000"/>
              <w:right w:val="dotted" w:sz="4" w:space="0" w:color="000000"/>
            </w:tcBorders>
          </w:tcPr>
          <w:p>
            <w:pP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154,347,784.41</w:t>
            </w:r>
          </w:p>
        </w:tc>
        <w:tc>
          <w:tcPr>
            <w:tcW w:w="1368"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11"/>
              <w:jc w:val="right"/>
              <w:rPr>
                <w:rFonts w:ascii="Times New Roman" w:hAnsi="Times New Roman" w:cs="Times New Roman" w:eastAsia="Times New Roman" w:hint="default"/>
                <w:sz w:val="18"/>
                <w:szCs w:val="18"/>
              </w:rPr>
            </w:pPr>
            <w:r>
              <w:rPr>
                <w:rFonts w:ascii="Times New Roman"/>
                <w:spacing w:val="-1"/>
                <w:sz w:val="18"/>
              </w:rPr>
              <w:t>154,347,784.41</w:t>
            </w:r>
          </w:p>
        </w:tc>
      </w:tr>
      <w:tr>
        <w:trPr>
          <w:trHeight w:val="408" w:hRule="exact"/>
        </w:trPr>
        <w:tc>
          <w:tcPr>
            <w:tcW w:w="23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交易风险准备</w:t>
            </w:r>
          </w:p>
        </w:tc>
        <w:tc>
          <w:tcPr>
            <w:tcW w:w="1469" w:type="dxa"/>
            <w:tcBorders>
              <w:top w:val="dotted" w:sz="4" w:space="0" w:color="000000"/>
              <w:left w:val="dotted" w:sz="4" w:space="0" w:color="000000"/>
              <w:bottom w:val="dotted" w:sz="4" w:space="0" w:color="000000"/>
              <w:right w:val="dotted" w:sz="4" w:space="0" w:color="000000"/>
            </w:tcBorders>
          </w:tcPr>
          <w:p>
            <w:pPr/>
          </w:p>
        </w:tc>
        <w:tc>
          <w:tcPr>
            <w:tcW w:w="15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154,347,784.41</w:t>
            </w:r>
          </w:p>
        </w:tc>
        <w:tc>
          <w:tcPr>
            <w:tcW w:w="1368" w:type="dxa"/>
            <w:tcBorders>
              <w:top w:val="dotted" w:sz="4" w:space="0" w:color="000000"/>
              <w:left w:val="dotted" w:sz="4" w:space="0" w:color="000000"/>
              <w:bottom w:val="dotted" w:sz="4" w:space="0" w:color="000000"/>
              <w:right w:val="dotted" w:sz="4" w:space="0" w:color="000000"/>
            </w:tcBorders>
          </w:tcPr>
          <w:p>
            <w:pPr/>
          </w:p>
        </w:tc>
        <w:tc>
          <w:tcPr>
            <w:tcW w:w="15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11"/>
              <w:jc w:val="right"/>
              <w:rPr>
                <w:rFonts w:ascii="Times New Roman" w:hAnsi="Times New Roman" w:cs="Times New Roman" w:eastAsia="Times New Roman" w:hint="default"/>
                <w:sz w:val="18"/>
                <w:szCs w:val="18"/>
              </w:rPr>
            </w:pPr>
            <w:r>
              <w:rPr>
                <w:rFonts w:ascii="Times New Roman"/>
                <w:spacing w:val="-1"/>
                <w:sz w:val="18"/>
              </w:rPr>
              <w:t>154,347,784.41</w:t>
            </w:r>
          </w:p>
        </w:tc>
      </w:tr>
      <w:tr>
        <w:trPr>
          <w:trHeight w:val="418" w:hRule="exact"/>
        </w:trPr>
        <w:tc>
          <w:tcPr>
            <w:tcW w:w="23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975"/>
              <w:jc w:val="righ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dotted" w:sz="4" w:space="0" w:color="000000"/>
              <w:left w:val="dotted" w:sz="4" w:space="0" w:color="000000"/>
              <w:bottom w:val="single" w:sz="12" w:space="0" w:color="000000"/>
              <w:right w:val="dotted" w:sz="4" w:space="0" w:color="000000"/>
            </w:tcBorders>
          </w:tcPr>
          <w:p>
            <w:pPr/>
          </w:p>
        </w:tc>
        <w:tc>
          <w:tcPr>
            <w:tcW w:w="15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308,695,568.82</w:t>
            </w:r>
          </w:p>
        </w:tc>
        <w:tc>
          <w:tcPr>
            <w:tcW w:w="1368" w:type="dxa"/>
            <w:tcBorders>
              <w:top w:val="dotted" w:sz="4" w:space="0" w:color="000000"/>
              <w:left w:val="dotted" w:sz="4" w:space="0" w:color="000000"/>
              <w:bottom w:val="single" w:sz="12" w:space="0" w:color="000000"/>
              <w:right w:val="dotted" w:sz="4" w:space="0" w:color="000000"/>
            </w:tcBorders>
          </w:tcPr>
          <w:p>
            <w:pPr/>
          </w:p>
        </w:tc>
        <w:tc>
          <w:tcPr>
            <w:tcW w:w="15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9"/>
              <w:jc w:val="right"/>
              <w:rPr>
                <w:rFonts w:ascii="Times New Roman" w:hAnsi="Times New Roman" w:cs="Times New Roman" w:eastAsia="Times New Roman" w:hint="default"/>
                <w:sz w:val="18"/>
                <w:szCs w:val="18"/>
              </w:rPr>
            </w:pPr>
            <w:r>
              <w:rPr>
                <w:rFonts w:ascii="Times New Roman"/>
                <w:spacing w:val="-1"/>
                <w:sz w:val="18"/>
              </w:rPr>
              <w:t>308,695,568.82</w:t>
            </w:r>
          </w:p>
        </w:tc>
      </w:tr>
    </w:tbl>
    <w:p>
      <w:pPr>
        <w:spacing w:line="242" w:lineRule="exact" w:before="8"/>
        <w:ind w:left="138" w:right="1578" w:firstLine="0"/>
        <w:jc w:val="left"/>
        <w:rPr>
          <w:rFonts w:ascii="宋体" w:hAnsi="宋体" w:cs="宋体" w:eastAsia="宋体" w:hint="default"/>
          <w:sz w:val="18"/>
          <w:szCs w:val="18"/>
        </w:rPr>
      </w:pPr>
      <w:r>
        <w:rPr>
          <w:rFonts w:ascii="宋体" w:hAnsi="宋体" w:cs="宋体" w:eastAsia="宋体" w:hint="default"/>
          <w:sz w:val="18"/>
          <w:szCs w:val="18"/>
        </w:rPr>
        <w:t>注：报告期末，将国盛证券自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日（收购国盛证券的合并日）至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日期间计提</w:t>
      </w:r>
    </w:p>
    <w:p>
      <w:pPr>
        <w:spacing w:line="234" w:lineRule="exact" w:before="0"/>
        <w:ind w:left="138" w:right="1578" w:firstLine="0"/>
        <w:jc w:val="left"/>
        <w:rPr>
          <w:rFonts w:ascii="宋体" w:hAnsi="宋体" w:cs="宋体" w:eastAsia="宋体" w:hint="default"/>
          <w:sz w:val="18"/>
          <w:szCs w:val="18"/>
        </w:rPr>
      </w:pPr>
      <w:r>
        <w:rPr>
          <w:rFonts w:ascii="宋体" w:hAnsi="宋体" w:cs="宋体" w:eastAsia="宋体" w:hint="default"/>
          <w:sz w:val="18"/>
          <w:szCs w:val="18"/>
        </w:rPr>
        <w:t>的一般风险准备和交易风险准备合计金额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216,540,423.68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年度计提的一般风险准备和交易风险准</w:t>
      </w:r>
    </w:p>
    <w:p>
      <w:pPr>
        <w:spacing w:line="232" w:lineRule="exact" w:before="0"/>
        <w:ind w:left="138" w:right="157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备合计金额 </w:t>
      </w:r>
      <w:r>
        <w:rPr>
          <w:rFonts w:ascii="Times New Roman" w:hAnsi="Times New Roman" w:cs="Times New Roman" w:eastAsia="Times New Roman" w:hint="default"/>
          <w:sz w:val="18"/>
          <w:szCs w:val="18"/>
        </w:rPr>
        <w:t>92,155,145.14  </w:t>
      </w:r>
      <w:r>
        <w:rPr>
          <w:rFonts w:ascii="宋体" w:hAnsi="宋体" w:cs="宋体" w:eastAsia="宋体" w:hint="default"/>
          <w:sz w:val="18"/>
          <w:szCs w:val="18"/>
        </w:rPr>
        <w:t>元从未分配利润中调整并恢复，本期合计增加一般风险准备合计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308,695,568.82</w:t>
      </w:r>
    </w:p>
    <w:p>
      <w:pPr>
        <w:spacing w:line="240" w:lineRule="exact" w:before="0"/>
        <w:ind w:left="138" w:right="1786" w:firstLine="0"/>
        <w:jc w:val="left"/>
        <w:rPr>
          <w:rFonts w:ascii="宋体" w:hAnsi="宋体" w:cs="宋体" w:eastAsia="宋体" w:hint="default"/>
          <w:sz w:val="18"/>
          <w:szCs w:val="18"/>
        </w:rPr>
      </w:pPr>
      <w:r>
        <w:rPr>
          <w:rFonts w:ascii="宋体" w:hAnsi="宋体" w:cs="宋体" w:eastAsia="宋体" w:hint="default"/>
          <w:sz w:val="18"/>
          <w:szCs w:val="18"/>
        </w:rPr>
        <w:t>元，并相应调减未分配利润合计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308,695,568.82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pStyle w:val="Heading4"/>
        <w:spacing w:line="240" w:lineRule="auto" w:before="121"/>
        <w:ind w:right="1786"/>
        <w:jc w:val="left"/>
        <w:rPr>
          <w:b w:val="0"/>
          <w:bCs w:val="0"/>
        </w:rPr>
      </w:pPr>
      <w:r>
        <w:rPr/>
        <w:t>注释 </w:t>
      </w:r>
      <w:r>
        <w:rPr>
          <w:rFonts w:ascii="Times New Roman" w:hAnsi="Times New Roman" w:cs="Times New Roman" w:eastAsia="Times New Roman" w:hint="default"/>
        </w:rPr>
        <w:t>49. </w:t>
      </w:r>
      <w:r>
        <w:rPr>
          <w:rFonts w:ascii="Times New Roman" w:hAnsi="Times New Roman" w:cs="Times New Roman" w:eastAsia="Times New Roman" w:hint="default"/>
          <w:spacing w:val="7"/>
        </w:rPr>
        <w:t> </w:t>
      </w:r>
      <w:r>
        <w:rPr/>
        <w:t>未分配利润</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74" w:type="dxa"/>
        <w:tblLayout w:type="fixed"/>
        <w:tblCellMar>
          <w:top w:w="0" w:type="dxa"/>
          <w:left w:w="0" w:type="dxa"/>
          <w:bottom w:w="0" w:type="dxa"/>
          <w:right w:w="0" w:type="dxa"/>
        </w:tblCellMar>
        <w:tblLook w:val="01E0"/>
      </w:tblPr>
      <w:tblGrid>
        <w:gridCol w:w="3512"/>
        <w:gridCol w:w="2067"/>
        <w:gridCol w:w="2657"/>
      </w:tblGrid>
      <w:tr>
        <w:trPr>
          <w:trHeight w:val="427" w:hRule="exact"/>
        </w:trPr>
        <w:tc>
          <w:tcPr>
            <w:tcW w:w="351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6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5"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0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600,115,330.16</w:t>
            </w:r>
          </w:p>
        </w:tc>
        <w:tc>
          <w:tcPr>
            <w:tcW w:w="2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pacing w:val="-1"/>
                <w:sz w:val="18"/>
              </w:rPr>
              <w:t>1,161,420,991.71</w:t>
            </w:r>
          </w:p>
        </w:tc>
      </w:tr>
      <w:tr>
        <w:trPr>
          <w:trHeight w:val="521"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宋体" w:hAnsi="宋体" w:cs="宋体" w:eastAsia="宋体" w:hint="default"/>
                <w:spacing w:val="-3"/>
                <w:sz w:val="18"/>
                <w:szCs w:val="18"/>
              </w:rPr>
              <w:t>+</w:t>
            </w:r>
            <w:r>
              <w:rPr>
                <w:rFonts w:ascii="宋体" w:hAnsi="宋体" w:cs="宋体" w:eastAsia="宋体" w:hint="default"/>
                <w:spacing w:val="-3"/>
                <w:sz w:val="18"/>
                <w:szCs w:val="18"/>
              </w:rPr>
              <w:t>，调减</w:t>
            </w:r>
            <w:r>
              <w:rPr>
                <w:rFonts w:ascii="宋体" w:hAnsi="宋体" w:cs="宋体" w:eastAsia="宋体" w:hint="default"/>
                <w:spacing w:val="-3"/>
                <w:sz w:val="18"/>
                <w:szCs w:val="18"/>
              </w:rPr>
              <w:t>-</w:t>
            </w:r>
          </w:p>
        </w:tc>
        <w:tc>
          <w:tcPr>
            <w:tcW w:w="2067" w:type="dxa"/>
            <w:tcBorders>
              <w:top w:val="dotted" w:sz="4" w:space="0" w:color="000000"/>
              <w:left w:val="dotted" w:sz="4" w:space="0" w:color="000000"/>
              <w:bottom w:val="dotted" w:sz="4" w:space="0" w:color="000000"/>
              <w:right w:val="dotted" w:sz="4" w:space="0" w:color="000000"/>
            </w:tcBorders>
          </w:tcPr>
          <w:p>
            <w:pPr>
              <w:pStyle w:val="TableParagraph"/>
              <w:tabs>
                <w:tab w:pos="1010" w:val="left" w:leader="none"/>
              </w:tabs>
              <w:spacing w:line="240" w:lineRule="auto" w:before="153"/>
              <w:ind w:left="-108" w:right="10"/>
              <w:jc w:val="right"/>
              <w:rPr>
                <w:rFonts w:ascii="Times New Roman" w:hAnsi="Times New Roman" w:cs="Times New Roman" w:eastAsia="Times New Roman" w:hint="default"/>
                <w:sz w:val="18"/>
                <w:szCs w:val="18"/>
              </w:rPr>
            </w:pPr>
            <w:r>
              <w:rPr>
                <w:rFonts w:ascii="宋体" w:hAnsi="宋体" w:cs="宋体" w:eastAsia="宋体" w:hint="default"/>
                <w:position w:val="-5"/>
                <w:sz w:val="18"/>
                <w:szCs w:val="18"/>
              </w:rPr>
              <w:t>）</w:t>
              <w:tab/>
            </w:r>
            <w:r>
              <w:rPr>
                <w:rFonts w:ascii="Times New Roman" w:hAnsi="Times New Roman" w:cs="Times New Roman" w:eastAsia="Times New Roman" w:hint="default"/>
                <w:spacing w:val="-1"/>
                <w:sz w:val="18"/>
                <w:szCs w:val="18"/>
              </w:rPr>
              <w:t>20,208,341.13</w:t>
            </w:r>
          </w:p>
        </w:tc>
        <w:tc>
          <w:tcPr>
            <w:tcW w:w="26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0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0"/>
              <w:ind w:right="8"/>
              <w:jc w:val="right"/>
              <w:rPr>
                <w:rFonts w:ascii="Times New Roman" w:hAnsi="Times New Roman" w:cs="Times New Roman" w:eastAsia="Times New Roman" w:hint="default"/>
                <w:sz w:val="18"/>
                <w:szCs w:val="18"/>
              </w:rPr>
            </w:pPr>
            <w:r>
              <w:rPr>
                <w:rFonts w:ascii="Times New Roman"/>
                <w:spacing w:val="-1"/>
                <w:sz w:val="18"/>
              </w:rPr>
              <w:t>620,323,671.29</w:t>
            </w:r>
          </w:p>
        </w:tc>
        <w:tc>
          <w:tcPr>
            <w:tcW w:w="2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1,161,420,991.71</w:t>
            </w:r>
          </w:p>
        </w:tc>
      </w:tr>
      <w:tr>
        <w:trPr>
          <w:trHeight w:val="475"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8"/>
              <w:ind w:left="2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0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right="10"/>
              <w:jc w:val="right"/>
              <w:rPr>
                <w:rFonts w:ascii="Times New Roman" w:hAnsi="Times New Roman" w:cs="Times New Roman" w:eastAsia="Times New Roman" w:hint="default"/>
                <w:sz w:val="18"/>
                <w:szCs w:val="18"/>
              </w:rPr>
            </w:pPr>
            <w:r>
              <w:rPr>
                <w:rFonts w:ascii="Times New Roman"/>
                <w:spacing w:val="-1"/>
                <w:sz w:val="18"/>
              </w:rPr>
              <w:t>95,206,095.24</w:t>
            </w:r>
          </w:p>
        </w:tc>
        <w:tc>
          <w:tcPr>
            <w:tcW w:w="2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spacing w:val="-1"/>
                <w:sz w:val="18"/>
              </w:rPr>
              <w:t>-544,272,818.63</w:t>
            </w:r>
          </w:p>
        </w:tc>
      </w:tr>
      <w:tr>
        <w:trPr>
          <w:trHeight w:val="415"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067" w:type="dxa"/>
            <w:tcBorders>
              <w:top w:val="dotted" w:sz="4" w:space="0" w:color="000000"/>
              <w:left w:val="dotted" w:sz="4" w:space="0" w:color="000000"/>
              <w:bottom w:val="dotted" w:sz="4" w:space="0" w:color="000000"/>
              <w:right w:val="dotted" w:sz="4" w:space="0" w:color="000000"/>
            </w:tcBorders>
          </w:tcPr>
          <w:p>
            <w:pPr/>
          </w:p>
        </w:tc>
        <w:tc>
          <w:tcPr>
            <w:tcW w:w="2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2,111,060.85</w:t>
            </w:r>
          </w:p>
        </w:tc>
      </w:tr>
      <w:tr>
        <w:trPr>
          <w:trHeight w:val="418"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8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067" w:type="dxa"/>
            <w:tcBorders>
              <w:top w:val="dotted" w:sz="4" w:space="0" w:color="000000"/>
              <w:left w:val="dotted" w:sz="4" w:space="0" w:color="000000"/>
              <w:bottom w:val="dotted" w:sz="4" w:space="0" w:color="000000"/>
              <w:right w:val="dotted" w:sz="4" w:space="0" w:color="000000"/>
            </w:tcBorders>
          </w:tcPr>
          <w:p>
            <w:pPr/>
          </w:p>
        </w:tc>
        <w:tc>
          <w:tcPr>
            <w:tcW w:w="26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88" w:right="0"/>
              <w:jc w:val="left"/>
              <w:rPr>
                <w:rFonts w:ascii="宋体" w:hAnsi="宋体" w:cs="宋体" w:eastAsia="宋体" w:hint="default"/>
                <w:sz w:val="18"/>
                <w:szCs w:val="18"/>
              </w:rPr>
            </w:pPr>
            <w:r>
              <w:rPr>
                <w:rFonts w:ascii="宋体" w:hAnsi="宋体" w:cs="宋体" w:eastAsia="宋体" w:hint="default"/>
                <w:sz w:val="18"/>
                <w:szCs w:val="18"/>
              </w:rPr>
              <w:t>提取一般风险准备（注</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20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308,695,568.82</w:t>
            </w:r>
          </w:p>
        </w:tc>
        <w:tc>
          <w:tcPr>
            <w:tcW w:w="265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8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067" w:type="dxa"/>
            <w:tcBorders>
              <w:top w:val="dotted" w:sz="4" w:space="0" w:color="000000"/>
              <w:left w:val="dotted" w:sz="4" w:space="0" w:color="000000"/>
              <w:bottom w:val="dotted" w:sz="4" w:space="0" w:color="000000"/>
              <w:right w:val="dotted" w:sz="4" w:space="0" w:color="000000"/>
            </w:tcBorders>
          </w:tcPr>
          <w:p>
            <w:pPr/>
          </w:p>
        </w:tc>
        <w:tc>
          <w:tcPr>
            <w:tcW w:w="2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14,919,109.10</w:t>
            </w:r>
          </w:p>
        </w:tc>
      </w:tr>
      <w:tr>
        <w:trPr>
          <w:trHeight w:val="415"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388" w:right="0"/>
              <w:jc w:val="left"/>
              <w:rPr>
                <w:rFonts w:ascii="宋体" w:hAnsi="宋体" w:cs="宋体" w:eastAsia="宋体" w:hint="default"/>
                <w:sz w:val="18"/>
                <w:szCs w:val="18"/>
              </w:rPr>
            </w:pPr>
            <w:r>
              <w:rPr>
                <w:rFonts w:ascii="宋体" w:hAnsi="宋体" w:cs="宋体" w:eastAsia="宋体" w:hint="default"/>
                <w:sz w:val="18"/>
                <w:szCs w:val="18"/>
              </w:rPr>
              <w:t>其他利润分配</w:t>
            </w:r>
          </w:p>
        </w:tc>
        <w:tc>
          <w:tcPr>
            <w:tcW w:w="2067" w:type="dxa"/>
            <w:tcBorders>
              <w:top w:val="dotted" w:sz="4" w:space="0" w:color="000000"/>
              <w:left w:val="dotted" w:sz="4" w:space="0" w:color="000000"/>
              <w:bottom w:val="dotted" w:sz="4" w:space="0" w:color="000000"/>
              <w:right w:val="dotted" w:sz="4" w:space="0" w:color="000000"/>
            </w:tcBorders>
          </w:tcPr>
          <w:p>
            <w:pPr/>
          </w:p>
        </w:tc>
        <w:tc>
          <w:tcPr>
            <w:tcW w:w="2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w w:val="95"/>
                <w:sz w:val="18"/>
              </w:rPr>
              <w:t>2,672.97</w:t>
            </w:r>
          </w:p>
        </w:tc>
      </w:tr>
      <w:tr>
        <w:trPr>
          <w:trHeight w:val="418"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加：盈余公积弥补亏损</w:t>
            </w:r>
          </w:p>
        </w:tc>
        <w:tc>
          <w:tcPr>
            <w:tcW w:w="2067" w:type="dxa"/>
            <w:tcBorders>
              <w:top w:val="dotted" w:sz="4" w:space="0" w:color="000000"/>
              <w:left w:val="dotted" w:sz="4" w:space="0" w:color="000000"/>
              <w:bottom w:val="dotted" w:sz="4" w:space="0" w:color="000000"/>
              <w:right w:val="dotted" w:sz="4" w:space="0" w:color="000000"/>
            </w:tcBorders>
          </w:tcPr>
          <w:p>
            <w:pPr/>
          </w:p>
        </w:tc>
        <w:tc>
          <w:tcPr>
            <w:tcW w:w="2657" w:type="dxa"/>
            <w:tcBorders>
              <w:top w:val="dotted" w:sz="4" w:space="0" w:color="000000"/>
              <w:left w:val="dotted" w:sz="4" w:space="0" w:color="000000"/>
              <w:bottom w:val="dotted" w:sz="4" w:space="0" w:color="000000"/>
              <w:right w:val="nil" w:sz="6" w:space="0" w:color="auto"/>
            </w:tcBorders>
          </w:tcPr>
          <w:p>
            <w:pPr/>
          </w:p>
        </w:tc>
      </w:tr>
      <w:tr>
        <w:trPr>
          <w:trHeight w:val="506"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388" w:right="0"/>
              <w:jc w:val="left"/>
              <w:rPr>
                <w:rFonts w:ascii="宋体" w:hAnsi="宋体" w:cs="宋体" w:eastAsia="宋体" w:hint="default"/>
                <w:sz w:val="18"/>
                <w:szCs w:val="18"/>
              </w:rPr>
            </w:pPr>
            <w:r>
              <w:rPr>
                <w:rFonts w:ascii="宋体" w:hAnsi="宋体" w:cs="宋体" w:eastAsia="宋体" w:hint="default"/>
                <w:sz w:val="18"/>
                <w:szCs w:val="18"/>
              </w:rPr>
              <w:t>设定受益计划变动额结转留存收益</w:t>
            </w:r>
          </w:p>
        </w:tc>
        <w:tc>
          <w:tcPr>
            <w:tcW w:w="2067" w:type="dxa"/>
            <w:tcBorders>
              <w:top w:val="dotted" w:sz="4" w:space="0" w:color="000000"/>
              <w:left w:val="dotted" w:sz="4" w:space="0" w:color="000000"/>
              <w:bottom w:val="dotted" w:sz="4" w:space="0" w:color="000000"/>
              <w:right w:val="dotted" w:sz="4" w:space="0" w:color="000000"/>
            </w:tcBorders>
          </w:tcPr>
          <w:p>
            <w:pPr/>
          </w:p>
        </w:tc>
        <w:tc>
          <w:tcPr>
            <w:tcW w:w="2657" w:type="dxa"/>
            <w:tcBorders>
              <w:top w:val="dotted" w:sz="4" w:space="0" w:color="000000"/>
              <w:left w:val="dotted" w:sz="4" w:space="0" w:color="000000"/>
              <w:bottom w:val="dotted" w:sz="4" w:space="0" w:color="000000"/>
              <w:right w:val="nil" w:sz="6" w:space="0" w:color="auto"/>
            </w:tcBorders>
          </w:tcPr>
          <w:p>
            <w:pPr/>
          </w:p>
        </w:tc>
      </w:tr>
      <w:tr>
        <w:trPr>
          <w:trHeight w:val="504"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388" w:right="0"/>
              <w:jc w:val="left"/>
              <w:rPr>
                <w:rFonts w:ascii="宋体" w:hAnsi="宋体" w:cs="宋体" w:eastAsia="宋体" w:hint="default"/>
                <w:sz w:val="18"/>
                <w:szCs w:val="18"/>
              </w:rPr>
            </w:pPr>
            <w:r>
              <w:rPr>
                <w:rFonts w:ascii="宋体" w:hAnsi="宋体" w:cs="宋体" w:eastAsia="宋体" w:hint="default"/>
                <w:sz w:val="18"/>
                <w:szCs w:val="18"/>
              </w:rPr>
              <w:t>其他综合收益结转留存收益</w:t>
            </w:r>
          </w:p>
        </w:tc>
        <w:tc>
          <w:tcPr>
            <w:tcW w:w="2067" w:type="dxa"/>
            <w:tcBorders>
              <w:top w:val="dotted" w:sz="4" w:space="0" w:color="000000"/>
              <w:left w:val="dotted" w:sz="4" w:space="0" w:color="000000"/>
              <w:bottom w:val="dotted" w:sz="4" w:space="0" w:color="000000"/>
              <w:right w:val="dotted" w:sz="4" w:space="0" w:color="000000"/>
            </w:tcBorders>
          </w:tcPr>
          <w:p>
            <w:pPr/>
          </w:p>
        </w:tc>
        <w:tc>
          <w:tcPr>
            <w:tcW w:w="2657" w:type="dxa"/>
            <w:tcBorders>
              <w:top w:val="dotted" w:sz="4" w:space="0" w:color="000000"/>
              <w:left w:val="dotted" w:sz="4" w:space="0" w:color="000000"/>
              <w:bottom w:val="dotted" w:sz="4" w:space="0" w:color="000000"/>
              <w:right w:val="nil" w:sz="6" w:space="0" w:color="auto"/>
            </w:tcBorders>
          </w:tcPr>
          <w:p>
            <w:pPr/>
          </w:p>
        </w:tc>
      </w:tr>
      <w:tr>
        <w:trPr>
          <w:trHeight w:val="504" w:hRule="exact"/>
        </w:trPr>
        <w:tc>
          <w:tcPr>
            <w:tcW w:w="3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9"/>
              <w:ind w:left="388" w:right="0"/>
              <w:jc w:val="left"/>
              <w:rPr>
                <w:rFonts w:ascii="宋体" w:hAnsi="宋体" w:cs="宋体" w:eastAsia="宋体" w:hint="default"/>
                <w:sz w:val="18"/>
                <w:szCs w:val="18"/>
              </w:rPr>
            </w:pPr>
            <w:r>
              <w:rPr>
                <w:rFonts w:ascii="宋体" w:hAnsi="宋体" w:cs="宋体" w:eastAsia="宋体" w:hint="default"/>
                <w:sz w:val="18"/>
                <w:szCs w:val="18"/>
              </w:rPr>
              <w:t>所有者权益其他内部结转</w:t>
            </w:r>
          </w:p>
        </w:tc>
        <w:tc>
          <w:tcPr>
            <w:tcW w:w="2067" w:type="dxa"/>
            <w:tcBorders>
              <w:top w:val="dotted" w:sz="4" w:space="0" w:color="000000"/>
              <w:left w:val="dotted" w:sz="4" w:space="0" w:color="000000"/>
              <w:bottom w:val="dotted" w:sz="4" w:space="0" w:color="000000"/>
              <w:right w:val="dotted" w:sz="4" w:space="0" w:color="000000"/>
            </w:tcBorders>
          </w:tcPr>
          <w:p>
            <w:pPr/>
          </w:p>
        </w:tc>
        <w:tc>
          <w:tcPr>
            <w:tcW w:w="2657" w:type="dxa"/>
            <w:tcBorders>
              <w:top w:val="dotted" w:sz="4" w:space="0" w:color="000000"/>
              <w:left w:val="dotted" w:sz="4" w:space="0" w:color="000000"/>
              <w:bottom w:val="dotted" w:sz="4" w:space="0" w:color="000000"/>
              <w:right w:val="nil" w:sz="6" w:space="0" w:color="auto"/>
            </w:tcBorders>
          </w:tcPr>
          <w:p>
            <w:pPr/>
          </w:p>
        </w:tc>
      </w:tr>
      <w:tr>
        <w:trPr>
          <w:trHeight w:val="430" w:hRule="exact"/>
        </w:trPr>
        <w:tc>
          <w:tcPr>
            <w:tcW w:w="35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0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pacing w:val="-1"/>
                <w:sz w:val="18"/>
              </w:rPr>
              <w:t>406,834,197.71</w:t>
            </w:r>
          </w:p>
        </w:tc>
        <w:tc>
          <w:tcPr>
            <w:tcW w:w="26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3"/>
              <w:ind w:right="15"/>
              <w:jc w:val="right"/>
              <w:rPr>
                <w:rFonts w:ascii="Times New Roman" w:hAnsi="Times New Roman" w:cs="Times New Roman" w:eastAsia="Times New Roman" w:hint="default"/>
                <w:sz w:val="18"/>
                <w:szCs w:val="18"/>
              </w:rPr>
            </w:pPr>
            <w:r>
              <w:rPr>
                <w:rFonts w:ascii="Times New Roman"/>
                <w:spacing w:val="-1"/>
                <w:sz w:val="18"/>
              </w:rPr>
              <w:t>600,115,330.16</w:t>
            </w:r>
          </w:p>
        </w:tc>
      </w:tr>
    </w:tbl>
    <w:p>
      <w:pPr>
        <w:spacing w:after="0" w:line="240" w:lineRule="auto"/>
        <w:jc w:val="right"/>
        <w:rPr>
          <w:rFonts w:ascii="Times New Roman" w:hAnsi="Times New Roman" w:cs="Times New Roman" w:eastAsia="Times New Roman" w:hint="default"/>
          <w:sz w:val="18"/>
          <w:szCs w:val="18"/>
        </w:rPr>
        <w:sectPr>
          <w:headerReference w:type="default" r:id="rId68"/>
          <w:footerReference w:type="default" r:id="rId69"/>
          <w:pgSz w:w="11910" w:h="16840"/>
          <w:pgMar w:header="877" w:footer="979" w:top="1100" w:bottom="1160" w:left="1660" w:right="0"/>
          <w:pgNumType w:start="207"/>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5"/>
          <w:szCs w:val="15"/>
        </w:rPr>
      </w:pPr>
    </w:p>
    <w:p>
      <w:pPr>
        <w:spacing w:line="232" w:lineRule="exact" w:before="69"/>
        <w:ind w:left="138" w:right="185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：因执行新金融工具准则，该项目期初余额与上年末余额存在差异。差异情况详见附注四（四十二）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）相关内容。</w:t>
      </w:r>
    </w:p>
    <w:p>
      <w:pPr>
        <w:spacing w:line="310" w:lineRule="exact" w:before="12"/>
        <w:ind w:left="740" w:right="5890" w:hanging="603"/>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：详见注释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w:t>
      </w:r>
      <w:r>
        <w:rPr>
          <w:rFonts w:ascii="宋体" w:hAnsi="宋体" w:cs="宋体" w:eastAsia="宋体" w:hint="default"/>
          <w:sz w:val="21"/>
          <w:szCs w:val="21"/>
        </w:rPr>
        <w:t>“一般风险准备”的注解。</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注释 </w:t>
      </w:r>
      <w:r>
        <w:rPr>
          <w:rFonts w:ascii="Times New Roman" w:hAnsi="Times New Roman" w:cs="Times New Roman" w:eastAsia="Times New Roman" w:hint="default"/>
          <w:b/>
          <w:bCs/>
          <w:sz w:val="21"/>
          <w:szCs w:val="21"/>
        </w:rPr>
        <w:t>50. </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613"/>
        <w:gridCol w:w="1856"/>
        <w:gridCol w:w="1755"/>
        <w:gridCol w:w="1990"/>
        <w:gridCol w:w="1114"/>
      </w:tblGrid>
      <w:tr>
        <w:trPr>
          <w:trHeight w:val="427" w:hRule="exact"/>
        </w:trPr>
        <w:tc>
          <w:tcPr>
            <w:tcW w:w="1613"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0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7" w:hRule="exact"/>
        </w:trPr>
        <w:tc>
          <w:tcPr>
            <w:tcW w:w="1613" w:type="dxa"/>
            <w:vMerge/>
            <w:tcBorders>
              <w:left w:val="nil" w:sz="6" w:space="0" w:color="auto"/>
              <w:bottom w:val="dotted" w:sz="4" w:space="0" w:color="000000"/>
              <w:right w:val="dotted" w:sz="4" w:space="0" w:color="000000"/>
            </w:tcBorders>
          </w:tcPr>
          <w:p>
            <w:pPr/>
          </w:p>
        </w:tc>
        <w:tc>
          <w:tcPr>
            <w:tcW w:w="18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7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1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2"/>
              <w:ind w:left="3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18" w:hRule="exact"/>
        </w:trPr>
        <w:tc>
          <w:tcPr>
            <w:tcW w:w="16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6" w:type="dxa"/>
            <w:tcBorders>
              <w:top w:val="dotted" w:sz="4" w:space="0" w:color="000000"/>
              <w:left w:val="dotted" w:sz="4" w:space="0" w:color="000000"/>
              <w:bottom w:val="dotted" w:sz="4" w:space="0" w:color="000000"/>
              <w:right w:val="dotted" w:sz="4" w:space="0" w:color="000000"/>
            </w:tcBorders>
          </w:tcPr>
          <w:p>
            <w:pPr/>
          </w:p>
        </w:tc>
        <w:tc>
          <w:tcPr>
            <w:tcW w:w="1755" w:type="dxa"/>
            <w:tcBorders>
              <w:top w:val="dotted" w:sz="4" w:space="0" w:color="000000"/>
              <w:left w:val="dotted" w:sz="4" w:space="0" w:color="000000"/>
              <w:bottom w:val="dotted" w:sz="4" w:space="0" w:color="000000"/>
              <w:right w:val="dotted" w:sz="4" w:space="0" w:color="000000"/>
            </w:tcBorders>
          </w:tcPr>
          <w:p>
            <w:pPr/>
          </w:p>
        </w:tc>
        <w:tc>
          <w:tcPr>
            <w:tcW w:w="1990" w:type="dxa"/>
            <w:tcBorders>
              <w:top w:val="dotted" w:sz="4" w:space="0" w:color="000000"/>
              <w:left w:val="dotted" w:sz="4" w:space="0" w:color="000000"/>
              <w:bottom w:val="dotted" w:sz="4" w:space="0" w:color="000000"/>
              <w:right w:val="dotted" w:sz="4" w:space="0" w:color="000000"/>
            </w:tcBorders>
          </w:tcPr>
          <w:p>
            <w:pPr/>
          </w:p>
        </w:tc>
        <w:tc>
          <w:tcPr>
            <w:tcW w:w="1114" w:type="dxa"/>
            <w:tcBorders>
              <w:top w:val="dotted" w:sz="4" w:space="0" w:color="000000"/>
              <w:left w:val="dotted" w:sz="4" w:space="0" w:color="000000"/>
              <w:bottom w:val="dotted" w:sz="4" w:space="0" w:color="000000"/>
              <w:right w:val="nil" w:sz="6" w:space="0" w:color="auto"/>
            </w:tcBorders>
          </w:tcPr>
          <w:p>
            <w:pPr/>
          </w:p>
        </w:tc>
      </w:tr>
      <w:tr>
        <w:trPr>
          <w:trHeight w:val="416" w:hRule="exact"/>
        </w:trPr>
        <w:tc>
          <w:tcPr>
            <w:tcW w:w="16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1,350,575.65</w:t>
            </w:r>
          </w:p>
        </w:tc>
        <w:tc>
          <w:tcPr>
            <w:tcW w:w="17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177,922.13</w:t>
            </w:r>
          </w:p>
        </w:tc>
        <w:tc>
          <w:tcPr>
            <w:tcW w:w="19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pacing w:val="-1"/>
                <w:sz w:val="18"/>
              </w:rPr>
              <w:t>1,855,201.13</w:t>
            </w:r>
          </w:p>
        </w:tc>
        <w:tc>
          <w:tcPr>
            <w:tcW w:w="11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left="374" w:right="0"/>
              <w:jc w:val="left"/>
              <w:rPr>
                <w:rFonts w:ascii="Times New Roman" w:hAnsi="Times New Roman" w:cs="Times New Roman" w:eastAsia="Times New Roman" w:hint="default"/>
                <w:sz w:val="18"/>
                <w:szCs w:val="18"/>
              </w:rPr>
            </w:pPr>
            <w:r>
              <w:rPr>
                <w:rFonts w:ascii="Times New Roman"/>
                <w:sz w:val="18"/>
              </w:rPr>
              <w:t>66,197.09</w:t>
            </w:r>
          </w:p>
        </w:tc>
      </w:tr>
      <w:tr>
        <w:trPr>
          <w:trHeight w:val="430" w:hRule="exact"/>
        </w:trPr>
        <w:tc>
          <w:tcPr>
            <w:tcW w:w="16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1,350,575.65</w:t>
            </w:r>
          </w:p>
        </w:tc>
        <w:tc>
          <w:tcPr>
            <w:tcW w:w="17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177,922.13</w:t>
            </w:r>
          </w:p>
        </w:tc>
        <w:tc>
          <w:tcPr>
            <w:tcW w:w="19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1,855,201.13</w:t>
            </w:r>
          </w:p>
        </w:tc>
        <w:tc>
          <w:tcPr>
            <w:tcW w:w="11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371" w:right="0"/>
              <w:jc w:val="left"/>
              <w:rPr>
                <w:rFonts w:ascii="Times New Roman" w:hAnsi="Times New Roman" w:cs="Times New Roman" w:eastAsia="Times New Roman" w:hint="default"/>
                <w:sz w:val="18"/>
                <w:szCs w:val="18"/>
              </w:rPr>
            </w:pPr>
            <w:r>
              <w:rPr>
                <w:rFonts w:ascii="Times New Roman"/>
                <w:sz w:val="18"/>
              </w:rPr>
              <w:t>66,197.09</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51. </w:t>
      </w:r>
      <w:r>
        <w:rPr>
          <w:rFonts w:ascii="Times New Roman" w:hAnsi="Times New Roman" w:cs="Times New Roman" w:eastAsia="Times New Roman" w:hint="default"/>
          <w:spacing w:val="7"/>
        </w:rPr>
        <w:t> </w:t>
      </w:r>
      <w:r>
        <w:rPr/>
        <w:t>利息净收入</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4815"/>
        <w:gridCol w:w="1918"/>
        <w:gridCol w:w="1594"/>
      </w:tblGrid>
      <w:tr>
        <w:trPr>
          <w:trHeight w:val="434" w:hRule="exact"/>
        </w:trPr>
        <w:tc>
          <w:tcPr>
            <w:tcW w:w="48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0"/>
              <w:ind w:left="5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0"/>
              <w:ind w:left="3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716,099,061.09</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574,226,811.41</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其中：货币资金及结算备付金利息收入</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180,715,738.58</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148,572,609.91</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拆出资金利息收入</w:t>
            </w:r>
          </w:p>
        </w:tc>
        <w:tc>
          <w:tcPr>
            <w:tcW w:w="1918"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融出资金利息收入</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222,809,435.89</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154,038,792.35</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571" w:right="0"/>
              <w:jc w:val="left"/>
              <w:rPr>
                <w:rFonts w:ascii="宋体" w:hAnsi="宋体" w:cs="宋体" w:eastAsia="宋体" w:hint="default"/>
                <w:sz w:val="18"/>
                <w:szCs w:val="18"/>
              </w:rPr>
            </w:pPr>
            <w:r>
              <w:rPr>
                <w:rFonts w:ascii="宋体" w:hAnsi="宋体" w:cs="宋体" w:eastAsia="宋体" w:hint="default"/>
                <w:sz w:val="18"/>
                <w:szCs w:val="18"/>
              </w:rPr>
              <w:t>买入返售金融资产利息收入</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7"/>
              <w:jc w:val="right"/>
              <w:rPr>
                <w:rFonts w:ascii="Times New Roman" w:hAnsi="Times New Roman" w:cs="Times New Roman" w:eastAsia="Times New Roman" w:hint="default"/>
                <w:sz w:val="18"/>
                <w:szCs w:val="18"/>
              </w:rPr>
            </w:pPr>
            <w:r>
              <w:rPr>
                <w:rFonts w:ascii="Times New Roman"/>
                <w:spacing w:val="-1"/>
                <w:sz w:val="18"/>
              </w:rPr>
              <w:t>294,220,868.73</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271,615,409.15</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571" w:right="0"/>
              <w:jc w:val="left"/>
              <w:rPr>
                <w:rFonts w:ascii="宋体" w:hAnsi="宋体" w:cs="宋体" w:eastAsia="宋体" w:hint="default"/>
                <w:sz w:val="18"/>
                <w:szCs w:val="18"/>
              </w:rPr>
            </w:pPr>
            <w:r>
              <w:rPr>
                <w:rFonts w:ascii="宋体" w:hAnsi="宋体" w:cs="宋体" w:eastAsia="宋体" w:hint="default"/>
                <w:sz w:val="18"/>
                <w:szCs w:val="18"/>
              </w:rPr>
              <w:t>其中：约定购回利息收入</w:t>
            </w:r>
          </w:p>
        </w:tc>
        <w:tc>
          <w:tcPr>
            <w:tcW w:w="1918"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1111" w:right="0"/>
              <w:jc w:val="left"/>
              <w:rPr>
                <w:rFonts w:ascii="宋体" w:hAnsi="宋体" w:cs="宋体" w:eastAsia="宋体" w:hint="default"/>
                <w:sz w:val="18"/>
                <w:szCs w:val="18"/>
              </w:rPr>
            </w:pPr>
            <w:r>
              <w:rPr>
                <w:rFonts w:ascii="宋体" w:hAnsi="宋体" w:cs="宋体" w:eastAsia="宋体" w:hint="default"/>
                <w:sz w:val="18"/>
                <w:szCs w:val="18"/>
              </w:rPr>
              <w:t>股权质押回购利息收入</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7"/>
              <w:jc w:val="right"/>
              <w:rPr>
                <w:rFonts w:ascii="Times New Roman" w:hAnsi="Times New Roman" w:cs="Times New Roman" w:eastAsia="Times New Roman" w:hint="default"/>
                <w:sz w:val="18"/>
                <w:szCs w:val="18"/>
              </w:rPr>
            </w:pPr>
            <w:r>
              <w:rPr>
                <w:rFonts w:ascii="Times New Roman"/>
                <w:spacing w:val="-1"/>
                <w:sz w:val="18"/>
              </w:rPr>
              <w:t>281,267,492.03</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191,585,496.11</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债权投资利息收入</w:t>
            </w:r>
          </w:p>
        </w:tc>
        <w:tc>
          <w:tcPr>
            <w:tcW w:w="1918"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其他债权投资利息收入</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18,327,867.21</w:t>
            </w: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其他按实际利率法计算的金融资产产生的利息收入</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25,150.68</w:t>
            </w: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408,150,839.66</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315,254,548.82</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其中：短期借款利息支出</w:t>
            </w:r>
          </w:p>
        </w:tc>
        <w:tc>
          <w:tcPr>
            <w:tcW w:w="1918"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应付短期融资款利息支出</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81,289,783.43</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28,585,823.40</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拆入资金利息支出</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92,536,166.64</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106,557,770.88</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其中：转融通利息支出</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84,252,430.53</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88,222,916.66</w:t>
            </w:r>
          </w:p>
        </w:tc>
      </w:tr>
      <w:tr>
        <w:trPr>
          <w:trHeight w:val="427"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卖出回购金融资产款利息支出</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171,512,167.28</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110,026,888.00</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571" w:right="0"/>
              <w:jc w:val="left"/>
              <w:rPr>
                <w:rFonts w:ascii="宋体" w:hAnsi="宋体" w:cs="宋体" w:eastAsia="宋体" w:hint="default"/>
                <w:sz w:val="18"/>
                <w:szCs w:val="18"/>
              </w:rPr>
            </w:pPr>
            <w:r>
              <w:rPr>
                <w:rFonts w:ascii="宋体" w:hAnsi="宋体" w:cs="宋体" w:eastAsia="宋体" w:hint="default"/>
                <w:sz w:val="18"/>
                <w:szCs w:val="18"/>
              </w:rPr>
              <w:t>其中：报价回购利息支出</w:t>
            </w:r>
          </w:p>
        </w:tc>
        <w:tc>
          <w:tcPr>
            <w:tcW w:w="1918"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8"/>
              <w:ind w:left="571" w:right="0"/>
              <w:jc w:val="left"/>
              <w:rPr>
                <w:rFonts w:ascii="宋体" w:hAnsi="宋体" w:cs="宋体" w:eastAsia="宋体" w:hint="default"/>
                <w:sz w:val="18"/>
                <w:szCs w:val="18"/>
              </w:rPr>
            </w:pPr>
            <w:r>
              <w:rPr>
                <w:rFonts w:ascii="宋体" w:hAnsi="宋体" w:cs="宋体" w:eastAsia="宋体" w:hint="default"/>
                <w:sz w:val="18"/>
                <w:szCs w:val="18"/>
              </w:rPr>
              <w:t>代理买卖证券款利息支出</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7"/>
              <w:jc w:val="right"/>
              <w:rPr>
                <w:rFonts w:ascii="Times New Roman" w:hAnsi="Times New Roman" w:cs="Times New Roman" w:eastAsia="Times New Roman" w:hint="default"/>
                <w:sz w:val="18"/>
                <w:szCs w:val="18"/>
              </w:rPr>
            </w:pPr>
            <w:r>
              <w:rPr>
                <w:rFonts w:ascii="Times New Roman"/>
                <w:spacing w:val="-1"/>
                <w:sz w:val="18"/>
              </w:rPr>
              <w:t>24,103,559.56</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26,198,365.33</w:t>
            </w:r>
          </w:p>
        </w:tc>
      </w:tr>
      <w:tr>
        <w:trPr>
          <w:trHeight w:val="435" w:hRule="exact"/>
        </w:trPr>
        <w:tc>
          <w:tcPr>
            <w:tcW w:w="48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8"/>
              <w:ind w:left="571" w:right="0"/>
              <w:jc w:val="left"/>
              <w:rPr>
                <w:rFonts w:ascii="宋体" w:hAnsi="宋体" w:cs="宋体" w:eastAsia="宋体" w:hint="default"/>
                <w:sz w:val="18"/>
                <w:szCs w:val="18"/>
              </w:rPr>
            </w:pPr>
            <w:r>
              <w:rPr>
                <w:rFonts w:ascii="宋体" w:hAnsi="宋体" w:cs="宋体" w:eastAsia="宋体" w:hint="default"/>
                <w:sz w:val="18"/>
                <w:szCs w:val="18"/>
              </w:rPr>
              <w:t>长期借款利息支出</w:t>
            </w:r>
          </w:p>
        </w:tc>
        <w:tc>
          <w:tcPr>
            <w:tcW w:w="1918" w:type="dxa"/>
            <w:tcBorders>
              <w:top w:val="dotted" w:sz="4" w:space="0" w:color="000000"/>
              <w:left w:val="dotted" w:sz="4" w:space="0" w:color="000000"/>
              <w:bottom w:val="single" w:sz="12" w:space="0" w:color="000000"/>
              <w:right w:val="dotted" w:sz="4" w:space="0" w:color="000000"/>
            </w:tcBorders>
          </w:tcPr>
          <w:p>
            <w:pPr/>
          </w:p>
        </w:tc>
        <w:tc>
          <w:tcPr>
            <w:tcW w:w="1594"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4815"/>
        <w:gridCol w:w="1918"/>
        <w:gridCol w:w="1594"/>
      </w:tblGrid>
      <w:tr>
        <w:trPr>
          <w:trHeight w:val="437" w:hRule="exact"/>
        </w:trPr>
        <w:tc>
          <w:tcPr>
            <w:tcW w:w="48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3"/>
              <w:ind w:left="571" w:right="0"/>
              <w:jc w:val="left"/>
              <w:rPr>
                <w:rFonts w:ascii="宋体" w:hAnsi="宋体" w:cs="宋体" w:eastAsia="宋体" w:hint="default"/>
                <w:sz w:val="18"/>
                <w:szCs w:val="18"/>
              </w:rPr>
            </w:pPr>
            <w:r>
              <w:rPr>
                <w:rFonts w:ascii="宋体" w:hAnsi="宋体" w:cs="宋体" w:eastAsia="宋体" w:hint="default"/>
                <w:sz w:val="18"/>
                <w:szCs w:val="18"/>
              </w:rPr>
              <w:t>应付债券利息支出</w:t>
            </w:r>
          </w:p>
        </w:tc>
        <w:tc>
          <w:tcPr>
            <w:tcW w:w="19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7"/>
              <w:ind w:right="7"/>
              <w:jc w:val="right"/>
              <w:rPr>
                <w:rFonts w:ascii="Times New Roman" w:hAnsi="Times New Roman" w:cs="Times New Roman" w:eastAsia="Times New Roman" w:hint="default"/>
                <w:sz w:val="18"/>
                <w:szCs w:val="18"/>
              </w:rPr>
            </w:pPr>
            <w:r>
              <w:rPr>
                <w:rFonts w:ascii="Times New Roman"/>
                <w:spacing w:val="-1"/>
                <w:sz w:val="18"/>
              </w:rPr>
              <w:t>35,810,512.29</w:t>
            </w:r>
          </w:p>
        </w:tc>
        <w:tc>
          <w:tcPr>
            <w:tcW w:w="159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7"/>
              <w:ind w:right="12"/>
              <w:jc w:val="right"/>
              <w:rPr>
                <w:rFonts w:ascii="Times New Roman" w:hAnsi="Times New Roman" w:cs="Times New Roman" w:eastAsia="Times New Roman" w:hint="default"/>
                <w:sz w:val="18"/>
                <w:szCs w:val="18"/>
              </w:rPr>
            </w:pPr>
            <w:r>
              <w:rPr>
                <w:rFonts w:ascii="Times New Roman"/>
                <w:spacing w:val="-1"/>
                <w:sz w:val="18"/>
              </w:rPr>
              <w:t>43,885,701.21</w:t>
            </w: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其中：次级债券利息支出</w:t>
            </w:r>
          </w:p>
        </w:tc>
        <w:tc>
          <w:tcPr>
            <w:tcW w:w="1918" w:type="dxa"/>
            <w:tcBorders>
              <w:top w:val="dotted" w:sz="4" w:space="0" w:color="000000"/>
              <w:left w:val="dotted" w:sz="4" w:space="0" w:color="000000"/>
              <w:bottom w:val="dotted" w:sz="4" w:space="0" w:color="000000"/>
              <w:right w:val="dotted" w:sz="4" w:space="0" w:color="000000"/>
            </w:tcBorders>
          </w:tcPr>
          <w:p>
            <w:pP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5" w:hRule="exact"/>
        </w:trPr>
        <w:tc>
          <w:tcPr>
            <w:tcW w:w="48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571" w:right="0"/>
              <w:jc w:val="left"/>
              <w:rPr>
                <w:rFonts w:ascii="宋体" w:hAnsi="宋体" w:cs="宋体" w:eastAsia="宋体" w:hint="default"/>
                <w:sz w:val="18"/>
                <w:szCs w:val="18"/>
              </w:rPr>
            </w:pPr>
            <w:r>
              <w:rPr>
                <w:rFonts w:ascii="宋体" w:hAnsi="宋体" w:cs="宋体" w:eastAsia="宋体" w:hint="default"/>
                <w:sz w:val="18"/>
                <w:szCs w:val="18"/>
              </w:rPr>
              <w:t>其他按实际利率法计算的金融负债产生的利息支出</w:t>
            </w:r>
          </w:p>
        </w:tc>
        <w:tc>
          <w:tcPr>
            <w:tcW w:w="19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5"/>
              <w:ind w:right="7"/>
              <w:jc w:val="right"/>
              <w:rPr>
                <w:rFonts w:ascii="Times New Roman" w:hAnsi="Times New Roman" w:cs="Times New Roman" w:eastAsia="Times New Roman" w:hint="default"/>
                <w:sz w:val="18"/>
                <w:szCs w:val="18"/>
              </w:rPr>
            </w:pPr>
            <w:r>
              <w:rPr>
                <w:rFonts w:ascii="Times New Roman"/>
                <w:spacing w:val="-1"/>
                <w:sz w:val="18"/>
              </w:rPr>
              <w:t>2,898,650.46</w:t>
            </w: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48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19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307,948,221.43</w:t>
            </w:r>
          </w:p>
        </w:tc>
        <w:tc>
          <w:tcPr>
            <w:tcW w:w="15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258,972,262.59</w:t>
            </w: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52. </w:t>
      </w:r>
      <w:r>
        <w:rPr>
          <w:rFonts w:ascii="Times New Roman" w:hAnsi="Times New Roman" w:cs="Times New Roman" w:eastAsia="Times New Roman" w:hint="default"/>
          <w:spacing w:val="9"/>
        </w:rPr>
        <w:t> </w:t>
      </w:r>
      <w:r>
        <w:rPr/>
        <w:t>手续费及佣金净收入</w:t>
      </w:r>
      <w:r>
        <w:rPr>
          <w:b w:val="0"/>
          <w:bCs w:val="0"/>
        </w:rPr>
      </w:r>
    </w:p>
    <w:p>
      <w:pPr>
        <w:pStyle w:val="Heading4"/>
        <w:spacing w:line="240" w:lineRule="auto" w:before="81"/>
        <w:ind w:right="1786"/>
        <w:jc w:val="left"/>
        <w:rPr>
          <w:b w:val="0"/>
          <w:bCs w:val="0"/>
        </w:rPr>
      </w:pPr>
      <w:r>
        <w:rPr>
          <w:rFonts w:ascii="Arial" w:hAnsi="Arial" w:cs="Arial" w:eastAsia="Arial" w:hint="default"/>
        </w:rPr>
        <w:t>1.</w:t>
      </w:r>
      <w:r>
        <w:rPr>
          <w:rFonts w:ascii="Arial" w:hAnsi="Arial" w:cs="Arial" w:eastAsia="Arial" w:hint="default"/>
          <w:spacing w:val="21"/>
        </w:rPr>
        <w:t> </w:t>
      </w:r>
      <w:r>
        <w:rPr/>
        <w:t>手续费及佣金净收入情况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994"/>
        <w:gridCol w:w="1829"/>
        <w:gridCol w:w="2504"/>
      </w:tblGrid>
      <w:tr>
        <w:trPr>
          <w:trHeight w:val="418" w:hRule="exact"/>
        </w:trPr>
        <w:tc>
          <w:tcPr>
            <w:tcW w:w="39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307"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证券经纪业务净收入</w:t>
            </w:r>
            <w:r>
              <w:rPr>
                <w:rFonts w:ascii="Microsoft JhengHei" w:hAnsi="Microsoft JhengHei" w:cs="Microsoft JhengHei" w:eastAsia="Microsoft JhengHei" w:hint="default"/>
                <w:sz w:val="18"/>
                <w:szCs w:val="18"/>
              </w:rPr>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520,542,295.13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291,567,790.62</w:t>
            </w: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证券经纪业务收入</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669,454,639.66</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395,206,436.14</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1527"/>
              <w:jc w:val="righ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442,219,039.43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324,777,273.00</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1527"/>
              <w:jc w:val="right"/>
              <w:rPr>
                <w:rFonts w:ascii="宋体" w:hAnsi="宋体" w:cs="宋体" w:eastAsia="宋体" w:hint="default"/>
                <w:sz w:val="18"/>
                <w:szCs w:val="18"/>
              </w:rPr>
            </w:pPr>
            <w:r>
              <w:rPr>
                <w:rFonts w:ascii="宋体" w:hAnsi="宋体" w:cs="宋体" w:eastAsia="宋体" w:hint="default"/>
                <w:sz w:val="18"/>
                <w:szCs w:val="18"/>
              </w:rPr>
              <w:t>交易单元席位租赁</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220,077,631.34</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65,665,594.50</w:t>
            </w: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1527"/>
              <w:jc w:val="right"/>
              <w:rPr>
                <w:rFonts w:ascii="宋体" w:hAnsi="宋体" w:cs="宋体" w:eastAsia="宋体" w:hint="default"/>
                <w:sz w:val="18"/>
                <w:szCs w:val="18"/>
              </w:rPr>
            </w:pPr>
            <w:r>
              <w:rPr>
                <w:rFonts w:ascii="宋体" w:hAnsi="宋体" w:cs="宋体" w:eastAsia="宋体" w:hint="default"/>
                <w:sz w:val="18"/>
                <w:szCs w:val="18"/>
              </w:rPr>
              <w:t>代销金融产品业务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7,157,968.89</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4,763,568.64</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证券经纪业务支出</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148,912,344.53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103,638,645.52</w:t>
            </w: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1527"/>
              <w:jc w:val="righ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148,912,344.53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103,638,645.52</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1527"/>
              <w:jc w:val="right"/>
              <w:rPr>
                <w:rFonts w:ascii="宋体" w:hAnsi="宋体" w:cs="宋体" w:eastAsia="宋体" w:hint="default"/>
                <w:sz w:val="18"/>
                <w:szCs w:val="18"/>
              </w:rPr>
            </w:pPr>
            <w:r>
              <w:rPr>
                <w:rFonts w:ascii="宋体" w:hAnsi="宋体" w:cs="宋体" w:eastAsia="宋体" w:hint="default"/>
                <w:sz w:val="18"/>
                <w:szCs w:val="18"/>
              </w:rPr>
              <w:t>交易单元席位租赁</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1527"/>
              <w:jc w:val="right"/>
              <w:rPr>
                <w:rFonts w:ascii="宋体" w:hAnsi="宋体" w:cs="宋体" w:eastAsia="宋体" w:hint="default"/>
                <w:sz w:val="18"/>
                <w:szCs w:val="18"/>
              </w:rPr>
            </w:pPr>
            <w:r>
              <w:rPr>
                <w:rFonts w:ascii="宋体" w:hAnsi="宋体" w:cs="宋体" w:eastAsia="宋体" w:hint="default"/>
                <w:sz w:val="18"/>
                <w:szCs w:val="18"/>
              </w:rPr>
              <w:t>代销金融产品业务</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305"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期货经纪业务净收入</w:t>
            </w:r>
            <w:r>
              <w:rPr>
                <w:rFonts w:ascii="Microsoft JhengHei" w:hAnsi="Microsoft JhengHei" w:cs="Microsoft JhengHei" w:eastAsia="Microsoft JhengHei" w:hint="default"/>
                <w:sz w:val="18"/>
                <w:szCs w:val="18"/>
              </w:rPr>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7,530,060.85</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47,596,488.08</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期货经纪业务收入</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7,530,060.85</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47,596,488.08</w:t>
            </w: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期货经纪业务支出</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307"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投资银行业务净收入</w:t>
            </w:r>
            <w:r>
              <w:rPr>
                <w:rFonts w:ascii="Microsoft JhengHei" w:hAnsi="Microsoft JhengHei" w:cs="Microsoft JhengHei" w:eastAsia="Microsoft JhengHei" w:hint="default"/>
                <w:sz w:val="18"/>
                <w:szCs w:val="18"/>
              </w:rPr>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156,040,928.63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59,795,524.87</w:t>
            </w: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投资银行业务收入</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160,476,683.36</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65,522,883.39</w:t>
            </w:r>
          </w:p>
        </w:tc>
      </w:tr>
      <w:tr>
        <w:trPr>
          <w:trHeight w:val="409"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479"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79,098,838.15</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28,106,044.74</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19" w:right="0"/>
              <w:jc w:val="left"/>
              <w:rPr>
                <w:rFonts w:ascii="宋体" w:hAnsi="宋体" w:cs="宋体" w:eastAsia="宋体" w:hint="default"/>
                <w:sz w:val="18"/>
                <w:szCs w:val="18"/>
              </w:rPr>
            </w:pPr>
            <w:r>
              <w:rPr>
                <w:rFonts w:ascii="宋体" w:hAnsi="宋体" w:cs="宋体" w:eastAsia="宋体" w:hint="default"/>
                <w:sz w:val="18"/>
                <w:szCs w:val="18"/>
              </w:rPr>
              <w:t>证券保荐业务</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19" w:right="0"/>
              <w:jc w:val="left"/>
              <w:rPr>
                <w:rFonts w:ascii="宋体" w:hAnsi="宋体" w:cs="宋体" w:eastAsia="宋体" w:hint="default"/>
                <w:sz w:val="18"/>
                <w:szCs w:val="18"/>
              </w:rPr>
            </w:pPr>
            <w:r>
              <w:rPr>
                <w:rFonts w:ascii="宋体" w:hAnsi="宋体" w:cs="宋体" w:eastAsia="宋体" w:hint="default"/>
                <w:sz w:val="18"/>
                <w:szCs w:val="18"/>
              </w:rPr>
              <w:t>财务顾问业务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81,377,845.21</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37,416,838.65</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投资银行业务支出</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4,435,754.73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5,727,358.52</w:t>
            </w: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2,267,924.53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5,727,358.52</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19" w:right="0"/>
              <w:jc w:val="left"/>
              <w:rPr>
                <w:rFonts w:ascii="宋体" w:hAnsi="宋体" w:cs="宋体" w:eastAsia="宋体" w:hint="default"/>
                <w:sz w:val="18"/>
                <w:szCs w:val="18"/>
              </w:rPr>
            </w:pPr>
            <w:r>
              <w:rPr>
                <w:rFonts w:ascii="宋体" w:hAnsi="宋体" w:cs="宋体" w:eastAsia="宋体" w:hint="default"/>
                <w:sz w:val="18"/>
                <w:szCs w:val="18"/>
              </w:rPr>
              <w:t>证券保荐业务</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19" w:right="0"/>
              <w:jc w:val="left"/>
              <w:rPr>
                <w:rFonts w:ascii="宋体" w:hAnsi="宋体" w:cs="宋体" w:eastAsia="宋体" w:hint="default"/>
                <w:sz w:val="18"/>
                <w:szCs w:val="18"/>
              </w:rPr>
            </w:pPr>
            <w:r>
              <w:rPr>
                <w:rFonts w:ascii="宋体" w:hAnsi="宋体" w:cs="宋体" w:eastAsia="宋体" w:hint="default"/>
                <w:sz w:val="18"/>
                <w:szCs w:val="18"/>
              </w:rPr>
              <w:t>财务顾问业务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2,167,830.20</w:t>
            </w: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305"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资产管理业务净收入</w:t>
            </w:r>
            <w:r>
              <w:rPr>
                <w:rFonts w:ascii="Microsoft JhengHei" w:hAnsi="Microsoft JhengHei" w:cs="Microsoft JhengHei" w:eastAsia="Microsoft JhengHei" w:hint="default"/>
                <w:sz w:val="18"/>
                <w:szCs w:val="18"/>
              </w:rPr>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82,646,803.73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2"/>
                <w:sz w:val="18"/>
              </w:rPr>
              <w:t>111,307,796.09</w:t>
            </w:r>
          </w:p>
        </w:tc>
      </w:tr>
      <w:tr>
        <w:trPr>
          <w:trHeight w:val="418" w:hRule="exact"/>
        </w:trPr>
        <w:tc>
          <w:tcPr>
            <w:tcW w:w="39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资产管理业务收入</w:t>
            </w:r>
          </w:p>
        </w:tc>
        <w:tc>
          <w:tcPr>
            <w:tcW w:w="18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87,462,677.87</w:t>
            </w:r>
          </w:p>
        </w:tc>
        <w:tc>
          <w:tcPr>
            <w:tcW w:w="25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127,334,357.57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3994"/>
        <w:gridCol w:w="1829"/>
        <w:gridCol w:w="2504"/>
      </w:tblGrid>
      <w:tr>
        <w:trPr>
          <w:trHeight w:val="418" w:hRule="exact"/>
        </w:trPr>
        <w:tc>
          <w:tcPr>
            <w:tcW w:w="39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资产管理业务支出</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4,815,874.14</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16,026,561.48</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307"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投资咨询业务净收入</w:t>
            </w:r>
            <w:r>
              <w:rPr>
                <w:rFonts w:ascii="Microsoft JhengHei" w:hAnsi="Microsoft JhengHei" w:cs="Microsoft JhengHei" w:eastAsia="Microsoft JhengHei" w:hint="default"/>
                <w:sz w:val="18"/>
                <w:szCs w:val="18"/>
              </w:rPr>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27,340,592.49</w:t>
            </w: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投资咨询业务收入</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27,340,592.49</w:t>
            </w: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投资咨询业务支出</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305"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其他手续费及佣金净收入</w:t>
            </w:r>
            <w:r>
              <w:rPr>
                <w:rFonts w:ascii="Microsoft JhengHei" w:hAnsi="Microsoft JhengHei" w:cs="Microsoft JhengHei" w:eastAsia="Microsoft JhengHei" w:hint="default"/>
                <w:sz w:val="18"/>
                <w:szCs w:val="18"/>
              </w:rPr>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其他手续费及佣金收入</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其他手续费及佣金支出</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305" w:lineRule="exact"/>
              <w:ind w:left="1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794,100,680.83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510,267,599.66</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其中：手续费及佣金收入合计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952,264,654.23</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635,660,165.18</w:t>
            </w: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手续费及佣金支出合计</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158,163,973.40</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125,392,565.52</w:t>
            </w:r>
          </w:p>
        </w:tc>
      </w:tr>
      <w:tr>
        <w:trPr>
          <w:trHeight w:val="408"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其中：财务顾问业务净收入</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79,210,015.01</w:t>
            </w: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37,416,838.65</w:t>
            </w:r>
          </w:p>
        </w:tc>
      </w:tr>
      <w:tr>
        <w:trPr>
          <w:trHeight w:val="557"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3" w:firstLine="539"/>
              <w:jc w:val="left"/>
              <w:rPr>
                <w:rFonts w:ascii="宋体" w:hAnsi="宋体" w:cs="宋体" w:eastAsia="宋体" w:hint="default"/>
                <w:sz w:val="18"/>
                <w:szCs w:val="18"/>
              </w:rPr>
            </w:pPr>
            <w:r>
              <w:rPr>
                <w:rFonts w:ascii="Arial" w:hAnsi="Arial" w:cs="Arial" w:eastAsia="Arial" w:hint="default"/>
                <w:spacing w:val="4"/>
                <w:w w:val="95"/>
                <w:sz w:val="18"/>
                <w:szCs w:val="18"/>
              </w:rPr>
              <w:t>—</w:t>
            </w:r>
            <w:r>
              <w:rPr>
                <w:rFonts w:ascii="宋体" w:hAnsi="宋体" w:cs="宋体" w:eastAsia="宋体" w:hint="default"/>
                <w:spacing w:val="4"/>
                <w:w w:val="95"/>
                <w:sz w:val="18"/>
                <w:szCs w:val="18"/>
              </w:rPr>
              <w:t>并购重组财务顾问业务净收入</w:t>
            </w:r>
            <w:r>
              <w:rPr>
                <w:rFonts w:ascii="Arial" w:hAnsi="Arial" w:cs="Arial" w:eastAsia="Arial" w:hint="default"/>
                <w:spacing w:val="4"/>
                <w:w w:val="95"/>
                <w:sz w:val="18"/>
                <w:szCs w:val="18"/>
              </w:rPr>
              <w:t>--</w:t>
            </w:r>
            <w:r>
              <w:rPr>
                <w:rFonts w:ascii="宋体" w:hAnsi="宋体" w:cs="宋体" w:eastAsia="宋体" w:hint="default"/>
                <w:spacing w:val="4"/>
                <w:w w:val="95"/>
                <w:sz w:val="18"/>
                <w:szCs w:val="18"/>
              </w:rPr>
              <w:t>境内上</w:t>
            </w:r>
            <w:r>
              <w:rPr>
                <w:rFonts w:ascii="宋体" w:hAnsi="宋体" w:cs="宋体" w:eastAsia="宋体" w:hint="default"/>
                <w:sz w:val="18"/>
                <w:szCs w:val="18"/>
              </w:rPr>
              <w:t> 市公司</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6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并购重组财务顾问业务净收入</w:t>
            </w:r>
            <w:r>
              <w:rPr>
                <w:rFonts w:ascii="Arial" w:hAnsi="Arial" w:cs="Arial" w:eastAsia="Arial" w:hint="default"/>
                <w:sz w:val="18"/>
                <w:szCs w:val="18"/>
              </w:rPr>
              <w:t>--</w:t>
            </w:r>
            <w:r>
              <w:rPr>
                <w:rFonts w:ascii="宋体" w:hAnsi="宋体" w:cs="宋体" w:eastAsia="宋体" w:hint="default"/>
                <w:sz w:val="18"/>
                <w:szCs w:val="18"/>
              </w:rPr>
              <w:t>其他</w:t>
            </w:r>
          </w:p>
        </w:tc>
        <w:tc>
          <w:tcPr>
            <w:tcW w:w="1829" w:type="dxa"/>
            <w:tcBorders>
              <w:top w:val="dotted" w:sz="4" w:space="0" w:color="000000"/>
              <w:left w:val="dotted" w:sz="4" w:space="0" w:color="000000"/>
              <w:bottom w:val="dotted" w:sz="4" w:space="0" w:color="000000"/>
              <w:right w:val="dotted" w:sz="4" w:space="0" w:color="000000"/>
            </w:tcBorders>
          </w:tcPr>
          <w:p>
            <w:pPr/>
          </w:p>
        </w:tc>
        <w:tc>
          <w:tcPr>
            <w:tcW w:w="25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150,943.40</w:t>
            </w:r>
          </w:p>
        </w:tc>
      </w:tr>
      <w:tr>
        <w:trPr>
          <w:trHeight w:val="420" w:hRule="exact"/>
        </w:trPr>
        <w:tc>
          <w:tcPr>
            <w:tcW w:w="39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其他财务顾问业务净收入</w:t>
            </w:r>
          </w:p>
        </w:tc>
        <w:tc>
          <w:tcPr>
            <w:tcW w:w="18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79,210,015.01</w:t>
            </w:r>
          </w:p>
        </w:tc>
        <w:tc>
          <w:tcPr>
            <w:tcW w:w="25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37,265,895.25</w:t>
            </w:r>
          </w:p>
        </w:tc>
      </w:tr>
    </w:tbl>
    <w:p>
      <w:pPr>
        <w:spacing w:line="240" w:lineRule="auto" w:before="8"/>
        <w:rPr>
          <w:rFonts w:ascii="Microsoft JhengHei" w:hAnsi="Microsoft JhengHei" w:cs="Microsoft JhengHei" w:eastAsia="Microsoft JhengHei" w:hint="default"/>
          <w:b/>
          <w:bCs/>
          <w:sz w:val="22"/>
          <w:szCs w:val="22"/>
        </w:rPr>
      </w:pPr>
    </w:p>
    <w:p>
      <w:pPr>
        <w:pStyle w:val="Heading4"/>
        <w:spacing w:line="338" w:lineRule="exact"/>
        <w:ind w:right="1786"/>
        <w:jc w:val="left"/>
        <w:rPr>
          <w:b w:val="0"/>
          <w:bCs w:val="0"/>
        </w:rPr>
      </w:pPr>
      <w:r>
        <w:rPr>
          <w:rFonts w:ascii="Calibri" w:hAnsi="Calibri" w:cs="Calibri" w:eastAsia="Calibri" w:hint="default"/>
        </w:rPr>
        <w:t>2. </w:t>
      </w:r>
      <w:r>
        <w:rPr>
          <w:rFonts w:ascii="Calibri" w:hAnsi="Calibri" w:cs="Calibri" w:eastAsia="Calibri" w:hint="default"/>
          <w:spacing w:val="18"/>
        </w:rPr>
        <w:t> </w:t>
      </w:r>
      <w:r>
        <w:rPr/>
        <w:t>代理销售金融产品业务</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14" w:type="dxa"/>
        <w:tblLayout w:type="fixed"/>
        <w:tblCellMar>
          <w:top w:w="0" w:type="dxa"/>
          <w:left w:w="0" w:type="dxa"/>
          <w:bottom w:w="0" w:type="dxa"/>
          <w:right w:w="0" w:type="dxa"/>
        </w:tblCellMar>
        <w:tblLook w:val="01E0"/>
      </w:tblPr>
      <w:tblGrid>
        <w:gridCol w:w="1750"/>
        <w:gridCol w:w="1700"/>
        <w:gridCol w:w="1589"/>
        <w:gridCol w:w="1656"/>
        <w:gridCol w:w="1623"/>
      </w:tblGrid>
      <w:tr>
        <w:trPr>
          <w:trHeight w:val="418" w:hRule="exact"/>
        </w:trPr>
        <w:tc>
          <w:tcPr>
            <w:tcW w:w="1750"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1750" w:type="dxa"/>
            <w:vMerge/>
            <w:tcBorders>
              <w:left w:val="nil" w:sz="6" w:space="0" w:color="auto"/>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394" w:right="0"/>
              <w:jc w:val="left"/>
              <w:rPr>
                <w:rFonts w:ascii="宋体" w:hAnsi="宋体" w:cs="宋体" w:eastAsia="宋体" w:hint="default"/>
                <w:sz w:val="18"/>
                <w:szCs w:val="18"/>
              </w:rPr>
            </w:pPr>
            <w:r>
              <w:rPr>
                <w:rFonts w:ascii="宋体" w:hAnsi="宋体" w:cs="宋体" w:eastAsia="宋体" w:hint="default"/>
                <w:sz w:val="18"/>
                <w:szCs w:val="18"/>
              </w:rPr>
              <w:t>销售总金额</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销售总收入</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销售总金额</w:t>
            </w:r>
          </w:p>
        </w:tc>
        <w:tc>
          <w:tcPr>
            <w:tcW w:w="16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销售总收入</w:t>
            </w:r>
          </w:p>
        </w:tc>
      </w:tr>
      <w:tr>
        <w:trPr>
          <w:trHeight w:val="408"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1,279,224,768.93</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1,927,286.46</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568,805,786.04</w:t>
            </w:r>
          </w:p>
        </w:tc>
        <w:tc>
          <w:tcPr>
            <w:tcW w:w="16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1,218,877.14</w:t>
            </w:r>
          </w:p>
        </w:tc>
      </w:tr>
      <w:tr>
        <w:trPr>
          <w:trHeight w:val="408"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87,570,000.00</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765,923.06</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2"/>
                <w:sz w:val="18"/>
              </w:rPr>
              <w:t>113,850,000.00</w:t>
            </w:r>
          </w:p>
        </w:tc>
        <w:tc>
          <w:tcPr>
            <w:tcW w:w="16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w w:val="95"/>
                <w:sz w:val="18"/>
              </w:rPr>
              <w:t>1,548,084.91</w:t>
            </w:r>
          </w:p>
        </w:tc>
      </w:tr>
      <w:tr>
        <w:trPr>
          <w:trHeight w:val="406"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29,771,000.00</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150,655.26</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763,745,000.00</w:t>
            </w:r>
          </w:p>
        </w:tc>
        <w:tc>
          <w:tcPr>
            <w:tcW w:w="16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w w:val="95"/>
                <w:sz w:val="18"/>
              </w:rPr>
              <w:t>208,162.67</w:t>
            </w:r>
          </w:p>
        </w:tc>
      </w:tr>
      <w:tr>
        <w:trPr>
          <w:trHeight w:val="409" w:hRule="exact"/>
        </w:trPr>
        <w:tc>
          <w:tcPr>
            <w:tcW w:w="17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资管计划、债券等</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13,320,890,400.00</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4,314,104.11</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429,620,000.00</w:t>
            </w:r>
          </w:p>
        </w:tc>
        <w:tc>
          <w:tcPr>
            <w:tcW w:w="16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w w:val="95"/>
                <w:sz w:val="18"/>
              </w:rPr>
              <w:t>1,788,443.92</w:t>
            </w:r>
          </w:p>
        </w:tc>
      </w:tr>
      <w:tr>
        <w:trPr>
          <w:trHeight w:val="418" w:hRule="exact"/>
        </w:trPr>
        <w:tc>
          <w:tcPr>
            <w:tcW w:w="175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14,717,456,168.93</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7,157,968.89</w:t>
            </w:r>
          </w:p>
        </w:tc>
        <w:tc>
          <w:tcPr>
            <w:tcW w:w="16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1,876,020,786.04</w:t>
            </w:r>
          </w:p>
        </w:tc>
        <w:tc>
          <w:tcPr>
            <w:tcW w:w="162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w w:val="95"/>
                <w:sz w:val="18"/>
              </w:rPr>
              <w:t>4,763,568.64</w:t>
            </w:r>
          </w:p>
        </w:tc>
      </w:tr>
    </w:tbl>
    <w:p>
      <w:pPr>
        <w:spacing w:line="240" w:lineRule="auto" w:before="8"/>
        <w:rPr>
          <w:rFonts w:ascii="Microsoft JhengHei" w:hAnsi="Microsoft JhengHei" w:cs="Microsoft JhengHei" w:eastAsia="Microsoft JhengHei" w:hint="default"/>
          <w:b/>
          <w:bCs/>
          <w:sz w:val="22"/>
          <w:szCs w:val="22"/>
        </w:rPr>
      </w:pPr>
    </w:p>
    <w:p>
      <w:pPr>
        <w:pStyle w:val="Heading4"/>
        <w:spacing w:line="338" w:lineRule="exact"/>
        <w:ind w:right="1786"/>
        <w:jc w:val="left"/>
        <w:rPr>
          <w:b w:val="0"/>
          <w:bCs w:val="0"/>
        </w:rPr>
      </w:pPr>
      <w:r>
        <w:rPr>
          <w:rFonts w:ascii="Calibri" w:hAnsi="Calibri" w:cs="Calibri" w:eastAsia="Calibri" w:hint="default"/>
        </w:rPr>
        <w:t>3. </w:t>
      </w:r>
      <w:r>
        <w:rPr>
          <w:rFonts w:ascii="Calibri" w:hAnsi="Calibri" w:cs="Calibri" w:eastAsia="Calibri" w:hint="default"/>
          <w:spacing w:val="17"/>
        </w:rPr>
        <w:t> </w:t>
      </w:r>
      <w:r>
        <w:rPr/>
        <w:t>资产管理业务</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42" w:type="dxa"/>
        <w:tblLayout w:type="fixed"/>
        <w:tblCellMar>
          <w:top w:w="0" w:type="dxa"/>
          <w:left w:w="0" w:type="dxa"/>
          <w:bottom w:w="0" w:type="dxa"/>
          <w:right w:w="0" w:type="dxa"/>
        </w:tblCellMar>
        <w:tblLook w:val="01E0"/>
      </w:tblPr>
      <w:tblGrid>
        <w:gridCol w:w="2206"/>
        <w:gridCol w:w="2638"/>
        <w:gridCol w:w="1692"/>
        <w:gridCol w:w="1726"/>
      </w:tblGrid>
      <w:tr>
        <w:trPr>
          <w:trHeight w:val="418" w:hRule="exact"/>
        </w:trPr>
        <w:tc>
          <w:tcPr>
            <w:tcW w:w="22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集合资产管理业务</w:t>
            </w:r>
          </w:p>
        </w:tc>
        <w:tc>
          <w:tcPr>
            <w:tcW w:w="16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定向资产管理业务</w:t>
            </w:r>
          </w:p>
        </w:tc>
        <w:tc>
          <w:tcPr>
            <w:tcW w:w="17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142"/>
              <w:jc w:val="right"/>
              <w:rPr>
                <w:rFonts w:ascii="宋体" w:hAnsi="宋体" w:cs="宋体" w:eastAsia="宋体" w:hint="default"/>
                <w:sz w:val="18"/>
                <w:szCs w:val="18"/>
              </w:rPr>
            </w:pPr>
            <w:r>
              <w:rPr>
                <w:rFonts w:ascii="宋体" w:hAnsi="宋体" w:cs="宋体" w:eastAsia="宋体" w:hint="default"/>
                <w:sz w:val="18"/>
                <w:szCs w:val="18"/>
              </w:rPr>
              <w:t>专项资产管理业务</w:t>
            </w:r>
          </w:p>
        </w:tc>
      </w:tr>
      <w:tr>
        <w:trPr>
          <w:trHeight w:val="408"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期末产品数量</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21</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46</w:t>
            </w:r>
          </w:p>
        </w:tc>
        <w:tc>
          <w:tcPr>
            <w:tcW w:w="17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期末客户数量</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z w:val="18"/>
              </w:rPr>
              <w:t>1344</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46</w:t>
            </w:r>
          </w:p>
        </w:tc>
        <w:tc>
          <w:tcPr>
            <w:tcW w:w="17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z w:val="18"/>
              </w:rPr>
              <w:t>2</w:t>
            </w:r>
          </w:p>
        </w:tc>
      </w:tr>
      <w:tr>
        <w:trPr>
          <w:trHeight w:val="408" w:hRule="exact"/>
        </w:trPr>
        <w:tc>
          <w:tcPr>
            <w:tcW w:w="22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其中：个人客户</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1319</w:t>
            </w:r>
          </w:p>
        </w:tc>
        <w:tc>
          <w:tcPr>
            <w:tcW w:w="1692" w:type="dxa"/>
            <w:tcBorders>
              <w:top w:val="dotted" w:sz="4" w:space="0" w:color="000000"/>
              <w:left w:val="dotted" w:sz="4" w:space="0" w:color="000000"/>
              <w:bottom w:val="dotted" w:sz="4" w:space="0" w:color="000000"/>
              <w:right w:val="dotted" w:sz="4" w:space="0" w:color="000000"/>
            </w:tcBorders>
          </w:tcPr>
          <w:p>
            <w:pP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2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6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25</w:t>
            </w:r>
          </w:p>
        </w:tc>
        <w:tc>
          <w:tcPr>
            <w:tcW w:w="16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46</w:t>
            </w:r>
          </w:p>
        </w:tc>
        <w:tc>
          <w:tcPr>
            <w:tcW w:w="17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08" w:type="dxa"/>
        <w:tblLayout w:type="fixed"/>
        <w:tblCellMar>
          <w:top w:w="0" w:type="dxa"/>
          <w:left w:w="0" w:type="dxa"/>
          <w:bottom w:w="0" w:type="dxa"/>
          <w:right w:w="0" w:type="dxa"/>
        </w:tblCellMar>
        <w:tblLook w:val="01E0"/>
      </w:tblPr>
      <w:tblGrid>
        <w:gridCol w:w="408"/>
        <w:gridCol w:w="2192"/>
        <w:gridCol w:w="2638"/>
        <w:gridCol w:w="1692"/>
        <w:gridCol w:w="1726"/>
      </w:tblGrid>
      <w:tr>
        <w:trPr>
          <w:trHeight w:val="418" w:hRule="exact"/>
        </w:trPr>
        <w:tc>
          <w:tcPr>
            <w:tcW w:w="408" w:type="dxa"/>
            <w:vMerge w:val="restart"/>
            <w:tcBorders>
              <w:top w:val="nil" w:sz="6" w:space="0" w:color="auto"/>
              <w:left w:val="nil" w:sz="6" w:space="0" w:color="auto"/>
              <w:right w:val="nil" w:sz="6" w:space="0" w:color="auto"/>
            </w:tcBorders>
          </w:tcPr>
          <w:p>
            <w:pPr/>
          </w:p>
        </w:tc>
        <w:tc>
          <w:tcPr>
            <w:tcW w:w="21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集合资产管理业务</w:t>
            </w:r>
          </w:p>
        </w:tc>
        <w:tc>
          <w:tcPr>
            <w:tcW w:w="16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定向资产管理业务</w:t>
            </w:r>
          </w:p>
        </w:tc>
        <w:tc>
          <w:tcPr>
            <w:tcW w:w="17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142"/>
              <w:jc w:val="right"/>
              <w:rPr>
                <w:rFonts w:ascii="宋体" w:hAnsi="宋体" w:cs="宋体" w:eastAsia="宋体" w:hint="default"/>
                <w:sz w:val="18"/>
                <w:szCs w:val="18"/>
              </w:rPr>
            </w:pPr>
            <w:r>
              <w:rPr>
                <w:rFonts w:ascii="宋体" w:hAnsi="宋体" w:cs="宋体" w:eastAsia="宋体" w:hint="default"/>
                <w:sz w:val="18"/>
                <w:szCs w:val="18"/>
              </w:rPr>
              <w:t>专项资产管理业务</w:t>
            </w:r>
          </w:p>
        </w:tc>
      </w:tr>
      <w:tr>
        <w:trPr>
          <w:trHeight w:val="408" w:hRule="exact"/>
        </w:trPr>
        <w:tc>
          <w:tcPr>
            <w:tcW w:w="408" w:type="dxa"/>
            <w:vMerge/>
            <w:tcBorders>
              <w:left w:val="nil" w:sz="6" w:space="0" w:color="auto"/>
              <w:bottom w:val="dotted" w:sz="4" w:space="0" w:color="000000"/>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年初受托资金</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2,957,824,882.18</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30,444,922,445.38</w:t>
            </w: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408" w:type="dxa"/>
            <w:vMerge w:val="restart"/>
            <w:tcBorders>
              <w:top w:val="dotted" w:sz="4" w:space="0" w:color="000000"/>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其中：自有资金投入</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204,897,639.34</w:t>
            </w:r>
          </w:p>
        </w:tc>
        <w:tc>
          <w:tcPr>
            <w:tcW w:w="1692" w:type="dxa"/>
            <w:tcBorders>
              <w:top w:val="dotted" w:sz="4" w:space="0" w:color="000000"/>
              <w:left w:val="dotted" w:sz="4" w:space="0" w:color="000000"/>
              <w:bottom w:val="dotted" w:sz="4" w:space="0" w:color="000000"/>
              <w:right w:val="dotted" w:sz="4" w:space="0" w:color="000000"/>
            </w:tcBorders>
          </w:tcPr>
          <w:p>
            <w:pP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1,688,246,348.71</w:t>
            </w:r>
          </w:p>
        </w:tc>
        <w:tc>
          <w:tcPr>
            <w:tcW w:w="1692" w:type="dxa"/>
            <w:tcBorders>
              <w:top w:val="dotted" w:sz="4" w:space="0" w:color="000000"/>
              <w:left w:val="dotted" w:sz="4" w:space="0" w:color="000000"/>
              <w:bottom w:val="dotted" w:sz="4" w:space="0" w:color="000000"/>
              <w:right w:val="dotted" w:sz="4" w:space="0" w:color="000000"/>
            </w:tcBorders>
          </w:tcPr>
          <w:p>
            <w:pP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1,064,680,894.13</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30,444,922,445.38</w:t>
            </w: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期末受托资金</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2,774,346,715.90</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29,024,676,240.11</w:t>
            </w:r>
          </w:p>
        </w:tc>
        <w:tc>
          <w:tcPr>
            <w:tcW w:w="17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315,105,750.00</w:t>
            </w:r>
          </w:p>
        </w:tc>
      </w:tr>
      <w:tr>
        <w:trPr>
          <w:trHeight w:val="409"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其中：自有资金投入</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129,021,071.32</w:t>
            </w:r>
          </w:p>
        </w:tc>
        <w:tc>
          <w:tcPr>
            <w:tcW w:w="1692" w:type="dxa"/>
            <w:tcBorders>
              <w:top w:val="dotted" w:sz="4" w:space="0" w:color="000000"/>
              <w:left w:val="dotted" w:sz="4" w:space="0" w:color="000000"/>
              <w:bottom w:val="dotted" w:sz="4" w:space="0" w:color="000000"/>
              <w:right w:val="dotted" w:sz="4" w:space="0" w:color="000000"/>
            </w:tcBorders>
          </w:tcPr>
          <w:p>
            <w:pP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1,394,212,371.09</w:t>
            </w:r>
          </w:p>
        </w:tc>
        <w:tc>
          <w:tcPr>
            <w:tcW w:w="1692" w:type="dxa"/>
            <w:tcBorders>
              <w:top w:val="dotted" w:sz="4" w:space="0" w:color="000000"/>
              <w:left w:val="dotted" w:sz="4" w:space="0" w:color="000000"/>
              <w:bottom w:val="dotted" w:sz="4" w:space="0" w:color="000000"/>
              <w:right w:val="dotted" w:sz="4" w:space="0" w:color="000000"/>
            </w:tcBorders>
          </w:tcPr>
          <w:p>
            <w:pP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1,251,113,273.49</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29,024,676,240.11</w:t>
            </w:r>
          </w:p>
        </w:tc>
        <w:tc>
          <w:tcPr>
            <w:tcW w:w="17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315,105,750.00</w:t>
            </w:r>
          </w:p>
        </w:tc>
      </w:tr>
      <w:tr>
        <w:trPr>
          <w:trHeight w:val="557"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05" w:right="87"/>
              <w:jc w:val="left"/>
              <w:rPr>
                <w:rFonts w:ascii="宋体" w:hAnsi="宋体" w:cs="宋体" w:eastAsia="宋体" w:hint="default"/>
                <w:sz w:val="18"/>
                <w:szCs w:val="18"/>
              </w:rPr>
            </w:pPr>
            <w:r>
              <w:rPr>
                <w:rFonts w:ascii="宋体" w:hAnsi="宋体" w:cs="宋体" w:eastAsia="宋体" w:hint="default"/>
                <w:spacing w:val="17"/>
                <w:sz w:val="18"/>
                <w:szCs w:val="18"/>
              </w:rPr>
              <w:t>期末主要受托资产初始</w:t>
            </w:r>
            <w:r>
              <w:rPr>
                <w:rFonts w:ascii="宋体" w:hAnsi="宋体" w:cs="宋体" w:eastAsia="宋体" w:hint="default"/>
                <w:spacing w:val="-71"/>
                <w:sz w:val="18"/>
                <w:szCs w:val="18"/>
              </w:rPr>
              <w:t> </w:t>
            </w:r>
            <w:r>
              <w:rPr>
                <w:rFonts w:ascii="宋体" w:hAnsi="宋体" w:cs="宋体" w:eastAsia="宋体" w:hint="default"/>
                <w:sz w:val="18"/>
                <w:szCs w:val="18"/>
              </w:rPr>
              <w:t>成本</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2,048,665,582.26</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27,837,451,590.48</w:t>
            </w:r>
          </w:p>
        </w:tc>
        <w:tc>
          <w:tcPr>
            <w:tcW w:w="17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315,105,750.00</w:t>
            </w:r>
          </w:p>
        </w:tc>
      </w:tr>
      <w:tr>
        <w:trPr>
          <w:trHeight w:val="408"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其中：股票</w:t>
            </w:r>
          </w:p>
        </w:tc>
        <w:tc>
          <w:tcPr>
            <w:tcW w:w="2638" w:type="dxa"/>
            <w:tcBorders>
              <w:top w:val="dotted" w:sz="4" w:space="0" w:color="000000"/>
              <w:left w:val="dotted" w:sz="4" w:space="0" w:color="000000"/>
              <w:bottom w:val="dotted" w:sz="4" w:space="0" w:color="000000"/>
              <w:right w:val="dotted" w:sz="4" w:space="0" w:color="000000"/>
            </w:tcBorders>
          </w:tcPr>
          <w:p>
            <w:pPr/>
          </w:p>
        </w:tc>
        <w:tc>
          <w:tcPr>
            <w:tcW w:w="1692" w:type="dxa"/>
            <w:tcBorders>
              <w:top w:val="dotted" w:sz="4" w:space="0" w:color="000000"/>
              <w:left w:val="dotted" w:sz="4" w:space="0" w:color="000000"/>
              <w:bottom w:val="dotted" w:sz="4" w:space="0" w:color="000000"/>
              <w:right w:val="dotted" w:sz="4" w:space="0" w:color="000000"/>
            </w:tcBorders>
          </w:tcPr>
          <w:p>
            <w:pP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国债</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1,854,674.00</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10,358,000.00</w:t>
            </w: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其他债券</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779,305,422.74</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5,354,460,396.27</w:t>
            </w: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10,238,617.97</w:t>
            </w:r>
          </w:p>
        </w:tc>
        <w:tc>
          <w:tcPr>
            <w:tcW w:w="1692" w:type="dxa"/>
            <w:tcBorders>
              <w:top w:val="dotted" w:sz="4" w:space="0" w:color="000000"/>
              <w:left w:val="dotted" w:sz="4" w:space="0" w:color="000000"/>
              <w:bottom w:val="dotted" w:sz="4" w:space="0" w:color="000000"/>
              <w:right w:val="dotted" w:sz="4" w:space="0" w:color="000000"/>
            </w:tcBorders>
          </w:tcPr>
          <w:p>
            <w:pPr/>
          </w:p>
        </w:tc>
        <w:tc>
          <w:tcPr>
            <w:tcW w:w="1726"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408" w:type="dxa"/>
            <w:vMerge/>
            <w:tcBorders>
              <w:left w:val="nil" w:sz="6" w:space="0" w:color="auto"/>
              <w:right w:val="nil" w:sz="6" w:space="0" w:color="auto"/>
            </w:tcBorders>
          </w:tcPr>
          <w:p>
            <w:pPr/>
          </w:p>
        </w:tc>
        <w:tc>
          <w:tcPr>
            <w:tcW w:w="21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其他非标化资产</w:t>
            </w:r>
          </w:p>
        </w:tc>
        <w:tc>
          <w:tcPr>
            <w:tcW w:w="26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1,257,266,867.55</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22,472,633,194.21</w:t>
            </w:r>
          </w:p>
        </w:tc>
        <w:tc>
          <w:tcPr>
            <w:tcW w:w="17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315,105,750.00</w:t>
            </w:r>
          </w:p>
        </w:tc>
      </w:tr>
      <w:tr>
        <w:trPr>
          <w:trHeight w:val="569" w:hRule="exact"/>
        </w:trPr>
        <w:tc>
          <w:tcPr>
            <w:tcW w:w="408" w:type="dxa"/>
            <w:vMerge/>
            <w:tcBorders>
              <w:left w:val="nil" w:sz="6" w:space="0" w:color="auto"/>
              <w:bottom w:val="nil" w:sz="6" w:space="0" w:color="auto"/>
              <w:right w:val="nil" w:sz="6" w:space="0" w:color="auto"/>
            </w:tcBorders>
          </w:tcPr>
          <w:p>
            <w:pPr/>
          </w:p>
        </w:tc>
        <w:tc>
          <w:tcPr>
            <w:tcW w:w="2192" w:type="dxa"/>
            <w:tcBorders>
              <w:top w:val="dotted" w:sz="4" w:space="0" w:color="000000"/>
              <w:left w:val="nil" w:sz="6" w:space="0" w:color="auto"/>
              <w:bottom w:val="single" w:sz="12" w:space="0" w:color="000000"/>
              <w:right w:val="dotted" w:sz="4" w:space="0" w:color="000000"/>
            </w:tcBorders>
          </w:tcPr>
          <w:p>
            <w:pPr>
              <w:pStyle w:val="TableParagraph"/>
              <w:spacing w:line="232" w:lineRule="exact" w:before="32"/>
              <w:ind w:left="105" w:right="87"/>
              <w:jc w:val="left"/>
              <w:rPr>
                <w:rFonts w:ascii="宋体" w:hAnsi="宋体" w:cs="宋体" w:eastAsia="宋体" w:hint="default"/>
                <w:sz w:val="18"/>
                <w:szCs w:val="18"/>
              </w:rPr>
            </w:pPr>
            <w:r>
              <w:rPr>
                <w:rFonts w:ascii="宋体" w:hAnsi="宋体" w:cs="宋体" w:eastAsia="宋体" w:hint="default"/>
                <w:spacing w:val="17"/>
                <w:sz w:val="18"/>
                <w:szCs w:val="18"/>
              </w:rPr>
              <w:t>当期资产管理业务净收</w:t>
            </w:r>
            <w:r>
              <w:rPr>
                <w:rFonts w:ascii="宋体" w:hAnsi="宋体" w:cs="宋体" w:eastAsia="宋体" w:hint="default"/>
                <w:spacing w:val="-71"/>
                <w:sz w:val="18"/>
                <w:szCs w:val="18"/>
              </w:rPr>
              <w:t> </w:t>
            </w:r>
            <w:r>
              <w:rPr>
                <w:rFonts w:ascii="宋体" w:hAnsi="宋体" w:cs="宋体" w:eastAsia="宋体" w:hint="default"/>
                <w:sz w:val="18"/>
                <w:szCs w:val="18"/>
              </w:rPr>
              <w:t>入</w:t>
            </w:r>
          </w:p>
        </w:tc>
        <w:tc>
          <w:tcPr>
            <w:tcW w:w="26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10,485,901.70</w:t>
            </w:r>
          </w:p>
        </w:tc>
        <w:tc>
          <w:tcPr>
            <w:tcW w:w="16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72,129,963.82</w:t>
            </w:r>
          </w:p>
        </w:tc>
        <w:tc>
          <w:tcPr>
            <w:tcW w:w="17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30,938.21</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1100" w:right="0"/>
        <w:jc w:val="left"/>
        <w:rPr>
          <w:b w:val="0"/>
          <w:bCs w:val="0"/>
        </w:rPr>
      </w:pPr>
      <w:r>
        <w:rPr/>
        <w:t>注释 </w:t>
      </w:r>
      <w:r>
        <w:rPr>
          <w:rFonts w:ascii="Times New Roman" w:hAnsi="Times New Roman" w:cs="Times New Roman" w:eastAsia="Times New Roman" w:hint="default"/>
        </w:rPr>
        <w:t>53. </w:t>
      </w:r>
      <w:r>
        <w:rPr>
          <w:rFonts w:ascii="Times New Roman" w:hAnsi="Times New Roman" w:cs="Times New Roman" w:eastAsia="Times New Roman" w:hint="default"/>
          <w:spacing w:val="7"/>
        </w:rPr>
        <w:t> </w:t>
      </w:r>
      <w:r>
        <w:rPr/>
        <w:t>税金及附加</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469" w:type="dxa"/>
        <w:tblLayout w:type="fixed"/>
        <w:tblCellMar>
          <w:top w:w="0" w:type="dxa"/>
          <w:left w:w="0" w:type="dxa"/>
          <w:bottom w:w="0" w:type="dxa"/>
          <w:right w:w="0" w:type="dxa"/>
        </w:tblCellMar>
        <w:tblLook w:val="01E0"/>
      </w:tblPr>
      <w:tblGrid>
        <w:gridCol w:w="2813"/>
        <w:gridCol w:w="2801"/>
        <w:gridCol w:w="2713"/>
      </w:tblGrid>
      <w:tr>
        <w:trPr>
          <w:trHeight w:val="360" w:hRule="exact"/>
        </w:trPr>
        <w:tc>
          <w:tcPr>
            <w:tcW w:w="28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214"/>
              <w:jc w:val="right"/>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8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8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5,094,906.24</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3,491,278.02</w:t>
            </w:r>
          </w:p>
        </w:tc>
      </w:tr>
      <w:tr>
        <w:trPr>
          <w:trHeight w:val="403"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3,647,401.78</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2,450,204.72</w:t>
            </w:r>
          </w:p>
        </w:tc>
      </w:tr>
      <w:tr>
        <w:trPr>
          <w:trHeight w:val="401"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300,850.90</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382,713.29</w:t>
            </w:r>
          </w:p>
        </w:tc>
      </w:tr>
      <w:tr>
        <w:trPr>
          <w:trHeight w:val="403"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10,922.04</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11,907.33</w:t>
            </w:r>
          </w:p>
        </w:tc>
      </w:tr>
      <w:tr>
        <w:trPr>
          <w:trHeight w:val="401"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565,035.75</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351,674.06</w:t>
            </w:r>
          </w:p>
        </w:tc>
      </w:tr>
      <w:tr>
        <w:trPr>
          <w:trHeight w:val="403" w:hRule="exact"/>
        </w:trPr>
        <w:tc>
          <w:tcPr>
            <w:tcW w:w="28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189,005.82</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91,150.44</w:t>
            </w:r>
          </w:p>
        </w:tc>
      </w:tr>
      <w:tr>
        <w:trPr>
          <w:trHeight w:val="413" w:hRule="exact"/>
        </w:trPr>
        <w:tc>
          <w:tcPr>
            <w:tcW w:w="28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right="1214"/>
              <w:jc w:val="righ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9,808,122.53</w:t>
            </w:r>
          </w:p>
        </w:tc>
        <w:tc>
          <w:tcPr>
            <w:tcW w:w="27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6,778,927.86</w:t>
            </w:r>
          </w:p>
        </w:tc>
      </w:tr>
    </w:tbl>
    <w:p>
      <w:pPr>
        <w:spacing w:line="240" w:lineRule="auto" w:before="1"/>
        <w:rPr>
          <w:rFonts w:ascii="Microsoft JhengHei" w:hAnsi="Microsoft JhengHei" w:cs="Microsoft JhengHei" w:eastAsia="Microsoft JhengHei" w:hint="default"/>
          <w:b/>
          <w:bCs/>
          <w:sz w:val="29"/>
          <w:szCs w:val="29"/>
        </w:rPr>
      </w:pPr>
    </w:p>
    <w:p>
      <w:pPr>
        <w:pStyle w:val="Heading4"/>
        <w:spacing w:line="335" w:lineRule="exact"/>
        <w:ind w:left="1100" w:right="0"/>
        <w:jc w:val="left"/>
        <w:rPr>
          <w:b w:val="0"/>
          <w:bCs w:val="0"/>
        </w:rPr>
      </w:pPr>
      <w:r>
        <w:rPr/>
        <w:t>注释 </w:t>
      </w:r>
      <w:r>
        <w:rPr>
          <w:rFonts w:ascii="Times New Roman" w:hAnsi="Times New Roman" w:cs="Times New Roman" w:eastAsia="Times New Roman" w:hint="default"/>
        </w:rPr>
        <w:t>54. </w:t>
      </w:r>
      <w:r>
        <w:rPr>
          <w:rFonts w:ascii="Times New Roman" w:hAnsi="Times New Roman" w:cs="Times New Roman" w:eastAsia="Times New Roman" w:hint="default"/>
          <w:spacing w:val="6"/>
        </w:rPr>
        <w:t> </w:t>
      </w:r>
      <w:r>
        <w:rPr/>
        <w:t>管理费用</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469" w:type="dxa"/>
        <w:tblLayout w:type="fixed"/>
        <w:tblCellMar>
          <w:top w:w="0" w:type="dxa"/>
          <w:left w:w="0" w:type="dxa"/>
          <w:bottom w:w="0" w:type="dxa"/>
          <w:right w:w="0" w:type="dxa"/>
        </w:tblCellMar>
        <w:tblLook w:val="01E0"/>
      </w:tblPr>
      <w:tblGrid>
        <w:gridCol w:w="2739"/>
        <w:gridCol w:w="2590"/>
        <w:gridCol w:w="2998"/>
      </w:tblGrid>
      <w:tr>
        <w:trPr>
          <w:trHeight w:val="427" w:hRule="exact"/>
        </w:trPr>
        <w:tc>
          <w:tcPr>
            <w:tcW w:w="27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99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8"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员工工资及福利费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left="1444" w:right="0"/>
              <w:jc w:val="left"/>
              <w:rPr>
                <w:rFonts w:ascii="Times New Roman" w:hAnsi="Times New Roman" w:cs="Times New Roman" w:eastAsia="Times New Roman" w:hint="default"/>
                <w:sz w:val="18"/>
                <w:szCs w:val="18"/>
              </w:rPr>
            </w:pPr>
            <w:r>
              <w:rPr>
                <w:rFonts w:ascii="Times New Roman"/>
                <w:sz w:val="18"/>
              </w:rPr>
              <w:t>969,670,215.08</w:t>
            </w:r>
          </w:p>
        </w:tc>
        <w:tc>
          <w:tcPr>
            <w:tcW w:w="2998" w:type="dxa"/>
            <w:tcBorders>
              <w:top w:val="dotted" w:sz="4" w:space="0" w:color="000000"/>
              <w:left w:val="dotted" w:sz="4" w:space="0" w:color="000000"/>
              <w:bottom w:val="nil" w:sz="6" w:space="0" w:color="auto"/>
              <w:right w:val="nil" w:sz="6" w:space="0" w:color="auto"/>
            </w:tcBorders>
          </w:tcPr>
          <w:p>
            <w:pPr>
              <w:pStyle w:val="TableParagraph"/>
              <w:spacing w:line="240" w:lineRule="auto" w:before="106"/>
              <w:ind w:left="1853" w:right="0"/>
              <w:jc w:val="left"/>
              <w:rPr>
                <w:rFonts w:ascii="Times New Roman" w:hAnsi="Times New Roman" w:cs="Times New Roman" w:eastAsia="Times New Roman" w:hint="default"/>
                <w:sz w:val="18"/>
                <w:szCs w:val="18"/>
              </w:rPr>
            </w:pPr>
            <w:r>
              <w:rPr>
                <w:rFonts w:ascii="Times New Roman"/>
                <w:sz w:val="18"/>
              </w:rPr>
              <w:t>586,228,569.02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130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2739"/>
        <w:gridCol w:w="2590"/>
        <w:gridCol w:w="2998"/>
      </w:tblGrid>
      <w:tr>
        <w:trPr>
          <w:trHeight w:val="430" w:hRule="exact"/>
        </w:trPr>
        <w:tc>
          <w:tcPr>
            <w:tcW w:w="27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99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场地设备租赁费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142,638,805.00</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127,483,423.44</w:t>
            </w:r>
          </w:p>
        </w:tc>
      </w:tr>
      <w:tr>
        <w:trPr>
          <w:trHeight w:val="418"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103,875,467.15</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47,435,597.98</w:t>
            </w:r>
          </w:p>
        </w:tc>
      </w:tr>
      <w:tr>
        <w:trPr>
          <w:trHeight w:val="418"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折旧、摊销及维修费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57,048,662.95</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45,160,371.94</w:t>
            </w:r>
          </w:p>
        </w:tc>
      </w:tr>
      <w:tr>
        <w:trPr>
          <w:trHeight w:val="418"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45,156,150.17</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29,240,223.55</w:t>
            </w:r>
          </w:p>
        </w:tc>
      </w:tr>
      <w:tr>
        <w:trPr>
          <w:trHeight w:val="415"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39,538,968.68</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30,360,883.35</w:t>
            </w:r>
          </w:p>
        </w:tc>
      </w:tr>
      <w:tr>
        <w:trPr>
          <w:trHeight w:val="418"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z w:val="18"/>
                <w:szCs w:val="18"/>
              </w:rPr>
              <w:t>审计、咨询及广告宣传费</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22,082,707.28</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14,187,279.03</w:t>
            </w:r>
          </w:p>
        </w:tc>
      </w:tr>
      <w:tr>
        <w:trPr>
          <w:trHeight w:val="418"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交易所费用</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20,495,392.99</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15,187,977.37</w:t>
            </w:r>
          </w:p>
        </w:tc>
      </w:tr>
      <w:tr>
        <w:trPr>
          <w:trHeight w:val="418"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证券投资者保护基金、期货准备金</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10,924,499.41</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11,395,384.17</w:t>
            </w:r>
          </w:p>
        </w:tc>
      </w:tr>
      <w:tr>
        <w:trPr>
          <w:trHeight w:val="415"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佣金及劳务支出</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5,487,123.41</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39,548,750.21</w:t>
            </w:r>
          </w:p>
        </w:tc>
      </w:tr>
      <w:tr>
        <w:trPr>
          <w:trHeight w:val="418"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23,184,282.51</w:t>
            </w:r>
          </w:p>
        </w:tc>
        <w:tc>
          <w:tcPr>
            <w:tcW w:w="29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23,603,993.89</w:t>
            </w:r>
          </w:p>
        </w:tc>
      </w:tr>
      <w:tr>
        <w:trPr>
          <w:trHeight w:val="427" w:hRule="exact"/>
        </w:trPr>
        <w:tc>
          <w:tcPr>
            <w:tcW w:w="27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1,440,102,274.63</w:t>
            </w:r>
          </w:p>
        </w:tc>
        <w:tc>
          <w:tcPr>
            <w:tcW w:w="29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969,832,453.95</w:t>
            </w:r>
          </w:p>
        </w:tc>
      </w:tr>
    </w:tbl>
    <w:p>
      <w:pPr>
        <w:spacing w:line="240" w:lineRule="auto" w:before="1"/>
        <w:rPr>
          <w:rFonts w:ascii="Microsoft JhengHei" w:hAnsi="Microsoft JhengHei" w:cs="Microsoft JhengHei" w:eastAsia="Microsoft JhengHei" w:hint="default"/>
          <w:b/>
          <w:bCs/>
          <w:sz w:val="29"/>
          <w:szCs w:val="29"/>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55. </w:t>
      </w:r>
      <w:r>
        <w:rPr>
          <w:rFonts w:ascii="Times New Roman" w:hAnsi="Times New Roman" w:cs="Times New Roman" w:eastAsia="Times New Roman" w:hint="default"/>
          <w:spacing w:val="6"/>
        </w:rPr>
        <w:t> </w:t>
      </w:r>
      <w:r>
        <w:rPr/>
        <w:t>研发费用</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992"/>
        <w:gridCol w:w="2280"/>
        <w:gridCol w:w="2055"/>
      </w:tblGrid>
      <w:tr>
        <w:trPr>
          <w:trHeight w:val="427" w:hRule="exact"/>
        </w:trPr>
        <w:tc>
          <w:tcPr>
            <w:tcW w:w="39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right="1803"/>
              <w:jc w:val="right"/>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6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5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8"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员工工资及福利费</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16,514,316.05</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3,137,107.07</w:t>
            </w:r>
          </w:p>
        </w:tc>
      </w:tr>
      <w:tr>
        <w:trPr>
          <w:trHeight w:val="418"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1,507,651.65</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608,277.15</w:t>
            </w:r>
          </w:p>
        </w:tc>
      </w:tr>
      <w:tr>
        <w:trPr>
          <w:trHeight w:val="418"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2,107,710.40</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116,226.73</w:t>
            </w:r>
          </w:p>
        </w:tc>
      </w:tr>
      <w:tr>
        <w:trPr>
          <w:trHeight w:val="427" w:hRule="exact"/>
        </w:trPr>
        <w:tc>
          <w:tcPr>
            <w:tcW w:w="39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right="1803"/>
              <w:jc w:val="righ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20,129,678.10</w:t>
            </w:r>
          </w:p>
        </w:tc>
        <w:tc>
          <w:tcPr>
            <w:tcW w:w="20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3,861,610.95</w:t>
            </w:r>
          </w:p>
        </w:tc>
      </w:tr>
    </w:tbl>
    <w:p>
      <w:pPr>
        <w:spacing w:line="240" w:lineRule="auto" w:before="15"/>
        <w:rPr>
          <w:rFonts w:ascii="Microsoft JhengHei" w:hAnsi="Microsoft JhengHei" w:cs="Microsoft JhengHei" w:eastAsia="Microsoft JhengHei" w:hint="default"/>
          <w:b/>
          <w:bCs/>
          <w:sz w:val="13"/>
          <w:szCs w:val="13"/>
        </w:rPr>
      </w:pPr>
    </w:p>
    <w:p>
      <w:pPr>
        <w:pStyle w:val="Heading4"/>
        <w:spacing w:line="335" w:lineRule="exact"/>
        <w:ind w:left="740" w:right="1786"/>
        <w:jc w:val="left"/>
        <w:rPr>
          <w:b w:val="0"/>
          <w:bCs w:val="0"/>
        </w:rPr>
      </w:pPr>
      <w:r>
        <w:rPr/>
        <w:t>注释 </w:t>
      </w:r>
      <w:r>
        <w:rPr>
          <w:rFonts w:ascii="Times New Roman" w:hAnsi="Times New Roman" w:cs="Times New Roman" w:eastAsia="Times New Roman" w:hint="default"/>
        </w:rPr>
        <w:t>56. </w:t>
      </w:r>
      <w:r>
        <w:rPr>
          <w:rFonts w:ascii="Times New Roman" w:hAnsi="Times New Roman" w:cs="Times New Roman" w:eastAsia="Times New Roman" w:hint="default"/>
          <w:spacing w:val="6"/>
        </w:rPr>
        <w:t> </w:t>
      </w:r>
      <w:r>
        <w:rPr/>
        <w:t>财务费用</w:t>
      </w:r>
      <w:r>
        <w:rPr>
          <w:b w:val="0"/>
          <w:bCs w:val="0"/>
        </w:rPr>
      </w:r>
    </w:p>
    <w:p>
      <w:pPr>
        <w:spacing w:line="240" w:lineRule="auto" w:before="2"/>
        <w:rPr>
          <w:rFonts w:ascii="Microsoft JhengHei" w:hAnsi="Microsoft JhengHei" w:cs="Microsoft JhengHei" w:eastAsia="Microsoft JhengHei" w:hint="default"/>
          <w:b/>
          <w:bCs/>
          <w:sz w:val="16"/>
          <w:szCs w:val="16"/>
        </w:rPr>
      </w:pPr>
    </w:p>
    <w:tbl>
      <w:tblPr>
        <w:tblW w:w="0" w:type="auto"/>
        <w:jc w:val="left"/>
        <w:tblInd w:w="109" w:type="dxa"/>
        <w:tblLayout w:type="fixed"/>
        <w:tblCellMar>
          <w:top w:w="0" w:type="dxa"/>
          <w:left w:w="0" w:type="dxa"/>
          <w:bottom w:w="0" w:type="dxa"/>
          <w:right w:w="0" w:type="dxa"/>
        </w:tblCellMar>
        <w:tblLook w:val="01E0"/>
      </w:tblPr>
      <w:tblGrid>
        <w:gridCol w:w="3951"/>
        <w:gridCol w:w="2314"/>
        <w:gridCol w:w="2062"/>
      </w:tblGrid>
      <w:tr>
        <w:trPr>
          <w:trHeight w:val="413" w:hRule="exact"/>
        </w:trPr>
        <w:tc>
          <w:tcPr>
            <w:tcW w:w="39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9"/>
              <w:ind w:right="1781"/>
              <w:jc w:val="right"/>
              <w:rPr>
                <w:rFonts w:ascii="宋体" w:hAnsi="宋体" w:cs="宋体" w:eastAsia="宋体" w:hint="default"/>
                <w:sz w:val="18"/>
                <w:szCs w:val="18"/>
              </w:rPr>
            </w:pPr>
            <w:r>
              <w:rPr>
                <w:rFonts w:ascii="宋体" w:hAnsi="宋体" w:cs="宋体" w:eastAsia="宋体" w:hint="default"/>
                <w:sz w:val="18"/>
                <w:szCs w:val="18"/>
              </w:rPr>
              <w:t>项目</w:t>
            </w:r>
          </w:p>
        </w:tc>
        <w:tc>
          <w:tcPr>
            <w:tcW w:w="23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264,951,992.25</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282,225,022.88</w:t>
            </w:r>
          </w:p>
        </w:tc>
      </w:tr>
      <w:tr>
        <w:trPr>
          <w:trHeight w:val="442"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0"/>
              <w:ind w:left="30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15,114,196.57</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pacing w:val="-1"/>
                <w:sz w:val="18"/>
              </w:rPr>
              <w:t>16,166,053.30</w:t>
            </w:r>
          </w:p>
        </w:tc>
      </w:tr>
      <w:tr>
        <w:trPr>
          <w:trHeight w:val="403"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110,124.26</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227,332.11</w:t>
            </w:r>
          </w:p>
        </w:tc>
      </w:tr>
      <w:tr>
        <w:trPr>
          <w:trHeight w:val="401"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158,735.69</w:t>
            </w:r>
          </w:p>
        </w:tc>
        <w:tc>
          <w:tcPr>
            <w:tcW w:w="20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50,700.96</w:t>
            </w:r>
          </w:p>
        </w:tc>
      </w:tr>
      <w:tr>
        <w:trPr>
          <w:trHeight w:val="413" w:hRule="exact"/>
        </w:trPr>
        <w:tc>
          <w:tcPr>
            <w:tcW w:w="39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1781"/>
              <w:jc w:val="right"/>
              <w:rPr>
                <w:rFonts w:ascii="宋体" w:hAnsi="宋体" w:cs="宋体" w:eastAsia="宋体" w:hint="default"/>
                <w:sz w:val="18"/>
                <w:szCs w:val="18"/>
              </w:rPr>
            </w:pPr>
            <w:r>
              <w:rPr>
                <w:rFonts w:ascii="宋体" w:hAnsi="宋体" w:cs="宋体" w:eastAsia="宋体" w:hint="default"/>
                <w:sz w:val="18"/>
                <w:szCs w:val="18"/>
              </w:rPr>
              <w:t>合计</w:t>
            </w:r>
          </w:p>
        </w:tc>
        <w:tc>
          <w:tcPr>
            <w:tcW w:w="23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250,106,655.63</w:t>
            </w:r>
          </w:p>
        </w:tc>
        <w:tc>
          <w:tcPr>
            <w:tcW w:w="20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266,337,002.65</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57. </w:t>
      </w:r>
      <w:r>
        <w:rPr>
          <w:rFonts w:ascii="Times New Roman" w:hAnsi="Times New Roman" w:cs="Times New Roman" w:eastAsia="Times New Roman" w:hint="default"/>
          <w:spacing w:val="6"/>
        </w:rPr>
        <w:t> </w:t>
      </w:r>
      <w:r>
        <w:rPr/>
        <w:t>其他收益</w:t>
      </w:r>
      <w:r>
        <w:rPr>
          <w:b w:val="0"/>
          <w:bCs w:val="0"/>
        </w:rPr>
      </w:r>
    </w:p>
    <w:p>
      <w:pPr>
        <w:pStyle w:val="Heading4"/>
        <w:spacing w:line="240" w:lineRule="auto" w:before="83"/>
        <w:ind w:right="1786"/>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t>其他收益明细情况</w:t>
      </w:r>
      <w:r>
        <w:rPr>
          <w:b w:val="0"/>
          <w:bCs w:val="0"/>
        </w:rPr>
      </w:r>
    </w:p>
    <w:p>
      <w:pPr>
        <w:spacing w:after="0" w:line="240" w:lineRule="auto"/>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2785"/>
        <w:gridCol w:w="2772"/>
        <w:gridCol w:w="2770"/>
      </w:tblGrid>
      <w:tr>
        <w:trPr>
          <w:trHeight w:val="362" w:hRule="exact"/>
        </w:trPr>
        <w:tc>
          <w:tcPr>
            <w:tcW w:w="27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587"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7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14,130,174.69</w:t>
            </w:r>
          </w:p>
        </w:tc>
        <w:tc>
          <w:tcPr>
            <w:tcW w:w="27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1,490,598.62</w:t>
            </w:r>
          </w:p>
        </w:tc>
      </w:tr>
      <w:tr>
        <w:trPr>
          <w:trHeight w:val="403" w:hRule="exact"/>
        </w:trPr>
        <w:tc>
          <w:tcPr>
            <w:tcW w:w="2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其他税费手续费返还</w:t>
            </w:r>
          </w:p>
        </w:tc>
        <w:tc>
          <w:tcPr>
            <w:tcW w:w="2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3,558,655.65</w:t>
            </w:r>
          </w:p>
        </w:tc>
        <w:tc>
          <w:tcPr>
            <w:tcW w:w="27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1,075,145.58</w:t>
            </w:r>
          </w:p>
        </w:tc>
      </w:tr>
      <w:tr>
        <w:trPr>
          <w:trHeight w:val="401" w:hRule="exact"/>
        </w:trPr>
        <w:tc>
          <w:tcPr>
            <w:tcW w:w="2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增值税减免</w:t>
            </w:r>
          </w:p>
        </w:tc>
        <w:tc>
          <w:tcPr>
            <w:tcW w:w="2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2,576,630.27</w:t>
            </w:r>
          </w:p>
        </w:tc>
        <w:tc>
          <w:tcPr>
            <w:tcW w:w="27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205,862.15</w:t>
            </w:r>
          </w:p>
        </w:tc>
      </w:tr>
      <w:tr>
        <w:trPr>
          <w:trHeight w:val="403" w:hRule="exact"/>
        </w:trPr>
        <w:tc>
          <w:tcPr>
            <w:tcW w:w="27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174,898.54</w:t>
            </w:r>
          </w:p>
        </w:tc>
        <w:tc>
          <w:tcPr>
            <w:tcW w:w="27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17,461.71</w:t>
            </w:r>
          </w:p>
        </w:tc>
      </w:tr>
      <w:tr>
        <w:trPr>
          <w:trHeight w:val="413" w:hRule="exact"/>
        </w:trPr>
        <w:tc>
          <w:tcPr>
            <w:tcW w:w="27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20,440,359.15</w:t>
            </w:r>
          </w:p>
        </w:tc>
        <w:tc>
          <w:tcPr>
            <w:tcW w:w="27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2,789,068.06</w:t>
            </w:r>
          </w:p>
        </w:tc>
      </w:tr>
    </w:tbl>
    <w:p>
      <w:pPr>
        <w:spacing w:line="240" w:lineRule="auto" w:before="15"/>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计入其他收益的政府补助</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572"/>
        <w:gridCol w:w="1724"/>
        <w:gridCol w:w="1723"/>
        <w:gridCol w:w="1309"/>
      </w:tblGrid>
      <w:tr>
        <w:trPr>
          <w:trHeight w:val="607" w:hRule="exact"/>
        </w:trPr>
        <w:tc>
          <w:tcPr>
            <w:tcW w:w="35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7"/>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7"/>
              <w:ind w:left="4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7"/>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309" w:type="dxa"/>
            <w:tcBorders>
              <w:top w:val="single" w:sz="12" w:space="0" w:color="000000"/>
              <w:left w:val="dotted" w:sz="4" w:space="0" w:color="000000"/>
              <w:bottom w:val="dotted" w:sz="4" w:space="0" w:color="000000"/>
              <w:right w:val="nil" w:sz="6" w:space="0" w:color="auto"/>
            </w:tcBorders>
          </w:tcPr>
          <w:p>
            <w:pPr>
              <w:pStyle w:val="TableParagraph"/>
              <w:spacing w:line="261" w:lineRule="auto" w:before="10"/>
              <w:ind w:left="199" w:right="182" w:hanging="22"/>
              <w:jc w:val="left"/>
              <w:rPr>
                <w:rFonts w:ascii="宋体" w:hAnsi="宋体" w:cs="宋体" w:eastAsia="宋体" w:hint="default"/>
                <w:sz w:val="18"/>
                <w:szCs w:val="18"/>
              </w:rPr>
            </w:pPr>
            <w:r>
              <w:rPr>
                <w:rFonts w:ascii="宋体" w:hAnsi="宋体" w:cs="宋体" w:eastAsia="宋体" w:hint="default"/>
                <w:w w:val="95"/>
                <w:sz w:val="18"/>
                <w:szCs w:val="18"/>
              </w:rPr>
              <w:t>与资产相关</w:t>
            </w:r>
            <w:r>
              <w:rPr>
                <w:rFonts w:ascii="Arial" w:hAnsi="Arial" w:cs="Arial" w:eastAsia="Arial" w:hint="default"/>
                <w:w w:val="95"/>
                <w:sz w:val="18"/>
                <w:szCs w:val="18"/>
              </w:rPr>
              <w:t>/</w:t>
            </w:r>
            <w:r>
              <w:rPr>
                <w:rFonts w:ascii="Arial" w:hAnsi="Arial" w:cs="Arial" w:eastAsia="Arial" w:hint="default"/>
                <w:spacing w:val="-9"/>
                <w:w w:val="95"/>
                <w:sz w:val="18"/>
                <w:szCs w:val="18"/>
              </w:rPr>
              <w:t> </w:t>
            </w:r>
            <w:r>
              <w:rPr>
                <w:rFonts w:ascii="宋体" w:hAnsi="宋体" w:cs="宋体" w:eastAsia="宋体" w:hint="default"/>
                <w:sz w:val="18"/>
                <w:szCs w:val="18"/>
              </w:rPr>
              <w:t>与收益相关</w:t>
            </w:r>
          </w:p>
        </w:tc>
      </w:tr>
      <w:tr>
        <w:trPr>
          <w:trHeight w:val="40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江西省财政厅金融发展奖补专项资金</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540,000.00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49"/>
              <w:ind w:left="122" w:right="103" w:firstLine="91"/>
              <w:jc w:val="left"/>
              <w:rPr>
                <w:rFonts w:ascii="宋体" w:hAnsi="宋体" w:cs="宋体" w:eastAsia="宋体" w:hint="default"/>
                <w:sz w:val="18"/>
                <w:szCs w:val="18"/>
              </w:rPr>
            </w:pPr>
            <w:r>
              <w:rPr>
                <w:rFonts w:ascii="宋体" w:hAnsi="宋体" w:cs="宋体" w:eastAsia="宋体" w:hint="default"/>
                <w:spacing w:val="4"/>
                <w:sz w:val="18"/>
                <w:szCs w:val="18"/>
              </w:rPr>
              <w:t>南昌市新建区财政国库支付中心</w:t>
            </w:r>
            <w:r>
              <w:rPr>
                <w:rFonts w:ascii="宋体" w:hAnsi="宋体" w:cs="宋体" w:eastAsia="宋体" w:hint="default"/>
                <w:spacing w:val="24"/>
                <w:sz w:val="18"/>
                <w:szCs w:val="18"/>
              </w:rPr>
              <w:t> </w:t>
            </w:r>
            <w:r>
              <w:rPr>
                <w:rFonts w:ascii="宋体" w:hAnsi="宋体" w:cs="宋体" w:eastAsia="宋体" w:hint="default"/>
                <w:spacing w:val="3"/>
                <w:sz w:val="18"/>
                <w:szCs w:val="18"/>
              </w:rPr>
              <w:t>国盛总</w:t>
            </w:r>
            <w:r>
              <w:rPr>
                <w:rFonts w:ascii="宋体" w:hAnsi="宋体" w:cs="宋体" w:eastAsia="宋体" w:hint="default"/>
                <w:sz w:val="18"/>
                <w:szCs w:val="18"/>
              </w:rPr>
              <w:t> 部项目补助资金</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4,666,666.67</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300" w:lineRule="auto" w:before="49"/>
              <w:ind w:left="122" w:right="100" w:firstLine="91"/>
              <w:jc w:val="both"/>
              <w:rPr>
                <w:rFonts w:ascii="宋体" w:hAnsi="宋体" w:cs="宋体" w:eastAsia="宋体" w:hint="default"/>
                <w:sz w:val="18"/>
                <w:szCs w:val="18"/>
              </w:rPr>
            </w:pPr>
            <w:r>
              <w:rPr>
                <w:rFonts w:ascii="宋体" w:hAnsi="宋体" w:cs="宋体" w:eastAsia="宋体" w:hint="default"/>
                <w:sz w:val="18"/>
                <w:szCs w:val="18"/>
              </w:rPr>
              <w:t>南昌市西湖区现代服务业务发展局</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年西湖区现代服务业发展推进大会</w:t>
            </w:r>
            <w:r>
              <w:rPr>
                <w:rFonts w:ascii="Times New Roman" w:hAnsi="Times New Roman" w:cs="Times New Roman" w:eastAsia="Times New Roman" w:hint="default"/>
                <w:sz w:val="18"/>
                <w:szCs w:val="18"/>
              </w:rPr>
              <w:t>”</w:t>
            </w:r>
            <w:r>
              <w:rPr>
                <w:rFonts w:ascii="宋体" w:hAnsi="宋体" w:cs="宋体" w:eastAsia="宋体" w:hint="default"/>
                <w:sz w:val="18"/>
                <w:szCs w:val="18"/>
              </w:rPr>
              <w:t>奖励经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费</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山东分公司金融办奖励金</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3,039,000.00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湖南分公司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年金融发展专项资金</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河南分公司郑东新区金融专项资金</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广西分公司新设金融机构奖励</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赣州分公司政府奖励开办费</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襄阳高新区落户奖励资金</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33,333.00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烟台长江路证券营业部地方政府金融补贴</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52,428.00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深圳分公司一次性落户奖励</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266,666.67</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上海分公司财政扶持资金</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900,000.00</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年度扶持金融业发展财政补贴</w:t>
            </w:r>
          </w:p>
        </w:tc>
        <w:tc>
          <w:tcPr>
            <w:tcW w:w="1724" w:type="dxa"/>
            <w:tcBorders>
              <w:top w:val="dotted" w:sz="4" w:space="0" w:color="000000"/>
              <w:left w:val="dotted" w:sz="4" w:space="0" w:color="000000"/>
              <w:bottom w:val="dotted" w:sz="4" w:space="0" w:color="000000"/>
              <w:right w:val="dotted" w:sz="4" w:space="0" w:color="000000"/>
            </w:tcBorders>
          </w:tcPr>
          <w:p>
            <w:pP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49"/>
              <w:ind w:left="122" w:right="104" w:firstLine="91"/>
              <w:jc w:val="left"/>
              <w:rPr>
                <w:rFonts w:ascii="宋体" w:hAnsi="宋体" w:cs="宋体" w:eastAsia="宋体" w:hint="default"/>
                <w:sz w:val="18"/>
                <w:szCs w:val="18"/>
              </w:rPr>
            </w:pPr>
            <w:r>
              <w:rPr>
                <w:rFonts w:ascii="宋体" w:hAnsi="宋体" w:cs="宋体" w:eastAsia="宋体" w:hint="default"/>
                <w:sz w:val="18"/>
                <w:szCs w:val="18"/>
              </w:rPr>
              <w:t>赣州经济技术开发区财政局新三板上市专 项资金</w:t>
            </w:r>
          </w:p>
        </w:tc>
        <w:tc>
          <w:tcPr>
            <w:tcW w:w="1724" w:type="dxa"/>
            <w:tcBorders>
              <w:top w:val="dotted" w:sz="4" w:space="0" w:color="000000"/>
              <w:left w:val="dotted" w:sz="4" w:space="0" w:color="000000"/>
              <w:bottom w:val="dotted" w:sz="4" w:space="0" w:color="000000"/>
              <w:right w:val="dotted" w:sz="4" w:space="0" w:color="000000"/>
            </w:tcBorders>
          </w:tcPr>
          <w:p>
            <w:pP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区财政政策扶持</w:t>
            </w:r>
          </w:p>
        </w:tc>
        <w:tc>
          <w:tcPr>
            <w:tcW w:w="1724" w:type="dxa"/>
            <w:tcBorders>
              <w:top w:val="dotted" w:sz="4" w:space="0" w:color="000000"/>
              <w:left w:val="dotted" w:sz="4" w:space="0" w:color="000000"/>
              <w:bottom w:val="dotted" w:sz="4" w:space="0" w:color="000000"/>
              <w:right w:val="dotted" w:sz="4" w:space="0" w:color="000000"/>
            </w:tcBorders>
          </w:tcPr>
          <w:p>
            <w:pP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鄞州区奖励开办费</w:t>
            </w:r>
          </w:p>
        </w:tc>
        <w:tc>
          <w:tcPr>
            <w:tcW w:w="1724" w:type="dxa"/>
            <w:tcBorders>
              <w:top w:val="dotted" w:sz="4" w:space="0" w:color="000000"/>
              <w:left w:val="dotted" w:sz="4" w:space="0" w:color="000000"/>
              <w:bottom w:val="dotted" w:sz="4" w:space="0" w:color="000000"/>
              <w:right w:val="dotted" w:sz="4" w:space="0" w:color="000000"/>
            </w:tcBorders>
          </w:tcPr>
          <w:p>
            <w:pP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360,000.00</w:t>
            </w: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地方政府金融补贴</w:t>
            </w:r>
          </w:p>
        </w:tc>
        <w:tc>
          <w:tcPr>
            <w:tcW w:w="1724" w:type="dxa"/>
            <w:tcBorders>
              <w:top w:val="dotted" w:sz="4" w:space="0" w:color="000000"/>
              <w:left w:val="dotted" w:sz="4" w:space="0" w:color="000000"/>
              <w:bottom w:val="dotted" w:sz="4" w:space="0" w:color="000000"/>
              <w:right w:val="dotted" w:sz="4" w:space="0" w:color="000000"/>
            </w:tcBorders>
          </w:tcPr>
          <w:p>
            <w:pP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38,200.00</w:t>
            </w: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49"/>
              <w:ind w:left="122" w:right="104" w:firstLine="91"/>
              <w:jc w:val="left"/>
              <w:rPr>
                <w:rFonts w:ascii="宋体" w:hAnsi="宋体" w:cs="宋体" w:eastAsia="宋体" w:hint="default"/>
                <w:sz w:val="18"/>
                <w:szCs w:val="18"/>
              </w:rPr>
            </w:pPr>
            <w:r>
              <w:rPr>
                <w:rFonts w:ascii="宋体" w:hAnsi="宋体" w:cs="宋体" w:eastAsia="宋体" w:hint="default"/>
                <w:sz w:val="18"/>
                <w:szCs w:val="18"/>
              </w:rPr>
              <w:t>赣州经济技术开发区财政局券商及推荐机 构项目团队</w:t>
            </w:r>
          </w:p>
        </w:tc>
        <w:tc>
          <w:tcPr>
            <w:tcW w:w="1724" w:type="dxa"/>
            <w:tcBorders>
              <w:top w:val="dotted" w:sz="4" w:space="0" w:color="000000"/>
              <w:left w:val="dotted" w:sz="4" w:space="0" w:color="000000"/>
              <w:bottom w:val="dotted" w:sz="4" w:space="0" w:color="000000"/>
              <w:right w:val="dotted" w:sz="4" w:space="0" w:color="000000"/>
            </w:tcBorders>
          </w:tcPr>
          <w:p>
            <w:pP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3" w:hRule="exact"/>
        </w:trPr>
        <w:tc>
          <w:tcPr>
            <w:tcW w:w="35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浦东新区财政扶持金</w:t>
            </w:r>
          </w:p>
        </w:tc>
        <w:tc>
          <w:tcPr>
            <w:tcW w:w="17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29,000.00</w:t>
            </w:r>
          </w:p>
        </w:tc>
        <w:tc>
          <w:tcPr>
            <w:tcW w:w="17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105,000.00</w:t>
            </w:r>
          </w:p>
        </w:tc>
        <w:tc>
          <w:tcPr>
            <w:tcW w:w="13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3572"/>
        <w:gridCol w:w="1724"/>
        <w:gridCol w:w="1723"/>
        <w:gridCol w:w="1309"/>
      </w:tblGrid>
      <w:tr>
        <w:trPr>
          <w:trHeight w:val="610" w:hRule="exact"/>
        </w:trPr>
        <w:tc>
          <w:tcPr>
            <w:tcW w:w="35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7"/>
              <w:ind w:right="1592"/>
              <w:jc w:val="right"/>
              <w:rPr>
                <w:rFonts w:ascii="宋体" w:hAnsi="宋体" w:cs="宋体" w:eastAsia="宋体" w:hint="default"/>
                <w:sz w:val="18"/>
                <w:szCs w:val="18"/>
              </w:rPr>
            </w:pPr>
            <w:r>
              <w:rPr>
                <w:rFonts w:ascii="宋体" w:hAnsi="宋体" w:cs="宋体" w:eastAsia="宋体" w:hint="default"/>
                <w:sz w:val="18"/>
                <w:szCs w:val="18"/>
              </w:rPr>
              <w:t>项目</w:t>
            </w:r>
          </w:p>
        </w:tc>
        <w:tc>
          <w:tcPr>
            <w:tcW w:w="17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7"/>
              <w:ind w:left="4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7"/>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309" w:type="dxa"/>
            <w:tcBorders>
              <w:top w:val="single" w:sz="12" w:space="0" w:color="000000"/>
              <w:left w:val="dotted" w:sz="4" w:space="0" w:color="000000"/>
              <w:bottom w:val="dotted" w:sz="4" w:space="0" w:color="000000"/>
              <w:right w:val="nil" w:sz="6" w:space="0" w:color="auto"/>
            </w:tcBorders>
          </w:tcPr>
          <w:p>
            <w:pPr>
              <w:pStyle w:val="TableParagraph"/>
              <w:spacing w:line="264" w:lineRule="auto" w:before="10"/>
              <w:ind w:left="199" w:right="182" w:hanging="22"/>
              <w:jc w:val="left"/>
              <w:rPr>
                <w:rFonts w:ascii="宋体" w:hAnsi="宋体" w:cs="宋体" w:eastAsia="宋体" w:hint="default"/>
                <w:sz w:val="18"/>
                <w:szCs w:val="18"/>
              </w:rPr>
            </w:pPr>
            <w:r>
              <w:rPr>
                <w:rFonts w:ascii="宋体" w:hAnsi="宋体" w:cs="宋体" w:eastAsia="宋体" w:hint="default"/>
                <w:w w:val="95"/>
                <w:sz w:val="18"/>
                <w:szCs w:val="18"/>
              </w:rPr>
              <w:t>与资产相关</w:t>
            </w:r>
            <w:r>
              <w:rPr>
                <w:rFonts w:ascii="Arial" w:hAnsi="Arial" w:cs="Arial" w:eastAsia="Arial" w:hint="default"/>
                <w:w w:val="95"/>
                <w:sz w:val="18"/>
                <w:szCs w:val="18"/>
              </w:rPr>
              <w:t>/</w:t>
            </w:r>
            <w:r>
              <w:rPr>
                <w:rFonts w:ascii="Arial" w:hAnsi="Arial" w:cs="Arial" w:eastAsia="Arial" w:hint="default"/>
                <w:spacing w:val="-9"/>
                <w:w w:val="95"/>
                <w:sz w:val="18"/>
                <w:szCs w:val="18"/>
              </w:rPr>
              <w:t> </w:t>
            </w:r>
            <w:r>
              <w:rPr>
                <w:rFonts w:ascii="宋体" w:hAnsi="宋体" w:cs="宋体" w:eastAsia="宋体" w:hint="default"/>
                <w:sz w:val="18"/>
                <w:szCs w:val="18"/>
              </w:rPr>
              <w:t>与收益相关</w:t>
            </w:r>
          </w:p>
        </w:tc>
      </w:tr>
      <w:tr>
        <w:trPr>
          <w:trHeight w:val="401"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政府扶持基金</w:t>
            </w:r>
          </w:p>
        </w:tc>
        <w:tc>
          <w:tcPr>
            <w:tcW w:w="1724" w:type="dxa"/>
            <w:tcBorders>
              <w:top w:val="dotted" w:sz="4" w:space="0" w:color="000000"/>
              <w:left w:val="dotted" w:sz="4" w:space="0" w:color="000000"/>
              <w:bottom w:val="dotted" w:sz="4" w:space="0" w:color="000000"/>
              <w:right w:val="dotted" w:sz="4" w:space="0" w:color="000000"/>
            </w:tcBorders>
          </w:tcPr>
          <w:p>
            <w:pPr/>
          </w:p>
        </w:tc>
        <w:tc>
          <w:tcPr>
            <w:tcW w:w="17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327,398.62</w:t>
            </w: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深圳市政府租房补助</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38,502.82</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49"/>
              <w:ind w:left="122" w:right="106"/>
              <w:jc w:val="left"/>
              <w:rPr>
                <w:rFonts w:ascii="宋体" w:hAnsi="宋体" w:cs="宋体" w:eastAsia="宋体" w:hint="default"/>
                <w:sz w:val="18"/>
                <w:szCs w:val="18"/>
              </w:rPr>
            </w:pPr>
            <w:r>
              <w:rPr>
                <w:rFonts w:ascii="宋体" w:hAnsi="宋体" w:cs="宋体" w:eastAsia="宋体" w:hint="default"/>
                <w:spacing w:val="4"/>
                <w:sz w:val="18"/>
                <w:szCs w:val="18"/>
              </w:rPr>
              <w:t>收顺德区社会保险管理基金管理局支付稳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岗补贴</w:t>
            </w:r>
          </w:p>
        </w:tc>
        <w:tc>
          <w:tcPr>
            <w:tcW w:w="17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64,577.53</w:t>
            </w:r>
          </w:p>
        </w:tc>
        <w:tc>
          <w:tcPr>
            <w:tcW w:w="1723" w:type="dxa"/>
            <w:tcBorders>
              <w:top w:val="dotted" w:sz="4" w:space="0" w:color="000000"/>
              <w:left w:val="dotted" w:sz="4" w:space="0" w:color="000000"/>
              <w:bottom w:val="dotted" w:sz="4" w:space="0" w:color="000000"/>
              <w:right w:val="dotted" w:sz="4" w:space="0" w:color="000000"/>
            </w:tcBorders>
          </w:tcPr>
          <w:p>
            <w:pPr/>
          </w:p>
        </w:tc>
        <w:tc>
          <w:tcPr>
            <w:tcW w:w="13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3" w:hRule="exact"/>
        </w:trPr>
        <w:tc>
          <w:tcPr>
            <w:tcW w:w="35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right="1592"/>
              <w:jc w:val="right"/>
              <w:rPr>
                <w:rFonts w:ascii="宋体" w:hAnsi="宋体" w:cs="宋体" w:eastAsia="宋体" w:hint="default"/>
                <w:sz w:val="18"/>
                <w:szCs w:val="18"/>
              </w:rPr>
            </w:pPr>
            <w:r>
              <w:rPr>
                <w:rFonts w:ascii="宋体" w:hAnsi="宋体" w:cs="宋体" w:eastAsia="宋体" w:hint="default"/>
                <w:sz w:val="18"/>
                <w:szCs w:val="18"/>
              </w:rPr>
              <w:t>合计</w:t>
            </w:r>
          </w:p>
        </w:tc>
        <w:tc>
          <w:tcPr>
            <w:tcW w:w="17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14,130,174.69</w:t>
            </w:r>
          </w:p>
        </w:tc>
        <w:tc>
          <w:tcPr>
            <w:tcW w:w="17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1,490,598.62</w:t>
            </w:r>
          </w:p>
        </w:tc>
        <w:tc>
          <w:tcPr>
            <w:tcW w:w="130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529" w:right="1786"/>
        <w:jc w:val="left"/>
        <w:rPr>
          <w:b w:val="0"/>
          <w:bCs w:val="0"/>
        </w:rPr>
      </w:pPr>
      <w:r>
        <w:rPr/>
        <w:t>注释 </w:t>
      </w:r>
      <w:r>
        <w:rPr>
          <w:rFonts w:ascii="Times New Roman" w:hAnsi="Times New Roman" w:cs="Times New Roman" w:eastAsia="Times New Roman" w:hint="default"/>
        </w:rPr>
        <w:t>58. </w:t>
      </w:r>
      <w:r>
        <w:rPr>
          <w:rFonts w:ascii="Times New Roman" w:hAnsi="Times New Roman" w:cs="Times New Roman" w:eastAsia="Times New Roman" w:hint="default"/>
          <w:spacing w:val="6"/>
        </w:rPr>
        <w:t> </w:t>
      </w:r>
      <w:r>
        <w:rPr/>
        <w:t>投资收益</w:t>
      </w:r>
      <w:r>
        <w:rPr>
          <w:b w:val="0"/>
          <w:bCs w:val="0"/>
        </w:rPr>
      </w:r>
    </w:p>
    <w:p>
      <w:pPr>
        <w:pStyle w:val="Heading4"/>
        <w:spacing w:line="240" w:lineRule="auto" w:before="81"/>
        <w:ind w:left="558" w:right="1786"/>
        <w:jc w:val="left"/>
        <w:rPr>
          <w:b w:val="0"/>
          <w:bCs w:val="0"/>
        </w:rPr>
      </w:pPr>
      <w:r>
        <w:rPr>
          <w:rFonts w:ascii="Trebuchet MS" w:hAnsi="Trebuchet MS" w:cs="Trebuchet MS" w:eastAsia="Trebuchet MS" w:hint="default"/>
        </w:rPr>
        <w:t>1.</w:t>
      </w:r>
      <w:r>
        <w:rPr>
          <w:rFonts w:ascii="Trebuchet MS" w:hAnsi="Trebuchet MS" w:cs="Trebuchet MS" w:eastAsia="Trebuchet MS" w:hint="default"/>
          <w:spacing w:val="62"/>
        </w:rPr>
        <w:t> </w:t>
      </w:r>
      <w:r>
        <w:rPr/>
        <w:t>投资收益明细情况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4378"/>
        <w:gridCol w:w="1976"/>
        <w:gridCol w:w="1973"/>
      </w:tblGrid>
      <w:tr>
        <w:trPr>
          <w:trHeight w:val="362" w:hRule="exact"/>
        </w:trPr>
        <w:tc>
          <w:tcPr>
            <w:tcW w:w="43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5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53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-5,875,736.90</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-4,051,704.33</w:t>
            </w:r>
          </w:p>
        </w:tc>
      </w:tr>
      <w:tr>
        <w:trPr>
          <w:trHeight w:val="403"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976"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3,371,294.32</w:t>
            </w: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金融工具投资收益</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432,979,880.91</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500,296,430.72</w:t>
            </w: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其中：持有期间取得的收益</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511,263,666.61</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544,554,004.61</w:t>
            </w:r>
          </w:p>
        </w:tc>
      </w:tr>
      <w:tr>
        <w:trPr>
          <w:trHeight w:val="716"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97" w:lineRule="auto" w:before="51"/>
              <w:ind w:left="122" w:right="104"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以公允价值计量且其变动计入当期损益的金融 资产</w:t>
            </w:r>
          </w:p>
        </w:tc>
        <w:tc>
          <w:tcPr>
            <w:tcW w:w="1976"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260,023,539.99</w:t>
            </w: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421,729,484.67</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p>
        </w:tc>
        <w:tc>
          <w:tcPr>
            <w:tcW w:w="1976"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165,298,957.73</w:t>
            </w: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债权投资</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89,562,328.74</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76"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119,231,506.89</w:t>
            </w: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交易性金融负债</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-28,146.80</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其中：处置金融工具取得的收益</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-78,283,785.70</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-44,257,573.89</w:t>
            </w:r>
          </w:p>
        </w:tc>
      </w:tr>
      <w:tr>
        <w:trPr>
          <w:trHeight w:val="713"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300" w:lineRule="auto" w:before="49"/>
              <w:ind w:left="122" w:right="104"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以公允价值计量且其变动计入当期损益的金融 资产</w:t>
            </w:r>
          </w:p>
        </w:tc>
        <w:tc>
          <w:tcPr>
            <w:tcW w:w="1976"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-91,927,599.51</w:t>
            </w:r>
          </w:p>
        </w:tc>
      </w:tr>
      <w:tr>
        <w:trPr>
          <w:trHeight w:val="403"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-75,728,045.51</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p>
        </w:tc>
        <w:tc>
          <w:tcPr>
            <w:tcW w:w="1976" w:type="dxa"/>
            <w:tcBorders>
              <w:top w:val="dotted" w:sz="4" w:space="0" w:color="000000"/>
              <w:left w:val="dotted" w:sz="4" w:space="0" w:color="000000"/>
              <w:bottom w:val="dotted" w:sz="4" w:space="0" w:color="000000"/>
              <w:right w:val="dotted" w:sz="4" w:space="0" w:color="000000"/>
            </w:tcBorders>
          </w:tcPr>
          <w:p>
            <w:pP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33,599,016.92</w:t>
            </w:r>
          </w:p>
        </w:tc>
      </w:tr>
      <w:tr>
        <w:trPr>
          <w:trHeight w:val="403"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-3,576,795.85</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衍生金融工具</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-2,298,827.54</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3,000,821.91</w:t>
            </w:r>
          </w:p>
        </w:tc>
        <w:tc>
          <w:tcPr>
            <w:tcW w:w="19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14,071,008.70</w:t>
            </w:r>
          </w:p>
        </w:tc>
      </w:tr>
      <w:tr>
        <w:trPr>
          <w:trHeight w:val="401" w:hRule="exact"/>
        </w:trPr>
        <w:tc>
          <w:tcPr>
            <w:tcW w:w="437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交易性金融负债</w:t>
            </w:r>
          </w:p>
        </w:tc>
        <w:tc>
          <w:tcPr>
            <w:tcW w:w="19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319,061.29</w:t>
            </w:r>
          </w:p>
        </w:tc>
        <w:tc>
          <w:tcPr>
            <w:tcW w:w="1973"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43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427,104,144.01</w:t>
            </w:r>
          </w:p>
        </w:tc>
        <w:tc>
          <w:tcPr>
            <w:tcW w:w="19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499,616,020.71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5"/>
          <w:szCs w:val="15"/>
        </w:rPr>
      </w:pPr>
    </w:p>
    <w:p>
      <w:pPr>
        <w:pStyle w:val="Heading4"/>
        <w:spacing w:line="335" w:lineRule="exact"/>
        <w:ind w:left="920" w:right="4230"/>
        <w:jc w:val="left"/>
        <w:rPr>
          <w:b w:val="0"/>
          <w:bCs w:val="0"/>
        </w:rPr>
      </w:pPr>
      <w:r>
        <w:rPr/>
        <w:t>注释 </w:t>
      </w:r>
      <w:r>
        <w:rPr>
          <w:rFonts w:ascii="Times New Roman" w:hAnsi="Times New Roman" w:cs="Times New Roman" w:eastAsia="Times New Roman" w:hint="default"/>
        </w:rPr>
        <w:t>59. </w:t>
      </w:r>
      <w:r>
        <w:rPr>
          <w:rFonts w:ascii="Times New Roman" w:hAnsi="Times New Roman" w:cs="Times New Roman" w:eastAsia="Times New Roman" w:hint="default"/>
          <w:spacing w:val="8"/>
        </w:rPr>
        <w:t> </w:t>
      </w:r>
      <w:r>
        <w:rPr/>
        <w:t>公允价值变动收益</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202"/>
        <w:gridCol w:w="4522"/>
        <w:gridCol w:w="1896"/>
        <w:gridCol w:w="1894"/>
      </w:tblGrid>
      <w:tr>
        <w:trPr>
          <w:trHeight w:val="362" w:hRule="exact"/>
        </w:trPr>
        <w:tc>
          <w:tcPr>
            <w:tcW w:w="202" w:type="dxa"/>
            <w:tcBorders>
              <w:top w:val="nil" w:sz="6" w:space="0" w:color="auto"/>
              <w:left w:val="nil" w:sz="6" w:space="0" w:color="auto"/>
              <w:bottom w:val="dotted" w:sz="4" w:space="0" w:color="000000"/>
              <w:right w:val="nil" w:sz="6" w:space="0" w:color="auto"/>
            </w:tcBorders>
          </w:tcPr>
          <w:p>
            <w:pPr/>
          </w:p>
        </w:tc>
        <w:tc>
          <w:tcPr>
            <w:tcW w:w="45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08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18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9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49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02" w:type="dxa"/>
            <w:vMerge w:val="restart"/>
            <w:tcBorders>
              <w:top w:val="dotted" w:sz="4" w:space="0" w:color="000000"/>
              <w:left w:val="nil" w:sz="6" w:space="0" w:color="auto"/>
              <w:right w:val="nil" w:sz="6" w:space="0" w:color="auto"/>
            </w:tcBorders>
          </w:tcPr>
          <w:p>
            <w:pPr/>
          </w:p>
        </w:tc>
        <w:tc>
          <w:tcPr>
            <w:tcW w:w="45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274,727,148.01</w:t>
            </w: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715" w:hRule="exact"/>
        </w:trPr>
        <w:tc>
          <w:tcPr>
            <w:tcW w:w="202" w:type="dxa"/>
            <w:vMerge/>
            <w:tcBorders>
              <w:left w:val="nil" w:sz="6" w:space="0" w:color="auto"/>
              <w:right w:val="nil" w:sz="6" w:space="0" w:color="auto"/>
            </w:tcBorders>
          </w:tcPr>
          <w:p>
            <w:pPr/>
          </w:p>
        </w:tc>
        <w:tc>
          <w:tcPr>
            <w:tcW w:w="4522"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49"/>
              <w:ind w:left="108" w:right="101" w:firstLine="179"/>
              <w:jc w:val="left"/>
              <w:rPr>
                <w:rFonts w:ascii="宋体" w:hAnsi="宋体" w:cs="宋体" w:eastAsia="宋体" w:hint="default"/>
                <w:sz w:val="18"/>
                <w:szCs w:val="18"/>
              </w:rPr>
            </w:pPr>
            <w:r>
              <w:rPr>
                <w:rFonts w:ascii="宋体" w:hAnsi="宋体" w:cs="宋体" w:eastAsia="宋体" w:hint="default"/>
                <w:spacing w:val="-1"/>
                <w:sz w:val="18"/>
                <w:szCs w:val="18"/>
              </w:rPr>
              <w:t>其中：指定为以公允价值计量且其变动计入当期损益</w:t>
            </w:r>
            <w:r>
              <w:rPr>
                <w:rFonts w:ascii="宋体" w:hAnsi="宋体" w:cs="宋体" w:eastAsia="宋体" w:hint="default"/>
                <w:sz w:val="18"/>
                <w:szCs w:val="18"/>
              </w:rPr>
              <w:t> 的金融资产</w:t>
            </w:r>
          </w:p>
        </w:tc>
        <w:tc>
          <w:tcPr>
            <w:tcW w:w="1896" w:type="dxa"/>
            <w:tcBorders>
              <w:top w:val="dotted" w:sz="4" w:space="0" w:color="000000"/>
              <w:left w:val="dotted" w:sz="4" w:space="0" w:color="000000"/>
              <w:bottom w:val="dotted" w:sz="4" w:space="0" w:color="000000"/>
              <w:right w:val="dotted" w:sz="4" w:space="0" w:color="000000"/>
            </w:tcBorders>
          </w:tcPr>
          <w:p>
            <w:pP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02" w:type="dxa"/>
            <w:vMerge/>
            <w:tcBorders>
              <w:left w:val="nil" w:sz="6" w:space="0" w:color="auto"/>
              <w:right w:val="nil" w:sz="6" w:space="0" w:color="auto"/>
            </w:tcBorders>
          </w:tcPr>
          <w:p>
            <w:pPr/>
          </w:p>
        </w:tc>
        <w:tc>
          <w:tcPr>
            <w:tcW w:w="45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96" w:type="dxa"/>
            <w:tcBorders>
              <w:top w:val="dotted" w:sz="4" w:space="0" w:color="000000"/>
              <w:left w:val="dotted" w:sz="4" w:space="0" w:color="000000"/>
              <w:bottom w:val="dotted" w:sz="4" w:space="0" w:color="000000"/>
              <w:right w:val="dotted" w:sz="4" w:space="0" w:color="000000"/>
            </w:tcBorders>
          </w:tcPr>
          <w:p>
            <w:pP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-452,240,926.32</w:t>
            </w:r>
          </w:p>
        </w:tc>
      </w:tr>
      <w:tr>
        <w:trPr>
          <w:trHeight w:val="403" w:hRule="exact"/>
        </w:trPr>
        <w:tc>
          <w:tcPr>
            <w:tcW w:w="202" w:type="dxa"/>
            <w:vMerge/>
            <w:tcBorders>
              <w:left w:val="nil" w:sz="6" w:space="0" w:color="auto"/>
              <w:right w:val="nil" w:sz="6" w:space="0" w:color="auto"/>
            </w:tcBorders>
          </w:tcPr>
          <w:p>
            <w:pPr/>
          </w:p>
        </w:tc>
        <w:tc>
          <w:tcPr>
            <w:tcW w:w="45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-5,345,718.69</w:t>
            </w: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02" w:type="dxa"/>
            <w:vMerge/>
            <w:tcBorders>
              <w:left w:val="nil" w:sz="6" w:space="0" w:color="auto"/>
              <w:right w:val="nil" w:sz="6" w:space="0" w:color="auto"/>
            </w:tcBorders>
          </w:tcPr>
          <w:p>
            <w:pPr/>
          </w:p>
        </w:tc>
        <w:tc>
          <w:tcPr>
            <w:tcW w:w="45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-1,658,794.65</w:t>
            </w: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715" w:hRule="exact"/>
        </w:trPr>
        <w:tc>
          <w:tcPr>
            <w:tcW w:w="202" w:type="dxa"/>
            <w:vMerge/>
            <w:tcBorders>
              <w:left w:val="nil" w:sz="6" w:space="0" w:color="auto"/>
              <w:right w:val="nil" w:sz="6" w:space="0" w:color="auto"/>
            </w:tcBorders>
          </w:tcPr>
          <w:p>
            <w:pPr/>
          </w:p>
        </w:tc>
        <w:tc>
          <w:tcPr>
            <w:tcW w:w="4522"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49"/>
              <w:ind w:left="108" w:right="101" w:firstLine="179"/>
              <w:jc w:val="left"/>
              <w:rPr>
                <w:rFonts w:ascii="宋体" w:hAnsi="宋体" w:cs="宋体" w:eastAsia="宋体" w:hint="default"/>
                <w:sz w:val="18"/>
                <w:szCs w:val="18"/>
              </w:rPr>
            </w:pPr>
            <w:r>
              <w:rPr>
                <w:rFonts w:ascii="宋体" w:hAnsi="宋体" w:cs="宋体" w:eastAsia="宋体" w:hint="default"/>
                <w:spacing w:val="-1"/>
                <w:sz w:val="18"/>
                <w:szCs w:val="18"/>
              </w:rPr>
              <w:t>其中：指定为以公允价值计量且其变动计入当期损益</w:t>
            </w:r>
            <w:r>
              <w:rPr>
                <w:rFonts w:ascii="宋体" w:hAnsi="宋体" w:cs="宋体" w:eastAsia="宋体" w:hint="default"/>
                <w:sz w:val="18"/>
                <w:szCs w:val="18"/>
              </w:rPr>
              <w:t> 的金融负债</w:t>
            </w:r>
          </w:p>
        </w:tc>
        <w:tc>
          <w:tcPr>
            <w:tcW w:w="1896" w:type="dxa"/>
            <w:tcBorders>
              <w:top w:val="dotted" w:sz="4" w:space="0" w:color="000000"/>
              <w:left w:val="dotted" w:sz="4" w:space="0" w:color="000000"/>
              <w:bottom w:val="dotted" w:sz="4" w:space="0" w:color="000000"/>
              <w:right w:val="dotted" w:sz="4" w:space="0" w:color="000000"/>
            </w:tcBorders>
          </w:tcPr>
          <w:p>
            <w:pP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02" w:type="dxa"/>
            <w:vMerge/>
            <w:tcBorders>
              <w:left w:val="nil" w:sz="6" w:space="0" w:color="auto"/>
              <w:right w:val="nil" w:sz="6" w:space="0" w:color="auto"/>
            </w:tcBorders>
          </w:tcPr>
          <w:p>
            <w:pPr/>
          </w:p>
        </w:tc>
        <w:tc>
          <w:tcPr>
            <w:tcW w:w="45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96" w:type="dxa"/>
            <w:tcBorders>
              <w:top w:val="dotted" w:sz="4" w:space="0" w:color="000000"/>
              <w:left w:val="dotted" w:sz="4" w:space="0" w:color="000000"/>
              <w:bottom w:val="dotted" w:sz="4" w:space="0" w:color="000000"/>
              <w:right w:val="dotted" w:sz="4" w:space="0" w:color="000000"/>
            </w:tcBorders>
          </w:tcPr>
          <w:p>
            <w:pP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202" w:type="dxa"/>
            <w:vMerge/>
            <w:tcBorders>
              <w:left w:val="nil" w:sz="6" w:space="0" w:color="auto"/>
              <w:right w:val="nil" w:sz="6" w:space="0" w:color="auto"/>
            </w:tcBorders>
          </w:tcPr>
          <w:p>
            <w:pPr/>
          </w:p>
        </w:tc>
        <w:tc>
          <w:tcPr>
            <w:tcW w:w="45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衍生金融工具产生的公允价值变动收益</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-702,128.83</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943,500.00</w:t>
            </w:r>
          </w:p>
        </w:tc>
      </w:tr>
      <w:tr>
        <w:trPr>
          <w:trHeight w:val="413" w:hRule="exact"/>
        </w:trPr>
        <w:tc>
          <w:tcPr>
            <w:tcW w:w="202" w:type="dxa"/>
            <w:vMerge/>
            <w:tcBorders>
              <w:left w:val="nil" w:sz="6" w:space="0" w:color="auto"/>
              <w:bottom w:val="nil" w:sz="6" w:space="0" w:color="auto"/>
              <w:right w:val="nil" w:sz="6" w:space="0" w:color="auto"/>
            </w:tcBorders>
          </w:tcPr>
          <w:p>
            <w:pPr/>
          </w:p>
        </w:tc>
        <w:tc>
          <w:tcPr>
            <w:tcW w:w="45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267,020,505.84</w:t>
            </w:r>
          </w:p>
        </w:tc>
        <w:tc>
          <w:tcPr>
            <w:tcW w:w="18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-451,297,426.32</w:t>
            </w: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left="920" w:right="4230"/>
        <w:jc w:val="left"/>
        <w:rPr>
          <w:b w:val="0"/>
          <w:bCs w:val="0"/>
        </w:rPr>
      </w:pPr>
      <w:r>
        <w:rPr/>
        <w:t>注释 </w:t>
      </w:r>
      <w:r>
        <w:rPr>
          <w:rFonts w:ascii="Times New Roman" w:hAnsi="Times New Roman" w:cs="Times New Roman" w:eastAsia="Times New Roman" w:hint="default"/>
        </w:rPr>
        <w:t>60. </w:t>
      </w:r>
      <w:r>
        <w:rPr>
          <w:rFonts w:ascii="Times New Roman" w:hAnsi="Times New Roman" w:cs="Times New Roman" w:eastAsia="Times New Roman" w:hint="default"/>
          <w:spacing w:val="9"/>
        </w:rPr>
        <w:t> </w:t>
      </w:r>
      <w:r>
        <w:rPr/>
        <w:t>信用减值损失</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289" w:type="dxa"/>
        <w:tblLayout w:type="fixed"/>
        <w:tblCellMar>
          <w:top w:w="0" w:type="dxa"/>
          <w:left w:w="0" w:type="dxa"/>
          <w:bottom w:w="0" w:type="dxa"/>
          <w:right w:w="0" w:type="dxa"/>
        </w:tblCellMar>
        <w:tblLook w:val="01E0"/>
      </w:tblPr>
      <w:tblGrid>
        <w:gridCol w:w="3992"/>
        <w:gridCol w:w="4335"/>
      </w:tblGrid>
      <w:tr>
        <w:trPr>
          <w:trHeight w:val="360" w:hRule="exact"/>
        </w:trPr>
        <w:tc>
          <w:tcPr>
            <w:tcW w:w="399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融出资金减值准备</w:t>
            </w:r>
          </w:p>
        </w:tc>
        <w:tc>
          <w:tcPr>
            <w:tcW w:w="43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-96,188.32</w:t>
            </w:r>
          </w:p>
        </w:tc>
      </w:tr>
      <w:tr>
        <w:trPr>
          <w:trHeight w:val="348"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43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-1,706,668.52</w:t>
            </w:r>
          </w:p>
        </w:tc>
      </w:tr>
      <w:tr>
        <w:trPr>
          <w:trHeight w:val="350"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应收利息减值准备</w:t>
            </w:r>
          </w:p>
        </w:tc>
        <w:tc>
          <w:tcPr>
            <w:tcW w:w="43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-13,599,259.88</w:t>
            </w:r>
          </w:p>
        </w:tc>
      </w:tr>
      <w:tr>
        <w:trPr>
          <w:trHeight w:val="350"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43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-25,241,868.11</w:t>
            </w:r>
          </w:p>
        </w:tc>
      </w:tr>
      <w:tr>
        <w:trPr>
          <w:trHeight w:val="403"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买入返售金融资产减值准备</w:t>
            </w:r>
          </w:p>
        </w:tc>
        <w:tc>
          <w:tcPr>
            <w:tcW w:w="43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-51,865,688.60</w:t>
            </w:r>
          </w:p>
        </w:tc>
      </w:tr>
      <w:tr>
        <w:trPr>
          <w:trHeight w:val="401"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单一资金信托减值准备</w:t>
            </w:r>
          </w:p>
        </w:tc>
        <w:tc>
          <w:tcPr>
            <w:tcW w:w="43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3,622,509.45</w:t>
            </w:r>
          </w:p>
        </w:tc>
      </w:tr>
      <w:tr>
        <w:trPr>
          <w:trHeight w:val="403" w:hRule="exact"/>
        </w:trPr>
        <w:tc>
          <w:tcPr>
            <w:tcW w:w="39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其他债权投资减值准备</w:t>
            </w:r>
          </w:p>
        </w:tc>
        <w:tc>
          <w:tcPr>
            <w:tcW w:w="43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296,891.38</w:t>
            </w:r>
          </w:p>
        </w:tc>
      </w:tr>
      <w:tr>
        <w:trPr>
          <w:trHeight w:val="413" w:hRule="exact"/>
        </w:trPr>
        <w:tc>
          <w:tcPr>
            <w:tcW w:w="39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3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-88,590,272.60</w:t>
            </w: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left="920" w:right="4230"/>
        <w:jc w:val="left"/>
        <w:rPr>
          <w:b w:val="0"/>
          <w:bCs w:val="0"/>
        </w:rPr>
      </w:pPr>
      <w:r>
        <w:rPr/>
        <w:t>注释 </w:t>
      </w:r>
      <w:r>
        <w:rPr>
          <w:rFonts w:ascii="Times New Roman" w:hAnsi="Times New Roman" w:cs="Times New Roman" w:eastAsia="Times New Roman" w:hint="default"/>
        </w:rPr>
        <w:t>61. </w:t>
      </w:r>
      <w:r>
        <w:rPr>
          <w:rFonts w:ascii="Times New Roman" w:hAnsi="Times New Roman" w:cs="Times New Roman" w:eastAsia="Times New Roman" w:hint="default"/>
          <w:spacing w:val="9"/>
        </w:rPr>
        <w:t> </w:t>
      </w:r>
      <w:r>
        <w:rPr/>
        <w:t>资产减值损失</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368" w:type="dxa"/>
        <w:tblLayout w:type="fixed"/>
        <w:tblCellMar>
          <w:top w:w="0" w:type="dxa"/>
          <w:left w:w="0" w:type="dxa"/>
          <w:bottom w:w="0" w:type="dxa"/>
          <w:right w:w="0" w:type="dxa"/>
        </w:tblCellMar>
        <w:tblLook w:val="01E0"/>
      </w:tblPr>
      <w:tblGrid>
        <w:gridCol w:w="3865"/>
        <w:gridCol w:w="2252"/>
        <w:gridCol w:w="2077"/>
      </w:tblGrid>
      <w:tr>
        <w:trPr>
          <w:trHeight w:val="427" w:hRule="exact"/>
        </w:trPr>
        <w:tc>
          <w:tcPr>
            <w:tcW w:w="386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6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left="58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8"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融出资金减值损失</w:t>
            </w:r>
          </w:p>
        </w:tc>
        <w:tc>
          <w:tcPr>
            <w:tcW w:w="225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983,297.68</w:t>
            </w:r>
          </w:p>
        </w:tc>
      </w:tr>
      <w:tr>
        <w:trPr>
          <w:trHeight w:val="418"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25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-6,169,573.62</w:t>
            </w:r>
          </w:p>
        </w:tc>
      </w:tr>
      <w:tr>
        <w:trPr>
          <w:trHeight w:val="415"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买入返售金融资产减值</w:t>
            </w:r>
          </w:p>
        </w:tc>
        <w:tc>
          <w:tcPr>
            <w:tcW w:w="225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352,617.84</w:t>
            </w:r>
          </w:p>
        </w:tc>
      </w:tr>
      <w:tr>
        <w:trPr>
          <w:trHeight w:val="418"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25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-95,821,366.53</w:t>
            </w:r>
          </w:p>
        </w:tc>
      </w:tr>
      <w:tr>
        <w:trPr>
          <w:trHeight w:val="418"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25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nil" w:sz="6" w:space="0" w:color="auto"/>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-6,741,501.02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4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88" w:type="dxa"/>
        <w:tblLayout w:type="fixed"/>
        <w:tblCellMar>
          <w:top w:w="0" w:type="dxa"/>
          <w:left w:w="0" w:type="dxa"/>
          <w:bottom w:w="0" w:type="dxa"/>
          <w:right w:w="0" w:type="dxa"/>
        </w:tblCellMar>
        <w:tblLook w:val="01E0"/>
      </w:tblPr>
      <w:tblGrid>
        <w:gridCol w:w="3865"/>
        <w:gridCol w:w="2252"/>
        <w:gridCol w:w="2077"/>
      </w:tblGrid>
      <w:tr>
        <w:trPr>
          <w:trHeight w:val="430" w:hRule="exact"/>
        </w:trPr>
        <w:tc>
          <w:tcPr>
            <w:tcW w:w="386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right="1742"/>
              <w:jc w:val="right"/>
              <w:rPr>
                <w:rFonts w:ascii="宋体" w:hAnsi="宋体" w:cs="宋体" w:eastAsia="宋体" w:hint="default"/>
                <w:sz w:val="18"/>
                <w:szCs w:val="18"/>
              </w:rPr>
            </w:pPr>
            <w:r>
              <w:rPr>
                <w:rFonts w:ascii="宋体" w:hAnsi="宋体" w:cs="宋体" w:eastAsia="宋体" w:hint="default"/>
                <w:sz w:val="18"/>
                <w:szCs w:val="18"/>
              </w:rPr>
              <w:t>项目</w:t>
            </w:r>
          </w:p>
        </w:tc>
        <w:tc>
          <w:tcPr>
            <w:tcW w:w="22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6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left="58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8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2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-20,300.00</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-82,592,562.43</w:t>
            </w:r>
          </w:p>
        </w:tc>
      </w:tr>
      <w:tr>
        <w:trPr>
          <w:trHeight w:val="430" w:hRule="exact"/>
        </w:trPr>
        <w:tc>
          <w:tcPr>
            <w:tcW w:w="38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right="1742"/>
              <w:jc w:val="right"/>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-20,300.00</w:t>
            </w:r>
          </w:p>
        </w:tc>
        <w:tc>
          <w:tcPr>
            <w:tcW w:w="20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-189,989,088.08</w:t>
            </w:r>
          </w:p>
        </w:tc>
      </w:tr>
    </w:tbl>
    <w:p>
      <w:pPr>
        <w:spacing w:line="355" w:lineRule="auto" w:before="8"/>
        <w:ind w:left="138" w:right="1988" w:firstLine="0"/>
        <w:jc w:val="left"/>
        <w:rPr>
          <w:rFonts w:ascii="宋体" w:hAnsi="宋体" w:cs="宋体" w:eastAsia="宋体" w:hint="default"/>
          <w:sz w:val="18"/>
          <w:szCs w:val="18"/>
        </w:rPr>
      </w:pPr>
      <w:r>
        <w:rPr>
          <w:rFonts w:ascii="宋体" w:hAnsi="宋体" w:cs="宋体" w:eastAsia="宋体" w:hint="default"/>
          <w:sz w:val="18"/>
          <w:szCs w:val="18"/>
        </w:rPr>
        <w:t>注：因执行新金融工具准则，本项目部分明细项目无本期发生额，详见附注四（四十二）</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）相关内 容。</w:t>
      </w:r>
    </w:p>
    <w:p>
      <w:pPr>
        <w:spacing w:line="240" w:lineRule="auto" w:before="0"/>
        <w:rPr>
          <w:rFonts w:ascii="宋体" w:hAnsi="宋体" w:cs="宋体" w:eastAsia="宋体" w:hint="default"/>
          <w:sz w:val="18"/>
          <w:szCs w:val="18"/>
        </w:rPr>
      </w:pPr>
    </w:p>
    <w:p>
      <w:pPr>
        <w:pStyle w:val="Heading4"/>
        <w:spacing w:line="240" w:lineRule="auto" w:before="152"/>
        <w:ind w:right="1786"/>
        <w:jc w:val="left"/>
        <w:rPr>
          <w:b w:val="0"/>
          <w:bCs w:val="0"/>
        </w:rPr>
      </w:pPr>
      <w:r>
        <w:rPr/>
        <w:t>注释 </w:t>
      </w:r>
      <w:r>
        <w:rPr>
          <w:rFonts w:ascii="Times New Roman" w:hAnsi="Times New Roman" w:cs="Times New Roman" w:eastAsia="Times New Roman" w:hint="default"/>
        </w:rPr>
        <w:t>62. </w:t>
      </w:r>
      <w:r>
        <w:rPr>
          <w:rFonts w:ascii="Times New Roman" w:hAnsi="Times New Roman" w:cs="Times New Roman" w:eastAsia="Times New Roman" w:hint="default"/>
          <w:spacing w:val="9"/>
        </w:rPr>
        <w:t> </w:t>
      </w:r>
      <w:r>
        <w:rPr/>
        <w:t>资产处置收益</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602"/>
        <w:gridCol w:w="1702"/>
        <w:gridCol w:w="1277"/>
        <w:gridCol w:w="2746"/>
      </w:tblGrid>
      <w:tr>
        <w:trPr>
          <w:trHeight w:val="360" w:hRule="exact"/>
        </w:trPr>
        <w:tc>
          <w:tcPr>
            <w:tcW w:w="260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107"/>
              <w:jc w:val="righ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9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6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3,152.36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-45,902.24</w:t>
            </w:r>
          </w:p>
        </w:tc>
        <w:tc>
          <w:tcPr>
            <w:tcW w:w="27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3,152.36</w:t>
            </w:r>
          </w:p>
        </w:tc>
      </w:tr>
      <w:tr>
        <w:trPr>
          <w:trHeight w:val="360" w:hRule="exact"/>
        </w:trPr>
        <w:tc>
          <w:tcPr>
            <w:tcW w:w="260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1107"/>
              <w:jc w:val="righ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3,152.36</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-45,902.24</w:t>
            </w:r>
          </w:p>
        </w:tc>
        <w:tc>
          <w:tcPr>
            <w:tcW w:w="27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5"/>
                <w:sz w:val="18"/>
              </w:rPr>
              <w:t>3,152.36</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63. </w:t>
      </w:r>
      <w:r>
        <w:rPr>
          <w:rFonts w:ascii="Times New Roman" w:hAnsi="Times New Roman" w:cs="Times New Roman" w:eastAsia="Times New Roman" w:hint="default"/>
          <w:spacing w:val="7"/>
        </w:rPr>
        <w:t> </w:t>
      </w:r>
      <w:r>
        <w:rPr/>
        <w:t>营业外收入</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47" w:type="dxa"/>
        <w:tblLayout w:type="fixed"/>
        <w:tblCellMar>
          <w:top w:w="0" w:type="dxa"/>
          <w:left w:w="0" w:type="dxa"/>
          <w:bottom w:w="0" w:type="dxa"/>
          <w:right w:w="0" w:type="dxa"/>
        </w:tblCellMar>
        <w:tblLook w:val="01E0"/>
      </w:tblPr>
      <w:tblGrid>
        <w:gridCol w:w="2331"/>
        <w:gridCol w:w="2002"/>
        <w:gridCol w:w="2004"/>
        <w:gridCol w:w="1913"/>
      </w:tblGrid>
      <w:tr>
        <w:trPr>
          <w:trHeight w:val="569" w:hRule="exact"/>
        </w:trPr>
        <w:tc>
          <w:tcPr>
            <w:tcW w:w="233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right="974"/>
              <w:jc w:val="right"/>
              <w:rPr>
                <w:rFonts w:ascii="宋体" w:hAnsi="宋体" w:cs="宋体" w:eastAsia="宋体" w:hint="default"/>
                <w:sz w:val="18"/>
                <w:szCs w:val="18"/>
              </w:rPr>
            </w:pPr>
            <w:r>
              <w:rPr>
                <w:rFonts w:ascii="宋体" w:hAnsi="宋体" w:cs="宋体" w:eastAsia="宋体" w:hint="default"/>
                <w:sz w:val="18"/>
                <w:szCs w:val="18"/>
              </w:rPr>
              <w:t>项目</w:t>
            </w:r>
          </w:p>
        </w:tc>
        <w:tc>
          <w:tcPr>
            <w:tcW w:w="20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5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54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590" w:right="146" w:hanging="449"/>
              <w:jc w:val="left"/>
              <w:rPr>
                <w:rFonts w:ascii="宋体" w:hAnsi="宋体" w:cs="宋体" w:eastAsia="宋体" w:hint="default"/>
                <w:sz w:val="18"/>
                <w:szCs w:val="18"/>
              </w:rPr>
            </w:pPr>
            <w:r>
              <w:rPr>
                <w:rFonts w:ascii="宋体" w:hAnsi="宋体" w:cs="宋体" w:eastAsia="宋体" w:hint="default"/>
                <w:sz w:val="18"/>
                <w:szCs w:val="18"/>
              </w:rPr>
              <w:t>计入当期非经常性损 益的金额</w:t>
            </w:r>
          </w:p>
        </w:tc>
      </w:tr>
      <w:tr>
        <w:trPr>
          <w:trHeight w:val="401" w:hRule="exact"/>
        </w:trPr>
        <w:tc>
          <w:tcPr>
            <w:tcW w:w="23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52,000.00</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1,460,637.39</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202,561,378.95</w:t>
            </w:r>
          </w:p>
        </w:tc>
      </w:tr>
      <w:tr>
        <w:trPr>
          <w:trHeight w:val="404" w:hRule="exact"/>
        </w:trPr>
        <w:tc>
          <w:tcPr>
            <w:tcW w:w="23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其他（注）</w:t>
            </w:r>
          </w:p>
        </w:tc>
        <w:tc>
          <w:tcPr>
            <w:tcW w:w="20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202,509,378.95</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102,925.09</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202,561,378.95</w:t>
            </w:r>
          </w:p>
        </w:tc>
      </w:tr>
      <w:tr>
        <w:trPr>
          <w:trHeight w:val="413" w:hRule="exact"/>
        </w:trPr>
        <w:tc>
          <w:tcPr>
            <w:tcW w:w="23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right="974"/>
              <w:jc w:val="right"/>
              <w:rPr>
                <w:rFonts w:ascii="宋体" w:hAnsi="宋体" w:cs="宋体" w:eastAsia="宋体" w:hint="default"/>
                <w:sz w:val="18"/>
                <w:szCs w:val="18"/>
              </w:rPr>
            </w:pPr>
            <w:r>
              <w:rPr>
                <w:rFonts w:ascii="宋体" w:hAnsi="宋体" w:cs="宋体" w:eastAsia="宋体" w:hint="default"/>
                <w:sz w:val="18"/>
                <w:szCs w:val="18"/>
              </w:rPr>
              <w:t>合计</w:t>
            </w:r>
          </w:p>
        </w:tc>
        <w:tc>
          <w:tcPr>
            <w:tcW w:w="20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202,561,378.95</w:t>
            </w:r>
          </w:p>
        </w:tc>
        <w:tc>
          <w:tcPr>
            <w:tcW w:w="20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1,563,562.48</w:t>
            </w:r>
          </w:p>
        </w:tc>
        <w:tc>
          <w:tcPr>
            <w:tcW w:w="19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202,561,378.95</w:t>
            </w:r>
          </w:p>
        </w:tc>
      </w:tr>
    </w:tbl>
    <w:p>
      <w:pPr>
        <w:spacing w:line="237" w:lineRule="auto" w:before="10"/>
        <w:ind w:left="138" w:right="1788" w:firstLine="0"/>
        <w:jc w:val="both"/>
        <w:rPr>
          <w:rFonts w:ascii="宋体" w:hAnsi="宋体" w:cs="宋体" w:eastAsia="宋体" w:hint="default"/>
          <w:sz w:val="18"/>
          <w:szCs w:val="18"/>
        </w:rPr>
      </w:pPr>
      <w:r>
        <w:rPr>
          <w:rFonts w:ascii="宋体" w:hAnsi="宋体" w:cs="宋体" w:eastAsia="宋体" w:hint="default"/>
          <w:sz w:val="18"/>
          <w:szCs w:val="18"/>
        </w:rPr>
        <w:t>注：主要为公司转换趣店股权核算方法确认的损益。转换日公司依据趣店经审计的</w:t>
      </w:r>
      <w:r>
        <w:rPr>
          <w:rFonts w:ascii="宋体" w:hAnsi="宋体" w:cs="宋体" w:eastAsia="宋体" w:hint="default"/>
          <w:spacing w:val="-54"/>
          <w:sz w:val="18"/>
          <w:szCs w:val="18"/>
        </w:rPr>
        <w:t> </w:t>
      </w:r>
      <w:r>
        <w:rPr>
          <w:rFonts w:ascii="宋体" w:hAnsi="宋体" w:cs="宋体" w:eastAsia="宋体" w:hint="default"/>
          <w:sz w:val="18"/>
          <w:szCs w:val="18"/>
        </w:rPr>
        <w:t>2019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日财务 </w:t>
      </w:r>
      <w:r>
        <w:rPr>
          <w:rFonts w:ascii="宋体" w:hAnsi="宋体" w:cs="宋体" w:eastAsia="宋体" w:hint="default"/>
          <w:spacing w:val="12"/>
          <w:sz w:val="18"/>
          <w:szCs w:val="18"/>
        </w:rPr>
        <w:t>数据进行核算，趣店可辨认净资产的公允价值超过香港投资原持有交易性金融资产账面价值的部分</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200,565,802.38</w:t>
      </w:r>
      <w:r>
        <w:rPr>
          <w:rFonts w:ascii="宋体" w:hAnsi="宋体" w:cs="宋体" w:eastAsia="宋体" w:hint="default"/>
          <w:spacing w:val="-51"/>
          <w:sz w:val="18"/>
          <w:szCs w:val="18"/>
        </w:rPr>
        <w:t> </w:t>
      </w:r>
      <w:r>
        <w:rPr>
          <w:rFonts w:ascii="宋体" w:hAnsi="宋体" w:cs="宋体" w:eastAsia="宋体" w:hint="default"/>
          <w:sz w:val="18"/>
          <w:szCs w:val="18"/>
        </w:rPr>
        <w:t>元确认为营业外收入。</w:t>
      </w:r>
    </w:p>
    <w:p>
      <w:pPr>
        <w:spacing w:line="240" w:lineRule="auto" w:before="0"/>
        <w:rPr>
          <w:rFonts w:ascii="宋体" w:hAnsi="宋体" w:cs="宋体" w:eastAsia="宋体" w:hint="default"/>
          <w:sz w:val="18"/>
          <w:szCs w:val="18"/>
        </w:rPr>
      </w:pPr>
    </w:p>
    <w:p>
      <w:pPr>
        <w:pStyle w:val="Heading4"/>
        <w:spacing w:line="240" w:lineRule="auto" w:before="121"/>
        <w:ind w:left="558" w:right="1786"/>
        <w:jc w:val="left"/>
        <w:rPr>
          <w:b w:val="0"/>
          <w:bCs w:val="0"/>
        </w:rPr>
      </w:pPr>
      <w:r>
        <w:rPr>
          <w:rFonts w:ascii="Times New Roman" w:hAnsi="Times New Roman" w:cs="Times New Roman" w:eastAsia="Times New Roman" w:hint="default"/>
        </w:rPr>
        <w:t>1</w:t>
      </w:r>
      <w:r>
        <w:rPr/>
        <w:t>． </w:t>
      </w:r>
      <w:r>
        <w:rPr>
          <w:spacing w:val="10"/>
        </w:rPr>
        <w:t> </w:t>
      </w:r>
      <w:r>
        <w:rPr/>
        <w:t>计入当期损益的政府补助</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569"/>
        <w:gridCol w:w="1728"/>
        <w:gridCol w:w="1728"/>
        <w:gridCol w:w="1301"/>
      </w:tblGrid>
      <w:tr>
        <w:trPr>
          <w:trHeight w:val="607" w:hRule="exact"/>
        </w:trPr>
        <w:tc>
          <w:tcPr>
            <w:tcW w:w="356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7"/>
              <w:ind w:left="16"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7"/>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7"/>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30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240" w:lineRule="auto" w:before="35"/>
              <w:ind w:left="17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与收益相关</w:t>
            </w:r>
          </w:p>
        </w:tc>
      </w:tr>
      <w:tr>
        <w:trPr>
          <w:trHeight w:val="716" w:hRule="exact"/>
        </w:trPr>
        <w:tc>
          <w:tcPr>
            <w:tcW w:w="3569" w:type="dxa"/>
            <w:tcBorders>
              <w:top w:val="dotted" w:sz="4" w:space="0" w:color="000000"/>
              <w:left w:val="nil" w:sz="6" w:space="0" w:color="auto"/>
              <w:bottom w:val="dotted" w:sz="4" w:space="0" w:color="000000"/>
              <w:right w:val="dotted" w:sz="4" w:space="0" w:color="000000"/>
            </w:tcBorders>
          </w:tcPr>
          <w:p>
            <w:pPr>
              <w:pStyle w:val="TableParagraph"/>
              <w:spacing w:line="319" w:lineRule="auto" w:before="49"/>
              <w:ind w:left="122" w:right="104"/>
              <w:jc w:val="left"/>
              <w:rPr>
                <w:rFonts w:ascii="宋体" w:hAnsi="宋体" w:cs="宋体" w:eastAsia="宋体" w:hint="default"/>
                <w:sz w:val="18"/>
                <w:szCs w:val="18"/>
              </w:rPr>
            </w:pPr>
            <w:r>
              <w:rPr>
                <w:rFonts w:ascii="宋体" w:hAnsi="宋体" w:cs="宋体" w:eastAsia="宋体" w:hint="default"/>
                <w:spacing w:val="4"/>
                <w:sz w:val="18"/>
                <w:szCs w:val="18"/>
              </w:rPr>
              <w:t>家用电器环保配线关键工艺辐照交联技术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改造资金</w:t>
            </w:r>
          </w:p>
        </w:tc>
        <w:tc>
          <w:tcPr>
            <w:tcW w:w="172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3569" w:type="dxa"/>
            <w:tcBorders>
              <w:top w:val="dotted" w:sz="4" w:space="0" w:color="000000"/>
              <w:left w:val="nil" w:sz="6" w:space="0" w:color="auto"/>
              <w:bottom w:val="dotted" w:sz="4" w:space="0" w:color="000000"/>
              <w:right w:val="dotted" w:sz="4" w:space="0" w:color="000000"/>
            </w:tcBorders>
          </w:tcPr>
          <w:p>
            <w:pPr>
              <w:pStyle w:val="TableParagraph"/>
              <w:spacing w:line="300" w:lineRule="auto" w:before="51"/>
              <w:ind w:left="122" w:right="101"/>
              <w:jc w:val="left"/>
              <w:rPr>
                <w:rFonts w:ascii="宋体" w:hAnsi="宋体" w:cs="宋体" w:eastAsia="宋体" w:hint="default"/>
                <w:sz w:val="18"/>
                <w:szCs w:val="18"/>
              </w:rPr>
            </w:pPr>
            <w:r>
              <w:rPr>
                <w:rFonts w:ascii="宋体" w:hAnsi="宋体" w:cs="宋体" w:eastAsia="宋体" w:hint="default"/>
                <w:sz w:val="18"/>
                <w:szCs w:val="18"/>
              </w:rPr>
              <w:t>环保型耐热高性能</w:t>
            </w:r>
            <w:r>
              <w:rPr>
                <w:rFonts w:ascii="宋体" w:hAnsi="宋体" w:cs="宋体" w:eastAsia="宋体" w:hint="default"/>
                <w:spacing w:val="-41"/>
                <w:sz w:val="18"/>
                <w:szCs w:val="18"/>
              </w:rPr>
              <w:t> </w:t>
            </w:r>
            <w:r>
              <w:rPr>
                <w:rFonts w:ascii="Arial" w:hAnsi="Arial" w:cs="Arial" w:eastAsia="Arial" w:hint="default"/>
                <w:sz w:val="18"/>
                <w:szCs w:val="18"/>
              </w:rPr>
              <w:t>EVA </w:t>
            </w:r>
            <w:r>
              <w:rPr>
                <w:rFonts w:ascii="宋体" w:hAnsi="宋体" w:cs="宋体" w:eastAsia="宋体" w:hint="default"/>
                <w:sz w:val="18"/>
                <w:szCs w:val="18"/>
              </w:rPr>
              <w:t>电源线关键技术和 产业化项目资金</w:t>
            </w:r>
          </w:p>
        </w:tc>
        <w:tc>
          <w:tcPr>
            <w:tcW w:w="172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地铁盾构施工疏散补偿款收入</w:t>
            </w:r>
          </w:p>
        </w:tc>
        <w:tc>
          <w:tcPr>
            <w:tcW w:w="172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168,526.40</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5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失业保险局发放稳岗补贴</w:t>
            </w:r>
          </w:p>
        </w:tc>
        <w:tc>
          <w:tcPr>
            <w:tcW w:w="172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17,730.64</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5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证券协会奖金</w:t>
            </w:r>
          </w:p>
        </w:tc>
        <w:tc>
          <w:tcPr>
            <w:tcW w:w="172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4,000.00</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35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限售股财政奖励</w:t>
            </w:r>
          </w:p>
        </w:tc>
        <w:tc>
          <w:tcPr>
            <w:tcW w:w="1728" w:type="dxa"/>
            <w:tcBorders>
              <w:top w:val="dotted" w:sz="4" w:space="0" w:color="000000"/>
              <w:left w:val="dotted" w:sz="4" w:space="0" w:color="000000"/>
              <w:bottom w:val="dotted" w:sz="4" w:space="0" w:color="000000"/>
              <w:right w:val="dotted" w:sz="4" w:space="0" w:color="000000"/>
            </w:tcBorders>
          </w:tcPr>
          <w:p>
            <w:pPr/>
          </w:p>
        </w:tc>
        <w:tc>
          <w:tcPr>
            <w:tcW w:w="17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30,380.35</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3" w:hRule="exact"/>
        </w:trPr>
        <w:tc>
          <w:tcPr>
            <w:tcW w:w="35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dotted" w:sz="4" w:space="0" w:color="000000"/>
              <w:left w:val="dotted" w:sz="4" w:space="0" w:color="000000"/>
              <w:bottom w:val="single" w:sz="12" w:space="0" w:color="000000"/>
              <w:right w:val="dotted" w:sz="4" w:space="0" w:color="000000"/>
            </w:tcBorders>
          </w:tcPr>
          <w:p>
            <w:pPr/>
          </w:p>
        </w:tc>
        <w:tc>
          <w:tcPr>
            <w:tcW w:w="17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1,460,637.39</w:t>
            </w:r>
          </w:p>
        </w:tc>
        <w:tc>
          <w:tcPr>
            <w:tcW w:w="1301" w:type="dxa"/>
            <w:tcBorders>
              <w:top w:val="dotted" w:sz="4" w:space="0" w:color="000000"/>
              <w:left w:val="dotted" w:sz="4" w:space="0" w:color="000000"/>
              <w:bottom w:val="single" w:sz="12" w:space="0" w:color="000000"/>
              <w:right w:val="nil" w:sz="6" w:space="0" w:color="auto"/>
            </w:tcBorders>
          </w:tcPr>
          <w:p>
            <w:pPr/>
          </w:p>
        </w:tc>
      </w:tr>
    </w:tbl>
    <w:p>
      <w:pPr>
        <w:spacing w:line="232" w:lineRule="exact" w:before="33"/>
        <w:ind w:left="138" w:right="1786" w:firstLine="0"/>
        <w:jc w:val="left"/>
        <w:rPr>
          <w:rFonts w:ascii="宋体" w:hAnsi="宋体" w:cs="宋体" w:eastAsia="宋体" w:hint="default"/>
          <w:sz w:val="18"/>
          <w:szCs w:val="18"/>
        </w:rPr>
      </w:pPr>
      <w:r>
        <w:rPr>
          <w:rFonts w:ascii="宋体" w:hAnsi="宋体" w:cs="宋体" w:eastAsia="宋体" w:hint="default"/>
          <w:sz w:val="18"/>
          <w:szCs w:val="18"/>
        </w:rPr>
        <w:t>注：佛山市顺德区经济和科技促进局拨付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年度容桂科技计划项目收入政府补助在递延收益披露表中 “本期计入当期损益金额”一致，故未此附注重复披露。</w:t>
      </w:r>
    </w:p>
    <w:p>
      <w:pPr>
        <w:spacing w:after="0" w:line="232" w:lineRule="exact"/>
        <w:jc w:val="left"/>
        <w:rPr>
          <w:rFonts w:ascii="宋体" w:hAnsi="宋体" w:cs="宋体" w:eastAsia="宋体"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left="529" w:right="1786"/>
        <w:jc w:val="left"/>
        <w:rPr>
          <w:b w:val="0"/>
          <w:bCs w:val="0"/>
        </w:rPr>
      </w:pPr>
      <w:r>
        <w:rPr/>
        <w:t>注释 </w:t>
      </w:r>
      <w:r>
        <w:rPr>
          <w:rFonts w:ascii="Times New Roman" w:hAnsi="Times New Roman" w:cs="Times New Roman" w:eastAsia="Times New Roman" w:hint="default"/>
        </w:rPr>
        <w:t>64. </w:t>
      </w:r>
      <w:r>
        <w:rPr>
          <w:rFonts w:ascii="Times New Roman" w:hAnsi="Times New Roman" w:cs="Times New Roman" w:eastAsia="Times New Roman" w:hint="default"/>
          <w:spacing w:val="7"/>
        </w:rPr>
        <w:t> </w:t>
      </w:r>
      <w:r>
        <w:rPr/>
        <w:t>营业外支出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794"/>
        <w:gridCol w:w="1829"/>
        <w:gridCol w:w="1632"/>
        <w:gridCol w:w="2072"/>
      </w:tblGrid>
      <w:tr>
        <w:trPr>
          <w:trHeight w:val="739" w:hRule="exact"/>
        </w:trPr>
        <w:tc>
          <w:tcPr>
            <w:tcW w:w="27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72" w:type="dxa"/>
            <w:tcBorders>
              <w:top w:val="single" w:sz="12" w:space="0" w:color="000000"/>
              <w:left w:val="dotted" w:sz="4" w:space="0" w:color="000000"/>
              <w:bottom w:val="dotted" w:sz="4" w:space="0" w:color="000000"/>
              <w:right w:val="nil" w:sz="6" w:space="0" w:color="auto"/>
            </w:tcBorders>
          </w:tcPr>
          <w:p>
            <w:pPr>
              <w:pStyle w:val="TableParagraph"/>
              <w:spacing w:line="316" w:lineRule="auto" w:before="65"/>
              <w:ind w:left="850" w:right="44" w:hanging="810"/>
              <w:jc w:val="left"/>
              <w:rPr>
                <w:rFonts w:ascii="宋体" w:hAnsi="宋体" w:cs="宋体" w:eastAsia="宋体" w:hint="default"/>
                <w:sz w:val="18"/>
                <w:szCs w:val="18"/>
              </w:rPr>
            </w:pPr>
            <w:r>
              <w:rPr>
                <w:rFonts w:ascii="宋体" w:hAnsi="宋体" w:cs="宋体" w:eastAsia="宋体" w:hint="default"/>
                <w:sz w:val="18"/>
                <w:szCs w:val="18"/>
              </w:rPr>
              <w:t>计入本期非经常性损益的 金额</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7,532,860.00</w:t>
            </w:r>
          </w:p>
        </w:tc>
        <w:tc>
          <w:tcPr>
            <w:tcW w:w="16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5,022,000.00</w:t>
            </w:r>
          </w:p>
        </w:tc>
        <w:tc>
          <w:tcPr>
            <w:tcW w:w="20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7,532,860.00</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1829" w:type="dxa"/>
            <w:tcBorders>
              <w:top w:val="dotted" w:sz="4" w:space="0" w:color="000000"/>
              <w:left w:val="dotted" w:sz="4" w:space="0" w:color="000000"/>
              <w:bottom w:val="dotted" w:sz="4" w:space="0" w:color="000000"/>
              <w:right w:val="dotted" w:sz="4" w:space="0" w:color="000000"/>
            </w:tcBorders>
          </w:tcPr>
          <w:p>
            <w:pPr/>
          </w:p>
        </w:tc>
        <w:tc>
          <w:tcPr>
            <w:tcW w:w="16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6"/>
              <w:jc w:val="right"/>
              <w:rPr>
                <w:rFonts w:ascii="Times New Roman" w:hAnsi="Times New Roman" w:cs="Times New Roman" w:eastAsia="Times New Roman" w:hint="default"/>
                <w:sz w:val="18"/>
                <w:szCs w:val="18"/>
              </w:rPr>
            </w:pPr>
            <w:r>
              <w:rPr>
                <w:rFonts w:ascii="Times New Roman"/>
                <w:w w:val="95"/>
                <w:sz w:val="18"/>
              </w:rPr>
              <w:t>3,936.71</w:t>
            </w:r>
          </w:p>
        </w:tc>
        <w:tc>
          <w:tcPr>
            <w:tcW w:w="2072" w:type="dxa"/>
            <w:tcBorders>
              <w:top w:val="dotted" w:sz="4" w:space="0" w:color="000000"/>
              <w:left w:val="dotted" w:sz="4" w:space="0" w:color="000000"/>
              <w:bottom w:val="dotted" w:sz="4" w:space="0" w:color="000000"/>
              <w:right w:val="nil" w:sz="6" w:space="0" w:color="auto"/>
            </w:tcBorders>
          </w:tcPr>
          <w:p>
            <w:pPr/>
          </w:p>
        </w:tc>
      </w:tr>
      <w:tr>
        <w:trPr>
          <w:trHeight w:val="504"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10"/>
              <w:jc w:val="right"/>
              <w:rPr>
                <w:rFonts w:ascii="Times New Roman" w:hAnsi="Times New Roman" w:cs="Times New Roman" w:eastAsia="Times New Roman" w:hint="default"/>
                <w:sz w:val="18"/>
                <w:szCs w:val="18"/>
              </w:rPr>
            </w:pPr>
            <w:r>
              <w:rPr>
                <w:rFonts w:ascii="Times New Roman"/>
                <w:spacing w:val="-1"/>
                <w:sz w:val="18"/>
              </w:rPr>
              <w:t>544,325.11</w:t>
            </w:r>
          </w:p>
        </w:tc>
        <w:tc>
          <w:tcPr>
            <w:tcW w:w="16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7"/>
              <w:jc w:val="right"/>
              <w:rPr>
                <w:rFonts w:ascii="Times New Roman" w:hAnsi="Times New Roman" w:cs="Times New Roman" w:eastAsia="Times New Roman" w:hint="default"/>
                <w:sz w:val="18"/>
                <w:szCs w:val="18"/>
              </w:rPr>
            </w:pPr>
            <w:r>
              <w:rPr>
                <w:rFonts w:ascii="Times New Roman"/>
                <w:spacing w:val="-1"/>
                <w:sz w:val="18"/>
              </w:rPr>
              <w:t>693,164.04</w:t>
            </w:r>
          </w:p>
        </w:tc>
        <w:tc>
          <w:tcPr>
            <w:tcW w:w="20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51"/>
              <w:ind w:right="12"/>
              <w:jc w:val="right"/>
              <w:rPr>
                <w:rFonts w:ascii="Times New Roman" w:hAnsi="Times New Roman" w:cs="Times New Roman" w:eastAsia="Times New Roman" w:hint="default"/>
                <w:sz w:val="18"/>
                <w:szCs w:val="18"/>
              </w:rPr>
            </w:pPr>
            <w:r>
              <w:rPr>
                <w:rFonts w:ascii="Times New Roman"/>
                <w:spacing w:val="-1"/>
                <w:sz w:val="18"/>
              </w:rPr>
              <w:t>544,325.11</w:t>
            </w:r>
          </w:p>
        </w:tc>
      </w:tr>
      <w:tr>
        <w:trPr>
          <w:trHeight w:val="418" w:hRule="exact"/>
        </w:trPr>
        <w:tc>
          <w:tcPr>
            <w:tcW w:w="27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1,436,111.54</w:t>
            </w:r>
          </w:p>
        </w:tc>
        <w:tc>
          <w:tcPr>
            <w:tcW w:w="16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1,084,382.37</w:t>
            </w:r>
          </w:p>
        </w:tc>
        <w:tc>
          <w:tcPr>
            <w:tcW w:w="20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1,436,111.54</w:t>
            </w:r>
          </w:p>
        </w:tc>
      </w:tr>
      <w:tr>
        <w:trPr>
          <w:trHeight w:val="427" w:hRule="exact"/>
        </w:trPr>
        <w:tc>
          <w:tcPr>
            <w:tcW w:w="27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9,513,296.65</w:t>
            </w:r>
          </w:p>
        </w:tc>
        <w:tc>
          <w:tcPr>
            <w:tcW w:w="16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6,803,483.12</w:t>
            </w:r>
          </w:p>
        </w:tc>
        <w:tc>
          <w:tcPr>
            <w:tcW w:w="20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9,513,296.65</w:t>
            </w: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65. </w:t>
      </w:r>
      <w:r>
        <w:rPr>
          <w:rFonts w:ascii="Times New Roman" w:hAnsi="Times New Roman" w:cs="Times New Roman" w:eastAsia="Times New Roman" w:hint="default"/>
          <w:spacing w:val="7"/>
        </w:rPr>
        <w:t> </w:t>
      </w:r>
      <w:r>
        <w:rPr/>
        <w:t>所得税费用</w:t>
      </w:r>
      <w:r>
        <w:rPr>
          <w:b w:val="0"/>
          <w:bCs w:val="0"/>
        </w:rPr>
      </w:r>
    </w:p>
    <w:p>
      <w:pPr>
        <w:pStyle w:val="Heading4"/>
        <w:spacing w:line="240" w:lineRule="auto" w:before="83"/>
        <w:ind w:right="1786"/>
        <w:jc w:val="left"/>
        <w:rPr>
          <w:b w:val="0"/>
          <w:bCs w:val="0"/>
        </w:rPr>
      </w:pPr>
      <w:r>
        <w:rPr>
          <w:rFonts w:ascii="Times New Roman" w:hAnsi="Times New Roman" w:cs="Times New Roman" w:eastAsia="Times New Roman" w:hint="default"/>
        </w:rPr>
        <w:t>1</w:t>
      </w:r>
      <w:r>
        <w:rPr/>
        <w:t>． </w:t>
      </w:r>
      <w:r>
        <w:rPr>
          <w:spacing w:val="2"/>
        </w:rPr>
        <w:t> </w:t>
      </w:r>
      <w:r>
        <w:rPr/>
        <w:t>所得税费用</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854"/>
        <w:gridCol w:w="2703"/>
        <w:gridCol w:w="2770"/>
      </w:tblGrid>
      <w:tr>
        <w:trPr>
          <w:trHeight w:val="422"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7"/>
              <w:ind w:left="7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25,031,467.68</w:t>
            </w:r>
          </w:p>
        </w:tc>
        <w:tc>
          <w:tcPr>
            <w:tcW w:w="27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37,956,070.04</w:t>
            </w:r>
          </w:p>
        </w:tc>
      </w:tr>
      <w:tr>
        <w:trPr>
          <w:trHeight w:val="403"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7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82,557,054.92</w:t>
            </w:r>
          </w:p>
        </w:tc>
        <w:tc>
          <w:tcPr>
            <w:tcW w:w="27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-112,793,403.33</w:t>
            </w:r>
          </w:p>
        </w:tc>
      </w:tr>
      <w:tr>
        <w:trPr>
          <w:trHeight w:val="413"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107,588,522.60</w:t>
            </w:r>
          </w:p>
        </w:tc>
        <w:tc>
          <w:tcPr>
            <w:tcW w:w="27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-74,837,333.29</w:t>
            </w: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imes New Roman" w:hAnsi="Times New Roman" w:cs="Times New Roman" w:eastAsia="Times New Roman" w:hint="default"/>
        </w:rPr>
        <w:t>2</w:t>
      </w:r>
      <w:r>
        <w:rPr/>
        <w:t>． </w:t>
      </w:r>
      <w:r>
        <w:rPr>
          <w:spacing w:val="7"/>
        </w:rPr>
        <w:t> </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88" w:type="dxa"/>
        <w:tblLayout w:type="fixed"/>
        <w:tblCellMar>
          <w:top w:w="0" w:type="dxa"/>
          <w:left w:w="0" w:type="dxa"/>
          <w:bottom w:w="0" w:type="dxa"/>
          <w:right w:w="0" w:type="dxa"/>
        </w:tblCellMar>
        <w:tblLook w:val="01E0"/>
      </w:tblPr>
      <w:tblGrid>
        <w:gridCol w:w="5634"/>
        <w:gridCol w:w="2559"/>
      </w:tblGrid>
      <w:tr>
        <w:trPr>
          <w:trHeight w:val="538" w:hRule="exact"/>
        </w:trPr>
        <w:tc>
          <w:tcPr>
            <w:tcW w:w="56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55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202,398,365.56</w:t>
            </w:r>
          </w:p>
        </w:tc>
      </w:tr>
      <w:tr>
        <w:trPr>
          <w:trHeight w:val="418" w:hRule="exact"/>
        </w:trPr>
        <w:tc>
          <w:tcPr>
            <w:tcW w:w="56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25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50,599,591.41</w:t>
            </w:r>
          </w:p>
        </w:tc>
      </w:tr>
      <w:tr>
        <w:trPr>
          <w:trHeight w:val="415" w:hRule="exact"/>
        </w:trPr>
        <w:tc>
          <w:tcPr>
            <w:tcW w:w="56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5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2,154,413.16</w:t>
            </w:r>
          </w:p>
        </w:tc>
      </w:tr>
      <w:tr>
        <w:trPr>
          <w:trHeight w:val="418" w:hRule="exact"/>
        </w:trPr>
        <w:tc>
          <w:tcPr>
            <w:tcW w:w="56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5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-1,281,386.23</w:t>
            </w:r>
          </w:p>
        </w:tc>
      </w:tr>
      <w:tr>
        <w:trPr>
          <w:trHeight w:val="418" w:hRule="exact"/>
        </w:trPr>
        <w:tc>
          <w:tcPr>
            <w:tcW w:w="56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5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-46,471,298.70</w:t>
            </w:r>
          </w:p>
        </w:tc>
      </w:tr>
      <w:tr>
        <w:trPr>
          <w:trHeight w:val="418" w:hRule="exact"/>
        </w:trPr>
        <w:tc>
          <w:tcPr>
            <w:tcW w:w="56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不可抵扣的成本、费用和损失影响</w:t>
            </w:r>
          </w:p>
        </w:tc>
        <w:tc>
          <w:tcPr>
            <w:tcW w:w="25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15,722,154.48</w:t>
            </w:r>
          </w:p>
        </w:tc>
      </w:tr>
      <w:tr>
        <w:trPr>
          <w:trHeight w:val="487" w:hRule="exact"/>
        </w:trPr>
        <w:tc>
          <w:tcPr>
            <w:tcW w:w="56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3"/>
              <w:ind w:left="28"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5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-27,329.80</w:t>
            </w:r>
          </w:p>
        </w:tc>
      </w:tr>
      <w:tr>
        <w:trPr>
          <w:trHeight w:val="418" w:hRule="exact"/>
        </w:trPr>
        <w:tc>
          <w:tcPr>
            <w:tcW w:w="56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5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89,159,937.95</w:t>
            </w:r>
          </w:p>
        </w:tc>
      </w:tr>
      <w:tr>
        <w:trPr>
          <w:trHeight w:val="418" w:hRule="exact"/>
        </w:trPr>
        <w:tc>
          <w:tcPr>
            <w:tcW w:w="56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税法规定的额外可扣除费用（研发加计扣除）</w:t>
            </w:r>
          </w:p>
        </w:tc>
        <w:tc>
          <w:tcPr>
            <w:tcW w:w="255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-2,267,559.67</w:t>
            </w:r>
          </w:p>
        </w:tc>
      </w:tr>
      <w:tr>
        <w:trPr>
          <w:trHeight w:val="430" w:hRule="exact"/>
        </w:trPr>
        <w:tc>
          <w:tcPr>
            <w:tcW w:w="56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5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107,588,522.60</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66. </w:t>
      </w:r>
      <w:r>
        <w:rPr>
          <w:rFonts w:ascii="Times New Roman" w:hAnsi="Times New Roman" w:cs="Times New Roman" w:eastAsia="Times New Roman" w:hint="default"/>
          <w:spacing w:val="10"/>
        </w:rPr>
        <w:t> </w:t>
      </w:r>
      <w:r>
        <w:rPr/>
        <w:t>现金流量表附注</w:t>
      </w:r>
      <w:r>
        <w:rPr>
          <w:b w:val="0"/>
          <w:bCs w:val="0"/>
        </w:rPr>
      </w:r>
    </w:p>
    <w:p>
      <w:pPr>
        <w:pStyle w:val="Heading4"/>
        <w:spacing w:line="240" w:lineRule="auto" w:before="83"/>
        <w:ind w:left="558" w:right="1786"/>
        <w:jc w:val="left"/>
        <w:rPr>
          <w:b w:val="0"/>
          <w:bCs w:val="0"/>
        </w:rPr>
      </w:pPr>
      <w:r>
        <w:rPr>
          <w:rFonts w:ascii="Trebuchet MS" w:hAnsi="Trebuchet MS" w:cs="Trebuchet MS" w:eastAsia="Trebuchet MS" w:hint="default"/>
        </w:rPr>
        <w:t>1</w:t>
      </w:r>
      <w:r>
        <w:rPr/>
        <w:t>．</w:t>
      </w:r>
      <w:r>
        <w:rPr>
          <w:spacing w:val="45"/>
        </w:rPr>
        <w:t> </w:t>
      </w:r>
      <w:r>
        <w:rPr/>
        <w:t>收到其他与经营活动有关的现金</w:t>
      </w:r>
      <w:r>
        <w:rPr>
          <w:b w:val="0"/>
          <w:bCs w:val="0"/>
        </w:rPr>
      </w:r>
    </w:p>
    <w:p>
      <w:pPr>
        <w:spacing w:after="0" w:line="240" w:lineRule="auto"/>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2660"/>
        <w:gridCol w:w="2955"/>
        <w:gridCol w:w="2713"/>
      </w:tblGrid>
      <w:tr>
        <w:trPr>
          <w:trHeight w:val="430" w:hRule="exact"/>
        </w:trPr>
        <w:tc>
          <w:tcPr>
            <w:tcW w:w="26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8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清算款</w:t>
            </w:r>
          </w:p>
        </w:tc>
        <w:tc>
          <w:tcPr>
            <w:tcW w:w="29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325,492,749.80</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231,759,964.76</w:t>
            </w:r>
          </w:p>
        </w:tc>
      </w:tr>
      <w:tr>
        <w:trPr>
          <w:trHeight w:val="418"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政府补助、其他收益现金流入</w:t>
            </w:r>
          </w:p>
        </w:tc>
        <w:tc>
          <w:tcPr>
            <w:tcW w:w="29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29,468,424.78</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4,506,635.79</w:t>
            </w:r>
          </w:p>
        </w:tc>
      </w:tr>
      <w:tr>
        <w:trPr>
          <w:trHeight w:val="418"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15,114,296.77</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16,117,723.27</w:t>
            </w:r>
          </w:p>
        </w:tc>
      </w:tr>
      <w:tr>
        <w:trPr>
          <w:trHeight w:val="418"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9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1,754,349.56</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107,184.37</w:t>
            </w:r>
          </w:p>
        </w:tc>
      </w:tr>
      <w:tr>
        <w:trPr>
          <w:trHeight w:val="415"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w:t>
            </w:r>
            <w:r>
              <w:rPr>
                <w:rFonts w:ascii="宋体" w:hAnsi="宋体" w:cs="宋体" w:eastAsia="宋体" w:hint="default"/>
                <w:sz w:val="18"/>
                <w:szCs w:val="18"/>
              </w:rPr>
              <w:t>押金</w:t>
            </w:r>
          </w:p>
        </w:tc>
        <w:tc>
          <w:tcPr>
            <w:tcW w:w="29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875,409.10</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390,698,507.84</w:t>
            </w:r>
          </w:p>
        </w:tc>
      </w:tr>
      <w:tr>
        <w:trPr>
          <w:trHeight w:val="418" w:hRule="exact"/>
        </w:trPr>
        <w:tc>
          <w:tcPr>
            <w:tcW w:w="26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3,824,654.18</w:t>
            </w:r>
          </w:p>
        </w:tc>
        <w:tc>
          <w:tcPr>
            <w:tcW w:w="27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2,340,915.64</w:t>
            </w:r>
          </w:p>
        </w:tc>
      </w:tr>
      <w:tr>
        <w:trPr>
          <w:trHeight w:val="427" w:hRule="exact"/>
        </w:trPr>
        <w:tc>
          <w:tcPr>
            <w:tcW w:w="26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376,529,884.19</w:t>
            </w:r>
          </w:p>
        </w:tc>
        <w:tc>
          <w:tcPr>
            <w:tcW w:w="27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645,530,931.67</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558" w:right="1786"/>
        <w:jc w:val="left"/>
        <w:rPr>
          <w:b w:val="0"/>
          <w:bCs w:val="0"/>
        </w:rPr>
      </w:pPr>
      <w:r>
        <w:rPr>
          <w:rFonts w:ascii="Trebuchet MS" w:hAnsi="Trebuchet MS" w:cs="Trebuchet MS" w:eastAsia="Trebuchet MS" w:hint="default"/>
        </w:rPr>
        <w:t>2</w:t>
      </w:r>
      <w:r>
        <w:rPr/>
        <w:t>．</w:t>
      </w:r>
      <w:r>
        <w:rPr>
          <w:spacing w:val="45"/>
        </w:rPr>
        <w:t> </w:t>
      </w:r>
      <w:r>
        <w:rPr/>
        <w:t>支付其他与经营活动有关的现金</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54" w:type="dxa"/>
        <w:tblLayout w:type="fixed"/>
        <w:tblCellMar>
          <w:top w:w="0" w:type="dxa"/>
          <w:left w:w="0" w:type="dxa"/>
          <w:bottom w:w="0" w:type="dxa"/>
          <w:right w:w="0" w:type="dxa"/>
        </w:tblCellMar>
        <w:tblLook w:val="01E0"/>
      </w:tblPr>
      <w:tblGrid>
        <w:gridCol w:w="2657"/>
        <w:gridCol w:w="2962"/>
        <w:gridCol w:w="2617"/>
      </w:tblGrid>
      <w:tr>
        <w:trPr>
          <w:trHeight w:val="427" w:hRule="exact"/>
        </w:trPr>
        <w:tc>
          <w:tcPr>
            <w:tcW w:w="26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right="1136"/>
              <w:jc w:val="right"/>
              <w:rPr>
                <w:rFonts w:ascii="宋体" w:hAnsi="宋体" w:cs="宋体" w:eastAsia="宋体" w:hint="default"/>
                <w:sz w:val="18"/>
                <w:szCs w:val="18"/>
              </w:rPr>
            </w:pPr>
            <w:r>
              <w:rPr>
                <w:rFonts w:ascii="宋体" w:hAnsi="宋体" w:cs="宋体" w:eastAsia="宋体" w:hint="default"/>
                <w:sz w:val="18"/>
                <w:szCs w:val="18"/>
              </w:rPr>
              <w:t>项目</w:t>
            </w:r>
          </w:p>
        </w:tc>
        <w:tc>
          <w:tcPr>
            <w:tcW w:w="29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left="8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8"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9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495,517,747.88</w:t>
            </w:r>
          </w:p>
        </w:tc>
        <w:tc>
          <w:tcPr>
            <w:tcW w:w="2617"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清算款、其他</w:t>
            </w:r>
          </w:p>
        </w:tc>
        <w:tc>
          <w:tcPr>
            <w:tcW w:w="29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399,559,564.34</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44,799,972.95</w:t>
            </w:r>
          </w:p>
        </w:tc>
      </w:tr>
      <w:tr>
        <w:trPr>
          <w:trHeight w:val="476"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9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7"/>
              <w:jc w:val="right"/>
              <w:rPr>
                <w:rFonts w:ascii="Times New Roman" w:hAnsi="Times New Roman" w:cs="Times New Roman" w:eastAsia="Times New Roman" w:hint="default"/>
                <w:sz w:val="18"/>
                <w:szCs w:val="18"/>
              </w:rPr>
            </w:pPr>
            <w:r>
              <w:rPr>
                <w:rFonts w:ascii="Times New Roman"/>
                <w:spacing w:val="-1"/>
                <w:sz w:val="18"/>
              </w:rPr>
              <w:t>8,398,347.30</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spacing w:val="-1"/>
                <w:sz w:val="18"/>
              </w:rPr>
              <w:t>5,159,377.08</w:t>
            </w:r>
          </w:p>
        </w:tc>
      </w:tr>
      <w:tr>
        <w:trPr>
          <w:trHeight w:val="418"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支付银行手续费</w:t>
            </w:r>
          </w:p>
        </w:tc>
        <w:tc>
          <w:tcPr>
            <w:tcW w:w="29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156,854.94</w:t>
            </w: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49,979.57</w:t>
            </w:r>
          </w:p>
        </w:tc>
      </w:tr>
      <w:tr>
        <w:trPr>
          <w:trHeight w:val="418" w:hRule="exact"/>
        </w:trPr>
        <w:tc>
          <w:tcPr>
            <w:tcW w:w="26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2962" w:type="dxa"/>
            <w:tcBorders>
              <w:top w:val="dotted" w:sz="4" w:space="0" w:color="000000"/>
              <w:left w:val="dotted" w:sz="4" w:space="0" w:color="000000"/>
              <w:bottom w:val="dotted" w:sz="4" w:space="0" w:color="000000"/>
              <w:right w:val="dotted" w:sz="4" w:space="0" w:color="000000"/>
            </w:tcBorders>
          </w:tcPr>
          <w:p>
            <w:pPr/>
          </w:p>
        </w:tc>
        <w:tc>
          <w:tcPr>
            <w:tcW w:w="26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19,238,851.80</w:t>
            </w:r>
          </w:p>
        </w:tc>
      </w:tr>
      <w:tr>
        <w:trPr>
          <w:trHeight w:val="427" w:hRule="exact"/>
        </w:trPr>
        <w:tc>
          <w:tcPr>
            <w:tcW w:w="26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1"/>
              <w:ind w:right="1136"/>
              <w:jc w:val="right"/>
              <w:rPr>
                <w:rFonts w:ascii="宋体" w:hAnsi="宋体" w:cs="宋体" w:eastAsia="宋体" w:hint="default"/>
                <w:sz w:val="18"/>
                <w:szCs w:val="18"/>
              </w:rPr>
            </w:pPr>
            <w:r>
              <w:rPr>
                <w:rFonts w:ascii="宋体" w:hAnsi="宋体" w:cs="宋体" w:eastAsia="宋体" w:hint="default"/>
                <w:sz w:val="18"/>
                <w:szCs w:val="18"/>
              </w:rPr>
              <w:t>合计</w:t>
            </w:r>
          </w:p>
        </w:tc>
        <w:tc>
          <w:tcPr>
            <w:tcW w:w="29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1,318,657,286.29</w:t>
            </w:r>
          </w:p>
        </w:tc>
        <w:tc>
          <w:tcPr>
            <w:tcW w:w="26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313,192,758.41</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558" w:right="1786"/>
        <w:jc w:val="left"/>
        <w:rPr>
          <w:b w:val="0"/>
          <w:bCs w:val="0"/>
        </w:rPr>
      </w:pPr>
      <w:r>
        <w:rPr>
          <w:rFonts w:ascii="Trebuchet MS" w:hAnsi="Trebuchet MS" w:cs="Trebuchet MS" w:eastAsia="Trebuchet MS" w:hint="default"/>
        </w:rPr>
        <w:t>3</w:t>
      </w:r>
      <w:r>
        <w:rPr/>
        <w:t>．</w:t>
      </w:r>
      <w:r>
        <w:rPr>
          <w:spacing w:val="45"/>
        </w:rPr>
        <w:t> </w:t>
      </w:r>
      <w:r>
        <w:rPr/>
        <w:t>收到其他与筹资活动有关的现金</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346"/>
        <w:gridCol w:w="2489"/>
        <w:gridCol w:w="2492"/>
      </w:tblGrid>
      <w:tr>
        <w:trPr>
          <w:trHeight w:val="362" w:hRule="exact"/>
        </w:trPr>
        <w:tc>
          <w:tcPr>
            <w:tcW w:w="33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7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7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发行收益凭证</w:t>
            </w:r>
          </w:p>
        </w:tc>
        <w:tc>
          <w:tcPr>
            <w:tcW w:w="2489" w:type="dxa"/>
            <w:tcBorders>
              <w:top w:val="dotted" w:sz="4" w:space="0" w:color="000000"/>
              <w:left w:val="dotted" w:sz="4" w:space="0" w:color="000000"/>
              <w:bottom w:val="dotted" w:sz="4" w:space="0" w:color="000000"/>
              <w:right w:val="dotted" w:sz="4" w:space="0" w:color="000000"/>
            </w:tcBorders>
          </w:tcPr>
          <w:p>
            <w:pPr/>
          </w:p>
        </w:tc>
        <w:tc>
          <w:tcPr>
            <w:tcW w:w="24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19,997,454.00</w:t>
            </w:r>
          </w:p>
        </w:tc>
      </w:tr>
      <w:tr>
        <w:trPr>
          <w:trHeight w:val="404" w:hRule="exact"/>
        </w:trPr>
        <w:tc>
          <w:tcPr>
            <w:tcW w:w="33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收到借款</w:t>
            </w:r>
          </w:p>
        </w:tc>
        <w:tc>
          <w:tcPr>
            <w:tcW w:w="2489" w:type="dxa"/>
            <w:tcBorders>
              <w:top w:val="dotted" w:sz="4" w:space="0" w:color="000000"/>
              <w:left w:val="dotted" w:sz="4" w:space="0" w:color="000000"/>
              <w:bottom w:val="dotted" w:sz="4" w:space="0" w:color="000000"/>
              <w:right w:val="dotted" w:sz="4" w:space="0" w:color="000000"/>
            </w:tcBorders>
          </w:tcPr>
          <w:p>
            <w:pPr/>
          </w:p>
        </w:tc>
        <w:tc>
          <w:tcPr>
            <w:tcW w:w="24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1,890,846.25</w:t>
            </w:r>
          </w:p>
        </w:tc>
      </w:tr>
      <w:tr>
        <w:trPr>
          <w:trHeight w:val="401" w:hRule="exact"/>
        </w:trPr>
        <w:tc>
          <w:tcPr>
            <w:tcW w:w="33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应付融资款</w:t>
            </w:r>
          </w:p>
        </w:tc>
        <w:tc>
          <w:tcPr>
            <w:tcW w:w="2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60,000,000.00</w:t>
            </w:r>
          </w:p>
        </w:tc>
        <w:tc>
          <w:tcPr>
            <w:tcW w:w="2492"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33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60,000,000.00</w:t>
            </w:r>
          </w:p>
        </w:tc>
        <w:tc>
          <w:tcPr>
            <w:tcW w:w="24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21,888,300.25</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558" w:right="1786"/>
        <w:jc w:val="left"/>
        <w:rPr>
          <w:b w:val="0"/>
          <w:bCs w:val="0"/>
        </w:rPr>
      </w:pPr>
      <w:r>
        <w:rPr>
          <w:rFonts w:ascii="Trebuchet MS" w:hAnsi="Trebuchet MS" w:cs="Trebuchet MS" w:eastAsia="Trebuchet MS" w:hint="default"/>
        </w:rPr>
        <w:t>4</w:t>
      </w:r>
      <w:r>
        <w:rPr/>
        <w:t>．</w:t>
      </w:r>
      <w:r>
        <w:rPr>
          <w:spacing w:val="45"/>
        </w:rPr>
        <w:t> </w:t>
      </w:r>
      <w:r>
        <w:rPr/>
        <w:t>支付其他与筹资活动有关的现金</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346"/>
        <w:gridCol w:w="2489"/>
        <w:gridCol w:w="2492"/>
      </w:tblGrid>
      <w:tr>
        <w:trPr>
          <w:trHeight w:val="360" w:hRule="exact"/>
        </w:trPr>
        <w:tc>
          <w:tcPr>
            <w:tcW w:w="33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481"/>
              <w:jc w:val="right"/>
              <w:rPr>
                <w:rFonts w:ascii="宋体" w:hAnsi="宋体" w:cs="宋体" w:eastAsia="宋体" w:hint="default"/>
                <w:sz w:val="18"/>
                <w:szCs w:val="18"/>
              </w:rPr>
            </w:pPr>
            <w:r>
              <w:rPr>
                <w:rFonts w:ascii="宋体" w:hAnsi="宋体" w:cs="宋体" w:eastAsia="宋体" w:hint="default"/>
                <w:sz w:val="18"/>
                <w:szCs w:val="18"/>
              </w:rPr>
              <w:t>项目</w:t>
            </w:r>
          </w:p>
        </w:tc>
        <w:tc>
          <w:tcPr>
            <w:tcW w:w="24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78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7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卖出回购支付款项</w:t>
            </w:r>
          </w:p>
        </w:tc>
        <w:tc>
          <w:tcPr>
            <w:tcW w:w="2489" w:type="dxa"/>
            <w:tcBorders>
              <w:top w:val="dotted" w:sz="4" w:space="0" w:color="000000"/>
              <w:left w:val="dotted" w:sz="4" w:space="0" w:color="000000"/>
              <w:bottom w:val="dotted" w:sz="4" w:space="0" w:color="000000"/>
              <w:right w:val="dotted" w:sz="4" w:space="0" w:color="000000"/>
            </w:tcBorders>
          </w:tcPr>
          <w:p>
            <w:pPr/>
          </w:p>
        </w:tc>
        <w:tc>
          <w:tcPr>
            <w:tcW w:w="24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3" w:hRule="exact"/>
        </w:trPr>
        <w:tc>
          <w:tcPr>
            <w:tcW w:w="33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股份回购支付款项</w:t>
            </w:r>
          </w:p>
        </w:tc>
        <w:tc>
          <w:tcPr>
            <w:tcW w:w="2489" w:type="dxa"/>
            <w:tcBorders>
              <w:top w:val="dotted" w:sz="4" w:space="0" w:color="000000"/>
              <w:left w:val="dotted" w:sz="4" w:space="0" w:color="000000"/>
              <w:bottom w:val="dotted" w:sz="4" w:space="0" w:color="000000"/>
              <w:right w:val="dotted" w:sz="4" w:space="0" w:color="000000"/>
            </w:tcBorders>
          </w:tcPr>
          <w:p>
            <w:pPr/>
          </w:p>
        </w:tc>
        <w:tc>
          <w:tcPr>
            <w:tcW w:w="24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161,277,853.83</w:t>
            </w:r>
          </w:p>
        </w:tc>
      </w:tr>
      <w:tr>
        <w:trPr>
          <w:trHeight w:val="413" w:hRule="exact"/>
        </w:trPr>
        <w:tc>
          <w:tcPr>
            <w:tcW w:w="33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7"/>
              <w:ind w:right="1481"/>
              <w:jc w:val="right"/>
              <w:rPr>
                <w:rFonts w:ascii="宋体" w:hAnsi="宋体" w:cs="宋体" w:eastAsia="宋体" w:hint="default"/>
                <w:sz w:val="18"/>
                <w:szCs w:val="18"/>
              </w:rPr>
            </w:pPr>
            <w:r>
              <w:rPr>
                <w:rFonts w:ascii="宋体" w:hAnsi="宋体" w:cs="宋体" w:eastAsia="宋体" w:hint="default"/>
                <w:sz w:val="18"/>
                <w:szCs w:val="18"/>
              </w:rPr>
              <w:t>合计</w:t>
            </w:r>
          </w:p>
        </w:tc>
        <w:tc>
          <w:tcPr>
            <w:tcW w:w="2489" w:type="dxa"/>
            <w:tcBorders>
              <w:top w:val="dotted" w:sz="4" w:space="0" w:color="000000"/>
              <w:left w:val="dotted" w:sz="4" w:space="0" w:color="000000"/>
              <w:bottom w:val="single" w:sz="12" w:space="0" w:color="000000"/>
              <w:right w:val="dotted" w:sz="4" w:space="0" w:color="000000"/>
            </w:tcBorders>
          </w:tcPr>
          <w:p>
            <w:pPr/>
          </w:p>
        </w:tc>
        <w:tc>
          <w:tcPr>
            <w:tcW w:w="24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661,277,853.83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5"/>
          <w:szCs w:val="15"/>
        </w:rPr>
      </w:pPr>
    </w:p>
    <w:p>
      <w:pPr>
        <w:pStyle w:val="Heading4"/>
        <w:spacing w:line="335" w:lineRule="exact"/>
        <w:ind w:left="840" w:right="0"/>
        <w:jc w:val="left"/>
        <w:rPr>
          <w:b w:val="0"/>
          <w:bCs w:val="0"/>
        </w:rPr>
      </w:pPr>
      <w:r>
        <w:rPr/>
        <w:t>注释 </w:t>
      </w:r>
      <w:r>
        <w:rPr>
          <w:rFonts w:ascii="Times New Roman" w:hAnsi="Times New Roman" w:cs="Times New Roman" w:eastAsia="Times New Roman" w:hint="default"/>
        </w:rPr>
        <w:t>67. </w:t>
      </w:r>
      <w:r>
        <w:rPr>
          <w:rFonts w:ascii="Times New Roman" w:hAnsi="Times New Roman" w:cs="Times New Roman" w:eastAsia="Times New Roman" w:hint="default"/>
          <w:spacing w:val="9"/>
        </w:rPr>
        <w:t> </w:t>
      </w:r>
      <w:r>
        <w:rPr/>
        <w:t>现金流量表补充资料</w:t>
      </w:r>
      <w:r>
        <w:rPr>
          <w:b w:val="0"/>
          <w:bCs w:val="0"/>
        </w:rPr>
      </w:r>
    </w:p>
    <w:p>
      <w:pPr>
        <w:pStyle w:val="Heading4"/>
        <w:spacing w:line="240" w:lineRule="auto" w:before="83"/>
        <w:ind w:left="838" w:right="0"/>
        <w:jc w:val="left"/>
        <w:rPr>
          <w:b w:val="0"/>
          <w:bCs w:val="0"/>
        </w:rPr>
      </w:pPr>
      <w:r>
        <w:rPr>
          <w:rFonts w:ascii="Trebuchet MS" w:hAnsi="Trebuchet MS" w:cs="Trebuchet MS" w:eastAsia="Trebuchet MS" w:hint="default"/>
        </w:rPr>
        <w:t>1</w:t>
      </w:r>
      <w:r>
        <w:rPr/>
        <w:t>．</w:t>
      </w:r>
      <w:r>
        <w:rPr>
          <w:spacing w:val="45"/>
        </w:rPr>
        <w:t> </w:t>
      </w:r>
      <w:r>
        <w:rPr/>
        <w:t>现金流量表补充资料</w:t>
      </w:r>
      <w:r>
        <w:rPr>
          <w:b w:val="0"/>
          <w:bCs w:val="0"/>
        </w:rPr>
      </w:r>
    </w:p>
    <w:p>
      <w:pPr>
        <w:spacing w:line="240" w:lineRule="auto" w:before="12"/>
        <w:rPr>
          <w:rFonts w:ascii="Microsoft JhengHei" w:hAnsi="Microsoft JhengHei" w:cs="Microsoft JhengHei" w:eastAsia="Microsoft JhengHei" w:hint="default"/>
          <w:b/>
          <w:bCs/>
          <w:sz w:val="7"/>
          <w:szCs w:val="7"/>
        </w:rPr>
      </w:pPr>
    </w:p>
    <w:p>
      <w:pPr>
        <w:spacing w:line="20" w:lineRule="exact"/>
        <w:ind w:left="11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6.8pt;height:.5pt;mso-position-horizontal-relative:char;mso-position-vertical-relative:line" coordorigin="0,0" coordsize="536,10">
            <v:group style="position:absolute;left:5;top:5;width:526;height:2" coordorigin="5,5" coordsize="526,2">
              <v:shape style="position:absolute;left:5;top:5;width:526;height:2" coordorigin="5,5" coordsize="526,0" path="m5,5l531,5e" filled="false" stroked="true" strokeweight=".48pt" strokecolor="#000000">
                <v:path arrowok="t"/>
                <v:stroke dashstyle="dash"/>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454" w:type="dxa"/>
        <w:tblLayout w:type="fixed"/>
        <w:tblCellMar>
          <w:top w:w="0" w:type="dxa"/>
          <w:left w:w="0" w:type="dxa"/>
          <w:bottom w:w="0" w:type="dxa"/>
          <w:right w:w="0" w:type="dxa"/>
        </w:tblCellMar>
        <w:tblLook w:val="01E0"/>
      </w:tblPr>
      <w:tblGrid>
        <w:gridCol w:w="3773"/>
        <w:gridCol w:w="1851"/>
        <w:gridCol w:w="2636"/>
      </w:tblGrid>
      <w:tr>
        <w:trPr>
          <w:trHeight w:val="427" w:hRule="exact"/>
        </w:trPr>
        <w:tc>
          <w:tcPr>
            <w:tcW w:w="37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6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position w:val="1"/>
                <w:sz w:val="18"/>
                <w:szCs w:val="18"/>
              </w:rPr>
              <w:t>、将净利润调节为经营活动现金流量</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10"/>
              <w:jc w:val="right"/>
              <w:rPr>
                <w:rFonts w:ascii="Times New Roman" w:hAnsi="Times New Roman" w:cs="Times New Roman" w:eastAsia="Times New Roman" w:hint="default"/>
                <w:sz w:val="18"/>
                <w:szCs w:val="18"/>
              </w:rPr>
            </w:pPr>
            <w:r>
              <w:rPr>
                <w:rFonts w:ascii="Times New Roman"/>
                <w:spacing w:val="-1"/>
                <w:sz w:val="18"/>
              </w:rPr>
              <w:t>94,809,842.96</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-544,268,160.43</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88,610,572.60</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189,992,578.37</w:t>
            </w:r>
          </w:p>
        </w:tc>
      </w:tr>
      <w:tr>
        <w:trPr>
          <w:trHeight w:val="416"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29,280,985.78</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19,462,256.46</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生产性生物资产折旧</w:t>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油气资产折耗</w:t>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16,875,787.72</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10,826,598.24</w:t>
            </w:r>
          </w:p>
        </w:tc>
      </w:tr>
      <w:tr>
        <w:trPr>
          <w:trHeight w:val="415"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27,171,652.08</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15,451,986.90</w:t>
            </w:r>
          </w:p>
        </w:tc>
      </w:tr>
      <w:tr>
        <w:trPr>
          <w:trHeight w:val="730"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w:t>
            </w:r>
          </w:p>
          <w:p>
            <w:pPr>
              <w:pStyle w:val="TableParagraph"/>
              <w:spacing w:line="240" w:lineRule="auto" w:before="74"/>
              <w:ind w:left="28"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323,634.67</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45,902.24</w:t>
            </w:r>
          </w:p>
        </w:tc>
      </w:tr>
      <w:tr>
        <w:trPr>
          <w:trHeight w:val="490"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position w:val="1"/>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号填列）</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5,124.84</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693,164.04</w:t>
            </w:r>
          </w:p>
        </w:tc>
      </w:tr>
      <w:tr>
        <w:trPr>
          <w:trHeight w:val="490"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position w:val="1"/>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号填列）</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-267,020,505.84</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451,297,426.32</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position w:val="1"/>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号填列）</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10"/>
              <w:jc w:val="right"/>
              <w:rPr>
                <w:rFonts w:ascii="Times New Roman" w:hAnsi="Times New Roman" w:cs="Times New Roman" w:eastAsia="Times New Roman" w:hint="default"/>
                <w:sz w:val="18"/>
                <w:szCs w:val="18"/>
              </w:rPr>
            </w:pPr>
            <w:r>
              <w:rPr>
                <w:rFonts w:ascii="Times New Roman"/>
                <w:spacing w:val="-1"/>
                <w:sz w:val="18"/>
              </w:rPr>
              <w:t>435,849,950.00</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381,740,163.87</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position w:val="1"/>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号填列）</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9"/>
              <w:jc w:val="right"/>
              <w:rPr>
                <w:rFonts w:ascii="Times New Roman" w:hAnsi="Times New Roman" w:cs="Times New Roman" w:eastAsia="Times New Roman" w:hint="default"/>
                <w:sz w:val="18"/>
                <w:szCs w:val="18"/>
              </w:rPr>
            </w:pPr>
            <w:r>
              <w:rPr>
                <w:rFonts w:ascii="Times New Roman"/>
                <w:spacing w:val="-1"/>
                <w:sz w:val="18"/>
              </w:rPr>
              <w:t>-86,676,478.81</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-164,221,382.36</w:t>
            </w:r>
          </w:p>
        </w:tc>
      </w:tr>
      <w:tr>
        <w:trPr>
          <w:trHeight w:val="490"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position w:val="1"/>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号填列）</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87,807,332.60</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-94,580,425.28</w:t>
            </w:r>
          </w:p>
        </w:tc>
      </w:tr>
      <w:tr>
        <w:trPr>
          <w:trHeight w:val="490"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position w:val="1"/>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号填列）</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-668,531.01</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-18,212,978.04</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position w:val="1"/>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号填列）</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10"/>
              <w:jc w:val="right"/>
              <w:rPr>
                <w:rFonts w:ascii="Times New Roman" w:hAnsi="Times New Roman" w:cs="Times New Roman" w:eastAsia="Times New Roman" w:hint="default"/>
                <w:sz w:val="18"/>
                <w:szCs w:val="18"/>
              </w:rPr>
            </w:pPr>
            <w:r>
              <w:rPr>
                <w:rFonts w:ascii="Times New Roman"/>
                <w:spacing w:val="-1"/>
                <w:sz w:val="18"/>
              </w:rPr>
              <w:t>-2,983,276.17</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3,298,475.67</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tabs>
                <w:tab w:pos="566" w:val="left" w:leader="none"/>
              </w:tabs>
              <w:spacing w:line="240" w:lineRule="auto" w:before="63"/>
              <w:ind w:left="-150"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position w:val="1"/>
                <w:sz w:val="18"/>
                <w:szCs w:val="18"/>
              </w:rPr>
              <w:t>1,025,993,050.26</w:t>
            </w:r>
            <w:r>
              <w:rPr>
                <w:rFonts w:ascii="Times New Roman" w:hAnsi="Times New Roman" w:cs="Times New Roman" w:eastAsia="Times New Roman" w:hint="default"/>
                <w:spacing w:val="-1"/>
                <w:sz w:val="18"/>
                <w:szCs w:val="18"/>
              </w:rPr>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-5,379,624,836.78</w:t>
            </w:r>
          </w:p>
        </w:tc>
      </w:tr>
      <w:tr>
        <w:trPr>
          <w:trHeight w:val="416"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tabs>
                <w:tab w:pos="566" w:val="left" w:leader="none"/>
              </w:tabs>
              <w:spacing w:line="240" w:lineRule="auto" w:before="64"/>
              <w:ind w:left="-150"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position w:val="1"/>
                <w:sz w:val="18"/>
                <w:szCs w:val="18"/>
              </w:rPr>
              <w:t>1,173,303,027.66</w:t>
            </w:r>
            <w:r>
              <w:rPr>
                <w:rFonts w:ascii="Times New Roman" w:hAnsi="Times New Roman" w:cs="Times New Roman" w:eastAsia="Times New Roman" w:hint="default"/>
                <w:spacing w:val="-1"/>
                <w:sz w:val="18"/>
                <w:szCs w:val="18"/>
              </w:rPr>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pacing w:val="-1"/>
                <w:sz w:val="18"/>
              </w:rPr>
              <w:t>6,800,395,094.94</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position w:val="1"/>
                <w:sz w:val="18"/>
                <w:szCs w:val="18"/>
              </w:rPr>
              <w:t>汇兑损失的减少（增加以</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号填列）</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9"/>
              <w:jc w:val="right"/>
              <w:rPr>
                <w:rFonts w:ascii="Times New Roman" w:hAnsi="Times New Roman" w:cs="Times New Roman" w:eastAsia="Times New Roman" w:hint="default"/>
                <w:sz w:val="18"/>
                <w:szCs w:val="18"/>
              </w:rPr>
            </w:pPr>
            <w:r>
              <w:rPr>
                <w:rFonts w:ascii="Times New Roman"/>
                <w:spacing w:val="-1"/>
                <w:sz w:val="18"/>
              </w:rPr>
              <w:t>-317,869.61</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-842,883.91</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其他（注）</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8"/>
              <w:ind w:right="10"/>
              <w:jc w:val="right"/>
              <w:rPr>
                <w:rFonts w:ascii="Times New Roman" w:hAnsi="Times New Roman" w:cs="Times New Roman" w:eastAsia="Times New Roman" w:hint="default"/>
                <w:sz w:val="18"/>
                <w:szCs w:val="18"/>
              </w:rPr>
            </w:pPr>
            <w:r>
              <w:rPr>
                <w:rFonts w:ascii="Times New Roman"/>
                <w:spacing w:val="-1"/>
                <w:sz w:val="18"/>
              </w:rPr>
              <w:t>-200,565,802.38</w:t>
            </w: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2,421,798,497.37</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1,671,452,980.25</w:t>
            </w:r>
          </w:p>
        </w:tc>
      </w:tr>
      <w:tr>
        <w:trPr>
          <w:trHeight w:val="490"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position w:val="1"/>
                <w:sz w:val="18"/>
                <w:szCs w:val="18"/>
              </w:rPr>
              <w:t>、不涉及现金收支的重大投资和筹资活动</w:t>
            </w:r>
            <w:r>
              <w:rPr>
                <w:rFonts w:ascii="宋体" w:hAnsi="宋体" w:cs="宋体" w:eastAsia="宋体" w:hint="default"/>
                <w:sz w:val="18"/>
                <w:szCs w:val="18"/>
              </w:rPr>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nil" w:sz="6" w:space="0" w:color="auto"/>
              <w:right w:val="nil" w:sz="6" w:space="0" w:color="auto"/>
            </w:tcBorders>
          </w:tcPr>
          <w:p>
            <w:pPr/>
          </w:p>
        </w:tc>
      </w:tr>
    </w:tbl>
    <w:p>
      <w:pPr>
        <w:spacing w:after="0"/>
        <w:sectPr>
          <w:pgSz w:w="11910" w:h="16840"/>
          <w:pgMar w:header="877" w:footer="979" w:top="1100" w:bottom="1160" w:left="13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74" w:type="dxa"/>
        <w:tblLayout w:type="fixed"/>
        <w:tblCellMar>
          <w:top w:w="0" w:type="dxa"/>
          <w:left w:w="0" w:type="dxa"/>
          <w:bottom w:w="0" w:type="dxa"/>
          <w:right w:w="0" w:type="dxa"/>
        </w:tblCellMar>
        <w:tblLook w:val="01E0"/>
      </w:tblPr>
      <w:tblGrid>
        <w:gridCol w:w="3773"/>
        <w:gridCol w:w="1851"/>
        <w:gridCol w:w="2636"/>
      </w:tblGrid>
      <w:tr>
        <w:trPr>
          <w:trHeight w:val="430" w:hRule="exact"/>
        </w:trPr>
        <w:tc>
          <w:tcPr>
            <w:tcW w:w="37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5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6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5"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566" w:right="0"/>
              <w:jc w:val="left"/>
              <w:rPr>
                <w:rFonts w:ascii="Times New Roman" w:hAnsi="Times New Roman" w:cs="Times New Roman" w:eastAsia="Times New Roman" w:hint="default"/>
                <w:sz w:val="18"/>
                <w:szCs w:val="18"/>
              </w:rPr>
            </w:pPr>
            <w:r>
              <w:rPr>
                <w:rFonts w:ascii="Times New Roman"/>
                <w:sz w:val="18"/>
              </w:rPr>
              <w:t>8,154,348,020.42</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6,218,667,719.09</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566" w:right="0"/>
              <w:jc w:val="left"/>
              <w:rPr>
                <w:rFonts w:ascii="Times New Roman" w:hAnsi="Times New Roman" w:cs="Times New Roman" w:eastAsia="Times New Roman" w:hint="default"/>
                <w:sz w:val="18"/>
                <w:szCs w:val="18"/>
              </w:rPr>
            </w:pPr>
            <w:r>
              <w:rPr>
                <w:rFonts w:ascii="Times New Roman"/>
                <w:sz w:val="18"/>
              </w:rPr>
              <w:t>6,218,667,719.09</w:t>
            </w:r>
          </w:p>
        </w:tc>
        <w:tc>
          <w:tcPr>
            <w:tcW w:w="26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6,259,891,654.01</w:t>
            </w: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7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51" w:type="dxa"/>
            <w:tcBorders>
              <w:top w:val="dotted" w:sz="4" w:space="0" w:color="000000"/>
              <w:left w:val="dotted" w:sz="4" w:space="0" w:color="000000"/>
              <w:bottom w:val="dotted" w:sz="4" w:space="0" w:color="000000"/>
              <w:right w:val="dotted" w:sz="4" w:space="0" w:color="000000"/>
            </w:tcBorders>
          </w:tcPr>
          <w:p>
            <w:pPr/>
          </w:p>
        </w:tc>
        <w:tc>
          <w:tcPr>
            <w:tcW w:w="2636"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37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566" w:right="0"/>
              <w:jc w:val="left"/>
              <w:rPr>
                <w:rFonts w:ascii="Times New Roman" w:hAnsi="Times New Roman" w:cs="Times New Roman" w:eastAsia="Times New Roman" w:hint="default"/>
                <w:sz w:val="18"/>
                <w:szCs w:val="18"/>
              </w:rPr>
            </w:pPr>
            <w:r>
              <w:rPr>
                <w:rFonts w:ascii="Times New Roman"/>
                <w:sz w:val="18"/>
              </w:rPr>
              <w:t>1,935,680,301.33</w:t>
            </w:r>
          </w:p>
        </w:tc>
        <w:tc>
          <w:tcPr>
            <w:tcW w:w="263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-41,223,934.92</w:t>
            </w:r>
          </w:p>
        </w:tc>
      </w:tr>
    </w:tbl>
    <w:p>
      <w:pPr>
        <w:spacing w:before="8"/>
        <w:ind w:left="138" w:right="1786" w:firstLine="0"/>
        <w:jc w:val="left"/>
        <w:rPr>
          <w:rFonts w:ascii="宋体" w:hAnsi="宋体" w:cs="宋体" w:eastAsia="宋体" w:hint="default"/>
          <w:sz w:val="18"/>
          <w:szCs w:val="18"/>
        </w:rPr>
      </w:pPr>
      <w:r>
        <w:rPr>
          <w:rFonts w:ascii="宋体" w:hAnsi="宋体" w:cs="宋体" w:eastAsia="宋体" w:hint="default"/>
          <w:sz w:val="18"/>
          <w:szCs w:val="18"/>
        </w:rPr>
        <w:t>注：详见本附注十五（七）其他对投资者决策有影响的重要交易和事项之</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、趣店核算方法转换。</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4"/>
        <w:spacing w:line="240" w:lineRule="auto"/>
        <w:ind w:left="558" w:right="1786"/>
        <w:jc w:val="left"/>
        <w:rPr>
          <w:b w:val="0"/>
          <w:bCs w:val="0"/>
        </w:rPr>
      </w:pPr>
      <w:r>
        <w:rPr>
          <w:rFonts w:ascii="Trebuchet MS" w:hAnsi="Trebuchet MS" w:cs="Trebuchet MS" w:eastAsia="Trebuchet MS" w:hint="default"/>
        </w:rPr>
        <w:t>2</w:t>
      </w:r>
      <w:r>
        <w:rPr/>
        <w:t>．</w:t>
      </w:r>
      <w:r>
        <w:rPr>
          <w:spacing w:val="44"/>
        </w:rPr>
        <w:t> </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4537"/>
        <w:gridCol w:w="1896"/>
        <w:gridCol w:w="1894"/>
      </w:tblGrid>
      <w:tr>
        <w:trPr>
          <w:trHeight w:val="413" w:hRule="exact"/>
        </w:trPr>
        <w:tc>
          <w:tcPr>
            <w:tcW w:w="45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9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8,154,348,020.42</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6,218,667,719.09</w:t>
            </w:r>
          </w:p>
        </w:tc>
      </w:tr>
      <w:tr>
        <w:trPr>
          <w:trHeight w:val="401"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28,200.53</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34,537.37</w:t>
            </w:r>
          </w:p>
        </w:tc>
      </w:tr>
      <w:tr>
        <w:trPr>
          <w:trHeight w:val="403"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7,329,565,905.70</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5,280,802,007.07</w:t>
            </w:r>
          </w:p>
        </w:tc>
      </w:tr>
      <w:tr>
        <w:trPr>
          <w:trHeight w:val="401"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295,894.52</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71,937.72</w:t>
            </w:r>
          </w:p>
        </w:tc>
      </w:tr>
      <w:tr>
        <w:trPr>
          <w:trHeight w:val="404"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可随时用于支付的结算备付金</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824,458,019.67</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937,759,236.93</w:t>
            </w:r>
          </w:p>
        </w:tc>
      </w:tr>
      <w:tr>
        <w:trPr>
          <w:trHeight w:val="401"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6" w:type="dxa"/>
            <w:tcBorders>
              <w:top w:val="dotted" w:sz="4" w:space="0" w:color="000000"/>
              <w:left w:val="dotted" w:sz="4" w:space="0" w:color="000000"/>
              <w:bottom w:val="dotted" w:sz="4" w:space="0" w:color="000000"/>
              <w:right w:val="dotted" w:sz="4" w:space="0" w:color="000000"/>
            </w:tcBorders>
          </w:tcPr>
          <w:p>
            <w:pP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6" w:type="dxa"/>
            <w:tcBorders>
              <w:top w:val="dotted" w:sz="4" w:space="0" w:color="000000"/>
              <w:left w:val="dotted" w:sz="4" w:space="0" w:color="000000"/>
              <w:bottom w:val="dotted" w:sz="4" w:space="0" w:color="000000"/>
              <w:right w:val="dotted" w:sz="4" w:space="0" w:color="000000"/>
            </w:tcBorders>
          </w:tcPr>
          <w:p>
            <w:pP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96" w:type="dxa"/>
            <w:tcBorders>
              <w:top w:val="dotted" w:sz="4" w:space="0" w:color="000000"/>
              <w:left w:val="dotted" w:sz="4" w:space="0" w:color="000000"/>
              <w:bottom w:val="dotted" w:sz="4" w:space="0" w:color="000000"/>
              <w:right w:val="dotted" w:sz="4" w:space="0" w:color="000000"/>
            </w:tcBorders>
          </w:tcPr>
          <w:p>
            <w:pP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6" w:type="dxa"/>
            <w:tcBorders>
              <w:top w:val="dotted" w:sz="4" w:space="0" w:color="000000"/>
              <w:left w:val="dotted" w:sz="4" w:space="0" w:color="000000"/>
              <w:bottom w:val="dotted" w:sz="4" w:space="0" w:color="000000"/>
              <w:right w:val="dotted" w:sz="4" w:space="0" w:color="000000"/>
            </w:tcBorders>
          </w:tcPr>
          <w:p>
            <w:pPr/>
          </w:p>
        </w:tc>
        <w:tc>
          <w:tcPr>
            <w:tcW w:w="1894"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45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8,154,348,020.42</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6,218,667,719.09</w:t>
            </w:r>
          </w:p>
        </w:tc>
      </w:tr>
      <w:tr>
        <w:trPr>
          <w:trHeight w:val="725" w:hRule="exact"/>
        </w:trPr>
        <w:tc>
          <w:tcPr>
            <w:tcW w:w="4537" w:type="dxa"/>
            <w:tcBorders>
              <w:top w:val="dotted" w:sz="4" w:space="0" w:color="000000"/>
              <w:left w:val="nil" w:sz="6" w:space="0" w:color="auto"/>
              <w:bottom w:val="single" w:sz="12" w:space="0" w:color="000000"/>
              <w:right w:val="dotted"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pacing w:val="-1"/>
                <w:sz w:val="18"/>
                <w:szCs w:val="18"/>
              </w:rPr>
              <w:t>其中：母公司或集团内子公司使用受限制的现金和现金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等价物</w:t>
            </w:r>
          </w:p>
        </w:tc>
        <w:tc>
          <w:tcPr>
            <w:tcW w:w="1896" w:type="dxa"/>
            <w:tcBorders>
              <w:top w:val="dotted" w:sz="4" w:space="0" w:color="000000"/>
              <w:left w:val="dotted" w:sz="4" w:space="0" w:color="000000"/>
              <w:bottom w:val="single" w:sz="12" w:space="0" w:color="000000"/>
              <w:right w:val="dotted" w:sz="4" w:space="0" w:color="000000"/>
            </w:tcBorders>
          </w:tcPr>
          <w:p>
            <w:pPr/>
          </w:p>
        </w:tc>
        <w:tc>
          <w:tcPr>
            <w:tcW w:w="189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68. </w:t>
      </w:r>
      <w:r>
        <w:rPr>
          <w:rFonts w:ascii="Times New Roman" w:hAnsi="Times New Roman" w:cs="Times New Roman" w:eastAsia="Times New Roman" w:hint="default"/>
          <w:spacing w:val="15"/>
        </w:rPr>
        <w:t> </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505"/>
        <w:gridCol w:w="1937"/>
        <w:gridCol w:w="4885"/>
      </w:tblGrid>
      <w:tr>
        <w:trPr>
          <w:trHeight w:val="413" w:hRule="exact"/>
        </w:trPr>
        <w:tc>
          <w:tcPr>
            <w:tcW w:w="150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48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15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519,847,023.49</w:t>
            </w:r>
          </w:p>
        </w:tc>
        <w:tc>
          <w:tcPr>
            <w:tcW w:w="4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担保品</w:t>
            </w:r>
          </w:p>
        </w:tc>
      </w:tr>
      <w:tr>
        <w:trPr>
          <w:trHeight w:val="403" w:hRule="exact"/>
        </w:trPr>
        <w:tc>
          <w:tcPr>
            <w:tcW w:w="15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6,107,117,350.54</w:t>
            </w:r>
          </w:p>
        </w:tc>
        <w:tc>
          <w:tcPr>
            <w:tcW w:w="4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担保品</w:t>
            </w:r>
          </w:p>
        </w:tc>
      </w:tr>
      <w:tr>
        <w:trPr>
          <w:trHeight w:val="401" w:hRule="exact"/>
        </w:trPr>
        <w:tc>
          <w:tcPr>
            <w:tcW w:w="15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223,298.77</w:t>
            </w:r>
          </w:p>
        </w:tc>
        <w:tc>
          <w:tcPr>
            <w:tcW w:w="4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新股中签暂未上市交易</w:t>
            </w:r>
          </w:p>
        </w:tc>
      </w:tr>
      <w:tr>
        <w:trPr>
          <w:trHeight w:val="403" w:hRule="exact"/>
        </w:trPr>
        <w:tc>
          <w:tcPr>
            <w:tcW w:w="150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96,940,664.52</w:t>
            </w:r>
          </w:p>
        </w:tc>
        <w:tc>
          <w:tcPr>
            <w:tcW w:w="4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担保品</w:t>
            </w:r>
          </w:p>
        </w:tc>
      </w:tr>
      <w:tr>
        <w:trPr>
          <w:trHeight w:val="413" w:hRule="exact"/>
        </w:trPr>
        <w:tc>
          <w:tcPr>
            <w:tcW w:w="150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6,724,128,337.32</w:t>
            </w:r>
          </w:p>
        </w:tc>
        <w:tc>
          <w:tcPr>
            <w:tcW w:w="488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69. </w:t>
      </w:r>
      <w:r>
        <w:rPr>
          <w:rFonts w:ascii="Times New Roman" w:hAnsi="Times New Roman" w:cs="Times New Roman" w:eastAsia="Times New Roman" w:hint="default"/>
          <w:spacing w:val="10"/>
        </w:rPr>
        <w:t> </w:t>
      </w:r>
      <w:r>
        <w:rPr/>
        <w:t>外币货币性项目</w:t>
      </w:r>
      <w:r>
        <w:rPr>
          <w:b w:val="0"/>
          <w:bCs w:val="0"/>
        </w:rPr>
      </w:r>
    </w:p>
    <w:p>
      <w:pPr>
        <w:spacing w:after="0" w:line="335" w:lineRule="exact"/>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5"/>
          <w:szCs w:val="15"/>
        </w:rPr>
      </w:pPr>
    </w:p>
    <w:p>
      <w:pPr>
        <w:pStyle w:val="Heading4"/>
        <w:spacing w:line="335" w:lineRule="exact"/>
        <w:ind w:right="1786"/>
        <w:jc w:val="left"/>
        <w:rPr>
          <w:b w:val="0"/>
          <w:bCs w:val="0"/>
        </w:rPr>
      </w:pPr>
      <w:r>
        <w:rPr>
          <w:rFonts w:ascii="Times New Roman" w:hAnsi="Times New Roman" w:cs="Times New Roman" w:eastAsia="Times New Roman" w:hint="default"/>
        </w:rPr>
        <w:t>1</w:t>
      </w:r>
      <w:r>
        <w:rPr/>
        <w:t>． </w:t>
      </w:r>
      <w:r>
        <w:rPr>
          <w:spacing w:val="5"/>
        </w:rPr>
        <w:t> </w:t>
      </w:r>
      <w:r>
        <w:rPr/>
        <w:t>外币货币性项目</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468"/>
        <w:gridCol w:w="2071"/>
        <w:gridCol w:w="1712"/>
        <w:gridCol w:w="2077"/>
      </w:tblGrid>
      <w:tr>
        <w:trPr>
          <w:trHeight w:val="413" w:hRule="exact"/>
        </w:trPr>
        <w:tc>
          <w:tcPr>
            <w:tcW w:w="24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48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7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0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41,056,756.26</w:t>
            </w:r>
          </w:p>
        </w:tc>
      </w:tr>
      <w:tr>
        <w:trPr>
          <w:trHeight w:val="401"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3,797,292.17</w:t>
            </w:r>
            <w:r>
              <w:rPr>
                <w:rFonts w:ascii="Times New Roman"/>
                <w:sz w:val="18"/>
              </w:rPr>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6.9762</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26,490,669.70</w:t>
            </w:r>
          </w:p>
        </w:tc>
      </w:tr>
      <w:tr>
        <w:trPr>
          <w:trHeight w:val="403"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416"/>
              <w:jc w:val="center"/>
              <w:rPr>
                <w:rFonts w:ascii="宋体" w:hAnsi="宋体" w:cs="宋体" w:eastAsia="宋体" w:hint="default"/>
                <w:sz w:val="18"/>
                <w:szCs w:val="18"/>
              </w:rPr>
            </w:pPr>
            <w:r>
              <w:rPr>
                <w:rFonts w:ascii="宋体" w:hAnsi="宋体" w:cs="宋体" w:eastAsia="宋体" w:hint="default"/>
                <w:sz w:val="18"/>
                <w:szCs w:val="18"/>
              </w:rPr>
              <w:t>港币</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16,260,422.58</w:t>
            </w:r>
            <w:r>
              <w:rPr>
                <w:rFonts w:ascii="Times New Roman"/>
                <w:sz w:val="18"/>
              </w:rPr>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spacing w:val="-1"/>
                <w:sz w:val="18"/>
              </w:rPr>
              <w:t>0.8958</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14,566,086.56</w:t>
            </w:r>
          </w:p>
        </w:tc>
      </w:tr>
      <w:tr>
        <w:trPr>
          <w:trHeight w:val="401"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0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9,096,289.86</w:t>
            </w:r>
          </w:p>
        </w:tc>
      </w:tr>
      <w:tr>
        <w:trPr>
          <w:trHeight w:val="404"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946,657.99</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6.9762</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6,604,075.47</w:t>
            </w:r>
          </w:p>
        </w:tc>
      </w:tr>
      <w:tr>
        <w:trPr>
          <w:trHeight w:val="401"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411"/>
              <w:jc w:val="center"/>
              <w:rPr>
                <w:rFonts w:ascii="宋体" w:hAnsi="宋体" w:cs="宋体" w:eastAsia="宋体" w:hint="default"/>
                <w:sz w:val="18"/>
                <w:szCs w:val="18"/>
              </w:rPr>
            </w:pPr>
            <w:r>
              <w:rPr>
                <w:rFonts w:ascii="宋体" w:hAnsi="宋体" w:cs="宋体" w:eastAsia="宋体" w:hint="default"/>
                <w:sz w:val="18"/>
                <w:szCs w:val="18"/>
              </w:rPr>
              <w:t>港币</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2,782,110.29</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0.8958</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2,492,214.39</w:t>
            </w:r>
          </w:p>
        </w:tc>
      </w:tr>
      <w:tr>
        <w:trPr>
          <w:trHeight w:val="403"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0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2,331,474.00</w:t>
            </w:r>
          </w:p>
        </w:tc>
      </w:tr>
      <w:tr>
        <w:trPr>
          <w:trHeight w:val="401"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270,000.00</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6.9762</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1,883,574.00</w:t>
            </w:r>
          </w:p>
        </w:tc>
      </w:tr>
      <w:tr>
        <w:trPr>
          <w:trHeight w:val="403"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416"/>
              <w:jc w:val="center"/>
              <w:rPr>
                <w:rFonts w:ascii="宋体" w:hAnsi="宋体" w:cs="宋体" w:eastAsia="宋体" w:hint="default"/>
                <w:sz w:val="18"/>
                <w:szCs w:val="18"/>
              </w:rPr>
            </w:pPr>
            <w:r>
              <w:rPr>
                <w:rFonts w:ascii="宋体" w:hAnsi="宋体" w:cs="宋体" w:eastAsia="宋体" w:hint="default"/>
                <w:sz w:val="18"/>
                <w:szCs w:val="18"/>
              </w:rPr>
              <w:t>港币</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0.8958</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447,900.00</w:t>
            </w:r>
          </w:p>
        </w:tc>
      </w:tr>
      <w:tr>
        <w:trPr>
          <w:trHeight w:val="401"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440.97</w:t>
            </w:r>
          </w:p>
        </w:tc>
      </w:tr>
      <w:tr>
        <w:trPr>
          <w:trHeight w:val="403"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63.21</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6.9762</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440.97</w:t>
            </w:r>
          </w:p>
        </w:tc>
      </w:tr>
      <w:tr>
        <w:trPr>
          <w:trHeight w:val="401"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5,563,544.92</w:t>
            </w:r>
          </w:p>
        </w:tc>
      </w:tr>
      <w:tr>
        <w:trPr>
          <w:trHeight w:val="404"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0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6,210,699.84</w:t>
            </w:r>
          </w:p>
        </w:tc>
        <w:tc>
          <w:tcPr>
            <w:tcW w:w="17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0.8958</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5,563,544.92</w:t>
            </w:r>
          </w:p>
        </w:tc>
      </w:tr>
      <w:tr>
        <w:trPr>
          <w:trHeight w:val="401" w:hRule="exact"/>
        </w:trPr>
        <w:tc>
          <w:tcPr>
            <w:tcW w:w="24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71" w:type="dxa"/>
            <w:tcBorders>
              <w:top w:val="dotted" w:sz="4" w:space="0" w:color="000000"/>
              <w:left w:val="dotted" w:sz="4" w:space="0" w:color="000000"/>
              <w:bottom w:val="dotted" w:sz="4" w:space="0" w:color="000000"/>
              <w:right w:val="dotted" w:sz="4" w:space="0" w:color="000000"/>
            </w:tcBorders>
          </w:tcPr>
          <w:p>
            <w:pPr/>
          </w:p>
        </w:tc>
        <w:tc>
          <w:tcPr>
            <w:tcW w:w="1712"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4,159,875.83</w:t>
            </w:r>
          </w:p>
        </w:tc>
      </w:tr>
      <w:tr>
        <w:trPr>
          <w:trHeight w:val="413" w:hRule="exact"/>
        </w:trPr>
        <w:tc>
          <w:tcPr>
            <w:tcW w:w="24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596,295.38</w:t>
            </w:r>
          </w:p>
        </w:tc>
        <w:tc>
          <w:tcPr>
            <w:tcW w:w="17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6.9762</w:t>
            </w:r>
          </w:p>
        </w:tc>
        <w:tc>
          <w:tcPr>
            <w:tcW w:w="20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4,159,875.83</w:t>
            </w:r>
          </w:p>
        </w:tc>
      </w:tr>
    </w:tbl>
    <w:p>
      <w:pPr>
        <w:spacing w:line="240" w:lineRule="auto" w:before="2"/>
        <w:rPr>
          <w:rFonts w:ascii="Microsoft JhengHei" w:hAnsi="Microsoft JhengHei" w:cs="Microsoft JhengHei" w:eastAsia="Microsoft JhengHei" w:hint="default"/>
          <w:b/>
          <w:bCs/>
          <w:sz w:val="24"/>
          <w:szCs w:val="24"/>
        </w:rPr>
      </w:pPr>
    </w:p>
    <w:p>
      <w:pPr>
        <w:pStyle w:val="Heading4"/>
        <w:spacing w:line="335" w:lineRule="exact"/>
        <w:ind w:right="1786"/>
        <w:jc w:val="left"/>
        <w:rPr>
          <w:b w:val="0"/>
          <w:bCs w:val="0"/>
        </w:rPr>
      </w:pPr>
      <w:r>
        <w:rPr>
          <w:rFonts w:ascii="Times New Roman" w:hAnsi="Times New Roman" w:cs="Times New Roman" w:eastAsia="Times New Roman" w:hint="default"/>
        </w:rPr>
        <w:t>2</w:t>
      </w:r>
      <w:r>
        <w:rPr/>
        <w:t>． </w:t>
      </w:r>
      <w:r>
        <w:rPr>
          <w:spacing w:val="20"/>
        </w:rPr>
        <w:t> </w:t>
      </w:r>
      <w:r>
        <w:rPr/>
        <w:t>境外经营实体说明，包括对于重要的境外经营实体，应披露其境外主要经营地、</w:t>
      </w:r>
      <w:r>
        <w:rPr>
          <w:b w:val="0"/>
          <w:bCs w:val="0"/>
        </w:rPr>
      </w:r>
    </w:p>
    <w:p>
      <w:pPr>
        <w:pStyle w:val="Heading4"/>
        <w:spacing w:line="240" w:lineRule="auto" w:before="40"/>
        <w:ind w:left="138" w:right="1786"/>
        <w:jc w:val="left"/>
        <w:rPr>
          <w:b w:val="0"/>
          <w:bCs w:val="0"/>
        </w:rPr>
      </w:pPr>
      <w:r>
        <w:rPr/>
        <w:t>记账本位币及选择依据，记账本位币发生变化的还应披露原因</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135"/>
        <w:gridCol w:w="1697"/>
        <w:gridCol w:w="1697"/>
        <w:gridCol w:w="1798"/>
      </w:tblGrid>
      <w:tr>
        <w:trPr>
          <w:trHeight w:val="391"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034" w:right="0"/>
              <w:jc w:val="left"/>
              <w:rPr>
                <w:rFonts w:ascii="宋体" w:hAnsi="宋体" w:cs="宋体" w:eastAsia="宋体" w:hint="default"/>
                <w:sz w:val="18"/>
                <w:szCs w:val="18"/>
              </w:rPr>
            </w:pPr>
            <w:r>
              <w:rPr>
                <w:rFonts w:ascii="宋体" w:hAnsi="宋体" w:cs="宋体" w:eastAsia="宋体" w:hint="default"/>
                <w:sz w:val="18"/>
                <w:szCs w:val="18"/>
              </w:rPr>
              <w:t>境外经营实体</w:t>
            </w:r>
          </w:p>
        </w:tc>
        <w:tc>
          <w:tcPr>
            <w:tcW w:w="16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6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179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442"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国盛（香港）投资有限公司</w:t>
            </w:r>
          </w:p>
        </w:tc>
        <w:tc>
          <w:tcPr>
            <w:tcW w:w="16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6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7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公司主要结算货币</w:t>
            </w: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t>注释 </w:t>
      </w:r>
      <w:r>
        <w:rPr>
          <w:rFonts w:ascii="Times New Roman" w:hAnsi="Times New Roman" w:cs="Times New Roman" w:eastAsia="Times New Roman" w:hint="default"/>
        </w:rPr>
        <w:t>70. </w:t>
      </w:r>
      <w:r>
        <w:rPr>
          <w:rFonts w:ascii="Times New Roman" w:hAnsi="Times New Roman" w:cs="Times New Roman" w:eastAsia="Times New Roman" w:hint="default"/>
          <w:spacing w:val="6"/>
        </w:rPr>
        <w:t> </w:t>
      </w:r>
      <w:r>
        <w:rPr/>
        <w:t>政府补助</w:t>
      </w:r>
      <w:r>
        <w:rPr>
          <w:b w:val="0"/>
          <w:bCs w:val="0"/>
        </w:rPr>
      </w:r>
    </w:p>
    <w:p>
      <w:pPr>
        <w:pStyle w:val="Heading4"/>
        <w:spacing w:line="240" w:lineRule="auto" w:before="83"/>
        <w:ind w:right="1786"/>
        <w:jc w:val="left"/>
        <w:rPr>
          <w:b w:val="0"/>
          <w:bCs w:val="0"/>
        </w:rPr>
      </w:pPr>
      <w:r>
        <w:rPr>
          <w:rFonts w:ascii="Times New Roman" w:hAnsi="Times New Roman" w:cs="Times New Roman" w:eastAsia="Times New Roman" w:hint="default"/>
        </w:rPr>
        <w:t>1</w:t>
      </w:r>
      <w:r>
        <w:rPr/>
        <w:t>． </w:t>
      </w:r>
      <w:r>
        <w:rPr>
          <w:spacing w:val="6"/>
        </w:rPr>
        <w:t> </w:t>
      </w:r>
      <w:r>
        <w:rPr/>
        <w:t>政府补助基本情况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133"/>
        <w:gridCol w:w="1697"/>
        <w:gridCol w:w="1699"/>
        <w:gridCol w:w="1798"/>
      </w:tblGrid>
      <w:tr>
        <w:trPr>
          <w:trHeight w:val="650" w:hRule="exact"/>
        </w:trPr>
        <w:tc>
          <w:tcPr>
            <w:tcW w:w="31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031" w:right="0"/>
              <w:jc w:val="left"/>
              <w:rPr>
                <w:rFonts w:ascii="宋体" w:hAnsi="宋体" w:cs="宋体" w:eastAsia="宋体" w:hint="default"/>
                <w:sz w:val="18"/>
                <w:szCs w:val="18"/>
              </w:rPr>
            </w:pPr>
            <w:r>
              <w:rPr>
                <w:rFonts w:ascii="宋体" w:hAnsi="宋体" w:cs="宋体" w:eastAsia="宋体" w:hint="default"/>
                <w:sz w:val="18"/>
                <w:szCs w:val="18"/>
              </w:rPr>
              <w:t>政府补助种类</w:t>
            </w:r>
          </w:p>
        </w:tc>
        <w:tc>
          <w:tcPr>
            <w:tcW w:w="16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0"/>
              <w:ind w:left="3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本期发生额</w:t>
            </w:r>
          </w:p>
        </w:tc>
        <w:tc>
          <w:tcPr>
            <w:tcW w:w="1699" w:type="dxa"/>
            <w:tcBorders>
              <w:top w:val="single" w:sz="12" w:space="0" w:color="000000"/>
              <w:left w:val="dotted" w:sz="4" w:space="0" w:color="000000"/>
              <w:bottom w:val="dotted" w:sz="4" w:space="0" w:color="000000"/>
              <w:right w:val="dotted" w:sz="4" w:space="0" w:color="000000"/>
            </w:tcBorders>
          </w:tcPr>
          <w:p>
            <w:pPr>
              <w:pStyle w:val="TableParagraph"/>
              <w:spacing w:line="260" w:lineRule="exact" w:before="49"/>
              <w:ind w:left="743" w:right="46" w:hanging="701"/>
              <w:jc w:val="left"/>
              <w:rPr>
                <w:rFonts w:ascii="宋体" w:hAnsi="宋体" w:cs="宋体" w:eastAsia="宋体" w:hint="default"/>
                <w:sz w:val="20"/>
                <w:szCs w:val="20"/>
              </w:rPr>
            </w:pPr>
            <w:r>
              <w:rPr>
                <w:rFonts w:ascii="宋体" w:hAnsi="宋体" w:cs="宋体" w:eastAsia="宋体" w:hint="default"/>
                <w:sz w:val="20"/>
                <w:szCs w:val="20"/>
              </w:rPr>
              <w:t>计入当期损益的金</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79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32"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16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16,611,142.36</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5,023,836.16</w:t>
            </w:r>
          </w:p>
        </w:tc>
        <w:tc>
          <w:tcPr>
            <w:tcW w:w="17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详见附注五注释</w:t>
            </w:r>
            <w:r>
              <w:rPr>
                <w:rFonts w:ascii="宋体" w:hAnsi="宋体" w:cs="宋体" w:eastAsia="宋体" w:hint="default"/>
                <w:spacing w:val="-42"/>
                <w:sz w:val="18"/>
                <w:szCs w:val="18"/>
              </w:rPr>
              <w:t> </w:t>
            </w:r>
            <w:r>
              <w:rPr>
                <w:rFonts w:ascii="宋体" w:hAnsi="宋体" w:cs="宋体" w:eastAsia="宋体" w:hint="default"/>
                <w:sz w:val="18"/>
                <w:szCs w:val="18"/>
              </w:rPr>
              <w:t>43</w:t>
            </w:r>
          </w:p>
        </w:tc>
      </w:tr>
      <w:tr>
        <w:trPr>
          <w:trHeight w:val="432" w:hRule="exact"/>
        </w:trPr>
        <w:tc>
          <w:tcPr>
            <w:tcW w:w="3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16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14,130,174.69</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14,130,174.69</w:t>
            </w:r>
          </w:p>
        </w:tc>
        <w:tc>
          <w:tcPr>
            <w:tcW w:w="17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详见附注五注释</w:t>
            </w:r>
            <w:r>
              <w:rPr>
                <w:rFonts w:ascii="宋体" w:hAnsi="宋体" w:cs="宋体" w:eastAsia="宋体" w:hint="default"/>
                <w:spacing w:val="-42"/>
                <w:sz w:val="18"/>
                <w:szCs w:val="18"/>
              </w:rPr>
              <w:t> </w:t>
            </w:r>
            <w:r>
              <w:rPr>
                <w:rFonts w:ascii="宋体" w:hAnsi="宋体" w:cs="宋体" w:eastAsia="宋体" w:hint="default"/>
                <w:sz w:val="18"/>
                <w:szCs w:val="18"/>
              </w:rPr>
              <w:t>57</w:t>
            </w:r>
          </w:p>
        </w:tc>
      </w:tr>
      <w:tr>
        <w:trPr>
          <w:trHeight w:val="442" w:hRule="exact"/>
        </w:trPr>
        <w:tc>
          <w:tcPr>
            <w:tcW w:w="31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
              <w:ind w:left="16" w:right="0"/>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合计</w:t>
            </w:r>
          </w:p>
        </w:tc>
        <w:tc>
          <w:tcPr>
            <w:tcW w:w="16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30,741,317.05</w:t>
            </w: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19,154,010.85</w:t>
            </w:r>
          </w:p>
        </w:tc>
        <w:tc>
          <w:tcPr>
            <w:tcW w:w="179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left="138" w:right="1786"/>
        <w:jc w:val="left"/>
        <w:rPr>
          <w:b w:val="0"/>
          <w:bCs w:val="0"/>
        </w:rPr>
      </w:pPr>
      <w:r>
        <w:rPr/>
        <w:t>七、</w:t>
      </w:r>
      <w:r>
        <w:rPr>
          <w:spacing w:val="46"/>
        </w:rPr>
        <w:t> </w:t>
      </w:r>
      <w:r>
        <w:rPr/>
        <w:t>合并范围的变更</w:t>
      </w:r>
      <w:r>
        <w:rPr>
          <w:b w:val="0"/>
          <w:bCs w:val="0"/>
        </w:rPr>
      </w:r>
    </w:p>
    <w:p>
      <w:pPr>
        <w:spacing w:after="0" w:line="335" w:lineRule="exact"/>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5"/>
          <w:szCs w:val="15"/>
        </w:rPr>
      </w:pPr>
    </w:p>
    <w:p>
      <w:pPr>
        <w:pStyle w:val="Heading4"/>
        <w:spacing w:line="335" w:lineRule="exact"/>
        <w:ind w:left="558" w:right="1786"/>
        <w:jc w:val="left"/>
        <w:rPr>
          <w:b w:val="0"/>
          <w:bCs w:val="0"/>
        </w:rPr>
      </w:pPr>
      <w:r>
        <w:rPr/>
        <w:t>（一）</w:t>
      </w:r>
      <w:r>
        <w:rPr>
          <w:spacing w:val="46"/>
        </w:rPr>
        <w:t> </w:t>
      </w:r>
      <w:r>
        <w:rPr/>
        <w:t>非同一控制下企业合并</w:t>
      </w:r>
      <w:r>
        <w:rPr>
          <w:b w:val="0"/>
          <w:bCs w:val="0"/>
        </w:rPr>
      </w:r>
    </w:p>
    <w:p>
      <w:pPr>
        <w:pStyle w:val="Heading4"/>
        <w:spacing w:line="240" w:lineRule="auto" w:before="83"/>
        <w:ind w:right="1786"/>
        <w:jc w:val="left"/>
        <w:rPr>
          <w:b w:val="0"/>
          <w:bCs w:val="0"/>
        </w:rPr>
      </w:pPr>
      <w:r>
        <w:rPr>
          <w:rFonts w:ascii="Trebuchet MS" w:hAnsi="Trebuchet MS" w:cs="Trebuchet MS" w:eastAsia="Trebuchet MS" w:hint="default"/>
        </w:rPr>
        <w:t>1</w:t>
      </w:r>
      <w:r>
        <w:rPr/>
        <w:t>．</w:t>
      </w:r>
      <w:r>
        <w:rPr>
          <w:spacing w:val="43"/>
        </w:rPr>
        <w:t> </w:t>
      </w:r>
      <w:r>
        <w:rPr/>
        <w:t>本期发生的非同一控制下企业合并</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150"/>
        <w:gridCol w:w="992"/>
        <w:gridCol w:w="994"/>
        <w:gridCol w:w="708"/>
        <w:gridCol w:w="605"/>
        <w:gridCol w:w="956"/>
        <w:gridCol w:w="713"/>
        <w:gridCol w:w="987"/>
        <w:gridCol w:w="1224"/>
      </w:tblGrid>
      <w:tr>
        <w:trPr>
          <w:trHeight w:val="955" w:hRule="exact"/>
        </w:trPr>
        <w:tc>
          <w:tcPr>
            <w:tcW w:w="115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32" w:lineRule="exact"/>
              <w:ind w:left="489" w:right="113"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9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32" w:lineRule="exact"/>
              <w:ind w:left="309" w:right="130"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32" w:lineRule="exact"/>
              <w:ind w:left="309" w:right="132"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708" w:type="dxa"/>
            <w:tcBorders>
              <w:top w:val="single" w:sz="12" w:space="0" w:color="000000"/>
              <w:left w:val="dotted" w:sz="4" w:space="0" w:color="000000"/>
              <w:bottom w:val="dotted" w:sz="4" w:space="0" w:color="000000"/>
              <w:right w:val="dotted" w:sz="4" w:space="0" w:color="000000"/>
            </w:tcBorders>
          </w:tcPr>
          <w:p>
            <w:pPr>
              <w:pStyle w:val="TableParagraph"/>
              <w:spacing w:line="220" w:lineRule="exact"/>
              <w:ind w:left="165" w:right="0"/>
              <w:jc w:val="both"/>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52" w:lineRule="auto"/>
              <w:ind w:left="165" w:right="170"/>
              <w:jc w:val="both"/>
              <w:rPr>
                <w:rFonts w:ascii="Arial" w:hAnsi="Arial" w:cs="Arial" w:eastAsia="Arial" w:hint="default"/>
                <w:sz w:val="18"/>
                <w:szCs w:val="18"/>
              </w:rPr>
            </w:pPr>
            <w:r>
              <w:rPr>
                <w:rFonts w:ascii="宋体" w:hAnsi="宋体" w:cs="宋体" w:eastAsia="宋体" w:hint="default"/>
                <w:sz w:val="18"/>
                <w:szCs w:val="18"/>
              </w:rPr>
              <w:t>取得 比例 </w:t>
            </w:r>
            <w:r>
              <w:rPr>
                <w:rFonts w:ascii="Arial" w:hAnsi="Arial" w:cs="Arial" w:eastAsia="Arial" w:hint="default"/>
                <w:sz w:val="18"/>
                <w:szCs w:val="18"/>
              </w:rPr>
              <w:t>(%)</w:t>
            </w:r>
          </w:p>
        </w:tc>
        <w:tc>
          <w:tcPr>
            <w:tcW w:w="605"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89"/>
              <w:ind w:left="117" w:right="115"/>
              <w:jc w:val="both"/>
              <w:rPr>
                <w:rFonts w:ascii="宋体" w:hAnsi="宋体" w:cs="宋体" w:eastAsia="宋体" w:hint="default"/>
                <w:sz w:val="18"/>
                <w:szCs w:val="18"/>
              </w:rPr>
            </w:pPr>
            <w:r>
              <w:rPr>
                <w:rFonts w:ascii="宋体" w:hAnsi="宋体" w:cs="宋体" w:eastAsia="宋体" w:hint="default"/>
                <w:sz w:val="18"/>
                <w:szCs w:val="18"/>
              </w:rPr>
              <w:t>股权 取得 方式</w:t>
            </w:r>
          </w:p>
        </w:tc>
        <w:tc>
          <w:tcPr>
            <w:tcW w:w="9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713"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left="167" w:right="0"/>
              <w:jc w:val="both"/>
              <w:rPr>
                <w:rFonts w:ascii="宋体" w:hAnsi="宋体" w:cs="宋体" w:eastAsia="宋体" w:hint="default"/>
                <w:sz w:val="18"/>
                <w:szCs w:val="18"/>
              </w:rPr>
            </w:pPr>
            <w:r>
              <w:rPr>
                <w:rFonts w:ascii="宋体" w:hAnsi="宋体" w:cs="宋体" w:eastAsia="宋体" w:hint="default"/>
                <w:sz w:val="18"/>
                <w:szCs w:val="18"/>
              </w:rPr>
              <w:t>购买</w:t>
            </w:r>
          </w:p>
          <w:p>
            <w:pPr>
              <w:pStyle w:val="TableParagraph"/>
              <w:spacing w:line="237" w:lineRule="auto"/>
              <w:ind w:left="167" w:right="173"/>
              <w:jc w:val="both"/>
              <w:rPr>
                <w:rFonts w:ascii="宋体" w:hAnsi="宋体" w:cs="宋体" w:eastAsia="宋体" w:hint="default"/>
                <w:sz w:val="18"/>
                <w:szCs w:val="18"/>
              </w:rPr>
            </w:pPr>
            <w:r>
              <w:rPr>
                <w:rFonts w:ascii="宋体" w:hAnsi="宋体" w:cs="宋体" w:eastAsia="宋体" w:hint="default"/>
                <w:sz w:val="18"/>
                <w:szCs w:val="18"/>
              </w:rPr>
              <w:t>日的 确定 依据</w:t>
            </w:r>
          </w:p>
        </w:tc>
        <w:tc>
          <w:tcPr>
            <w:tcW w:w="987"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购买日至</w:t>
            </w:r>
          </w:p>
          <w:p>
            <w:pPr>
              <w:pStyle w:val="TableParagraph"/>
              <w:spacing w:line="237" w:lineRule="auto"/>
              <w:ind w:left="127" w:right="128"/>
              <w:jc w:val="center"/>
              <w:rPr>
                <w:rFonts w:ascii="宋体" w:hAnsi="宋体" w:cs="宋体" w:eastAsia="宋体" w:hint="default"/>
                <w:sz w:val="18"/>
                <w:szCs w:val="18"/>
              </w:rPr>
            </w:pPr>
            <w:r>
              <w:rPr>
                <w:rFonts w:ascii="宋体" w:hAnsi="宋体" w:cs="宋体" w:eastAsia="宋体" w:hint="default"/>
                <w:sz w:val="18"/>
                <w:szCs w:val="18"/>
              </w:rPr>
              <w:t>期末被购 买方的收 入</w:t>
            </w:r>
          </w:p>
        </w:tc>
        <w:tc>
          <w:tcPr>
            <w:tcW w:w="1224" w:type="dxa"/>
            <w:tcBorders>
              <w:top w:val="single" w:sz="12" w:space="0" w:color="000000"/>
              <w:left w:val="dotted" w:sz="4" w:space="0" w:color="000000"/>
              <w:bottom w:val="dotted" w:sz="4" w:space="0" w:color="000000"/>
              <w:right w:val="nil" w:sz="6" w:space="0" w:color="auto"/>
            </w:tcBorders>
          </w:tcPr>
          <w:p>
            <w:pPr>
              <w:pStyle w:val="TableParagraph"/>
              <w:spacing w:line="237" w:lineRule="auto" w:before="89"/>
              <w:ind w:left="156" w:right="161"/>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217" w:hRule="exact"/>
        </w:trPr>
        <w:tc>
          <w:tcPr>
            <w:tcW w:w="1150" w:type="dxa"/>
            <w:tcBorders>
              <w:top w:val="dotted" w:sz="4" w:space="0" w:color="000000"/>
              <w:left w:val="nil" w:sz="6" w:space="0" w:color="auto"/>
              <w:bottom w:val="nil" w:sz="6" w:space="0" w:color="auto"/>
              <w:right w:val="dotted"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上海多专科</w:t>
            </w:r>
          </w:p>
        </w:tc>
        <w:tc>
          <w:tcPr>
            <w:tcW w:w="992" w:type="dxa"/>
            <w:tcBorders>
              <w:top w:val="dotted" w:sz="4" w:space="0" w:color="000000"/>
              <w:left w:val="dotted" w:sz="4" w:space="0" w:color="000000"/>
              <w:bottom w:val="nil" w:sz="6" w:space="0" w:color="auto"/>
              <w:right w:val="dotted" w:sz="4" w:space="0" w:color="000000"/>
            </w:tcBorders>
          </w:tcPr>
          <w:p>
            <w:pPr>
              <w:pStyle w:val="TableParagraph"/>
              <w:spacing w:line="216" w:lineRule="exact"/>
              <w:ind w:right="2"/>
              <w:jc w:val="center"/>
              <w:rPr>
                <w:rFonts w:ascii="Arial" w:hAnsi="Arial" w:cs="Arial" w:eastAsia="Arial" w:hint="default"/>
                <w:sz w:val="18"/>
                <w:szCs w:val="18"/>
              </w:rPr>
            </w:pPr>
            <w:r>
              <w:rPr>
                <w:rFonts w:ascii="Arial" w:hAnsi="Arial" w:cs="Arial" w:eastAsia="Arial" w:hint="default"/>
                <w:w w:val="95"/>
                <w:sz w:val="18"/>
                <w:szCs w:val="18"/>
              </w:rPr>
              <w:t>2019</w:t>
            </w:r>
            <w:r>
              <w:rPr>
                <w:rFonts w:ascii="Arial" w:hAnsi="Arial" w:cs="Arial" w:eastAsia="Arial" w:hint="default"/>
                <w:spacing w:val="-33"/>
                <w:w w:val="95"/>
                <w:sz w:val="18"/>
                <w:szCs w:val="18"/>
              </w:rPr>
              <w:t> </w:t>
            </w:r>
            <w:r>
              <w:rPr>
                <w:rFonts w:ascii="宋体" w:hAnsi="宋体" w:cs="宋体" w:eastAsia="宋体" w:hint="default"/>
                <w:w w:val="95"/>
                <w:sz w:val="18"/>
                <w:szCs w:val="18"/>
              </w:rPr>
              <w:t>年</w:t>
            </w:r>
            <w:r>
              <w:rPr>
                <w:rFonts w:ascii="宋体" w:hAnsi="宋体" w:cs="宋体" w:eastAsia="宋体" w:hint="default"/>
                <w:spacing w:val="-71"/>
                <w:w w:val="95"/>
                <w:sz w:val="18"/>
                <w:szCs w:val="18"/>
              </w:rPr>
              <w:t> </w:t>
            </w:r>
            <w:r>
              <w:rPr>
                <w:rFonts w:ascii="Arial" w:hAnsi="Arial" w:cs="Arial" w:eastAsia="Arial" w:hint="default"/>
                <w:w w:val="95"/>
                <w:sz w:val="18"/>
                <w:szCs w:val="18"/>
              </w:rPr>
              <w:t>5</w:t>
            </w:r>
            <w:r>
              <w:rPr>
                <w:rFonts w:ascii="Arial" w:hAnsi="Arial" w:cs="Arial" w:eastAsia="Arial" w:hint="default"/>
                <w:sz w:val="18"/>
                <w:szCs w:val="18"/>
              </w:rPr>
            </w:r>
          </w:p>
        </w:tc>
        <w:tc>
          <w:tcPr>
            <w:tcW w:w="994" w:type="dxa"/>
            <w:tcBorders>
              <w:top w:val="dotted" w:sz="4" w:space="0" w:color="000000"/>
              <w:left w:val="dotted" w:sz="4" w:space="0" w:color="000000"/>
              <w:bottom w:val="nil" w:sz="6" w:space="0" w:color="auto"/>
              <w:right w:val="dotted" w:sz="4" w:space="0" w:color="000000"/>
            </w:tcBorders>
          </w:tcPr>
          <w:p>
            <w:pPr/>
          </w:p>
        </w:tc>
        <w:tc>
          <w:tcPr>
            <w:tcW w:w="708" w:type="dxa"/>
            <w:tcBorders>
              <w:top w:val="dotted" w:sz="4" w:space="0" w:color="000000"/>
              <w:left w:val="dotted" w:sz="4" w:space="0" w:color="000000"/>
              <w:bottom w:val="nil" w:sz="6" w:space="0" w:color="auto"/>
              <w:right w:val="dotted" w:sz="4" w:space="0" w:color="000000"/>
            </w:tcBorders>
          </w:tcPr>
          <w:p>
            <w:pPr/>
          </w:p>
        </w:tc>
        <w:tc>
          <w:tcPr>
            <w:tcW w:w="605" w:type="dxa"/>
            <w:tcBorders>
              <w:top w:val="dotted" w:sz="4" w:space="0" w:color="000000"/>
              <w:left w:val="dotted" w:sz="4" w:space="0" w:color="000000"/>
              <w:bottom w:val="nil" w:sz="6" w:space="0" w:color="auto"/>
              <w:right w:val="dotted"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956" w:type="dxa"/>
            <w:tcBorders>
              <w:top w:val="dotted" w:sz="4" w:space="0" w:color="000000"/>
              <w:left w:val="dotted" w:sz="4" w:space="0" w:color="000000"/>
              <w:bottom w:val="nil" w:sz="6" w:space="0" w:color="auto"/>
              <w:right w:val="dotted" w:sz="4" w:space="0" w:color="000000"/>
            </w:tcBorders>
          </w:tcPr>
          <w:p>
            <w:pPr>
              <w:pStyle w:val="TableParagraph"/>
              <w:spacing w:line="216" w:lineRule="exact"/>
              <w:ind w:right="4"/>
              <w:jc w:val="center"/>
              <w:rPr>
                <w:rFonts w:ascii="Arial" w:hAnsi="Arial" w:cs="Arial" w:eastAsia="Arial" w:hint="default"/>
                <w:sz w:val="18"/>
                <w:szCs w:val="18"/>
              </w:rPr>
            </w:pPr>
            <w:r>
              <w:rPr>
                <w:rFonts w:ascii="Arial" w:hAnsi="Arial" w:cs="Arial" w:eastAsia="Arial" w:hint="default"/>
                <w:w w:val="95"/>
                <w:sz w:val="18"/>
                <w:szCs w:val="18"/>
              </w:rPr>
              <w:t>2019</w:t>
            </w:r>
            <w:r>
              <w:rPr>
                <w:rFonts w:ascii="Arial" w:hAnsi="Arial" w:cs="Arial" w:eastAsia="Arial" w:hint="default"/>
                <w:spacing w:val="-33"/>
                <w:w w:val="95"/>
                <w:sz w:val="18"/>
                <w:szCs w:val="18"/>
              </w:rPr>
              <w:t> </w:t>
            </w:r>
            <w:r>
              <w:rPr>
                <w:rFonts w:ascii="宋体" w:hAnsi="宋体" w:cs="宋体" w:eastAsia="宋体" w:hint="default"/>
                <w:w w:val="95"/>
                <w:sz w:val="18"/>
                <w:szCs w:val="18"/>
              </w:rPr>
              <w:t>年</w:t>
            </w:r>
            <w:r>
              <w:rPr>
                <w:rFonts w:ascii="宋体" w:hAnsi="宋体" w:cs="宋体" w:eastAsia="宋体" w:hint="default"/>
                <w:spacing w:val="-71"/>
                <w:w w:val="95"/>
                <w:sz w:val="18"/>
                <w:szCs w:val="18"/>
              </w:rPr>
              <w:t> </w:t>
            </w:r>
            <w:r>
              <w:rPr>
                <w:rFonts w:ascii="Arial" w:hAnsi="Arial" w:cs="Arial" w:eastAsia="Arial" w:hint="default"/>
                <w:w w:val="95"/>
                <w:sz w:val="18"/>
                <w:szCs w:val="18"/>
              </w:rPr>
              <w:t>5</w:t>
            </w:r>
            <w:r>
              <w:rPr>
                <w:rFonts w:ascii="Arial" w:hAnsi="Arial" w:cs="Arial" w:eastAsia="Arial" w:hint="default"/>
                <w:sz w:val="18"/>
                <w:szCs w:val="18"/>
              </w:rPr>
            </w:r>
          </w:p>
        </w:tc>
        <w:tc>
          <w:tcPr>
            <w:tcW w:w="713" w:type="dxa"/>
            <w:tcBorders>
              <w:top w:val="dotted" w:sz="4" w:space="0" w:color="000000"/>
              <w:left w:val="dotted" w:sz="4" w:space="0" w:color="000000"/>
              <w:bottom w:val="nil" w:sz="6" w:space="0" w:color="auto"/>
              <w:right w:val="dotted"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987" w:type="dxa"/>
            <w:tcBorders>
              <w:top w:val="dotted" w:sz="4" w:space="0" w:color="000000"/>
              <w:left w:val="dotted" w:sz="4" w:space="0" w:color="000000"/>
              <w:bottom w:val="nil" w:sz="6" w:space="0" w:color="auto"/>
              <w:right w:val="dotted" w:sz="4" w:space="0" w:color="000000"/>
            </w:tcBorders>
          </w:tcPr>
          <w:p>
            <w:pPr/>
          </w:p>
        </w:tc>
        <w:tc>
          <w:tcPr>
            <w:tcW w:w="1224" w:type="dxa"/>
            <w:tcBorders>
              <w:top w:val="dotted" w:sz="4" w:space="0" w:color="000000"/>
              <w:left w:val="dotted" w:sz="4" w:space="0" w:color="000000"/>
              <w:bottom w:val="nil" w:sz="6" w:space="0" w:color="auto"/>
              <w:right w:val="nil" w:sz="6" w:space="0" w:color="auto"/>
            </w:tcBorders>
          </w:tcPr>
          <w:p>
            <w:pPr/>
          </w:p>
        </w:tc>
      </w:tr>
      <w:tr>
        <w:trPr>
          <w:trHeight w:val="503" w:hRule="exact"/>
        </w:trPr>
        <w:tc>
          <w:tcPr>
            <w:tcW w:w="1150" w:type="dxa"/>
            <w:tcBorders>
              <w:top w:val="nil" w:sz="6" w:space="0" w:color="auto"/>
              <w:left w:val="nil" w:sz="6" w:space="0" w:color="auto"/>
              <w:bottom w:val="single" w:sz="12" w:space="0" w:color="000000"/>
              <w:right w:val="dotted"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992"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w:hAnsi="Arial" w:cs="Arial" w:eastAsia="Arial" w:hint="default"/>
                <w:sz w:val="18"/>
                <w:szCs w:val="18"/>
              </w:rPr>
              <w:t>16</w:t>
            </w:r>
            <w:r>
              <w:rPr>
                <w:rFonts w:ascii="Arial" w:hAnsi="Arial" w:cs="Arial" w:eastAsia="Arial" w:hint="default"/>
                <w:spacing w:val="-24"/>
                <w:sz w:val="18"/>
                <w:szCs w:val="18"/>
              </w:rPr>
              <w:t> </w:t>
            </w:r>
            <w:r>
              <w:rPr>
                <w:rFonts w:ascii="宋体" w:hAnsi="宋体" w:cs="宋体" w:eastAsia="宋体" w:hint="default"/>
                <w:sz w:val="18"/>
                <w:szCs w:val="18"/>
              </w:rPr>
              <w:t>日</w:t>
            </w:r>
          </w:p>
        </w:tc>
        <w:tc>
          <w:tcPr>
            <w:tcW w:w="994" w:type="dxa"/>
            <w:tcBorders>
              <w:top w:val="nil" w:sz="6" w:space="0" w:color="auto"/>
              <w:left w:val="dotted" w:sz="4" w:space="0" w:color="000000"/>
              <w:bottom w:val="single" w:sz="12" w:space="0" w:color="000000"/>
              <w:right w:val="dotted" w:sz="4" w:space="0" w:color="000000"/>
            </w:tcBorders>
          </w:tcPr>
          <w:p>
            <w:pPr>
              <w:pStyle w:val="TableParagraph"/>
              <w:spacing w:line="185" w:lineRule="exact"/>
              <w:ind w:left="158" w:right="0"/>
              <w:jc w:val="left"/>
              <w:rPr>
                <w:rFonts w:ascii="Times New Roman" w:hAnsi="Times New Roman" w:cs="Times New Roman" w:eastAsia="Times New Roman" w:hint="default"/>
                <w:sz w:val="18"/>
                <w:szCs w:val="18"/>
              </w:rPr>
            </w:pPr>
            <w:r>
              <w:rPr>
                <w:rFonts w:ascii="Times New Roman"/>
                <w:sz w:val="18"/>
              </w:rPr>
              <w:t>20,000.00</w:t>
            </w:r>
          </w:p>
        </w:tc>
        <w:tc>
          <w:tcPr>
            <w:tcW w:w="708" w:type="dxa"/>
            <w:tcBorders>
              <w:top w:val="nil" w:sz="6" w:space="0" w:color="auto"/>
              <w:left w:val="dotted" w:sz="4" w:space="0" w:color="000000"/>
              <w:bottom w:val="single" w:sz="12" w:space="0" w:color="000000"/>
              <w:right w:val="dotted" w:sz="4" w:space="0" w:color="000000"/>
            </w:tcBorders>
          </w:tcPr>
          <w:p>
            <w:pPr>
              <w:pStyle w:val="TableParagraph"/>
              <w:spacing w:line="185" w:lineRule="exact"/>
              <w:ind w:left="211" w:right="0"/>
              <w:jc w:val="left"/>
              <w:rPr>
                <w:rFonts w:ascii="Times New Roman" w:hAnsi="Times New Roman" w:cs="Times New Roman" w:eastAsia="Times New Roman" w:hint="default"/>
                <w:sz w:val="18"/>
                <w:szCs w:val="18"/>
              </w:rPr>
            </w:pPr>
            <w:r>
              <w:rPr>
                <w:rFonts w:ascii="Times New Roman"/>
                <w:sz w:val="18"/>
              </w:rPr>
              <w:t>100</w:t>
            </w:r>
          </w:p>
        </w:tc>
        <w:tc>
          <w:tcPr>
            <w:tcW w:w="605"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956"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w:hAnsi="Arial" w:cs="Arial" w:eastAsia="Arial" w:hint="default"/>
                <w:sz w:val="18"/>
                <w:szCs w:val="18"/>
              </w:rPr>
              <w:t>16</w:t>
            </w:r>
            <w:r>
              <w:rPr>
                <w:rFonts w:ascii="Arial" w:hAnsi="Arial" w:cs="Arial" w:eastAsia="Arial" w:hint="default"/>
                <w:spacing w:val="-24"/>
                <w:sz w:val="18"/>
                <w:szCs w:val="18"/>
              </w:rPr>
              <w:t> </w:t>
            </w:r>
            <w:r>
              <w:rPr>
                <w:rFonts w:ascii="宋体" w:hAnsi="宋体" w:cs="宋体" w:eastAsia="宋体" w:hint="default"/>
                <w:sz w:val="18"/>
                <w:szCs w:val="18"/>
              </w:rPr>
              <w:t>日</w:t>
            </w:r>
          </w:p>
        </w:tc>
        <w:tc>
          <w:tcPr>
            <w:tcW w:w="713" w:type="dxa"/>
            <w:tcBorders>
              <w:top w:val="nil" w:sz="6" w:space="0" w:color="auto"/>
              <w:left w:val="dotted" w:sz="4" w:space="0" w:color="000000"/>
              <w:bottom w:val="single" w:sz="12" w:space="0" w:color="000000"/>
              <w:right w:val="dotted" w:sz="4" w:space="0" w:color="000000"/>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987" w:type="dxa"/>
            <w:tcBorders>
              <w:top w:val="nil" w:sz="6" w:space="0" w:color="auto"/>
              <w:left w:val="dotted" w:sz="4" w:space="0" w:color="000000"/>
              <w:bottom w:val="single" w:sz="12" w:space="0" w:color="000000"/>
              <w:right w:val="dotted" w:sz="4" w:space="0" w:color="000000"/>
            </w:tcBorders>
          </w:tcPr>
          <w:p>
            <w:pPr>
              <w:pStyle w:val="TableParagraph"/>
              <w:spacing w:line="185" w:lineRule="exact"/>
              <w:ind w:left="151" w:right="0"/>
              <w:jc w:val="left"/>
              <w:rPr>
                <w:rFonts w:ascii="Times New Roman" w:hAnsi="Times New Roman" w:cs="Times New Roman" w:eastAsia="Times New Roman" w:hint="default"/>
                <w:sz w:val="18"/>
                <w:szCs w:val="18"/>
              </w:rPr>
            </w:pPr>
            <w:r>
              <w:rPr>
                <w:rFonts w:ascii="Times New Roman"/>
                <w:sz w:val="18"/>
              </w:rPr>
              <w:t>26,985.72</w:t>
            </w:r>
          </w:p>
        </w:tc>
        <w:tc>
          <w:tcPr>
            <w:tcW w:w="1224" w:type="dxa"/>
            <w:tcBorders>
              <w:top w:val="nil" w:sz="6" w:space="0" w:color="auto"/>
              <w:left w:val="dotted" w:sz="4" w:space="0" w:color="000000"/>
              <w:bottom w:val="single" w:sz="12" w:space="0" w:color="000000"/>
              <w:right w:val="nil" w:sz="6" w:space="0" w:color="auto"/>
            </w:tcBorders>
          </w:tcPr>
          <w:p>
            <w:pPr>
              <w:pStyle w:val="TableParagraph"/>
              <w:spacing w:line="185" w:lineRule="exact"/>
              <w:ind w:left="105" w:right="0"/>
              <w:jc w:val="left"/>
              <w:rPr>
                <w:rFonts w:ascii="Times New Roman" w:hAnsi="Times New Roman" w:cs="Times New Roman" w:eastAsia="Times New Roman" w:hint="default"/>
                <w:sz w:val="18"/>
                <w:szCs w:val="18"/>
              </w:rPr>
            </w:pPr>
            <w:r>
              <w:rPr>
                <w:rFonts w:ascii="Times New Roman"/>
                <w:sz w:val="18"/>
              </w:rPr>
              <w:t>-3,287,881.39</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rebuchet MS" w:hAnsi="Trebuchet MS" w:cs="Trebuchet MS" w:eastAsia="Trebuchet MS" w:hint="default"/>
        </w:rPr>
        <w:t>2</w:t>
      </w:r>
      <w:r>
        <w:rPr/>
        <w:t>．</w:t>
      </w:r>
      <w:r>
        <w:rPr>
          <w:spacing w:val="39"/>
        </w:rPr>
        <w:t> </w:t>
      </w:r>
      <w:r>
        <w:rPr/>
        <w:t>合并成本及商誉</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797"/>
        <w:gridCol w:w="4530"/>
      </w:tblGrid>
      <w:tr>
        <w:trPr>
          <w:trHeight w:val="360" w:hRule="exact"/>
        </w:trPr>
        <w:tc>
          <w:tcPr>
            <w:tcW w:w="379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5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358" w:right="0"/>
              <w:jc w:val="left"/>
              <w:rPr>
                <w:rFonts w:ascii="宋体" w:hAnsi="宋体" w:cs="宋体" w:eastAsia="宋体" w:hint="default"/>
                <w:sz w:val="18"/>
                <w:szCs w:val="18"/>
              </w:rPr>
            </w:pPr>
            <w:r>
              <w:rPr>
                <w:rFonts w:ascii="宋体" w:hAnsi="宋体" w:cs="宋体" w:eastAsia="宋体" w:hint="default"/>
                <w:sz w:val="18"/>
                <w:szCs w:val="18"/>
              </w:rPr>
              <w:t>上海多专科技有限公司</w:t>
            </w:r>
          </w:p>
        </w:tc>
      </w:tr>
      <w:tr>
        <w:trPr>
          <w:trHeight w:val="350" w:hRule="exact"/>
        </w:trPr>
        <w:tc>
          <w:tcPr>
            <w:tcW w:w="37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50" w:hRule="exact"/>
        </w:trPr>
        <w:tc>
          <w:tcPr>
            <w:tcW w:w="37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合并成本合计</w:t>
            </w:r>
          </w:p>
        </w:tc>
        <w:tc>
          <w:tcPr>
            <w:tcW w:w="4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48" w:hRule="exact"/>
        </w:trPr>
        <w:tc>
          <w:tcPr>
            <w:tcW w:w="37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5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569" w:hRule="exact"/>
        </w:trPr>
        <w:tc>
          <w:tcPr>
            <w:tcW w:w="3797" w:type="dxa"/>
            <w:tcBorders>
              <w:top w:val="dotted" w:sz="4" w:space="0" w:color="000000"/>
              <w:left w:val="nil" w:sz="6" w:space="0" w:color="auto"/>
              <w:bottom w:val="single" w:sz="12" w:space="0" w:color="000000"/>
              <w:right w:val="dotted" w:sz="4" w:space="0" w:color="000000"/>
            </w:tcBorders>
          </w:tcPr>
          <w:p>
            <w:pPr>
              <w:pStyle w:val="TableParagraph"/>
              <w:spacing w:line="230" w:lineRule="exact" w:before="36"/>
              <w:ind w:left="122" w:right="106"/>
              <w:jc w:val="left"/>
              <w:rPr>
                <w:rFonts w:ascii="宋体" w:hAnsi="宋体" w:cs="宋体" w:eastAsia="宋体" w:hint="default"/>
                <w:sz w:val="18"/>
                <w:szCs w:val="18"/>
              </w:rPr>
            </w:pPr>
            <w:r>
              <w:rPr>
                <w:rFonts w:ascii="宋体" w:hAnsi="宋体" w:cs="宋体" w:eastAsia="宋体" w:hint="default"/>
                <w:spacing w:val="4"/>
                <w:sz w:val="18"/>
                <w:szCs w:val="18"/>
              </w:rPr>
              <w:t>商誉</w:t>
            </w:r>
            <w:r>
              <w:rPr>
                <w:rFonts w:ascii="Arial" w:hAnsi="Arial" w:cs="Arial" w:eastAsia="Arial" w:hint="default"/>
                <w:spacing w:val="4"/>
                <w:sz w:val="18"/>
                <w:szCs w:val="18"/>
              </w:rPr>
              <w:t>/</w:t>
            </w:r>
            <w:r>
              <w:rPr>
                <w:rFonts w:ascii="宋体" w:hAnsi="宋体" w:cs="宋体" w:eastAsia="宋体" w:hint="default"/>
                <w:spacing w:val="4"/>
                <w:sz w:val="18"/>
                <w:szCs w:val="18"/>
              </w:rPr>
              <w:t>合并成本小于取得的可辨认净资产公允</w:t>
            </w:r>
            <w:r>
              <w:rPr>
                <w:rFonts w:ascii="宋体" w:hAnsi="宋体" w:cs="宋体" w:eastAsia="宋体" w:hint="default"/>
                <w:sz w:val="18"/>
                <w:szCs w:val="18"/>
              </w:rPr>
              <w:t> 价值份额的金额</w:t>
            </w:r>
          </w:p>
        </w:tc>
        <w:tc>
          <w:tcPr>
            <w:tcW w:w="45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20,300.00</w:t>
            </w:r>
          </w:p>
        </w:tc>
      </w:tr>
    </w:tbl>
    <w:p>
      <w:pPr>
        <w:spacing w:line="240" w:lineRule="auto" w:before="15"/>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rebuchet MS" w:hAnsi="Trebuchet MS" w:cs="Trebuchet MS" w:eastAsia="Trebuchet MS" w:hint="default"/>
        </w:rPr>
        <w:t>3</w:t>
      </w:r>
      <w:r>
        <w:rPr/>
        <w:t>．</w:t>
      </w:r>
      <w:r>
        <w:rPr>
          <w:spacing w:val="44"/>
        </w:rPr>
        <w:t> </w:t>
      </w:r>
      <w:r>
        <w:rPr/>
        <w:t>被购买方于购买日可辨认资产、负债</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080"/>
        <w:gridCol w:w="2492"/>
        <w:gridCol w:w="2756"/>
      </w:tblGrid>
      <w:tr>
        <w:trPr>
          <w:trHeight w:val="362" w:hRule="exact"/>
        </w:trPr>
        <w:tc>
          <w:tcPr>
            <w:tcW w:w="3080"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24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716" w:right="0"/>
              <w:jc w:val="left"/>
              <w:rPr>
                <w:rFonts w:ascii="宋体" w:hAnsi="宋体" w:cs="宋体" w:eastAsia="宋体" w:hint="default"/>
                <w:sz w:val="18"/>
                <w:szCs w:val="18"/>
              </w:rPr>
            </w:pPr>
            <w:r>
              <w:rPr>
                <w:rFonts w:ascii="宋体" w:hAnsi="宋体" w:cs="宋体" w:eastAsia="宋体" w:hint="default"/>
                <w:sz w:val="18"/>
                <w:szCs w:val="18"/>
              </w:rPr>
              <w:t>上海多专科技有限公司</w:t>
            </w:r>
          </w:p>
        </w:tc>
      </w:tr>
      <w:tr>
        <w:trPr>
          <w:trHeight w:val="348" w:hRule="exact"/>
        </w:trPr>
        <w:tc>
          <w:tcPr>
            <w:tcW w:w="3080" w:type="dxa"/>
            <w:vMerge/>
            <w:tcBorders>
              <w:left w:val="nil" w:sz="6" w:space="0" w:color="auto"/>
              <w:bottom w:val="dotted" w:sz="4" w:space="0" w:color="000000"/>
              <w:right w:val="dotted" w:sz="4" w:space="0" w:color="000000"/>
            </w:tcBorders>
          </w:tcPr>
          <w:p>
            <w:pPr/>
          </w:p>
        </w:tc>
        <w:tc>
          <w:tcPr>
            <w:tcW w:w="24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60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7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74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0" w:hRule="exact"/>
        </w:trPr>
        <w:tc>
          <w:tcPr>
            <w:tcW w:w="3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4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2"/>
                <w:sz w:val="18"/>
              </w:rPr>
              <w:t>100.11</w:t>
            </w:r>
          </w:p>
        </w:tc>
        <w:tc>
          <w:tcPr>
            <w:tcW w:w="27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2"/>
                <w:sz w:val="18"/>
              </w:rPr>
              <w:t>100.11</w:t>
            </w:r>
          </w:p>
        </w:tc>
      </w:tr>
      <w:tr>
        <w:trPr>
          <w:trHeight w:val="350" w:hRule="exact"/>
        </w:trPr>
        <w:tc>
          <w:tcPr>
            <w:tcW w:w="3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27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50" w:hRule="exact"/>
        </w:trPr>
        <w:tc>
          <w:tcPr>
            <w:tcW w:w="3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减：其他应付款</w:t>
            </w:r>
          </w:p>
        </w:tc>
        <w:tc>
          <w:tcPr>
            <w:tcW w:w="24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300,400.11</w:t>
            </w:r>
          </w:p>
        </w:tc>
        <w:tc>
          <w:tcPr>
            <w:tcW w:w="27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300,400.11</w:t>
            </w:r>
          </w:p>
        </w:tc>
      </w:tr>
      <w:tr>
        <w:trPr>
          <w:trHeight w:val="350" w:hRule="exact"/>
        </w:trPr>
        <w:tc>
          <w:tcPr>
            <w:tcW w:w="3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4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-300.00</w:t>
            </w:r>
          </w:p>
        </w:tc>
        <w:tc>
          <w:tcPr>
            <w:tcW w:w="27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350" w:hRule="exact"/>
        </w:trPr>
        <w:tc>
          <w:tcPr>
            <w:tcW w:w="30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492" w:type="dxa"/>
            <w:tcBorders>
              <w:top w:val="dotted" w:sz="4" w:space="0" w:color="000000"/>
              <w:left w:val="dotted" w:sz="4" w:space="0" w:color="000000"/>
              <w:bottom w:val="dotted" w:sz="4" w:space="0" w:color="000000"/>
              <w:right w:val="dotted" w:sz="4" w:space="0" w:color="000000"/>
            </w:tcBorders>
          </w:tcPr>
          <w:p>
            <w:pPr/>
          </w:p>
        </w:tc>
        <w:tc>
          <w:tcPr>
            <w:tcW w:w="2756" w:type="dxa"/>
            <w:tcBorders>
              <w:top w:val="dotted" w:sz="4" w:space="0" w:color="000000"/>
              <w:left w:val="dotted" w:sz="4" w:space="0" w:color="000000"/>
              <w:bottom w:val="dotted" w:sz="4" w:space="0" w:color="000000"/>
              <w:right w:val="nil" w:sz="6" w:space="0" w:color="auto"/>
            </w:tcBorders>
          </w:tcPr>
          <w:p>
            <w:pPr/>
          </w:p>
        </w:tc>
      </w:tr>
      <w:tr>
        <w:trPr>
          <w:trHeight w:val="361" w:hRule="exact"/>
        </w:trPr>
        <w:tc>
          <w:tcPr>
            <w:tcW w:w="30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4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-300.00</w:t>
            </w:r>
          </w:p>
        </w:tc>
        <w:tc>
          <w:tcPr>
            <w:tcW w:w="27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-300.00</w:t>
            </w: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left="138" w:right="1786"/>
        <w:jc w:val="left"/>
        <w:rPr>
          <w:b w:val="0"/>
          <w:bCs w:val="0"/>
        </w:rPr>
      </w:pPr>
      <w:r>
        <w:rPr/>
        <w:t>八、</w:t>
      </w:r>
      <w:r>
        <w:rPr>
          <w:spacing w:val="48"/>
        </w:rPr>
        <w:t> </w:t>
      </w:r>
      <w:r>
        <w:rPr/>
        <w:t>在其他主体中的权益</w:t>
      </w:r>
      <w:r>
        <w:rPr>
          <w:b w:val="0"/>
          <w:bCs w:val="0"/>
        </w:rPr>
      </w:r>
    </w:p>
    <w:p>
      <w:pPr>
        <w:pStyle w:val="Heading4"/>
        <w:spacing w:line="240" w:lineRule="auto" w:before="83"/>
        <w:ind w:right="1786"/>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在子公司中的权益</w:t>
      </w:r>
      <w:r>
        <w:rPr>
          <w:b w:val="0"/>
          <w:bCs w:val="0"/>
        </w:rPr>
      </w:r>
    </w:p>
    <w:p>
      <w:pPr>
        <w:pStyle w:val="Heading4"/>
        <w:spacing w:line="240" w:lineRule="auto" w:before="83"/>
        <w:ind w:right="1786"/>
        <w:jc w:val="left"/>
        <w:rPr>
          <w:b w:val="0"/>
          <w:bCs w:val="0"/>
        </w:rPr>
      </w:pPr>
      <w:r>
        <w:rPr>
          <w:rFonts w:ascii="Times New Roman" w:hAnsi="Times New Roman" w:cs="Times New Roman" w:eastAsia="Times New Roman" w:hint="default"/>
        </w:rPr>
        <w:t>1</w:t>
      </w:r>
      <w:r>
        <w:rPr/>
        <w:t>． </w:t>
      </w:r>
      <w:r>
        <w:rPr>
          <w:spacing w:val="5"/>
        </w:rPr>
        <w:t> </w:t>
      </w:r>
      <w:r>
        <w:rPr/>
        <w:t>企业集团的构成</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978"/>
        <w:gridCol w:w="831"/>
        <w:gridCol w:w="1073"/>
        <w:gridCol w:w="1522"/>
        <w:gridCol w:w="797"/>
        <w:gridCol w:w="761"/>
        <w:gridCol w:w="1366"/>
      </w:tblGrid>
      <w:tr>
        <w:trPr>
          <w:trHeight w:val="360" w:hRule="exact"/>
        </w:trPr>
        <w:tc>
          <w:tcPr>
            <w:tcW w:w="1978"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31" w:type="dxa"/>
            <w:vMerge w:val="restart"/>
            <w:tcBorders>
              <w:top w:val="single" w:sz="12" w:space="0" w:color="000000"/>
              <w:left w:val="dotted" w:sz="4" w:space="0" w:color="000000"/>
              <w:right w:val="dotted" w:sz="4" w:space="0" w:color="000000"/>
            </w:tcBorders>
          </w:tcPr>
          <w:p>
            <w:pPr>
              <w:pStyle w:val="TableParagraph"/>
              <w:spacing w:line="232" w:lineRule="exact" w:before="107"/>
              <w:ind w:left="230" w:right="139"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1073"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22" w:type="dxa"/>
            <w:vMerge w:val="restart"/>
            <w:tcBorders>
              <w:top w:val="single" w:sz="12" w:space="0" w:color="000000"/>
              <w:left w:val="dotted" w:sz="4" w:space="0" w:color="000000"/>
              <w:right w:val="dotted" w:sz="4" w:space="0" w:color="000000"/>
            </w:tcBorders>
          </w:tcPr>
          <w:p>
            <w:pPr>
              <w:pStyle w:val="TableParagraph"/>
              <w:spacing w:line="232" w:lineRule="exact" w:before="107"/>
              <w:ind w:left="573" w:right="576"/>
              <w:jc w:val="center"/>
              <w:rPr>
                <w:rFonts w:ascii="宋体" w:hAnsi="宋体" w:cs="宋体" w:eastAsia="宋体" w:hint="default"/>
                <w:sz w:val="18"/>
                <w:szCs w:val="18"/>
              </w:rPr>
            </w:pPr>
            <w:r>
              <w:rPr>
                <w:rFonts w:ascii="宋体" w:hAnsi="宋体" w:cs="宋体" w:eastAsia="宋体" w:hint="default"/>
                <w:sz w:val="18"/>
                <w:szCs w:val="18"/>
              </w:rPr>
              <w:t>业务 性质</w:t>
            </w:r>
          </w:p>
        </w:tc>
        <w:tc>
          <w:tcPr>
            <w:tcW w:w="155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366"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50" w:hRule="exact"/>
        </w:trPr>
        <w:tc>
          <w:tcPr>
            <w:tcW w:w="1978" w:type="dxa"/>
            <w:vMerge/>
            <w:tcBorders>
              <w:left w:val="nil" w:sz="6" w:space="0" w:color="auto"/>
              <w:bottom w:val="dotted" w:sz="4" w:space="0" w:color="000000"/>
              <w:right w:val="dotted" w:sz="4" w:space="0" w:color="000000"/>
            </w:tcBorders>
          </w:tcPr>
          <w:p>
            <w:pPr/>
          </w:p>
        </w:tc>
        <w:tc>
          <w:tcPr>
            <w:tcW w:w="831" w:type="dxa"/>
            <w:vMerge/>
            <w:tcBorders>
              <w:left w:val="dotted" w:sz="4" w:space="0" w:color="000000"/>
              <w:bottom w:val="dotted" w:sz="4" w:space="0" w:color="000000"/>
              <w:right w:val="dotted" w:sz="4" w:space="0" w:color="000000"/>
            </w:tcBorders>
          </w:tcPr>
          <w:p>
            <w:pPr/>
          </w:p>
        </w:tc>
        <w:tc>
          <w:tcPr>
            <w:tcW w:w="1073" w:type="dxa"/>
            <w:vMerge/>
            <w:tcBorders>
              <w:left w:val="dotted" w:sz="4" w:space="0" w:color="000000"/>
              <w:bottom w:val="dotted" w:sz="4" w:space="0" w:color="000000"/>
              <w:right w:val="dotted" w:sz="4" w:space="0" w:color="000000"/>
            </w:tcBorders>
          </w:tcPr>
          <w:p>
            <w:pPr/>
          </w:p>
        </w:tc>
        <w:tc>
          <w:tcPr>
            <w:tcW w:w="1522" w:type="dxa"/>
            <w:vMerge/>
            <w:tcBorders>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215"/>
              <w:jc w:val="right"/>
              <w:rPr>
                <w:rFonts w:ascii="宋体" w:hAnsi="宋体" w:cs="宋体" w:eastAsia="宋体" w:hint="default"/>
                <w:sz w:val="18"/>
                <w:szCs w:val="18"/>
              </w:rPr>
            </w:pPr>
            <w:r>
              <w:rPr>
                <w:rFonts w:ascii="宋体" w:hAnsi="宋体" w:cs="宋体" w:eastAsia="宋体" w:hint="default"/>
                <w:sz w:val="18"/>
                <w:szCs w:val="18"/>
              </w:rPr>
              <w:t>直接</w:t>
            </w: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dotted" w:sz="4" w:space="0" w:color="000000"/>
              <w:bottom w:val="dotted" w:sz="4" w:space="0" w:color="000000"/>
              <w:right w:val="nil" w:sz="6" w:space="0" w:color="auto"/>
            </w:tcBorders>
          </w:tcPr>
          <w:p>
            <w:pPr/>
          </w:p>
        </w:tc>
      </w:tr>
      <w:tr>
        <w:trPr>
          <w:trHeight w:val="711"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国盛证券有限责任公</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证券经纪、投资</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非同一控制收</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购</w:t>
            </w:r>
          </w:p>
        </w:tc>
      </w:tr>
      <w:tr>
        <w:trPr>
          <w:trHeight w:val="372" w:hRule="exact"/>
        </w:trPr>
        <w:tc>
          <w:tcPr>
            <w:tcW w:w="1978" w:type="dxa"/>
            <w:tcBorders>
              <w:top w:val="dotted" w:sz="4" w:space="0" w:color="000000"/>
              <w:left w:val="nil" w:sz="6" w:space="0" w:color="auto"/>
              <w:bottom w:val="single" w:sz="12" w:space="0" w:color="000000"/>
              <w:right w:val="dotted"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国盛期货有限责任公</w:t>
            </w:r>
          </w:p>
        </w:tc>
        <w:tc>
          <w:tcPr>
            <w:tcW w:w="831" w:type="dxa"/>
            <w:tcBorders>
              <w:top w:val="dotted" w:sz="4" w:space="0" w:color="000000"/>
              <w:left w:val="dotted" w:sz="4" w:space="0" w:color="000000"/>
              <w:bottom w:val="single" w:sz="12"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1073" w:type="dxa"/>
            <w:tcBorders>
              <w:top w:val="dotted" w:sz="4" w:space="0" w:color="000000"/>
              <w:left w:val="dotted" w:sz="4" w:space="0" w:color="000000"/>
              <w:bottom w:val="single" w:sz="12"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商品期货经纪、</w:t>
            </w:r>
          </w:p>
        </w:tc>
        <w:tc>
          <w:tcPr>
            <w:tcW w:w="797" w:type="dxa"/>
            <w:tcBorders>
              <w:top w:val="dotted" w:sz="4" w:space="0" w:color="000000"/>
              <w:left w:val="dotted" w:sz="4" w:space="0" w:color="000000"/>
              <w:bottom w:val="single" w:sz="12" w:space="0" w:color="000000"/>
              <w:right w:val="dotted" w:sz="4" w:space="0" w:color="000000"/>
            </w:tcBorders>
          </w:tcPr>
          <w:p>
            <w:pPr/>
          </w:p>
        </w:tc>
        <w:tc>
          <w:tcPr>
            <w:tcW w:w="761" w:type="dxa"/>
            <w:tcBorders>
              <w:top w:val="dotted" w:sz="4" w:space="0" w:color="000000"/>
              <w:left w:val="dotted" w:sz="4" w:space="0" w:color="000000"/>
              <w:bottom w:val="single" w:sz="12" w:space="0" w:color="000000"/>
              <w:right w:val="dotted"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97.55</w:t>
            </w:r>
          </w:p>
        </w:tc>
        <w:tc>
          <w:tcPr>
            <w:tcW w:w="1366" w:type="dxa"/>
            <w:tcBorders>
              <w:top w:val="dotted" w:sz="4" w:space="0" w:color="000000"/>
              <w:left w:val="dotted" w:sz="4" w:space="0" w:color="000000"/>
              <w:bottom w:val="single" w:sz="12"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非同一控制收</w:t>
            </w:r>
          </w:p>
        </w:tc>
      </w:tr>
    </w:tbl>
    <w:p>
      <w:pPr>
        <w:spacing w:after="0" w:line="203" w:lineRule="exact"/>
        <w:jc w:val="left"/>
        <w:rPr>
          <w:rFonts w:ascii="宋体" w:hAnsi="宋体" w:cs="宋体" w:eastAsia="宋体" w:hint="default"/>
          <w:sz w:val="18"/>
          <w:szCs w:val="18"/>
        </w:rPr>
        <w:sectPr>
          <w:pgSz w:w="11910" w:h="16840"/>
          <w:pgMar w:header="877" w:footer="979" w:top="110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78"/>
        <w:gridCol w:w="831"/>
        <w:gridCol w:w="1073"/>
        <w:gridCol w:w="1522"/>
        <w:gridCol w:w="797"/>
        <w:gridCol w:w="761"/>
        <w:gridCol w:w="1366"/>
      </w:tblGrid>
      <w:tr>
        <w:trPr>
          <w:trHeight w:val="362" w:hRule="exact"/>
        </w:trPr>
        <w:tc>
          <w:tcPr>
            <w:tcW w:w="1978"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31" w:type="dxa"/>
            <w:vMerge w:val="restart"/>
            <w:tcBorders>
              <w:top w:val="single" w:sz="12" w:space="0" w:color="000000"/>
              <w:left w:val="dotted" w:sz="4" w:space="0" w:color="000000"/>
              <w:right w:val="dotted" w:sz="4" w:space="0" w:color="000000"/>
            </w:tcBorders>
          </w:tcPr>
          <w:p>
            <w:pPr>
              <w:pStyle w:val="TableParagraph"/>
              <w:spacing w:line="240" w:lineRule="auto" w:before="82"/>
              <w:ind w:left="230" w:right="139"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1073"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22" w:type="dxa"/>
            <w:vMerge w:val="restart"/>
            <w:tcBorders>
              <w:top w:val="single" w:sz="12" w:space="0" w:color="000000"/>
              <w:left w:val="dotted" w:sz="4" w:space="0" w:color="000000"/>
              <w:right w:val="dotted" w:sz="4" w:space="0" w:color="000000"/>
            </w:tcBorders>
          </w:tcPr>
          <w:p>
            <w:pPr>
              <w:pStyle w:val="TableParagraph"/>
              <w:spacing w:line="240" w:lineRule="auto" w:before="82"/>
              <w:ind w:left="573" w:right="576"/>
              <w:jc w:val="center"/>
              <w:rPr>
                <w:rFonts w:ascii="宋体" w:hAnsi="宋体" w:cs="宋体" w:eastAsia="宋体" w:hint="default"/>
                <w:sz w:val="18"/>
                <w:szCs w:val="18"/>
              </w:rPr>
            </w:pPr>
            <w:r>
              <w:rPr>
                <w:rFonts w:ascii="宋体" w:hAnsi="宋体" w:cs="宋体" w:eastAsia="宋体" w:hint="default"/>
                <w:sz w:val="18"/>
                <w:szCs w:val="18"/>
              </w:rPr>
              <w:t>业务 性质</w:t>
            </w:r>
          </w:p>
        </w:tc>
        <w:tc>
          <w:tcPr>
            <w:tcW w:w="155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366" w:type="dxa"/>
            <w:vMerge w:val="restart"/>
            <w:tcBorders>
              <w:top w:val="single" w:sz="12" w:space="0" w:color="000000"/>
              <w:left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8" w:hRule="exact"/>
        </w:trPr>
        <w:tc>
          <w:tcPr>
            <w:tcW w:w="1978" w:type="dxa"/>
            <w:vMerge/>
            <w:tcBorders>
              <w:left w:val="nil" w:sz="6" w:space="0" w:color="auto"/>
              <w:bottom w:val="dotted" w:sz="4" w:space="0" w:color="000000"/>
              <w:right w:val="dotted" w:sz="4" w:space="0" w:color="000000"/>
            </w:tcBorders>
          </w:tcPr>
          <w:p>
            <w:pPr/>
          </w:p>
        </w:tc>
        <w:tc>
          <w:tcPr>
            <w:tcW w:w="831" w:type="dxa"/>
            <w:vMerge/>
            <w:tcBorders>
              <w:left w:val="dotted" w:sz="4" w:space="0" w:color="000000"/>
              <w:bottom w:val="dotted" w:sz="4" w:space="0" w:color="000000"/>
              <w:right w:val="dotted" w:sz="4" w:space="0" w:color="000000"/>
            </w:tcBorders>
          </w:tcPr>
          <w:p>
            <w:pPr/>
          </w:p>
        </w:tc>
        <w:tc>
          <w:tcPr>
            <w:tcW w:w="1073" w:type="dxa"/>
            <w:vMerge/>
            <w:tcBorders>
              <w:left w:val="dotted" w:sz="4" w:space="0" w:color="000000"/>
              <w:bottom w:val="dotted" w:sz="4" w:space="0" w:color="000000"/>
              <w:right w:val="dotted" w:sz="4" w:space="0" w:color="000000"/>
            </w:tcBorders>
          </w:tcPr>
          <w:p>
            <w:pPr/>
          </w:p>
        </w:tc>
        <w:tc>
          <w:tcPr>
            <w:tcW w:w="1522" w:type="dxa"/>
            <w:vMerge/>
            <w:tcBorders>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215"/>
              <w:jc w:val="right"/>
              <w:rPr>
                <w:rFonts w:ascii="宋体" w:hAnsi="宋体" w:cs="宋体" w:eastAsia="宋体" w:hint="default"/>
                <w:sz w:val="18"/>
                <w:szCs w:val="18"/>
              </w:rPr>
            </w:pPr>
            <w:r>
              <w:rPr>
                <w:rFonts w:ascii="宋体" w:hAnsi="宋体" w:cs="宋体" w:eastAsia="宋体" w:hint="default"/>
                <w:sz w:val="18"/>
                <w:szCs w:val="18"/>
              </w:rPr>
              <w:t>直接</w:t>
            </w: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dotted" w:sz="4" w:space="0" w:color="000000"/>
              <w:bottom w:val="dotted" w:sz="4" w:space="0" w:color="000000"/>
              <w:right w:val="nil" w:sz="6" w:space="0" w:color="auto"/>
            </w:tcBorders>
          </w:tcPr>
          <w:p>
            <w:pPr/>
          </w:p>
        </w:tc>
      </w:tr>
      <w:tr>
        <w:trPr>
          <w:trHeight w:val="382"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31"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金融期货经纪</w:t>
            </w:r>
          </w:p>
        </w:tc>
        <w:tc>
          <w:tcPr>
            <w:tcW w:w="797"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购</w:t>
            </w:r>
          </w:p>
        </w:tc>
      </w:tr>
      <w:tr>
        <w:trPr>
          <w:trHeight w:val="710"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国盛证券资产管理有</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证券资产管理业</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97"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非同一控制收</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购</w:t>
            </w:r>
          </w:p>
        </w:tc>
      </w:tr>
      <w:tr>
        <w:trPr>
          <w:trHeight w:val="710"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国盛弘远（上海）投</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股权投资、财务</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797"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非同一控制收</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购</w:t>
            </w:r>
          </w:p>
        </w:tc>
      </w:tr>
      <w:tr>
        <w:trPr>
          <w:trHeight w:val="711"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深圳国盛前海投资有</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982"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17" w:lineRule="exact"/>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Guosheng  </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Hong</w:t>
            </w:r>
          </w:p>
          <w:p>
            <w:pPr>
              <w:pStyle w:val="TableParagraph"/>
              <w:spacing w:line="360" w:lineRule="auto" w:before="129"/>
              <w:ind w:left="122" w:right="546"/>
              <w:jc w:val="left"/>
              <w:rPr>
                <w:rFonts w:ascii="Times New Roman" w:hAnsi="Times New Roman" w:cs="Times New Roman" w:eastAsia="Times New Roman" w:hint="default"/>
                <w:sz w:val="18"/>
                <w:szCs w:val="18"/>
              </w:rPr>
            </w:pPr>
            <w:r>
              <w:rPr>
                <w:rFonts w:ascii="Times New Roman"/>
                <w:sz w:val="18"/>
              </w:rPr>
              <w:t>Kong)</w:t>
            </w:r>
            <w:r>
              <w:rPr>
                <w:rFonts w:ascii="Times New Roman"/>
                <w:spacing w:val="-6"/>
                <w:sz w:val="18"/>
              </w:rPr>
              <w:t> </w:t>
            </w:r>
            <w:r>
              <w:rPr>
                <w:rFonts w:ascii="Times New Roman"/>
                <w:sz w:val="18"/>
              </w:rPr>
              <w:t>Investment</w:t>
            </w:r>
            <w:r>
              <w:rPr>
                <w:rFonts w:ascii="Times New Roman"/>
                <w:sz w:val="18"/>
              </w:rPr>
              <w:t> Limited</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629"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360" w:lineRule="auto"/>
              <w:ind w:left="122" w:right="153"/>
              <w:jc w:val="left"/>
              <w:rPr>
                <w:rFonts w:ascii="Times New Roman" w:hAnsi="Times New Roman" w:cs="Times New Roman" w:eastAsia="Times New Roman" w:hint="default"/>
                <w:sz w:val="18"/>
                <w:szCs w:val="18"/>
              </w:rPr>
            </w:pPr>
            <w:r>
              <w:rPr>
                <w:rFonts w:ascii="Times New Roman"/>
                <w:sz w:val="18"/>
              </w:rPr>
              <w:t>Guosheng</w:t>
            </w:r>
            <w:r>
              <w:rPr>
                <w:rFonts w:ascii="Times New Roman"/>
                <w:spacing w:val="-3"/>
                <w:sz w:val="18"/>
              </w:rPr>
              <w:t> </w:t>
            </w:r>
            <w:r>
              <w:rPr>
                <w:rFonts w:ascii="Times New Roman"/>
                <w:sz w:val="18"/>
              </w:rPr>
              <w:t>International</w:t>
            </w:r>
            <w:r>
              <w:rPr>
                <w:rFonts w:ascii="Times New Roman"/>
                <w:sz w:val="18"/>
              </w:rPr>
              <w:t> Investment</w:t>
            </w:r>
            <w:r>
              <w:rPr>
                <w:rFonts w:ascii="Times New Roman"/>
                <w:spacing w:val="-9"/>
                <w:sz w:val="18"/>
              </w:rPr>
              <w:t> </w:t>
            </w:r>
            <w:r>
              <w:rPr>
                <w:rFonts w:ascii="Times New Roman"/>
                <w:sz w:val="18"/>
              </w:rPr>
              <w:t>Limited</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BVI</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Islands</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BVI</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Islands</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97"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943"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360" w:lineRule="auto"/>
              <w:ind w:left="122" w:right="298"/>
              <w:jc w:val="left"/>
              <w:rPr>
                <w:rFonts w:ascii="Times New Roman" w:hAnsi="Times New Roman" w:cs="Times New Roman" w:eastAsia="Times New Roman" w:hint="default"/>
                <w:sz w:val="18"/>
                <w:szCs w:val="18"/>
              </w:rPr>
            </w:pPr>
            <w:r>
              <w:rPr>
                <w:rFonts w:ascii="Times New Roman"/>
                <w:sz w:val="18"/>
              </w:rPr>
              <w:t>Guosheng</w:t>
            </w:r>
            <w:r>
              <w:rPr>
                <w:rFonts w:ascii="Times New Roman"/>
                <w:spacing w:val="-2"/>
                <w:sz w:val="18"/>
              </w:rPr>
              <w:t> </w:t>
            </w:r>
            <w:r>
              <w:rPr>
                <w:rFonts w:ascii="Times New Roman"/>
                <w:sz w:val="18"/>
              </w:rPr>
              <w:t>Internet</w:t>
            </w:r>
            <w:r>
              <w:rPr>
                <w:rFonts w:ascii="Times New Roman"/>
                <w:sz w:val="18"/>
              </w:rPr>
              <w:t> Investment Management</w:t>
            </w:r>
            <w:r>
              <w:rPr>
                <w:rFonts w:ascii="Times New Roman"/>
                <w:spacing w:val="-11"/>
                <w:sz w:val="18"/>
              </w:rPr>
              <w:t> </w:t>
            </w:r>
            <w:r>
              <w:rPr>
                <w:rFonts w:ascii="Times New Roman"/>
                <w:sz w:val="18"/>
              </w:rPr>
              <w:t>Limited</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362" w:lineRule="auto" w:before="151"/>
              <w:ind w:left="103" w:right="119"/>
              <w:jc w:val="left"/>
              <w:rPr>
                <w:rFonts w:ascii="Times New Roman" w:hAnsi="Times New Roman" w:cs="Times New Roman" w:eastAsia="Times New Roman" w:hint="default"/>
                <w:sz w:val="18"/>
                <w:szCs w:val="18"/>
              </w:rPr>
            </w:pPr>
            <w:r>
              <w:rPr>
                <w:rFonts w:ascii="Times New Roman"/>
                <w:sz w:val="18"/>
              </w:rPr>
              <w:t>Cayman Islands</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362" w:lineRule="auto" w:before="151"/>
              <w:ind w:left="103" w:right="361"/>
              <w:jc w:val="left"/>
              <w:rPr>
                <w:rFonts w:ascii="Times New Roman" w:hAnsi="Times New Roman" w:cs="Times New Roman" w:eastAsia="Times New Roman" w:hint="default"/>
                <w:sz w:val="18"/>
                <w:szCs w:val="18"/>
              </w:rPr>
            </w:pPr>
            <w:r>
              <w:rPr>
                <w:rFonts w:ascii="Times New Roman"/>
                <w:sz w:val="18"/>
              </w:rPr>
              <w:t>Cayman Islands</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97"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941"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360" w:lineRule="auto"/>
              <w:ind w:left="122" w:right="150"/>
              <w:jc w:val="left"/>
              <w:rPr>
                <w:rFonts w:ascii="Times New Roman" w:hAnsi="Times New Roman" w:cs="Times New Roman" w:eastAsia="Times New Roman" w:hint="default"/>
                <w:sz w:val="18"/>
                <w:szCs w:val="18"/>
              </w:rPr>
            </w:pPr>
            <w:r>
              <w:rPr>
                <w:rFonts w:ascii="Times New Roman"/>
                <w:sz w:val="18"/>
              </w:rPr>
              <w:t>Kingley </w:t>
            </w:r>
            <w:r>
              <w:rPr>
                <w:rFonts w:ascii="Times New Roman"/>
                <w:spacing w:val="-3"/>
                <w:sz w:val="18"/>
              </w:rPr>
              <w:t>Ying </w:t>
            </w:r>
            <w:r>
              <w:rPr>
                <w:rFonts w:ascii="Times New Roman"/>
                <w:sz w:val="18"/>
              </w:rPr>
              <w:t>Fat</w:t>
            </w:r>
            <w:r>
              <w:rPr>
                <w:rFonts w:ascii="Times New Roman"/>
                <w:spacing w:val="-10"/>
                <w:sz w:val="18"/>
              </w:rPr>
              <w:t> </w:t>
            </w:r>
            <w:r>
              <w:rPr>
                <w:rFonts w:ascii="Times New Roman"/>
                <w:sz w:val="18"/>
              </w:rPr>
              <w:t>Paper</w:t>
            </w:r>
            <w:r>
              <w:rPr>
                <w:rFonts w:ascii="Times New Roman"/>
                <w:sz w:val="18"/>
              </w:rPr>
              <w:t> Products &amp;</w:t>
            </w:r>
            <w:r>
              <w:rPr>
                <w:rFonts w:ascii="Times New Roman"/>
                <w:spacing w:val="-3"/>
                <w:sz w:val="18"/>
              </w:rPr>
              <w:t> </w:t>
            </w:r>
            <w:r>
              <w:rPr>
                <w:rFonts w:ascii="Times New Roman"/>
                <w:sz w:val="18"/>
              </w:rPr>
              <w:t>Printing</w:t>
            </w:r>
            <w:r>
              <w:rPr>
                <w:rFonts w:ascii="Times New Roman"/>
                <w:w w:val="99"/>
                <w:sz w:val="18"/>
              </w:rPr>
              <w:t> </w:t>
            </w:r>
            <w:r>
              <w:rPr>
                <w:rFonts w:ascii="Times New Roman"/>
                <w:sz w:val="18"/>
              </w:rPr>
              <w:t>Limited</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纸品制造</w:t>
            </w:r>
          </w:p>
        </w:tc>
        <w:tc>
          <w:tcPr>
            <w:tcW w:w="797"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357" w:lineRule="auto" w:before="83"/>
              <w:ind w:left="103" w:right="176"/>
              <w:jc w:val="left"/>
              <w:rPr>
                <w:rFonts w:ascii="宋体" w:hAnsi="宋体" w:cs="宋体" w:eastAsia="宋体" w:hint="default"/>
                <w:sz w:val="18"/>
                <w:szCs w:val="18"/>
              </w:rPr>
            </w:pPr>
            <w:r>
              <w:rPr>
                <w:rFonts w:ascii="宋体" w:hAnsi="宋体" w:cs="宋体" w:eastAsia="宋体" w:hint="default"/>
                <w:sz w:val="18"/>
                <w:szCs w:val="18"/>
              </w:rPr>
              <w:t>非同一控制收 购</w:t>
            </w:r>
          </w:p>
        </w:tc>
      </w:tr>
      <w:tr>
        <w:trPr>
          <w:trHeight w:val="631"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362" w:lineRule="auto"/>
              <w:ind w:left="122" w:right="437"/>
              <w:jc w:val="left"/>
              <w:rPr>
                <w:rFonts w:ascii="Times New Roman" w:hAnsi="Times New Roman" w:cs="Times New Roman" w:eastAsia="Times New Roman" w:hint="default"/>
                <w:sz w:val="18"/>
                <w:szCs w:val="18"/>
              </w:rPr>
            </w:pPr>
            <w:r>
              <w:rPr>
                <w:rFonts w:ascii="Times New Roman"/>
                <w:sz w:val="18"/>
              </w:rPr>
              <w:t>Guosheng</w:t>
            </w:r>
            <w:r>
              <w:rPr>
                <w:rFonts w:ascii="Times New Roman"/>
                <w:spacing w:val="-2"/>
                <w:sz w:val="18"/>
              </w:rPr>
              <w:t> </w:t>
            </w:r>
            <w:r>
              <w:rPr>
                <w:rFonts w:ascii="Times New Roman"/>
                <w:sz w:val="18"/>
              </w:rPr>
              <w:t>Global</w:t>
            </w:r>
            <w:r>
              <w:rPr>
                <w:rFonts w:ascii="Times New Roman"/>
                <w:sz w:val="18"/>
              </w:rPr>
              <w:t> Investment</w:t>
            </w:r>
            <w:r>
              <w:rPr>
                <w:rFonts w:ascii="Times New Roman"/>
                <w:spacing w:val="-9"/>
                <w:sz w:val="18"/>
              </w:rPr>
              <w:t> </w:t>
            </w:r>
            <w:r>
              <w:rPr>
                <w:rFonts w:ascii="Times New Roman"/>
                <w:sz w:val="18"/>
              </w:rPr>
              <w:t>Limited</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BVI</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Islands</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BVI</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Islands</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1"/>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1411"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10"/>
              <w:ind w:left="122" w:right="228"/>
              <w:jc w:val="left"/>
              <w:rPr>
                <w:rFonts w:ascii="宋体" w:hAnsi="宋体" w:cs="宋体" w:eastAsia="宋体" w:hint="default"/>
                <w:sz w:val="18"/>
                <w:szCs w:val="18"/>
              </w:rPr>
            </w:pPr>
            <w:r>
              <w:rPr>
                <w:rFonts w:ascii="宋体" w:hAnsi="宋体" w:cs="宋体" w:eastAsia="宋体" w:hint="default"/>
                <w:sz w:val="18"/>
                <w:szCs w:val="18"/>
              </w:rPr>
              <w:t>珠海横琴极盛科技有 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计算机软硬件，</w:t>
            </w:r>
          </w:p>
          <w:p>
            <w:pPr>
              <w:pStyle w:val="TableParagraph"/>
              <w:spacing w:line="357" w:lineRule="auto" w:before="115"/>
              <w:ind w:left="103" w:right="147"/>
              <w:jc w:val="both"/>
              <w:rPr>
                <w:rFonts w:ascii="宋体" w:hAnsi="宋体" w:cs="宋体" w:eastAsia="宋体" w:hint="default"/>
                <w:sz w:val="18"/>
                <w:szCs w:val="18"/>
              </w:rPr>
            </w:pPr>
            <w:r>
              <w:rPr>
                <w:rFonts w:ascii="宋体" w:hAnsi="宋体" w:cs="宋体" w:eastAsia="宋体" w:hint="default"/>
                <w:sz w:val="18"/>
                <w:szCs w:val="18"/>
              </w:rPr>
              <w:t>计算机系统集成 技术开发，技术 服务等</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1409"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11"/>
              <w:ind w:left="122" w:right="228"/>
              <w:jc w:val="left"/>
              <w:rPr>
                <w:rFonts w:ascii="宋体" w:hAnsi="宋体" w:cs="宋体" w:eastAsia="宋体" w:hint="default"/>
                <w:sz w:val="18"/>
                <w:szCs w:val="18"/>
              </w:rPr>
            </w:pPr>
            <w:r>
              <w:rPr>
                <w:rFonts w:ascii="宋体" w:hAnsi="宋体" w:cs="宋体" w:eastAsia="宋体" w:hint="default"/>
                <w:sz w:val="18"/>
                <w:szCs w:val="18"/>
              </w:rPr>
              <w:t>深圳前海国盛科技有 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计算机软硬件，</w:t>
            </w:r>
          </w:p>
          <w:p>
            <w:pPr>
              <w:pStyle w:val="TableParagraph"/>
              <w:spacing w:line="357" w:lineRule="auto" w:before="115"/>
              <w:ind w:left="103" w:right="147"/>
              <w:jc w:val="both"/>
              <w:rPr>
                <w:rFonts w:ascii="宋体" w:hAnsi="宋体" w:cs="宋体" w:eastAsia="宋体" w:hint="default"/>
                <w:sz w:val="18"/>
                <w:szCs w:val="18"/>
              </w:rPr>
            </w:pPr>
            <w:r>
              <w:rPr>
                <w:rFonts w:ascii="宋体" w:hAnsi="宋体" w:cs="宋体" w:eastAsia="宋体" w:hint="default"/>
                <w:sz w:val="18"/>
                <w:szCs w:val="18"/>
              </w:rPr>
              <w:t>计算机系统集成 技术开发，技术 服务等</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0"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北京国盛互联信息咨</w:t>
            </w:r>
          </w:p>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询有限公司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经济贸易咨询；</w:t>
            </w: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企业管理咨询等</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1411"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10"/>
              <w:ind w:left="122" w:right="228"/>
              <w:jc w:val="left"/>
              <w:rPr>
                <w:rFonts w:ascii="宋体" w:hAnsi="宋体" w:cs="宋体" w:eastAsia="宋体" w:hint="default"/>
                <w:sz w:val="18"/>
                <w:szCs w:val="18"/>
              </w:rPr>
            </w:pPr>
            <w:r>
              <w:rPr>
                <w:rFonts w:ascii="宋体" w:hAnsi="宋体" w:cs="宋体" w:eastAsia="宋体" w:hint="default"/>
                <w:sz w:val="18"/>
                <w:szCs w:val="18"/>
              </w:rPr>
              <w:t>天津国盛信安科技有 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计算机网络技</w:t>
            </w:r>
          </w:p>
          <w:p>
            <w:pPr>
              <w:pStyle w:val="TableParagraph"/>
              <w:spacing w:line="357" w:lineRule="auto" w:before="112"/>
              <w:ind w:left="103" w:right="147"/>
              <w:jc w:val="both"/>
              <w:rPr>
                <w:rFonts w:ascii="宋体" w:hAnsi="宋体" w:cs="宋体" w:eastAsia="宋体" w:hint="default"/>
                <w:sz w:val="18"/>
                <w:szCs w:val="18"/>
              </w:rPr>
            </w:pPr>
            <w:r>
              <w:rPr>
                <w:rFonts w:ascii="宋体" w:hAnsi="宋体" w:cs="宋体" w:eastAsia="宋体" w:hint="default"/>
                <w:sz w:val="18"/>
                <w:szCs w:val="18"/>
              </w:rPr>
              <w:t>术、电子信息技 术、数据处理技 术开发等</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10"/>
              <w:ind w:left="103" w:right="176"/>
              <w:jc w:val="left"/>
              <w:rPr>
                <w:rFonts w:ascii="宋体" w:hAnsi="宋体" w:cs="宋体" w:eastAsia="宋体" w:hint="default"/>
                <w:sz w:val="18"/>
                <w:szCs w:val="18"/>
              </w:rPr>
            </w:pPr>
            <w:r>
              <w:rPr>
                <w:rFonts w:ascii="宋体" w:hAnsi="宋体" w:cs="宋体" w:eastAsia="宋体" w:hint="default"/>
                <w:sz w:val="18"/>
                <w:szCs w:val="18"/>
              </w:rPr>
              <w:t>非同一控制收 购</w:t>
            </w:r>
          </w:p>
        </w:tc>
      </w:tr>
      <w:tr>
        <w:trPr>
          <w:trHeight w:val="723" w:hRule="exact"/>
        </w:trPr>
        <w:tc>
          <w:tcPr>
            <w:tcW w:w="1978" w:type="dxa"/>
            <w:tcBorders>
              <w:top w:val="dotted" w:sz="4" w:space="0" w:color="000000"/>
              <w:left w:val="nil" w:sz="6" w:space="0" w:color="auto"/>
              <w:bottom w:val="single" w:sz="12" w:space="0" w:color="000000"/>
              <w:right w:val="dotted"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深圳前海弘大嘉豪资</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本管理有限公司</w:t>
            </w:r>
          </w:p>
        </w:tc>
        <w:tc>
          <w:tcPr>
            <w:tcW w:w="8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受托资产管理、</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7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single" w:sz="12" w:space="0" w:color="000000"/>
              <w:right w:val="dotted" w:sz="4" w:space="0" w:color="000000"/>
            </w:tcBorders>
          </w:tcPr>
          <w:p>
            <w:pPr/>
          </w:p>
        </w:tc>
        <w:tc>
          <w:tcPr>
            <w:tcW w:w="1366" w:type="dxa"/>
            <w:tcBorders>
              <w:top w:val="dotted" w:sz="4" w:space="0" w:color="000000"/>
              <w:left w:val="dotted" w:sz="4" w:space="0" w:color="000000"/>
              <w:bottom w:val="single" w:sz="12" w:space="0" w:color="000000"/>
              <w:right w:val="nil" w:sz="6" w:space="0" w:color="auto"/>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非同一控制收</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购</w:t>
            </w:r>
          </w:p>
        </w:tc>
      </w:tr>
    </w:tbl>
    <w:p>
      <w:pPr>
        <w:spacing w:after="0" w:line="240" w:lineRule="auto"/>
        <w:jc w:val="left"/>
        <w:rPr>
          <w:rFonts w:ascii="宋体" w:hAnsi="宋体" w:cs="宋体" w:eastAsia="宋体" w:hint="default"/>
          <w:sz w:val="18"/>
          <w:szCs w:val="18"/>
        </w:rPr>
        <w:sectPr>
          <w:pgSz w:w="11910" w:h="16840"/>
          <w:pgMar w:header="877" w:footer="979" w:top="110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78"/>
        <w:gridCol w:w="831"/>
        <w:gridCol w:w="1073"/>
        <w:gridCol w:w="1522"/>
        <w:gridCol w:w="797"/>
        <w:gridCol w:w="761"/>
        <w:gridCol w:w="1366"/>
      </w:tblGrid>
      <w:tr>
        <w:trPr>
          <w:trHeight w:val="362" w:hRule="exact"/>
        </w:trPr>
        <w:tc>
          <w:tcPr>
            <w:tcW w:w="1978"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31" w:type="dxa"/>
            <w:vMerge w:val="restart"/>
            <w:tcBorders>
              <w:top w:val="single" w:sz="12" w:space="0" w:color="000000"/>
              <w:left w:val="dotted" w:sz="4" w:space="0" w:color="000000"/>
              <w:right w:val="dotted" w:sz="4" w:space="0" w:color="000000"/>
            </w:tcBorders>
          </w:tcPr>
          <w:p>
            <w:pPr>
              <w:pStyle w:val="TableParagraph"/>
              <w:spacing w:line="240" w:lineRule="auto" w:before="82"/>
              <w:ind w:left="230" w:right="139"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1073"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22" w:type="dxa"/>
            <w:vMerge w:val="restart"/>
            <w:tcBorders>
              <w:top w:val="single" w:sz="12" w:space="0" w:color="000000"/>
              <w:left w:val="dotted" w:sz="4" w:space="0" w:color="000000"/>
              <w:right w:val="dotted" w:sz="4" w:space="0" w:color="000000"/>
            </w:tcBorders>
          </w:tcPr>
          <w:p>
            <w:pPr>
              <w:pStyle w:val="TableParagraph"/>
              <w:spacing w:line="240" w:lineRule="auto" w:before="82"/>
              <w:ind w:left="573" w:right="576"/>
              <w:jc w:val="center"/>
              <w:rPr>
                <w:rFonts w:ascii="宋体" w:hAnsi="宋体" w:cs="宋体" w:eastAsia="宋体" w:hint="default"/>
                <w:sz w:val="18"/>
                <w:szCs w:val="18"/>
              </w:rPr>
            </w:pPr>
            <w:r>
              <w:rPr>
                <w:rFonts w:ascii="宋体" w:hAnsi="宋体" w:cs="宋体" w:eastAsia="宋体" w:hint="default"/>
                <w:sz w:val="18"/>
                <w:szCs w:val="18"/>
              </w:rPr>
              <w:t>业务 性质</w:t>
            </w:r>
          </w:p>
        </w:tc>
        <w:tc>
          <w:tcPr>
            <w:tcW w:w="155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297"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366" w:type="dxa"/>
            <w:vMerge w:val="restart"/>
            <w:tcBorders>
              <w:top w:val="single" w:sz="12" w:space="0" w:color="000000"/>
              <w:left w:val="dotted"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8" w:hRule="exact"/>
        </w:trPr>
        <w:tc>
          <w:tcPr>
            <w:tcW w:w="1978" w:type="dxa"/>
            <w:vMerge/>
            <w:tcBorders>
              <w:left w:val="nil" w:sz="6" w:space="0" w:color="auto"/>
              <w:bottom w:val="dotted" w:sz="4" w:space="0" w:color="000000"/>
              <w:right w:val="dotted" w:sz="4" w:space="0" w:color="000000"/>
            </w:tcBorders>
          </w:tcPr>
          <w:p>
            <w:pPr/>
          </w:p>
        </w:tc>
        <w:tc>
          <w:tcPr>
            <w:tcW w:w="831" w:type="dxa"/>
            <w:vMerge/>
            <w:tcBorders>
              <w:left w:val="dotted" w:sz="4" w:space="0" w:color="000000"/>
              <w:bottom w:val="dotted" w:sz="4" w:space="0" w:color="000000"/>
              <w:right w:val="dotted" w:sz="4" w:space="0" w:color="000000"/>
            </w:tcBorders>
          </w:tcPr>
          <w:p>
            <w:pPr/>
          </w:p>
        </w:tc>
        <w:tc>
          <w:tcPr>
            <w:tcW w:w="1073" w:type="dxa"/>
            <w:vMerge/>
            <w:tcBorders>
              <w:left w:val="dotted" w:sz="4" w:space="0" w:color="000000"/>
              <w:bottom w:val="dotted" w:sz="4" w:space="0" w:color="000000"/>
              <w:right w:val="dotted" w:sz="4" w:space="0" w:color="000000"/>
            </w:tcBorders>
          </w:tcPr>
          <w:p>
            <w:pPr/>
          </w:p>
        </w:tc>
        <w:tc>
          <w:tcPr>
            <w:tcW w:w="1522" w:type="dxa"/>
            <w:vMerge/>
            <w:tcBorders>
              <w:left w:val="dotted" w:sz="4" w:space="0" w:color="000000"/>
              <w:bottom w:val="dotted" w:sz="4" w:space="0" w:color="000000"/>
              <w:right w:val="dotted" w:sz="4" w:space="0" w:color="000000"/>
            </w:tcBorders>
          </w:tcPr>
          <w:p>
            <w:pP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215"/>
              <w:jc w:val="right"/>
              <w:rPr>
                <w:rFonts w:ascii="宋体" w:hAnsi="宋体" w:cs="宋体" w:eastAsia="宋体" w:hint="default"/>
                <w:sz w:val="18"/>
                <w:szCs w:val="18"/>
              </w:rPr>
            </w:pPr>
            <w:r>
              <w:rPr>
                <w:rFonts w:ascii="宋体" w:hAnsi="宋体" w:cs="宋体" w:eastAsia="宋体" w:hint="default"/>
                <w:sz w:val="18"/>
                <w:szCs w:val="18"/>
              </w:rPr>
              <w:t>直接</w:t>
            </w:r>
          </w:p>
        </w:tc>
        <w:tc>
          <w:tcPr>
            <w:tcW w:w="7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dotted" w:sz="4" w:space="0" w:color="000000"/>
              <w:bottom w:val="dotted" w:sz="4" w:space="0" w:color="000000"/>
              <w:right w:val="nil" w:sz="6" w:space="0" w:color="auto"/>
            </w:tcBorders>
          </w:tcPr>
          <w:p>
            <w:pPr/>
          </w:p>
        </w:tc>
      </w:tr>
      <w:tr>
        <w:trPr>
          <w:trHeight w:val="2833" w:hRule="exact"/>
        </w:trPr>
        <w:tc>
          <w:tcPr>
            <w:tcW w:w="1978" w:type="dxa"/>
            <w:tcBorders>
              <w:top w:val="dotted" w:sz="4" w:space="0" w:color="000000"/>
              <w:left w:val="nil" w:sz="6" w:space="0" w:color="auto"/>
              <w:bottom w:val="dotted" w:sz="4" w:space="0" w:color="000000"/>
              <w:right w:val="dotted" w:sz="4" w:space="0" w:color="000000"/>
            </w:tcBorders>
          </w:tcPr>
          <w:p>
            <w:pPr/>
          </w:p>
        </w:tc>
        <w:tc>
          <w:tcPr>
            <w:tcW w:w="831"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32"/>
              <w:ind w:left="103" w:right="147"/>
              <w:jc w:val="left"/>
              <w:rPr>
                <w:rFonts w:ascii="宋体" w:hAnsi="宋体" w:cs="宋体" w:eastAsia="宋体" w:hint="default"/>
                <w:sz w:val="18"/>
                <w:szCs w:val="18"/>
              </w:rPr>
            </w:pPr>
            <w:r>
              <w:rPr>
                <w:rFonts w:ascii="宋体" w:hAnsi="宋体" w:cs="宋体" w:eastAsia="宋体" w:hint="default"/>
                <w:sz w:val="18"/>
                <w:szCs w:val="18"/>
              </w:rPr>
              <w:t>（不得从事信 托、金融资产管 理、证券资产管 理及其他限制项 </w:t>
            </w:r>
            <w:r>
              <w:rPr>
                <w:rFonts w:ascii="宋体" w:hAnsi="宋体" w:cs="宋体" w:eastAsia="宋体" w:hint="default"/>
                <w:spacing w:val="-16"/>
                <w:sz w:val="18"/>
                <w:szCs w:val="18"/>
              </w:rPr>
              <w:t>目）；股权投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资；创业投资业 务</w:t>
            </w:r>
          </w:p>
        </w:tc>
        <w:tc>
          <w:tcPr>
            <w:tcW w:w="797" w:type="dxa"/>
            <w:tcBorders>
              <w:top w:val="dotted" w:sz="4" w:space="0" w:color="000000"/>
              <w:left w:val="dotted" w:sz="4" w:space="0" w:color="000000"/>
              <w:bottom w:val="dotted" w:sz="4" w:space="0" w:color="000000"/>
              <w:right w:val="dotted" w:sz="4" w:space="0" w:color="000000"/>
            </w:tcBorders>
          </w:tcPr>
          <w:p>
            <w:pP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
        </w:tc>
      </w:tr>
      <w:tr>
        <w:trPr>
          <w:trHeight w:val="3512"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27"/>
              <w:ind w:left="122" w:right="228"/>
              <w:jc w:val="left"/>
              <w:rPr>
                <w:rFonts w:ascii="宋体" w:hAnsi="宋体" w:cs="宋体" w:eastAsia="宋体" w:hint="default"/>
                <w:sz w:val="18"/>
                <w:szCs w:val="18"/>
              </w:rPr>
            </w:pPr>
            <w:r>
              <w:rPr>
                <w:rFonts w:ascii="宋体" w:hAnsi="宋体" w:cs="宋体" w:eastAsia="宋体" w:hint="default"/>
                <w:sz w:val="18"/>
                <w:szCs w:val="18"/>
              </w:rPr>
              <w:t>广州极盛融资租赁有 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广州市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融资租赁服务</w:t>
            </w:r>
            <w:r>
              <w:rPr>
                <w:rFonts w:ascii="宋体" w:hAnsi="宋体" w:cs="宋体" w:eastAsia="宋体" w:hint="default"/>
                <w:sz w:val="18"/>
                <w:szCs w:val="18"/>
              </w:rPr>
              <w:t>;</w:t>
            </w:r>
          </w:p>
          <w:p>
            <w:pPr>
              <w:pStyle w:val="TableParagraph"/>
              <w:spacing w:line="357" w:lineRule="auto" w:before="115"/>
              <w:ind w:left="124" w:right="122"/>
              <w:jc w:val="center"/>
              <w:rPr>
                <w:rFonts w:ascii="宋体" w:hAnsi="宋体" w:cs="宋体" w:eastAsia="宋体" w:hint="default"/>
                <w:sz w:val="18"/>
                <w:szCs w:val="18"/>
              </w:rPr>
            </w:pPr>
            <w:r>
              <w:rPr>
                <w:rFonts w:ascii="宋体" w:hAnsi="宋体" w:cs="宋体" w:eastAsia="宋体" w:hint="default"/>
                <w:sz w:val="18"/>
                <w:szCs w:val="18"/>
              </w:rPr>
              <w:t>汽车租赁</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机械 设备租赁</w:t>
            </w:r>
            <w:r>
              <w:rPr>
                <w:rFonts w:ascii="宋体" w:hAnsi="宋体" w:cs="宋体" w:eastAsia="宋体" w:hint="default"/>
                <w:sz w:val="18"/>
                <w:szCs w:val="18"/>
              </w:rPr>
              <w:t>;</w:t>
            </w:r>
            <w:r>
              <w:rPr>
                <w:rFonts w:ascii="宋体" w:hAnsi="宋体" w:cs="宋体" w:eastAsia="宋体" w:hint="default"/>
                <w:sz w:val="18"/>
                <w:szCs w:val="18"/>
              </w:rPr>
              <w:t>建筑 工程机械与设备 租赁</w:t>
            </w:r>
            <w:r>
              <w:rPr>
                <w:rFonts w:ascii="宋体" w:hAnsi="宋体" w:cs="宋体" w:eastAsia="宋体" w:hint="default"/>
                <w:sz w:val="18"/>
                <w:szCs w:val="18"/>
              </w:rPr>
              <w:t>;</w:t>
            </w:r>
            <w:r>
              <w:rPr>
                <w:rFonts w:ascii="宋体" w:hAnsi="宋体" w:cs="宋体" w:eastAsia="宋体" w:hint="default"/>
                <w:sz w:val="18"/>
                <w:szCs w:val="18"/>
              </w:rPr>
              <w:t>计算机及 通讯设备租赁</w:t>
            </w:r>
            <w:r>
              <w:rPr>
                <w:rFonts w:ascii="宋体" w:hAnsi="宋体" w:cs="宋体" w:eastAsia="宋体" w:hint="default"/>
                <w:sz w:val="18"/>
                <w:szCs w:val="18"/>
              </w:rPr>
              <w:t>; </w:t>
            </w:r>
            <w:r>
              <w:rPr>
                <w:rFonts w:ascii="宋体" w:hAnsi="宋体" w:cs="宋体" w:eastAsia="宋体" w:hint="default"/>
                <w:sz w:val="18"/>
                <w:szCs w:val="18"/>
              </w:rPr>
              <w:t>自有设备租赁</w:t>
            </w:r>
            <w:r>
              <w:rPr>
                <w:rFonts w:ascii="宋体" w:hAnsi="宋体" w:cs="宋体" w:eastAsia="宋体" w:hint="default"/>
                <w:sz w:val="18"/>
                <w:szCs w:val="18"/>
              </w:rPr>
              <w:t>; </w:t>
            </w:r>
            <w:r>
              <w:rPr>
                <w:rFonts w:ascii="宋体" w:hAnsi="宋体" w:cs="宋体" w:eastAsia="宋体" w:hint="default"/>
                <w:sz w:val="18"/>
                <w:szCs w:val="18"/>
              </w:rPr>
              <w:t>汽车销售</w:t>
            </w:r>
            <w:r>
              <w:rPr>
                <w:rFonts w:ascii="宋体" w:hAnsi="宋体" w:cs="宋体" w:eastAsia="宋体" w:hint="default"/>
                <w:sz w:val="18"/>
                <w:szCs w:val="18"/>
              </w:rPr>
              <w:t>;</w:t>
            </w:r>
            <w:r>
              <w:rPr>
                <w:rFonts w:ascii="宋体" w:hAnsi="宋体" w:cs="宋体" w:eastAsia="宋体" w:hint="default"/>
                <w:sz w:val="18"/>
                <w:szCs w:val="18"/>
              </w:rPr>
              <w:t>二手 车租赁，房屋租 赁等</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直接设立</w:t>
            </w:r>
          </w:p>
        </w:tc>
      </w:tr>
      <w:tr>
        <w:trPr>
          <w:trHeight w:val="1411" w:hRule="exact"/>
        </w:trPr>
        <w:tc>
          <w:tcPr>
            <w:tcW w:w="197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10"/>
              <w:ind w:left="122" w:right="228"/>
              <w:jc w:val="left"/>
              <w:rPr>
                <w:rFonts w:ascii="宋体" w:hAnsi="宋体" w:cs="宋体" w:eastAsia="宋体" w:hint="default"/>
                <w:sz w:val="18"/>
                <w:szCs w:val="18"/>
              </w:rPr>
            </w:pPr>
            <w:r>
              <w:rPr>
                <w:rFonts w:ascii="宋体" w:hAnsi="宋体" w:cs="宋体" w:eastAsia="宋体" w:hint="default"/>
                <w:sz w:val="18"/>
                <w:szCs w:val="18"/>
              </w:rPr>
              <w:t>上海钰信金融信息服 务有限公司</w:t>
            </w:r>
          </w:p>
        </w:tc>
        <w:tc>
          <w:tcPr>
            <w:tcW w:w="8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上海市</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522"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金融信息服务，</w:t>
            </w:r>
          </w:p>
          <w:p>
            <w:pPr>
              <w:pStyle w:val="TableParagraph"/>
              <w:spacing w:line="357" w:lineRule="auto" w:before="112"/>
              <w:ind w:left="124" w:right="125"/>
              <w:jc w:val="center"/>
              <w:rPr>
                <w:rFonts w:ascii="宋体" w:hAnsi="宋体" w:cs="宋体" w:eastAsia="宋体" w:hint="default"/>
                <w:sz w:val="18"/>
                <w:szCs w:val="18"/>
              </w:rPr>
            </w:pPr>
            <w:r>
              <w:rPr>
                <w:rFonts w:ascii="宋体" w:hAnsi="宋体" w:cs="宋体" w:eastAsia="宋体" w:hint="default"/>
                <w:sz w:val="18"/>
                <w:szCs w:val="18"/>
              </w:rPr>
              <w:t>金融产品的研究 开发、设计、咨 询服务</w:t>
            </w:r>
          </w:p>
        </w:tc>
        <w:tc>
          <w:tcPr>
            <w:tcW w:w="7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直接设立</w:t>
            </w:r>
          </w:p>
        </w:tc>
      </w:tr>
      <w:tr>
        <w:trPr>
          <w:trHeight w:val="3524" w:hRule="exact"/>
        </w:trPr>
        <w:tc>
          <w:tcPr>
            <w:tcW w:w="1978"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27"/>
              <w:ind w:left="122" w:right="228"/>
              <w:jc w:val="left"/>
              <w:rPr>
                <w:rFonts w:ascii="宋体" w:hAnsi="宋体" w:cs="宋体" w:eastAsia="宋体" w:hint="default"/>
                <w:sz w:val="18"/>
                <w:szCs w:val="18"/>
              </w:rPr>
            </w:pPr>
            <w:r>
              <w:rPr>
                <w:rFonts w:ascii="宋体" w:hAnsi="宋体" w:cs="宋体" w:eastAsia="宋体" w:hint="default"/>
                <w:sz w:val="18"/>
                <w:szCs w:val="18"/>
              </w:rPr>
              <w:t>上海多专科技有限公 司</w:t>
            </w:r>
          </w:p>
        </w:tc>
        <w:tc>
          <w:tcPr>
            <w:tcW w:w="8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上海市</w:t>
            </w:r>
          </w:p>
        </w:tc>
        <w:tc>
          <w:tcPr>
            <w:tcW w:w="10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522" w:type="dxa"/>
            <w:tcBorders>
              <w:top w:val="dotted" w:sz="4" w:space="0" w:color="000000"/>
              <w:left w:val="dotted" w:sz="4" w:space="0" w:color="000000"/>
              <w:bottom w:val="single" w:sz="12" w:space="0" w:color="000000"/>
              <w:right w:val="dotted"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网络科技、信息</w:t>
            </w:r>
          </w:p>
          <w:p>
            <w:pPr>
              <w:pStyle w:val="TableParagraph"/>
              <w:spacing w:line="357" w:lineRule="auto" w:before="115"/>
              <w:ind w:left="124" w:right="125"/>
              <w:jc w:val="center"/>
              <w:rPr>
                <w:rFonts w:ascii="宋体" w:hAnsi="宋体" w:cs="宋体" w:eastAsia="宋体" w:hint="default"/>
                <w:sz w:val="18"/>
                <w:szCs w:val="18"/>
              </w:rPr>
            </w:pPr>
            <w:r>
              <w:rPr>
                <w:rFonts w:ascii="宋体" w:hAnsi="宋体" w:cs="宋体" w:eastAsia="宋体" w:hint="default"/>
                <w:sz w:val="18"/>
                <w:szCs w:val="18"/>
              </w:rPr>
              <w:t>科技、软件科技 领域内的技术开 发、技术咨询、 技术服务、技术 转让，计算机软 件开发、计算机 硬件安装、维 修，商务信息咨 询</w:t>
            </w:r>
          </w:p>
        </w:tc>
        <w:tc>
          <w:tcPr>
            <w:tcW w:w="7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45"/>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dotted" w:sz="4" w:space="0" w:color="000000"/>
              <w:left w:val="dotted" w:sz="4" w:space="0" w:color="000000"/>
              <w:bottom w:val="single" w:sz="12" w:space="0" w:color="000000"/>
              <w:right w:val="dotted" w:sz="4" w:space="0" w:color="000000"/>
            </w:tcBorders>
          </w:tcPr>
          <w:p>
            <w:pPr/>
          </w:p>
        </w:tc>
        <w:tc>
          <w:tcPr>
            <w:tcW w:w="136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27"/>
              <w:ind w:left="588" w:right="143" w:hanging="452"/>
              <w:jc w:val="left"/>
              <w:rPr>
                <w:rFonts w:ascii="宋体" w:hAnsi="宋体" w:cs="宋体" w:eastAsia="宋体" w:hint="default"/>
                <w:sz w:val="18"/>
                <w:szCs w:val="18"/>
              </w:rPr>
            </w:pPr>
            <w:r>
              <w:rPr>
                <w:rFonts w:ascii="宋体" w:hAnsi="宋体" w:cs="宋体" w:eastAsia="宋体" w:hint="default"/>
                <w:sz w:val="18"/>
                <w:szCs w:val="18"/>
              </w:rPr>
              <w:t>非同一控制收 购</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4"/>
        <w:spacing w:line="335" w:lineRule="exact"/>
        <w:ind w:right="1786"/>
        <w:jc w:val="left"/>
        <w:rPr>
          <w:b w:val="0"/>
          <w:bCs w:val="0"/>
        </w:rPr>
      </w:pPr>
      <w:r>
        <w:rPr>
          <w:rFonts w:ascii="Times New Roman" w:hAnsi="Times New Roman" w:cs="Times New Roman" w:eastAsia="Times New Roman" w:hint="default"/>
        </w:rPr>
        <w:t>2</w:t>
      </w:r>
      <w:r>
        <w:rPr/>
        <w:t>． </w:t>
      </w:r>
      <w:r>
        <w:rPr>
          <w:spacing w:val="7"/>
        </w:rPr>
        <w:t> </w:t>
      </w:r>
      <w:r>
        <w:rPr/>
        <w:t>重要的非全资子公司</w:t>
      </w:r>
      <w:r>
        <w:rPr>
          <w:b w:val="0"/>
          <w:bCs w:val="0"/>
        </w:rPr>
      </w:r>
    </w:p>
    <w:p>
      <w:pPr>
        <w:spacing w:after="0" w:line="335" w:lineRule="exact"/>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200" w:type="dxa"/>
        <w:tblLayout w:type="fixed"/>
        <w:tblCellMar>
          <w:top w:w="0" w:type="dxa"/>
          <w:left w:w="0" w:type="dxa"/>
          <w:bottom w:w="0" w:type="dxa"/>
          <w:right w:w="0" w:type="dxa"/>
        </w:tblCellMar>
        <w:tblLook w:val="01E0"/>
      </w:tblPr>
      <w:tblGrid>
        <w:gridCol w:w="2312"/>
        <w:gridCol w:w="1085"/>
        <w:gridCol w:w="1397"/>
        <w:gridCol w:w="1397"/>
        <w:gridCol w:w="1957"/>
      </w:tblGrid>
      <w:tr>
        <w:trPr>
          <w:trHeight w:val="569" w:hRule="exact"/>
        </w:trPr>
        <w:tc>
          <w:tcPr>
            <w:tcW w:w="231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8"/>
              <w:ind w:left="71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85"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151" w:right="86" w:hanging="65"/>
              <w:jc w:val="left"/>
              <w:rPr>
                <w:rFonts w:ascii="Arial" w:hAnsi="Arial" w:cs="Arial" w:eastAsia="Arial" w:hint="default"/>
                <w:sz w:val="18"/>
                <w:szCs w:val="18"/>
              </w:rPr>
            </w:pPr>
            <w:r>
              <w:rPr>
                <w:rFonts w:ascii="宋体" w:hAnsi="宋体" w:cs="宋体" w:eastAsia="宋体" w:hint="default"/>
                <w:sz w:val="18"/>
                <w:szCs w:val="18"/>
              </w:rPr>
              <w:t>少数股东持 股比例</w:t>
            </w:r>
            <w:r>
              <w:rPr>
                <w:rFonts w:ascii="Arial" w:hAnsi="Arial" w:cs="Arial" w:eastAsia="Arial" w:hint="default"/>
                <w:sz w:val="18"/>
                <w:szCs w:val="18"/>
              </w:rPr>
              <w:t>(%)</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331" w:right="63" w:hanging="269"/>
              <w:jc w:val="left"/>
              <w:rPr>
                <w:rFonts w:ascii="宋体" w:hAnsi="宋体" w:cs="宋体" w:eastAsia="宋体" w:hint="default"/>
                <w:sz w:val="18"/>
                <w:szCs w:val="18"/>
              </w:rPr>
            </w:pPr>
            <w:r>
              <w:rPr>
                <w:rFonts w:ascii="宋体" w:hAnsi="宋体" w:cs="宋体" w:eastAsia="宋体" w:hint="default"/>
                <w:sz w:val="18"/>
                <w:szCs w:val="18"/>
              </w:rPr>
              <w:t>本期归属于少数 股东损益</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62" w:right="62"/>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8"/>
              <w:ind w:right="77"/>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60" w:hRule="exact"/>
        </w:trPr>
        <w:tc>
          <w:tcPr>
            <w:tcW w:w="23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国盛期货有限责任公司</w:t>
            </w:r>
          </w:p>
        </w:tc>
        <w:tc>
          <w:tcPr>
            <w:tcW w:w="10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3"/>
              <w:ind w:left="657" w:right="0"/>
              <w:jc w:val="left"/>
              <w:rPr>
                <w:rFonts w:ascii="Times New Roman" w:hAnsi="Times New Roman" w:cs="Times New Roman" w:eastAsia="Times New Roman" w:hint="default"/>
                <w:sz w:val="18"/>
                <w:szCs w:val="18"/>
              </w:rPr>
            </w:pPr>
            <w:r>
              <w:rPr>
                <w:rFonts w:ascii="Times New Roman"/>
                <w:sz w:val="18"/>
              </w:rPr>
              <w:t>2.45</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3"/>
              <w:ind w:left="410" w:right="0"/>
              <w:jc w:val="left"/>
              <w:rPr>
                <w:rFonts w:ascii="Times New Roman" w:hAnsi="Times New Roman" w:cs="Times New Roman" w:eastAsia="Times New Roman" w:hint="default"/>
                <w:sz w:val="18"/>
                <w:szCs w:val="18"/>
              </w:rPr>
            </w:pPr>
            <w:r>
              <w:rPr>
                <w:rFonts w:ascii="Times New Roman"/>
                <w:sz w:val="18"/>
              </w:rPr>
              <w:t>-396,252.28</w:t>
            </w:r>
          </w:p>
        </w:tc>
        <w:tc>
          <w:tcPr>
            <w:tcW w:w="1397" w:type="dxa"/>
            <w:tcBorders>
              <w:top w:val="dotted" w:sz="4" w:space="0" w:color="000000"/>
              <w:left w:val="dotted" w:sz="4" w:space="0" w:color="000000"/>
              <w:bottom w:val="single" w:sz="12" w:space="0" w:color="000000"/>
              <w:right w:val="dotted" w:sz="4" w:space="0" w:color="000000"/>
            </w:tcBorders>
          </w:tcPr>
          <w:p>
            <w:pPr/>
          </w:p>
        </w:tc>
        <w:tc>
          <w:tcPr>
            <w:tcW w:w="19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2,490,050.10</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imes New Roman" w:hAnsi="Times New Roman" w:cs="Times New Roman" w:eastAsia="Times New Roman" w:hint="default"/>
        </w:rPr>
        <w:t>3</w:t>
      </w:r>
      <w:r>
        <w:rPr/>
        <w:t>． </w:t>
      </w:r>
      <w:r>
        <w:rPr>
          <w:spacing w:val="8"/>
        </w:rPr>
        <w:t> </w:t>
      </w:r>
      <w:r>
        <w:rPr/>
        <w:t>重要非全资子公司的主要财务信息</w:t>
      </w:r>
      <w:r>
        <w:rPr>
          <w:b w:val="0"/>
          <w:bCs w:val="0"/>
        </w:rPr>
      </w:r>
    </w:p>
    <w:p>
      <w:pPr>
        <w:pStyle w:val="BodyText"/>
        <w:spacing w:line="355" w:lineRule="auto" w:before="152"/>
        <w:ind w:left="138" w:right="1786" w:firstLine="419"/>
        <w:jc w:val="left"/>
      </w:pPr>
      <w:r>
        <w:rPr>
          <w:spacing w:val="-4"/>
          <w:w w:val="100"/>
        </w:rPr>
        <w:t>这些子公司的主要财务信息为本公司内各企业之间相互抵销前的金额，但经过了合并日</w:t>
      </w:r>
      <w:r>
        <w:rPr>
          <w:spacing w:val="-3"/>
          <w:w w:val="100"/>
        </w:rPr>
        <w:t> </w:t>
      </w:r>
      <w:r>
        <w:rPr/>
        <w:t>公允价值及统一会计政策的调整</w:t>
      </w:r>
      <w:r>
        <w:rPr>
          <w:rFonts w:ascii="Arial" w:hAnsi="Arial" w:cs="Arial" w:eastAsia="Arial" w:hint="default"/>
        </w:rPr>
        <w:t>.</w:t>
      </w:r>
      <w:r>
        <w:rPr/>
        <w:t>：</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18"/>
        <w:gridCol w:w="4909"/>
      </w:tblGrid>
      <w:tr>
        <w:trPr>
          <w:trHeight w:val="360" w:hRule="exact"/>
        </w:trPr>
        <w:tc>
          <w:tcPr>
            <w:tcW w:w="3418"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418" w:type="dxa"/>
            <w:vMerge/>
            <w:tcBorders>
              <w:left w:val="nil" w:sz="6" w:space="0" w:color="auto"/>
              <w:bottom w:val="dotted" w:sz="4" w:space="0" w:color="000000"/>
              <w:right w:val="dotted" w:sz="4" w:space="0" w:color="000000"/>
            </w:tcBorders>
          </w:tcPr>
          <w:p>
            <w:pP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548" w:right="0"/>
              <w:jc w:val="left"/>
              <w:rPr>
                <w:rFonts w:ascii="宋体" w:hAnsi="宋体" w:cs="宋体" w:eastAsia="宋体" w:hint="default"/>
                <w:sz w:val="18"/>
                <w:szCs w:val="18"/>
              </w:rPr>
            </w:pPr>
            <w:r>
              <w:rPr>
                <w:rFonts w:ascii="宋体" w:hAnsi="宋体" w:cs="宋体" w:eastAsia="宋体" w:hint="default"/>
                <w:sz w:val="18"/>
                <w:szCs w:val="18"/>
              </w:rPr>
              <w:t>国盛期货有限责任公司</w:t>
            </w:r>
          </w:p>
        </w:tc>
      </w:tr>
      <w:tr>
        <w:trPr>
          <w:trHeight w:val="350"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326,561,324.86</w:t>
            </w:r>
          </w:p>
        </w:tc>
      </w:tr>
      <w:tr>
        <w:trPr>
          <w:trHeight w:val="348"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15,509,420.12</w:t>
            </w:r>
          </w:p>
        </w:tc>
      </w:tr>
      <w:tr>
        <w:trPr>
          <w:trHeight w:val="350"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1335"/>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342,070,744.98</w:t>
            </w:r>
          </w:p>
        </w:tc>
      </w:tr>
      <w:tr>
        <w:trPr>
          <w:trHeight w:val="350"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240,436,046.95</w:t>
            </w:r>
          </w:p>
        </w:tc>
      </w:tr>
      <w:tr>
        <w:trPr>
          <w:trHeight w:val="350"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90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1335"/>
              <w:jc w:val="right"/>
              <w:rPr>
                <w:rFonts w:ascii="宋体" w:hAnsi="宋体" w:cs="宋体" w:eastAsia="宋体" w:hint="default"/>
                <w:sz w:val="18"/>
                <w:szCs w:val="18"/>
              </w:rPr>
            </w:pPr>
            <w:r>
              <w:rPr>
                <w:rFonts w:ascii="宋体" w:hAnsi="宋体" w:cs="宋体" w:eastAsia="宋体" w:hint="default"/>
                <w:sz w:val="18"/>
                <w:szCs w:val="18"/>
              </w:rPr>
              <w:t>负债合计</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240,436,046.95</w:t>
            </w:r>
          </w:p>
        </w:tc>
      </w:tr>
      <w:tr>
        <w:trPr>
          <w:trHeight w:val="350"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13,743,716.15</w:t>
            </w:r>
          </w:p>
        </w:tc>
      </w:tr>
      <w:tr>
        <w:trPr>
          <w:trHeight w:val="348"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-16,173,562.37</w:t>
            </w:r>
          </w:p>
        </w:tc>
      </w:tr>
      <w:tr>
        <w:trPr>
          <w:trHeight w:val="350" w:hRule="exact"/>
        </w:trPr>
        <w:tc>
          <w:tcPr>
            <w:tcW w:w="34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49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-16,173,562.37</w:t>
            </w:r>
          </w:p>
        </w:tc>
      </w:tr>
      <w:tr>
        <w:trPr>
          <w:trHeight w:val="362" w:hRule="exact"/>
        </w:trPr>
        <w:tc>
          <w:tcPr>
            <w:tcW w:w="34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49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83,483,986.49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375"/>
        <w:gridCol w:w="4952"/>
      </w:tblGrid>
      <w:tr>
        <w:trPr>
          <w:trHeight w:val="430" w:hRule="exact"/>
        </w:trPr>
        <w:tc>
          <w:tcPr>
            <w:tcW w:w="33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375" w:type="dxa"/>
            <w:tcBorders>
              <w:top w:val="dotted" w:sz="4" w:space="0" w:color="000000"/>
              <w:left w:val="nil" w:sz="6" w:space="0" w:color="auto"/>
              <w:bottom w:val="dotted" w:sz="4" w:space="0" w:color="000000"/>
              <w:right w:val="dotted" w:sz="4" w:space="0" w:color="000000"/>
            </w:tcBorders>
          </w:tcPr>
          <w:p>
            <w:pP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1570" w:right="0"/>
              <w:jc w:val="left"/>
              <w:rPr>
                <w:rFonts w:ascii="宋体" w:hAnsi="宋体" w:cs="宋体" w:eastAsia="宋体" w:hint="default"/>
                <w:sz w:val="18"/>
                <w:szCs w:val="18"/>
              </w:rPr>
            </w:pPr>
            <w:r>
              <w:rPr>
                <w:rFonts w:ascii="宋体" w:hAnsi="宋体" w:cs="宋体" w:eastAsia="宋体" w:hint="default"/>
                <w:sz w:val="18"/>
                <w:szCs w:val="18"/>
              </w:rPr>
              <w:t>国盛期货有限责任公司</w:t>
            </w:r>
          </w:p>
        </w:tc>
      </w:tr>
      <w:tr>
        <w:trPr>
          <w:trHeight w:val="41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239,448,815.31</w:t>
            </w:r>
          </w:p>
        </w:tc>
      </w:tr>
      <w:tr>
        <w:trPr>
          <w:trHeight w:val="41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3,989,197.83</w:t>
            </w:r>
          </w:p>
        </w:tc>
      </w:tr>
      <w:tr>
        <w:trPr>
          <w:trHeight w:val="41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right="1313"/>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pacing w:val="-1"/>
                <w:sz w:val="18"/>
              </w:rPr>
              <w:t>243,438,013.14</w:t>
            </w:r>
          </w:p>
        </w:tc>
      </w:tr>
      <w:tr>
        <w:trPr>
          <w:trHeight w:val="415"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125,629,752.74</w:t>
            </w:r>
          </w:p>
        </w:tc>
      </w:tr>
      <w:tr>
        <w:trPr>
          <w:trHeight w:val="41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95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1313"/>
              <w:jc w:val="right"/>
              <w:rPr>
                <w:rFonts w:ascii="宋体" w:hAnsi="宋体" w:cs="宋体" w:eastAsia="宋体" w:hint="default"/>
                <w:sz w:val="18"/>
                <w:szCs w:val="18"/>
              </w:rPr>
            </w:pPr>
            <w:r>
              <w:rPr>
                <w:rFonts w:ascii="宋体" w:hAnsi="宋体" w:cs="宋体" w:eastAsia="宋体" w:hint="default"/>
                <w:sz w:val="18"/>
                <w:szCs w:val="18"/>
              </w:rPr>
              <w:t>负债合计</w:t>
            </w: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125,629,752.74</w:t>
            </w:r>
          </w:p>
        </w:tc>
      </w:tr>
      <w:tr>
        <w:trPr>
          <w:trHeight w:val="41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53,040,953.57</w:t>
            </w:r>
          </w:p>
        </w:tc>
      </w:tr>
      <w:tr>
        <w:trPr>
          <w:trHeight w:val="415"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190,130.44</w:t>
            </w:r>
          </w:p>
        </w:tc>
      </w:tr>
      <w:tr>
        <w:trPr>
          <w:trHeight w:val="418" w:hRule="exact"/>
        </w:trPr>
        <w:tc>
          <w:tcPr>
            <w:tcW w:w="33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49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2,163,380.44</w:t>
            </w:r>
          </w:p>
        </w:tc>
      </w:tr>
      <w:tr>
        <w:trPr>
          <w:trHeight w:val="427" w:hRule="exact"/>
        </w:trPr>
        <w:tc>
          <w:tcPr>
            <w:tcW w:w="33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49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-7,589,733.18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178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在合营安排或联营企业中的权益</w:t>
      </w:r>
      <w:r>
        <w:rPr>
          <w:b w:val="0"/>
          <w:bCs w:val="0"/>
        </w:rPr>
      </w:r>
    </w:p>
    <w:p>
      <w:pPr>
        <w:pStyle w:val="Heading4"/>
        <w:tabs>
          <w:tab w:pos="977" w:val="left" w:leader="none"/>
        </w:tabs>
        <w:spacing w:line="240" w:lineRule="auto" w:before="83"/>
        <w:ind w:left="337" w:right="1786"/>
        <w:jc w:val="left"/>
        <w:rPr>
          <w:b w:val="0"/>
          <w:bCs w:val="0"/>
        </w:rPr>
      </w:pPr>
      <w:r>
        <w:rPr>
          <w:rFonts w:ascii="Arial" w:hAnsi="Arial" w:cs="Arial" w:eastAsia="Arial" w:hint="default"/>
        </w:rPr>
        <w:t>1</w:t>
      </w:r>
      <w:r>
        <w:rPr/>
        <w:t>．</w:t>
        <w:tab/>
        <w:t>重要的合营企业或联营企业</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634"/>
        <w:gridCol w:w="997"/>
        <w:gridCol w:w="1670"/>
        <w:gridCol w:w="1018"/>
        <w:gridCol w:w="835"/>
        <w:gridCol w:w="799"/>
        <w:gridCol w:w="1373"/>
      </w:tblGrid>
      <w:tr>
        <w:trPr>
          <w:trHeight w:val="470" w:hRule="exact"/>
        </w:trPr>
        <w:tc>
          <w:tcPr>
            <w:tcW w:w="163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32" w:lineRule="exact"/>
              <w:ind w:left="463" w:right="173" w:hanging="269"/>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997"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32" w:lineRule="exact"/>
              <w:ind w:left="403" w:right="134"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670"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18"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32" w:lineRule="exact"/>
              <w:ind w:left="324" w:right="32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63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0"/>
              <w:ind w:left="336"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373"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会计处理方法</w:t>
            </w:r>
          </w:p>
        </w:tc>
      </w:tr>
      <w:tr>
        <w:trPr>
          <w:trHeight w:val="350" w:hRule="exact"/>
        </w:trPr>
        <w:tc>
          <w:tcPr>
            <w:tcW w:w="1634" w:type="dxa"/>
            <w:vMerge/>
            <w:tcBorders>
              <w:left w:val="nil" w:sz="6" w:space="0" w:color="auto"/>
              <w:bottom w:val="dotted" w:sz="4" w:space="0" w:color="000000"/>
              <w:right w:val="dotted" w:sz="4" w:space="0" w:color="000000"/>
            </w:tcBorders>
          </w:tcPr>
          <w:p>
            <w:pPr/>
          </w:p>
        </w:tc>
        <w:tc>
          <w:tcPr>
            <w:tcW w:w="997" w:type="dxa"/>
            <w:vMerge/>
            <w:tcBorders>
              <w:left w:val="dotted" w:sz="4" w:space="0" w:color="000000"/>
              <w:bottom w:val="dotted" w:sz="4" w:space="0" w:color="000000"/>
              <w:right w:val="dotted" w:sz="4" w:space="0" w:color="000000"/>
            </w:tcBorders>
          </w:tcPr>
          <w:p>
            <w:pPr/>
          </w:p>
        </w:tc>
        <w:tc>
          <w:tcPr>
            <w:tcW w:w="1670" w:type="dxa"/>
            <w:vMerge/>
            <w:tcBorders>
              <w:left w:val="dotted" w:sz="4" w:space="0" w:color="000000"/>
              <w:bottom w:val="dotted" w:sz="4" w:space="0" w:color="000000"/>
              <w:right w:val="dotted" w:sz="4" w:space="0" w:color="000000"/>
            </w:tcBorders>
          </w:tcPr>
          <w:p>
            <w:pPr/>
          </w:p>
        </w:tc>
        <w:tc>
          <w:tcPr>
            <w:tcW w:w="1018" w:type="dxa"/>
            <w:vMerge/>
            <w:tcBorders>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230"/>
              <w:jc w:val="right"/>
              <w:rPr>
                <w:rFonts w:ascii="宋体" w:hAnsi="宋体" w:cs="宋体" w:eastAsia="宋体" w:hint="default"/>
                <w:sz w:val="18"/>
                <w:szCs w:val="18"/>
              </w:rPr>
            </w:pPr>
            <w:r>
              <w:rPr>
                <w:rFonts w:ascii="宋体" w:hAnsi="宋体" w:cs="宋体" w:eastAsia="宋体" w:hint="default"/>
                <w:sz w:val="18"/>
                <w:szCs w:val="18"/>
              </w:rPr>
              <w:t>直接</w:t>
            </w:r>
          </w:p>
        </w:tc>
        <w:tc>
          <w:tcPr>
            <w:tcW w:w="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73" w:type="dxa"/>
            <w:vMerge/>
            <w:tcBorders>
              <w:left w:val="dotted" w:sz="4" w:space="0" w:color="000000"/>
              <w:bottom w:val="dotted" w:sz="4" w:space="0" w:color="000000"/>
              <w:right w:val="nil" w:sz="6" w:space="0" w:color="auto"/>
            </w:tcBorders>
          </w:tcPr>
          <w:p>
            <w:pPr/>
          </w:p>
        </w:tc>
      </w:tr>
      <w:tr>
        <w:trPr>
          <w:trHeight w:val="710" w:hRule="exact"/>
        </w:trPr>
        <w:tc>
          <w:tcPr>
            <w:tcW w:w="1634" w:type="dxa"/>
            <w:tcBorders>
              <w:top w:val="dotted" w:sz="4" w:space="0" w:color="000000"/>
              <w:left w:val="nil" w:sz="6" w:space="0" w:color="auto"/>
              <w:bottom w:val="dotted" w:sz="4" w:space="0" w:color="000000"/>
              <w:right w:val="dotted"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江信基金管理有</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6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资本市场</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dotted" w:sz="4" w:space="0" w:color="000000"/>
              <w:left w:val="dotted" w:sz="4" w:space="0" w:color="000000"/>
              <w:bottom w:val="dotted" w:sz="4" w:space="0" w:color="000000"/>
              <w:right w:val="dotted" w:sz="4" w:space="0" w:color="000000"/>
            </w:tcBorders>
          </w:tcPr>
          <w:p>
            <w:pP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42"/>
              <w:ind w:right="4"/>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1061" w:hRule="exact"/>
        </w:trPr>
        <w:tc>
          <w:tcPr>
            <w:tcW w:w="1634" w:type="dxa"/>
            <w:tcBorders>
              <w:top w:val="dotted" w:sz="4" w:space="0" w:color="000000"/>
              <w:left w:val="nil" w:sz="6" w:space="0" w:color="auto"/>
              <w:bottom w:val="dotted" w:sz="4" w:space="0" w:color="000000"/>
              <w:right w:val="dotted"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广州仁诺互联网</w:t>
            </w:r>
          </w:p>
          <w:p>
            <w:pPr>
              <w:pStyle w:val="TableParagraph"/>
              <w:spacing w:line="357" w:lineRule="auto" w:before="115"/>
              <w:ind w:left="122" w:right="245"/>
              <w:jc w:val="left"/>
              <w:rPr>
                <w:rFonts w:ascii="宋体" w:hAnsi="宋体" w:cs="宋体" w:eastAsia="宋体" w:hint="default"/>
                <w:sz w:val="18"/>
                <w:szCs w:val="18"/>
              </w:rPr>
            </w:pPr>
            <w:r>
              <w:rPr>
                <w:rFonts w:ascii="宋体" w:hAnsi="宋体" w:cs="宋体" w:eastAsia="宋体" w:hint="default"/>
                <w:sz w:val="18"/>
                <w:szCs w:val="18"/>
              </w:rPr>
              <w:t>小额贷款有限公 司</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670" w:type="dxa"/>
            <w:tcBorders>
              <w:top w:val="dotted" w:sz="4" w:space="0" w:color="000000"/>
              <w:left w:val="dotted" w:sz="4" w:space="0" w:color="000000"/>
              <w:bottom w:val="dotted" w:sz="4"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广州市越秀区长堤</w:t>
            </w:r>
          </w:p>
          <w:p>
            <w:pPr>
              <w:pStyle w:val="TableParagraph"/>
              <w:spacing w:line="338" w:lineRule="auto" w:before="115"/>
              <w:ind w:left="103" w:right="98"/>
              <w:jc w:val="left"/>
              <w:rPr>
                <w:rFonts w:ascii="宋体" w:hAnsi="宋体" w:cs="宋体" w:eastAsia="宋体" w:hint="default"/>
                <w:sz w:val="18"/>
                <w:szCs w:val="18"/>
              </w:rPr>
            </w:pPr>
            <w:r>
              <w:rPr>
                <w:rFonts w:ascii="宋体" w:hAnsi="宋体" w:cs="宋体" w:eastAsia="宋体" w:hint="default"/>
                <w:sz w:val="18"/>
                <w:szCs w:val="18"/>
              </w:rPr>
              <w:t>大马路</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354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号第三 层</w:t>
            </w:r>
          </w:p>
        </w:tc>
        <w:tc>
          <w:tcPr>
            <w:tcW w:w="1018" w:type="dxa"/>
            <w:tcBorders>
              <w:top w:val="dotted" w:sz="4" w:space="0" w:color="000000"/>
              <w:left w:val="dotted" w:sz="4" w:space="0" w:color="000000"/>
              <w:bottom w:val="dotted" w:sz="4" w:space="0" w:color="000000"/>
              <w:right w:val="dotted" w:sz="4" w:space="0" w:color="000000"/>
            </w:tcBorders>
          </w:tcPr>
          <w:p>
            <w:pPr>
              <w:pStyle w:val="TableParagraph"/>
              <w:spacing w:line="357" w:lineRule="auto" w:before="143"/>
              <w:ind w:left="103" w:right="77"/>
              <w:jc w:val="left"/>
              <w:rPr>
                <w:rFonts w:ascii="宋体" w:hAnsi="宋体" w:cs="宋体" w:eastAsia="宋体" w:hint="default"/>
                <w:sz w:val="18"/>
                <w:szCs w:val="18"/>
              </w:rPr>
            </w:pPr>
            <w:r>
              <w:rPr>
                <w:rFonts w:ascii="宋体" w:hAnsi="宋体" w:cs="宋体" w:eastAsia="宋体" w:hint="default"/>
                <w:spacing w:val="19"/>
                <w:sz w:val="18"/>
                <w:szCs w:val="18"/>
              </w:rPr>
              <w:t>货币金融</w:t>
            </w:r>
            <w:r>
              <w:rPr>
                <w:rFonts w:ascii="宋体" w:hAnsi="宋体" w:cs="宋体" w:eastAsia="宋体" w:hint="default"/>
                <w:spacing w:val="-64"/>
                <w:sz w:val="18"/>
                <w:szCs w:val="18"/>
              </w:rPr>
              <w:t> </w:t>
            </w:r>
            <w:r>
              <w:rPr>
                <w:rFonts w:ascii="宋体" w:hAnsi="宋体" w:cs="宋体" w:eastAsia="宋体" w:hint="default"/>
                <w:sz w:val="18"/>
                <w:szCs w:val="18"/>
              </w:rPr>
              <w:t>服务</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z w:val="18"/>
              </w:rPr>
              <w:t>45.00</w:t>
            </w:r>
          </w:p>
        </w:tc>
        <w:tc>
          <w:tcPr>
            <w:tcW w:w="799" w:type="dxa"/>
            <w:tcBorders>
              <w:top w:val="dotted" w:sz="4" w:space="0" w:color="000000"/>
              <w:left w:val="dotted" w:sz="4" w:space="0" w:color="000000"/>
              <w:bottom w:val="dotted" w:sz="4" w:space="0" w:color="000000"/>
              <w:right w:val="dotted" w:sz="4" w:space="0" w:color="000000"/>
            </w:tcBorders>
          </w:tcPr>
          <w:p>
            <w:pPr/>
          </w:p>
        </w:tc>
        <w:tc>
          <w:tcPr>
            <w:tcW w:w="13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283" w:hRule="exact"/>
        </w:trPr>
        <w:tc>
          <w:tcPr>
            <w:tcW w:w="1634" w:type="dxa"/>
            <w:tcBorders>
              <w:top w:val="dotted" w:sz="4" w:space="0" w:color="000000"/>
              <w:left w:val="nil" w:sz="6" w:space="0" w:color="auto"/>
              <w:bottom w:val="nil" w:sz="6" w:space="0" w:color="auto"/>
              <w:right w:val="dotted" w:sz="4" w:space="0" w:color="000000"/>
            </w:tcBorders>
          </w:tcPr>
          <w:p>
            <w:pPr/>
          </w:p>
        </w:tc>
        <w:tc>
          <w:tcPr>
            <w:tcW w:w="997" w:type="dxa"/>
            <w:tcBorders>
              <w:top w:val="dotted" w:sz="4" w:space="0" w:color="000000"/>
              <w:left w:val="dotted" w:sz="4" w:space="0" w:color="000000"/>
              <w:bottom w:val="nil" w:sz="6" w:space="0" w:color="auto"/>
              <w:right w:val="dotted" w:sz="4" w:space="0" w:color="000000"/>
            </w:tcBorders>
          </w:tcPr>
          <w:p>
            <w:pPr/>
          </w:p>
        </w:tc>
        <w:tc>
          <w:tcPr>
            <w:tcW w:w="1670" w:type="dxa"/>
            <w:tcBorders>
              <w:top w:val="dotted" w:sz="4" w:space="0" w:color="000000"/>
              <w:left w:val="dotted" w:sz="4" w:space="0" w:color="000000"/>
              <w:bottom w:val="nil" w:sz="6" w:space="0" w:color="auto"/>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浙江省宁波市北仑</w:t>
            </w:r>
          </w:p>
        </w:tc>
        <w:tc>
          <w:tcPr>
            <w:tcW w:w="1018" w:type="dxa"/>
            <w:tcBorders>
              <w:top w:val="dotted" w:sz="4" w:space="0" w:color="000000"/>
              <w:left w:val="dotted" w:sz="4" w:space="0" w:color="000000"/>
              <w:bottom w:val="nil" w:sz="6" w:space="0" w:color="auto"/>
              <w:right w:val="dotted" w:sz="4" w:space="0" w:color="000000"/>
            </w:tcBorders>
          </w:tcPr>
          <w:p>
            <w:pPr/>
          </w:p>
        </w:tc>
        <w:tc>
          <w:tcPr>
            <w:tcW w:w="835" w:type="dxa"/>
            <w:tcBorders>
              <w:top w:val="dotted" w:sz="4" w:space="0" w:color="000000"/>
              <w:left w:val="dotted" w:sz="4" w:space="0" w:color="000000"/>
              <w:bottom w:val="nil" w:sz="6" w:space="0" w:color="auto"/>
              <w:right w:val="dotted" w:sz="4" w:space="0" w:color="000000"/>
            </w:tcBorders>
          </w:tcPr>
          <w:p>
            <w:pPr/>
          </w:p>
        </w:tc>
        <w:tc>
          <w:tcPr>
            <w:tcW w:w="799" w:type="dxa"/>
            <w:vMerge w:val="restart"/>
            <w:tcBorders>
              <w:top w:val="dotted" w:sz="4" w:space="0" w:color="000000"/>
              <w:left w:val="dotted" w:sz="4" w:space="0" w:color="000000"/>
              <w:right w:val="dotted" w:sz="4" w:space="0" w:color="000000"/>
            </w:tcBorders>
          </w:tcPr>
          <w:p>
            <w:pPr/>
          </w:p>
        </w:tc>
        <w:tc>
          <w:tcPr>
            <w:tcW w:w="1373" w:type="dxa"/>
            <w:tcBorders>
              <w:top w:val="dotted" w:sz="4" w:space="0" w:color="000000"/>
              <w:left w:val="dotted" w:sz="4" w:space="0" w:color="000000"/>
              <w:bottom w:val="nil" w:sz="6" w:space="0" w:color="auto"/>
              <w:right w:val="nil" w:sz="6" w:space="0" w:color="auto"/>
            </w:tcBorders>
          </w:tcPr>
          <w:p>
            <w:pPr/>
          </w:p>
        </w:tc>
      </w:tr>
      <w:tr>
        <w:trPr>
          <w:trHeight w:val="713" w:hRule="exact"/>
        </w:trPr>
        <w:tc>
          <w:tcPr>
            <w:tcW w:w="1634" w:type="dxa"/>
            <w:tcBorders>
              <w:top w:val="nil" w:sz="6" w:space="0" w:color="auto"/>
              <w:left w:val="nil" w:sz="6" w:space="0" w:color="auto"/>
              <w:bottom w:val="nil" w:sz="6" w:space="0" w:color="auto"/>
              <w:right w:val="dotted" w:sz="4" w:space="0" w:color="000000"/>
            </w:tcBorders>
          </w:tcPr>
          <w:p>
            <w:pPr>
              <w:pStyle w:val="TableParagraph"/>
              <w:spacing w:line="357" w:lineRule="auto" w:before="20"/>
              <w:ind w:left="122" w:right="245"/>
              <w:jc w:val="left"/>
              <w:rPr>
                <w:rFonts w:ascii="宋体" w:hAnsi="宋体" w:cs="宋体" w:eastAsia="宋体" w:hint="default"/>
                <w:sz w:val="18"/>
                <w:szCs w:val="18"/>
              </w:rPr>
            </w:pPr>
            <w:r>
              <w:rPr>
                <w:rFonts w:ascii="宋体" w:hAnsi="宋体" w:cs="宋体" w:eastAsia="宋体" w:hint="default"/>
                <w:sz w:val="18"/>
                <w:szCs w:val="18"/>
              </w:rPr>
              <w:t>宁波梅花天使投 资管理有限公司</w:t>
            </w:r>
          </w:p>
        </w:tc>
        <w:tc>
          <w:tcPr>
            <w:tcW w:w="997" w:type="dxa"/>
            <w:tcBorders>
              <w:top w:val="nil" w:sz="6" w:space="0" w:color="auto"/>
              <w:left w:val="dotted" w:sz="4" w:space="0" w:color="000000"/>
              <w:bottom w:val="nil" w:sz="6" w:space="0" w:color="auto"/>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670" w:type="dxa"/>
            <w:tcBorders>
              <w:top w:val="nil" w:sz="6" w:space="0" w:color="auto"/>
              <w:left w:val="dotted" w:sz="4" w:space="0" w:color="000000"/>
              <w:bottom w:val="nil" w:sz="6" w:space="0" w:color="auto"/>
              <w:right w:val="dotted" w:sz="4" w:space="0" w:color="000000"/>
            </w:tcBorders>
          </w:tcPr>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区梅山七星路</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88</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区</w:t>
            </w:r>
          </w:p>
        </w:tc>
        <w:tc>
          <w:tcPr>
            <w:tcW w:w="1018" w:type="dxa"/>
            <w:tcBorders>
              <w:top w:val="nil" w:sz="6" w:space="0" w:color="auto"/>
              <w:left w:val="dotted" w:sz="4" w:space="0" w:color="000000"/>
              <w:bottom w:val="nil" w:sz="6" w:space="0" w:color="auto"/>
              <w:right w:val="dotted" w:sz="4" w:space="0" w:color="000000"/>
            </w:tcBorders>
          </w:tcPr>
          <w:p>
            <w:pPr>
              <w:pStyle w:val="TableParagraph"/>
              <w:spacing w:line="357" w:lineRule="auto" w:before="20"/>
              <w:ind w:left="103" w:right="77"/>
              <w:jc w:val="left"/>
              <w:rPr>
                <w:rFonts w:ascii="宋体" w:hAnsi="宋体" w:cs="宋体" w:eastAsia="宋体" w:hint="default"/>
                <w:sz w:val="18"/>
                <w:szCs w:val="18"/>
              </w:rPr>
            </w:pPr>
            <w:r>
              <w:rPr>
                <w:rFonts w:ascii="宋体" w:hAnsi="宋体" w:cs="宋体" w:eastAsia="宋体" w:hint="default"/>
                <w:spacing w:val="19"/>
                <w:sz w:val="18"/>
                <w:szCs w:val="18"/>
              </w:rPr>
              <w:t>投资管理</w:t>
            </w:r>
            <w:r>
              <w:rPr>
                <w:rFonts w:ascii="宋体" w:hAnsi="宋体" w:cs="宋体" w:eastAsia="宋体" w:hint="default"/>
                <w:spacing w:val="-64"/>
                <w:sz w:val="18"/>
                <w:szCs w:val="18"/>
              </w:rPr>
              <w:t> </w:t>
            </w:r>
            <w:r>
              <w:rPr>
                <w:rFonts w:ascii="宋体" w:hAnsi="宋体" w:cs="宋体" w:eastAsia="宋体" w:hint="default"/>
                <w:sz w:val="18"/>
                <w:szCs w:val="18"/>
              </w:rPr>
              <w:t>服务</w:t>
            </w:r>
          </w:p>
        </w:tc>
        <w:tc>
          <w:tcPr>
            <w:tcW w:w="835" w:type="dxa"/>
            <w:tcBorders>
              <w:top w:val="nil" w:sz="6" w:space="0" w:color="auto"/>
              <w:left w:val="dotted" w:sz="4" w:space="0" w:color="000000"/>
              <w:bottom w:val="nil" w:sz="6" w:space="0" w:color="auto"/>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12.5</w:t>
            </w:r>
          </w:p>
        </w:tc>
        <w:tc>
          <w:tcPr>
            <w:tcW w:w="799" w:type="dxa"/>
            <w:vMerge/>
            <w:tcBorders>
              <w:left w:val="dotted" w:sz="4" w:space="0" w:color="000000"/>
              <w:right w:val="dotted" w:sz="4" w:space="0" w:color="000000"/>
            </w:tcBorders>
          </w:tcPr>
          <w:p>
            <w:pPr/>
          </w:p>
        </w:tc>
        <w:tc>
          <w:tcPr>
            <w:tcW w:w="1373" w:type="dxa"/>
            <w:tcBorders>
              <w:top w:val="nil" w:sz="6" w:space="0" w:color="auto"/>
              <w:left w:val="dotted" w:sz="4" w:space="0" w:color="000000"/>
              <w:bottom w:val="nil" w:sz="6" w:space="0" w:color="auto"/>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374" w:hRule="exact"/>
        </w:trPr>
        <w:tc>
          <w:tcPr>
            <w:tcW w:w="1634" w:type="dxa"/>
            <w:tcBorders>
              <w:top w:val="nil" w:sz="6" w:space="0" w:color="auto"/>
              <w:left w:val="nil" w:sz="6" w:space="0" w:color="auto"/>
              <w:bottom w:val="dotted" w:sz="4" w:space="0" w:color="000000"/>
              <w:right w:val="dotted" w:sz="4" w:space="0" w:color="000000"/>
            </w:tcBorders>
          </w:tcPr>
          <w:p>
            <w:pPr/>
          </w:p>
        </w:tc>
        <w:tc>
          <w:tcPr>
            <w:tcW w:w="997" w:type="dxa"/>
            <w:tcBorders>
              <w:top w:val="nil" w:sz="6" w:space="0" w:color="auto"/>
              <w:left w:val="dotted" w:sz="4" w:space="0" w:color="000000"/>
              <w:bottom w:val="dotted" w:sz="4" w:space="0" w:color="000000"/>
              <w:right w:val="dotted" w:sz="4" w:space="0" w:color="000000"/>
            </w:tcBorders>
          </w:tcPr>
          <w:p>
            <w:pPr/>
          </w:p>
        </w:tc>
        <w:tc>
          <w:tcPr>
            <w:tcW w:w="1670" w:type="dxa"/>
            <w:tcBorders>
              <w:top w:val="nil" w:sz="6" w:space="0" w:color="auto"/>
              <w:left w:val="dotted" w:sz="4" w:space="0" w:color="000000"/>
              <w:bottom w:val="dotted" w:sz="4" w:space="0" w:color="000000"/>
              <w:right w:val="dotted" w:sz="4" w:space="0" w:color="000000"/>
            </w:tcBorders>
          </w:tcPr>
          <w:p>
            <w:pPr>
              <w:pStyle w:val="TableParagraph"/>
              <w:spacing w:line="240" w:lineRule="auto" w:before="54"/>
              <w:ind w:left="103" w:right="0"/>
              <w:jc w:val="left"/>
              <w:rPr>
                <w:rFonts w:ascii="Times New Roman" w:hAnsi="Times New Roman" w:cs="Times New Roman" w:eastAsia="Times New Roman" w:hint="default"/>
                <w:sz w:val="18"/>
                <w:szCs w:val="18"/>
              </w:rPr>
            </w:pPr>
            <w:r>
              <w:rPr>
                <w:rFonts w:ascii="Times New Roman"/>
                <w:sz w:val="18"/>
              </w:rPr>
              <w:t>E0403</w:t>
            </w:r>
          </w:p>
        </w:tc>
        <w:tc>
          <w:tcPr>
            <w:tcW w:w="1018" w:type="dxa"/>
            <w:tcBorders>
              <w:top w:val="nil" w:sz="6" w:space="0" w:color="auto"/>
              <w:left w:val="dotted" w:sz="4" w:space="0" w:color="000000"/>
              <w:bottom w:val="dotted" w:sz="4" w:space="0" w:color="000000"/>
              <w:right w:val="dotted" w:sz="4" w:space="0" w:color="000000"/>
            </w:tcBorders>
          </w:tcPr>
          <w:p>
            <w:pPr/>
          </w:p>
        </w:tc>
        <w:tc>
          <w:tcPr>
            <w:tcW w:w="835" w:type="dxa"/>
            <w:tcBorders>
              <w:top w:val="nil" w:sz="6" w:space="0" w:color="auto"/>
              <w:left w:val="dotted" w:sz="4" w:space="0" w:color="000000"/>
              <w:bottom w:val="dotted" w:sz="4" w:space="0" w:color="000000"/>
              <w:right w:val="dotted" w:sz="4" w:space="0" w:color="000000"/>
            </w:tcBorders>
          </w:tcPr>
          <w:p>
            <w:pPr/>
          </w:p>
        </w:tc>
        <w:tc>
          <w:tcPr>
            <w:tcW w:w="799" w:type="dxa"/>
            <w:vMerge/>
            <w:tcBorders>
              <w:left w:val="dotted" w:sz="4" w:space="0" w:color="000000"/>
              <w:bottom w:val="dotted" w:sz="4" w:space="0" w:color="000000"/>
              <w:right w:val="dotted" w:sz="4" w:space="0" w:color="000000"/>
            </w:tcBorders>
          </w:tcPr>
          <w:p>
            <w:pPr/>
          </w:p>
        </w:tc>
        <w:tc>
          <w:tcPr>
            <w:tcW w:w="1373" w:type="dxa"/>
            <w:tcBorders>
              <w:top w:val="nil" w:sz="6" w:space="0" w:color="auto"/>
              <w:left w:val="dotted" w:sz="4" w:space="0" w:color="000000"/>
              <w:bottom w:val="dotted" w:sz="4" w:space="0" w:color="000000"/>
              <w:right w:val="nil" w:sz="6" w:space="0" w:color="auto"/>
            </w:tcBorders>
          </w:tcPr>
          <w:p>
            <w:pPr/>
          </w:p>
        </w:tc>
      </w:tr>
      <w:tr>
        <w:trPr>
          <w:trHeight w:val="722" w:hRule="exact"/>
        </w:trPr>
        <w:tc>
          <w:tcPr>
            <w:tcW w:w="16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Qudian</w:t>
            </w:r>
            <w:r>
              <w:rPr>
                <w:rFonts w:ascii="Times New Roman"/>
                <w:spacing w:val="-2"/>
                <w:sz w:val="18"/>
              </w:rPr>
              <w:t> </w:t>
            </w:r>
            <w:r>
              <w:rPr>
                <w:rFonts w:ascii="Times New Roman"/>
                <w:sz w:val="18"/>
              </w:rPr>
              <w:t>Inc.</w:t>
            </w:r>
          </w:p>
        </w:tc>
        <w:tc>
          <w:tcPr>
            <w:tcW w:w="9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6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Cayman</w:t>
            </w:r>
            <w:r>
              <w:rPr>
                <w:rFonts w:ascii="Times New Roman"/>
                <w:spacing w:val="-6"/>
                <w:sz w:val="18"/>
              </w:rPr>
              <w:t> </w:t>
            </w:r>
            <w:r>
              <w:rPr>
                <w:rFonts w:ascii="Times New Roman"/>
                <w:sz w:val="18"/>
              </w:rPr>
              <w:t>IsLands</w:t>
            </w:r>
          </w:p>
        </w:tc>
        <w:tc>
          <w:tcPr>
            <w:tcW w:w="1018" w:type="dxa"/>
            <w:tcBorders>
              <w:top w:val="dotted" w:sz="4" w:space="0" w:color="000000"/>
              <w:left w:val="dotted" w:sz="4" w:space="0" w:color="000000"/>
              <w:bottom w:val="single" w:sz="12" w:space="0" w:color="000000"/>
              <w:right w:val="dotted"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消费金融</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1"/>
                <w:szCs w:val="11"/>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5.03</w:t>
            </w:r>
          </w:p>
        </w:tc>
        <w:tc>
          <w:tcPr>
            <w:tcW w:w="799" w:type="dxa"/>
            <w:tcBorders>
              <w:top w:val="dotted" w:sz="4" w:space="0" w:color="000000"/>
              <w:left w:val="dotted" w:sz="4" w:space="0" w:color="000000"/>
              <w:bottom w:val="single" w:sz="12" w:space="0" w:color="000000"/>
              <w:right w:val="dotted" w:sz="4" w:space="0" w:color="000000"/>
            </w:tcBorders>
          </w:tcPr>
          <w:p>
            <w:pPr/>
          </w:p>
        </w:tc>
        <w:tc>
          <w:tcPr>
            <w:tcW w:w="13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2"/>
              <w:ind w:right="4"/>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7"/>
        <w:rPr>
          <w:rFonts w:ascii="Microsoft JhengHei" w:hAnsi="Microsoft JhengHei" w:cs="Microsoft JhengHei" w:eastAsia="Microsoft JhengHei" w:hint="default"/>
          <w:b/>
          <w:bCs/>
          <w:sz w:val="19"/>
          <w:szCs w:val="19"/>
        </w:rPr>
      </w:pPr>
    </w:p>
    <w:p>
      <w:pPr>
        <w:pStyle w:val="BodyText"/>
        <w:spacing w:line="355" w:lineRule="auto" w:before="36"/>
        <w:ind w:left="558" w:right="1799"/>
        <w:jc w:val="left"/>
        <w:rPr>
          <w:rFonts w:ascii="宋体" w:hAnsi="宋体" w:cs="宋体" w:eastAsia="宋体" w:hint="default"/>
        </w:rPr>
      </w:pPr>
      <w:r>
        <w:rPr/>
        <w:t>（</w:t>
      </w:r>
      <w:r>
        <w:rPr>
          <w:rFonts w:ascii="宋体" w:hAnsi="宋体" w:cs="宋体" w:eastAsia="宋体" w:hint="default"/>
        </w:rPr>
        <w:t>1</w:t>
      </w:r>
      <w:r>
        <w:rPr/>
        <w:t>）在合营企业或联营企业的持股比例不同于表决权比例的说明</w:t>
      </w:r>
      <w:r>
        <w:rPr>
          <w:w w:val="100"/>
        </w:rPr>
        <w:t> </w:t>
      </w:r>
      <w:r>
        <w:rPr>
          <w:spacing w:val="-4"/>
          <w:w w:val="100"/>
        </w:rPr>
        <w:t>公司在趣店的持股比例不同于表决权比例。根据趣店现行有效《公司章程》（</w:t>
      </w:r>
      <w:r>
        <w:rPr>
          <w:rFonts w:ascii="宋体" w:hAnsi="宋体" w:cs="宋体" w:eastAsia="宋体" w:hint="default"/>
          <w:spacing w:val="-4"/>
          <w:w w:val="100"/>
        </w:rPr>
        <w:t>2017</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5</w:t>
      </w:r>
    </w:p>
    <w:p>
      <w:pPr>
        <w:pStyle w:val="BodyText"/>
        <w:spacing w:line="357" w:lineRule="auto" w:before="32"/>
        <w:ind w:left="138" w:right="1964"/>
        <w:jc w:val="both"/>
      </w:pPr>
      <w:r>
        <w:rPr>
          <w:spacing w:val="-8"/>
          <w:w w:val="100"/>
        </w:rPr>
        <w:t>月审议通过），趣店已发行股本包括</w:t>
      </w:r>
      <w:r>
        <w:rPr>
          <w:spacing w:val="-52"/>
          <w:w w:val="100"/>
        </w:rPr>
        <w:t> </w:t>
      </w:r>
      <w:r>
        <w:rPr>
          <w:rFonts w:ascii="宋体" w:hAnsi="宋体" w:cs="宋体" w:eastAsia="宋体" w:hint="default"/>
          <w:w w:val="100"/>
        </w:rPr>
        <w:t>A</w:t>
      </w:r>
      <w:r>
        <w:rPr>
          <w:rFonts w:ascii="宋体" w:hAnsi="宋体" w:cs="宋体" w:eastAsia="宋体" w:hint="default"/>
          <w:spacing w:val="-54"/>
          <w:w w:val="100"/>
        </w:rPr>
        <w:t> </w:t>
      </w:r>
      <w:r>
        <w:rPr>
          <w:spacing w:val="-2"/>
          <w:w w:val="100"/>
        </w:rPr>
        <w:t>类和</w:t>
      </w:r>
      <w:r>
        <w:rPr>
          <w:spacing w:val="-52"/>
          <w:w w:val="100"/>
        </w:rPr>
        <w:t> </w:t>
      </w:r>
      <w:r>
        <w:rPr>
          <w:rFonts w:ascii="宋体" w:hAnsi="宋体" w:cs="宋体" w:eastAsia="宋体" w:hint="default"/>
          <w:w w:val="100"/>
        </w:rPr>
        <w:t>B</w:t>
      </w:r>
      <w:r>
        <w:rPr>
          <w:rFonts w:ascii="宋体" w:hAnsi="宋体" w:cs="宋体" w:eastAsia="宋体" w:hint="default"/>
          <w:spacing w:val="-52"/>
          <w:w w:val="100"/>
        </w:rPr>
        <w:t> </w:t>
      </w:r>
      <w:r>
        <w:rPr>
          <w:spacing w:val="-2"/>
          <w:w w:val="100"/>
        </w:rPr>
        <w:t>类普通股，</w:t>
      </w:r>
      <w:r>
        <w:rPr>
          <w:spacing w:val="1"/>
          <w:w w:val="100"/>
        </w:rPr>
        <w:t> </w:t>
      </w:r>
      <w:r>
        <w:rPr>
          <w:rFonts w:ascii="宋体" w:hAnsi="宋体" w:cs="宋体" w:eastAsia="宋体" w:hint="default"/>
          <w:w w:val="100"/>
        </w:rPr>
        <w:t>B</w:t>
      </w:r>
      <w:r>
        <w:rPr>
          <w:rFonts w:ascii="宋体" w:hAnsi="宋体" w:cs="宋体" w:eastAsia="宋体" w:hint="default"/>
          <w:spacing w:val="-52"/>
          <w:w w:val="100"/>
        </w:rPr>
        <w:t> </w:t>
      </w:r>
      <w:r>
        <w:rPr>
          <w:spacing w:val="-2"/>
          <w:w w:val="100"/>
        </w:rPr>
        <w:t>类普通股有权按每股十票进行</w:t>
      </w:r>
      <w:r>
        <w:rPr>
          <w:w w:val="100"/>
        </w:rPr>
        <w:t> </w:t>
      </w:r>
      <w:r>
        <w:rPr/>
        <w:t>表决，</w:t>
      </w:r>
      <w:r>
        <w:rPr>
          <w:spacing w:val="-1"/>
        </w:rPr>
        <w:t> </w:t>
      </w:r>
      <w:r>
        <w:rPr>
          <w:rFonts w:ascii="宋体" w:hAnsi="宋体" w:cs="宋体" w:eastAsia="宋体" w:hint="default"/>
        </w:rPr>
        <w:t>A</w:t>
      </w:r>
      <w:r>
        <w:rPr>
          <w:rFonts w:ascii="宋体" w:hAnsi="宋体" w:cs="宋体" w:eastAsia="宋体" w:hint="default"/>
          <w:spacing w:val="-55"/>
        </w:rPr>
        <w:t> </w:t>
      </w:r>
      <w:r>
        <w:rPr/>
        <w:t>类普通股按每股一票进行表决。于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日，公司间接持有趣店</w:t>
      </w:r>
      <w:r>
        <w:rPr>
          <w:spacing w:val="-52"/>
        </w:rPr>
        <w:t> </w:t>
      </w:r>
      <w:r>
        <w:rPr>
          <w:rFonts w:ascii="宋体" w:hAnsi="宋体" w:cs="宋体" w:eastAsia="宋体" w:hint="default"/>
        </w:rPr>
        <w:t>A</w:t>
      </w:r>
      <w:r>
        <w:rPr>
          <w:rFonts w:ascii="宋体" w:hAnsi="宋体" w:cs="宋体" w:eastAsia="宋体" w:hint="default"/>
          <w:spacing w:val="-55"/>
        </w:rPr>
        <w:t> </w:t>
      </w:r>
      <w:r>
        <w:rPr/>
        <w:t>类</w:t>
      </w:r>
      <w:r>
        <w:rPr>
          <w:w w:val="100"/>
        </w:rPr>
        <w:t> </w:t>
      </w:r>
      <w:r>
        <w:rPr/>
        <w:t>普通股</w:t>
      </w:r>
      <w:r>
        <w:rPr>
          <w:spacing w:val="-55"/>
        </w:rPr>
        <w:t> </w:t>
      </w:r>
      <w:r>
        <w:rPr>
          <w:rFonts w:ascii="宋体" w:hAnsi="宋体" w:cs="宋体" w:eastAsia="宋体" w:hint="default"/>
        </w:rPr>
        <w:t>1,277</w:t>
      </w:r>
      <w:r>
        <w:rPr>
          <w:rFonts w:ascii="宋体" w:hAnsi="宋体" w:cs="宋体" w:eastAsia="宋体" w:hint="default"/>
          <w:spacing w:val="-55"/>
        </w:rPr>
        <w:t> </w:t>
      </w:r>
      <w:r>
        <w:rPr/>
        <w:t>万股，占总股本的比例为</w:t>
      </w:r>
      <w:r>
        <w:rPr>
          <w:spacing w:val="-54"/>
        </w:rPr>
        <w:t> </w:t>
      </w:r>
      <w:r>
        <w:rPr>
          <w:rFonts w:ascii="宋体" w:hAnsi="宋体" w:cs="宋体" w:eastAsia="宋体" w:hint="default"/>
        </w:rPr>
        <w:t>5.03%</w:t>
      </w:r>
      <w:r>
        <w:rPr/>
        <w:t>，享有趣店股东大会</w:t>
      </w:r>
      <w:r>
        <w:rPr>
          <w:spacing w:val="-55"/>
        </w:rPr>
        <w:t> </w:t>
      </w:r>
      <w:r>
        <w:rPr>
          <w:rFonts w:ascii="宋体" w:hAnsi="宋体" w:cs="宋体" w:eastAsia="宋体" w:hint="default"/>
        </w:rPr>
        <w:t>1.55%</w:t>
      </w:r>
      <w:r>
        <w:rPr/>
        <w:t>的表决权。</w:t>
      </w:r>
    </w:p>
    <w:p>
      <w:pPr>
        <w:pStyle w:val="BodyText"/>
        <w:spacing w:line="357" w:lineRule="auto" w:before="30"/>
        <w:ind w:left="138" w:right="1791" w:firstLine="419"/>
        <w:jc w:val="both"/>
      </w:pP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日，香港投资与趣店控股股东</w:t>
      </w:r>
      <w:r>
        <w:rPr>
          <w:spacing w:val="-52"/>
        </w:rPr>
        <w:t> </w:t>
      </w:r>
      <w:r>
        <w:rPr>
          <w:rFonts w:ascii="宋体" w:hAnsi="宋体" w:cs="宋体" w:eastAsia="宋体" w:hint="default"/>
        </w:rPr>
        <w:t>Qufenqi</w:t>
      </w:r>
      <w:r>
        <w:rPr>
          <w:rFonts w:ascii="宋体" w:hAnsi="宋体" w:cs="宋体" w:eastAsia="宋体" w:hint="default"/>
          <w:spacing w:val="-19"/>
        </w:rPr>
        <w:t> </w:t>
      </w:r>
      <w:r>
        <w:rPr>
          <w:rFonts w:ascii="宋体" w:hAnsi="宋体" w:cs="宋体" w:eastAsia="宋体" w:hint="default"/>
        </w:rPr>
        <w:t>Holding</w:t>
      </w:r>
      <w:r>
        <w:rPr>
          <w:rFonts w:ascii="宋体" w:hAnsi="宋体" w:cs="宋体" w:eastAsia="宋体" w:hint="default"/>
          <w:spacing w:val="-19"/>
        </w:rPr>
        <w:t> </w:t>
      </w:r>
      <w:r>
        <w:rPr>
          <w:rFonts w:ascii="宋体" w:hAnsi="宋体" w:cs="宋体" w:eastAsia="宋体" w:hint="default"/>
        </w:rPr>
        <w:t>Limited</w:t>
      </w:r>
      <w:r>
        <w:rPr>
          <w:rFonts w:ascii="宋体" w:hAnsi="宋体" w:cs="宋体" w:eastAsia="宋体" w:hint="default"/>
          <w:spacing w:val="-53"/>
        </w:rPr>
        <w:t> </w:t>
      </w:r>
      <w:r>
        <w:rPr/>
        <w:t>签署协议，取</w:t>
      </w:r>
      <w:r>
        <w:rPr>
          <w:w w:val="100"/>
        </w:rPr>
        <w:t> </w:t>
      </w:r>
      <w:r>
        <w:rPr/>
        <w:t>得其持有的</w:t>
      </w:r>
      <w:r>
        <w:rPr>
          <w:spacing w:val="-43"/>
        </w:rPr>
        <w:t> </w:t>
      </w:r>
      <w:r>
        <w:rPr>
          <w:rFonts w:ascii="宋体" w:hAnsi="宋体" w:cs="宋体" w:eastAsia="宋体" w:hint="default"/>
        </w:rPr>
        <w:t>4,125,698</w:t>
      </w:r>
      <w:r>
        <w:rPr>
          <w:rFonts w:ascii="宋体" w:hAnsi="宋体" w:cs="宋体" w:eastAsia="宋体" w:hint="default"/>
          <w:spacing w:val="-45"/>
        </w:rPr>
        <w:t> </w:t>
      </w:r>
      <w:r>
        <w:rPr/>
        <w:t>股</w:t>
      </w:r>
      <w:r>
        <w:rPr>
          <w:spacing w:val="-45"/>
        </w:rPr>
        <w:t> </w:t>
      </w:r>
      <w:r>
        <w:rPr>
          <w:rFonts w:ascii="宋体" w:hAnsi="宋体" w:cs="宋体" w:eastAsia="宋体" w:hint="default"/>
        </w:rPr>
        <w:t>B</w:t>
      </w:r>
      <w:r>
        <w:rPr>
          <w:rFonts w:ascii="宋体" w:hAnsi="宋体" w:cs="宋体" w:eastAsia="宋体" w:hint="default"/>
          <w:spacing w:val="-43"/>
        </w:rPr>
        <w:t> </w:t>
      </w:r>
      <w:r>
        <w:rPr>
          <w:spacing w:val="-5"/>
        </w:rPr>
        <w:t>类普通股的表决权代理。截止本报告出具日，公司间接持有趣店</w:t>
      </w:r>
      <w:r>
        <w:rPr>
          <w:spacing w:val="-101"/>
        </w:rPr>
        <w:t> </w:t>
      </w:r>
      <w:r>
        <w:rPr>
          <w:spacing w:val="-101"/>
        </w:rPr>
      </w:r>
      <w:r>
        <w:rPr>
          <w:rFonts w:ascii="宋体" w:hAnsi="宋体" w:cs="宋体" w:eastAsia="宋体" w:hint="default"/>
        </w:rPr>
        <w:t>A</w:t>
      </w:r>
      <w:r>
        <w:rPr>
          <w:rFonts w:ascii="宋体" w:hAnsi="宋体" w:cs="宋体" w:eastAsia="宋体" w:hint="default"/>
          <w:spacing w:val="-47"/>
        </w:rPr>
        <w:t> </w:t>
      </w:r>
      <w:r>
        <w:rPr/>
        <w:t>类普通股</w:t>
      </w:r>
      <w:r>
        <w:rPr>
          <w:spacing w:val="-49"/>
        </w:rPr>
        <w:t> </w:t>
      </w:r>
      <w:r>
        <w:rPr>
          <w:rFonts w:ascii="宋体" w:hAnsi="宋体" w:cs="宋体" w:eastAsia="宋体" w:hint="default"/>
        </w:rPr>
        <w:t>1,277</w:t>
      </w:r>
      <w:r>
        <w:rPr>
          <w:rFonts w:ascii="宋体" w:hAnsi="宋体" w:cs="宋体" w:eastAsia="宋体" w:hint="default"/>
          <w:spacing w:val="-47"/>
        </w:rPr>
        <w:t> </w:t>
      </w:r>
      <w:r>
        <w:rPr>
          <w:spacing w:val="-8"/>
        </w:rPr>
        <w:t>万股，占其总股本的比例为</w:t>
      </w:r>
      <w:r>
        <w:rPr>
          <w:spacing w:val="-45"/>
        </w:rPr>
        <w:t> </w:t>
      </w:r>
      <w:r>
        <w:rPr>
          <w:rFonts w:ascii="宋体" w:hAnsi="宋体" w:cs="宋体" w:eastAsia="宋体" w:hint="default"/>
          <w:spacing w:val="-6"/>
        </w:rPr>
        <w:t>5.03%</w:t>
      </w:r>
      <w:r>
        <w:rPr>
          <w:spacing w:val="-6"/>
        </w:rPr>
        <w:t>，可以行使其股东大会</w:t>
      </w:r>
      <w:r>
        <w:rPr>
          <w:spacing w:val="-47"/>
        </w:rPr>
        <w:t> </w:t>
      </w:r>
      <w:r>
        <w:rPr>
          <w:rFonts w:ascii="宋体" w:hAnsi="宋体" w:cs="宋体" w:eastAsia="宋体" w:hint="default"/>
        </w:rPr>
        <w:t>6.55%</w:t>
      </w:r>
      <w:r>
        <w:rPr/>
        <w:t>的表决权，</w:t>
      </w:r>
      <w:r>
        <w:rPr>
          <w:spacing w:val="-103"/>
        </w:rPr>
        <w:t> </w:t>
      </w:r>
      <w:r>
        <w:rPr>
          <w:spacing w:val="-103"/>
        </w:rPr>
      </w:r>
      <w:r>
        <w:rPr/>
        <w:t>并享有其六分之一的董事会席位。</w:t>
      </w:r>
    </w:p>
    <w:p>
      <w:pPr>
        <w:pStyle w:val="BodyText"/>
        <w:spacing w:line="240" w:lineRule="auto" w:before="30"/>
        <w:ind w:left="558" w:right="1786"/>
        <w:jc w:val="left"/>
      </w:pPr>
      <w:r>
        <w:rPr/>
        <w:t>（</w:t>
      </w:r>
      <w:r>
        <w:rPr>
          <w:rFonts w:ascii="宋体" w:hAnsi="宋体" w:cs="宋体" w:eastAsia="宋体" w:hint="default"/>
        </w:rPr>
        <w:t>2</w:t>
      </w:r>
      <w:r>
        <w:rPr/>
        <w:t>）持有</w:t>
      </w:r>
      <w:r>
        <w:rPr>
          <w:spacing w:val="-58"/>
        </w:rPr>
        <w:t> </w:t>
      </w:r>
      <w:r>
        <w:rPr>
          <w:rFonts w:ascii="宋体" w:hAnsi="宋体" w:cs="宋体" w:eastAsia="宋体" w:hint="default"/>
        </w:rPr>
        <w:t>20%</w:t>
      </w:r>
      <w:r>
        <w:rPr/>
        <w:t>以下表决权但具有重大影响的判断依据</w:t>
      </w:r>
    </w:p>
    <w:p>
      <w:pPr>
        <w:pStyle w:val="BodyText"/>
        <w:spacing w:line="240" w:lineRule="auto" w:before="133"/>
        <w:ind w:left="558" w:right="1578"/>
        <w:jc w:val="left"/>
      </w:pPr>
      <w:r>
        <w:rPr/>
        <w:t>①截至</w:t>
      </w:r>
      <w:r>
        <w:rPr>
          <w:spacing w:val="-15"/>
        </w:rPr>
        <w:t> </w:t>
      </w:r>
      <w:r>
        <w:rPr>
          <w:rFonts w:ascii="宋体" w:hAnsi="宋体" w:cs="宋体" w:eastAsia="宋体" w:hint="default"/>
        </w:rPr>
        <w:t>2019</w:t>
      </w:r>
      <w:r>
        <w:rPr>
          <w:rFonts w:ascii="宋体" w:hAnsi="宋体" w:cs="宋体" w:eastAsia="宋体" w:hint="default"/>
          <w:spacing w:val="-18"/>
        </w:rPr>
        <w:t> </w:t>
      </w:r>
      <w:r>
        <w:rPr/>
        <w:t>年</w:t>
      </w:r>
      <w:r>
        <w:rPr>
          <w:spacing w:val="-15"/>
        </w:rPr>
        <w:t> </w:t>
      </w:r>
      <w:r>
        <w:rPr>
          <w:rFonts w:ascii="宋体" w:hAnsi="宋体" w:cs="宋体" w:eastAsia="宋体" w:hint="default"/>
        </w:rPr>
        <w:t>12</w:t>
      </w:r>
      <w:r>
        <w:rPr>
          <w:rFonts w:ascii="宋体" w:hAnsi="宋体" w:cs="宋体" w:eastAsia="宋体" w:hint="default"/>
          <w:spacing w:val="-17"/>
        </w:rPr>
        <w:t> </w:t>
      </w:r>
      <w:r>
        <w:rPr/>
        <w:t>月</w:t>
      </w:r>
      <w:r>
        <w:rPr>
          <w:spacing w:val="-15"/>
        </w:rPr>
        <w:t> </w:t>
      </w:r>
      <w:r>
        <w:rPr>
          <w:rFonts w:ascii="宋体" w:hAnsi="宋体" w:cs="宋体" w:eastAsia="宋体" w:hint="default"/>
        </w:rPr>
        <w:t>31</w:t>
      </w:r>
      <w:r>
        <w:rPr>
          <w:rFonts w:ascii="宋体" w:hAnsi="宋体" w:cs="宋体" w:eastAsia="宋体" w:hint="default"/>
          <w:spacing w:val="-18"/>
        </w:rPr>
        <w:t> </w:t>
      </w:r>
      <w:r>
        <w:rPr/>
        <w:t>日止，深圳投资对珠海凡泰极客科技有限责任公司持股比例</w:t>
      </w:r>
    </w:p>
    <w:p>
      <w:pPr>
        <w:pStyle w:val="BodyText"/>
        <w:spacing w:line="240" w:lineRule="auto" w:before="133"/>
        <w:ind w:left="138" w:right="0"/>
        <w:jc w:val="both"/>
      </w:pPr>
      <w:r>
        <w:rPr>
          <w:rFonts w:ascii="宋体" w:hAnsi="宋体" w:cs="宋体" w:eastAsia="宋体" w:hint="default"/>
        </w:rPr>
        <w:t>10%</w:t>
      </w:r>
      <w:r>
        <w:rPr/>
        <w:t>，该公司董事会</w:t>
      </w:r>
      <w:r>
        <w:rPr>
          <w:spacing w:val="-56"/>
        </w:rPr>
        <w:t> </w:t>
      </w:r>
      <w:r>
        <w:rPr>
          <w:rFonts w:ascii="宋体" w:hAnsi="宋体" w:cs="宋体" w:eastAsia="宋体" w:hint="default"/>
        </w:rPr>
        <w:t>3</w:t>
      </w:r>
      <w:r>
        <w:rPr>
          <w:rFonts w:ascii="宋体" w:hAnsi="宋体" w:cs="宋体" w:eastAsia="宋体" w:hint="default"/>
          <w:spacing w:val="-54"/>
        </w:rPr>
        <w:t> </w:t>
      </w:r>
      <w:r>
        <w:rPr/>
        <w:t>人，国盛前海向其委派</w:t>
      </w:r>
      <w:r>
        <w:rPr>
          <w:spacing w:val="-53"/>
        </w:rPr>
        <w:t> </w:t>
      </w:r>
      <w:r>
        <w:rPr>
          <w:rFonts w:ascii="宋体" w:hAnsi="宋体" w:cs="宋体" w:eastAsia="宋体" w:hint="default"/>
        </w:rPr>
        <w:t>1</w:t>
      </w:r>
      <w:r>
        <w:rPr>
          <w:rFonts w:ascii="宋体" w:hAnsi="宋体" w:cs="宋体" w:eastAsia="宋体" w:hint="default"/>
          <w:spacing w:val="-56"/>
        </w:rPr>
        <w:t> </w:t>
      </w:r>
      <w:r>
        <w:rPr/>
        <w:t>名董事，具有重大影响；</w:t>
      </w:r>
    </w:p>
    <w:p>
      <w:pPr>
        <w:pStyle w:val="BodyText"/>
        <w:spacing w:line="357" w:lineRule="auto" w:before="133"/>
        <w:ind w:left="138" w:right="1788" w:firstLine="419"/>
        <w:jc w:val="both"/>
      </w:pPr>
      <w:r>
        <w:rPr/>
        <w:t>②深圳投资对宁波梅花天使投资管理有限公司持股比例</w:t>
      </w:r>
      <w:r>
        <w:rPr>
          <w:spacing w:val="-48"/>
        </w:rPr>
        <w:t> </w:t>
      </w:r>
      <w:r>
        <w:rPr>
          <w:rFonts w:ascii="宋体" w:hAnsi="宋体" w:cs="宋体" w:eastAsia="宋体" w:hint="default"/>
          <w:spacing w:val="-3"/>
        </w:rPr>
        <w:t>12.5%</w:t>
      </w:r>
      <w:r>
        <w:rPr>
          <w:spacing w:val="-3"/>
        </w:rPr>
        <w:t>，该公司董事会</w:t>
      </w:r>
      <w:r>
        <w:rPr>
          <w:spacing w:val="-48"/>
        </w:rPr>
        <w:t> </w:t>
      </w:r>
      <w:r>
        <w:rPr>
          <w:rFonts w:ascii="宋体" w:hAnsi="宋体" w:cs="宋体" w:eastAsia="宋体" w:hint="default"/>
        </w:rPr>
        <w:t>3</w:t>
      </w:r>
      <w:r>
        <w:rPr>
          <w:rFonts w:ascii="宋体" w:hAnsi="宋体" w:cs="宋体" w:eastAsia="宋体" w:hint="default"/>
          <w:spacing w:val="-49"/>
        </w:rPr>
        <w:t> </w:t>
      </w:r>
      <w:r>
        <w:rPr>
          <w:spacing w:val="-8"/>
        </w:rPr>
        <w:t>人，国</w:t>
      </w:r>
      <w:r>
        <w:rPr>
          <w:w w:val="100"/>
        </w:rPr>
        <w:t> </w:t>
      </w:r>
      <w:r>
        <w:rPr/>
        <w:t>盛前海向其委派</w:t>
      </w:r>
      <w:r>
        <w:rPr>
          <w:spacing w:val="-54"/>
        </w:rPr>
        <w:t> </w:t>
      </w:r>
      <w:r>
        <w:rPr>
          <w:rFonts w:ascii="宋体" w:hAnsi="宋体" w:cs="宋体" w:eastAsia="宋体" w:hint="default"/>
        </w:rPr>
        <w:t>1</w:t>
      </w:r>
      <w:r>
        <w:rPr>
          <w:rFonts w:ascii="宋体" w:hAnsi="宋体" w:cs="宋体" w:eastAsia="宋体" w:hint="default"/>
          <w:spacing w:val="-54"/>
        </w:rPr>
        <w:t> </w:t>
      </w:r>
      <w:r>
        <w:rPr/>
        <w:t>名董事，具有重大影响；</w:t>
      </w:r>
    </w:p>
    <w:p>
      <w:pPr>
        <w:pStyle w:val="BodyText"/>
        <w:spacing w:line="355" w:lineRule="auto" w:before="30"/>
        <w:ind w:left="138" w:right="1788" w:firstLine="419"/>
        <w:jc w:val="both"/>
      </w:pPr>
      <w:r>
        <w:rPr>
          <w:spacing w:val="-3"/>
        </w:rPr>
        <w:t>③深圳投资对沿海惠融科技（北京）有限公司持股比例</w:t>
      </w:r>
      <w:r>
        <w:rPr>
          <w:spacing w:val="-31"/>
        </w:rPr>
        <w:t> </w:t>
      </w:r>
      <w:r>
        <w:rPr>
          <w:rFonts w:ascii="宋体" w:hAnsi="宋体" w:cs="宋体" w:eastAsia="宋体" w:hint="default"/>
          <w:spacing w:val="-3"/>
        </w:rPr>
        <w:t>10%</w:t>
      </w:r>
      <w:r>
        <w:rPr>
          <w:spacing w:val="-3"/>
        </w:rPr>
        <w:t>，该公司董事会</w:t>
      </w:r>
      <w:r>
        <w:rPr>
          <w:spacing w:val="-34"/>
        </w:rPr>
        <w:t> </w:t>
      </w:r>
      <w:r>
        <w:rPr>
          <w:rFonts w:ascii="宋体" w:hAnsi="宋体" w:cs="宋体" w:eastAsia="宋体" w:hint="default"/>
        </w:rPr>
        <w:t>3</w:t>
      </w:r>
      <w:r>
        <w:rPr>
          <w:rFonts w:ascii="宋体" w:hAnsi="宋体" w:cs="宋体" w:eastAsia="宋体" w:hint="default"/>
          <w:spacing w:val="-31"/>
        </w:rPr>
        <w:t> </w:t>
      </w:r>
      <w:r>
        <w:rPr>
          <w:spacing w:val="-4"/>
        </w:rPr>
        <w:t>人，国盛</w:t>
      </w:r>
      <w:r>
        <w:rPr>
          <w:w w:val="100"/>
        </w:rPr>
        <w:t> </w:t>
      </w:r>
      <w:r>
        <w:rPr/>
        <w:t>前海向其委派</w:t>
      </w:r>
      <w:r>
        <w:rPr>
          <w:spacing w:val="-52"/>
        </w:rPr>
        <w:t> </w:t>
      </w:r>
      <w:r>
        <w:rPr>
          <w:rFonts w:ascii="宋体" w:hAnsi="宋体" w:cs="宋体" w:eastAsia="宋体" w:hint="default"/>
        </w:rPr>
        <w:t>1</w:t>
      </w:r>
      <w:r>
        <w:rPr>
          <w:rFonts w:ascii="宋体" w:hAnsi="宋体" w:cs="宋体" w:eastAsia="宋体" w:hint="default"/>
          <w:spacing w:val="-54"/>
        </w:rPr>
        <w:t> </w:t>
      </w:r>
      <w:r>
        <w:rPr/>
        <w:t>名董事，具有重大影响。</w:t>
      </w:r>
    </w:p>
    <w:p>
      <w:pPr>
        <w:pStyle w:val="BodyText"/>
        <w:spacing w:line="355" w:lineRule="auto" w:before="32"/>
        <w:ind w:left="138" w:right="1788" w:firstLine="419"/>
        <w:jc w:val="both"/>
      </w:pPr>
      <w:r>
        <w:rPr/>
        <w:t>④香港投资对</w:t>
      </w:r>
      <w:r>
        <w:rPr>
          <w:spacing w:val="-54"/>
        </w:rPr>
        <w:t> </w:t>
      </w:r>
      <w:r>
        <w:rPr>
          <w:rFonts w:ascii="宋体" w:hAnsi="宋体" w:cs="宋体" w:eastAsia="宋体" w:hint="default"/>
        </w:rPr>
        <w:t>Qudian</w:t>
      </w:r>
      <w:r>
        <w:rPr>
          <w:rFonts w:ascii="宋体" w:hAnsi="宋体" w:cs="宋体" w:eastAsia="宋体" w:hint="default"/>
          <w:spacing w:val="15"/>
        </w:rPr>
        <w:t> </w:t>
      </w:r>
      <w:r>
        <w:rPr>
          <w:rFonts w:ascii="宋体" w:hAnsi="宋体" w:cs="宋体" w:eastAsia="宋体" w:hint="default"/>
        </w:rPr>
        <w:t>Inc</w:t>
      </w:r>
      <w:r>
        <w:rPr>
          <w:rFonts w:ascii="宋体" w:hAnsi="宋体" w:cs="宋体" w:eastAsia="宋体" w:hint="default"/>
          <w:spacing w:val="-56"/>
        </w:rPr>
        <w:t> </w:t>
      </w:r>
      <w:r>
        <w:rPr/>
        <w:t>投资的相关事项详见本附注十五（七）其他对投资者决策有</w:t>
      </w:r>
      <w:r>
        <w:rPr>
          <w:w w:val="100"/>
        </w:rPr>
        <w:t> </w:t>
      </w:r>
      <w:r>
        <w:rPr>
          <w:spacing w:val="-2"/>
          <w:w w:val="100"/>
        </w:rPr>
        <w:t>影响的重要交易和事项之</w:t>
      </w:r>
      <w:r>
        <w:rPr>
          <w:spacing w:val="-47"/>
          <w:w w:val="100"/>
        </w:rPr>
        <w:t> </w:t>
      </w:r>
      <w:r>
        <w:rPr>
          <w:rFonts w:ascii="宋体" w:hAnsi="宋体" w:cs="宋体" w:eastAsia="宋体" w:hint="default"/>
          <w:spacing w:val="-10"/>
          <w:w w:val="100"/>
        </w:rPr>
        <w:t>2</w:t>
      </w:r>
      <w:r>
        <w:rPr>
          <w:spacing w:val="-10"/>
          <w:w w:val="100"/>
        </w:rPr>
        <w:t>、趣店核算方法转换。。</w:t>
      </w:r>
    </w:p>
    <w:p>
      <w:pPr>
        <w:spacing w:after="0" w:line="355" w:lineRule="auto"/>
        <w:jc w:val="both"/>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57" w:lineRule="auto"/>
        <w:ind w:left="638" w:right="4579"/>
        <w:jc w:val="left"/>
      </w:pPr>
      <w:r>
        <w:rPr/>
        <w:t>（</w:t>
      </w:r>
      <w:r>
        <w:rPr>
          <w:rFonts w:ascii="宋体" w:hAnsi="宋体" w:cs="宋体" w:eastAsia="宋体" w:hint="default"/>
        </w:rPr>
        <w:t>3</w:t>
      </w:r>
      <w:r>
        <w:rPr/>
        <w:t>）持有</w:t>
      </w:r>
      <w:r>
        <w:rPr>
          <w:spacing w:val="-56"/>
        </w:rPr>
        <w:t> </w:t>
      </w:r>
      <w:r>
        <w:rPr>
          <w:rFonts w:ascii="宋体" w:hAnsi="宋体" w:cs="宋体" w:eastAsia="宋体" w:hint="default"/>
        </w:rPr>
        <w:t>20%</w:t>
      </w:r>
      <w:r>
        <w:rPr/>
        <w:t>或以上表决权但不具有重大影响的依据。</w:t>
      </w:r>
      <w:r>
        <w:rPr>
          <w:w w:val="100"/>
        </w:rPr>
        <w:t> </w:t>
      </w:r>
      <w:r>
        <w:rPr/>
        <w:t>本期无此事项</w:t>
      </w:r>
    </w:p>
    <w:p>
      <w:pPr>
        <w:spacing w:line="240" w:lineRule="auto" w:before="9"/>
        <w:rPr>
          <w:rFonts w:ascii="宋体" w:hAnsi="宋体" w:cs="宋体" w:eastAsia="宋体" w:hint="default"/>
          <w:sz w:val="5"/>
          <w:szCs w:val="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16.55pt;height:.5pt;mso-position-horizontal-relative:char;mso-position-vertical-relative:line" coordorigin="0,0" coordsize="331,10">
            <v:group style="position:absolute;left:5;top:5;width:322;height:2" coordorigin="5,5" coordsize="322,2">
              <v:shape style="position:absolute;left:5;top:5;width:322;height:2" coordorigin="5,5" coordsize="322,0" path="m5,5l326,5e" filled="false" stroked="true" strokeweight=".48pt" strokecolor="#000000">
                <v:path arrowok="t"/>
                <v:stroke dashstyle="dash"/>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3"/>
          <w:szCs w:val="23"/>
        </w:rPr>
      </w:pPr>
    </w:p>
    <w:p>
      <w:pPr>
        <w:pStyle w:val="Heading4"/>
        <w:spacing w:line="240" w:lineRule="auto"/>
        <w:ind w:left="640" w:right="4579"/>
        <w:jc w:val="left"/>
        <w:rPr>
          <w:b w:val="0"/>
          <w:bCs w:val="0"/>
        </w:rPr>
      </w:pPr>
      <w:r>
        <w:rPr/>
        <w:pict>
          <v:group style="position:absolute;margin-left:263.450012pt;margin-top:50.284451pt;width:.5pt;height:.1pt;mso-position-horizontal-relative:page;mso-position-vertical-relative:paragraph;z-index:-1327576" coordorigin="5269,1006" coordsize="10,2">
            <v:shape style="position:absolute;left:5269;top:1006;width:10;height:2" coordorigin="5269,1006" coordsize="10,0" path="m5269,1006l5279,1006e" filled="false" stroked="true" strokeweight=".72pt" strokecolor="#000000">
              <v:path arrowok="t"/>
              <v:stroke dashstyle="dash"/>
            </v:shape>
            <w10:wrap type="none"/>
          </v:group>
        </w:pict>
      </w:r>
      <w:r>
        <w:rPr/>
        <w:pict>
          <v:group style="position:absolute;margin-left:347.230011pt;margin-top:50.284451pt;width:.5pt;height:.1pt;mso-position-horizontal-relative:page;mso-position-vertical-relative:paragraph;z-index:-1327552" coordorigin="6945,1006" coordsize="10,2">
            <v:shape style="position:absolute;left:6945;top:1006;width:10;height:2" coordorigin="6945,1006" coordsize="10,0" path="m6945,1006l6954,1006e" filled="false" stroked="true" strokeweight=".72pt" strokecolor="#000000">
              <v:path arrowok="t"/>
              <v:stroke dashstyle="dash"/>
            </v:shape>
            <w10:wrap type="none"/>
          </v:group>
        </w:pict>
      </w:r>
      <w:r>
        <w:rPr/>
        <w:pict>
          <v:group style="position:absolute;margin-left:422.589996pt;margin-top:50.284451pt;width:.5pt;height:.1pt;mso-position-horizontal-relative:page;mso-position-vertical-relative:paragraph;z-index:-1327528" coordorigin="8452,1006" coordsize="10,2">
            <v:shape style="position:absolute;left:8452;top:1006;width:10;height:2" coordorigin="8452,1006" coordsize="10,0" path="m8452,1006l8461,1006e" filled="false" stroked="true" strokeweight=".72pt" strokecolor="#000000">
              <v:path arrowok="t"/>
              <v:stroke dashstyle="dash"/>
            </v:shape>
            <w10:wrap type="none"/>
          </v:group>
        </w:pict>
      </w:r>
      <w:r>
        <w:rPr>
          <w:rFonts w:ascii="Arial" w:hAnsi="Arial" w:cs="Arial" w:eastAsia="Arial" w:hint="default"/>
        </w:rPr>
        <w:t>2.</w:t>
      </w:r>
      <w:r>
        <w:rPr>
          <w:rFonts w:ascii="Arial" w:hAnsi="Arial" w:cs="Arial" w:eastAsia="Arial" w:hint="default"/>
          <w:spacing w:val="55"/>
        </w:rPr>
        <w:t> </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89" w:type="dxa"/>
        <w:tblLayout w:type="fixed"/>
        <w:tblCellMar>
          <w:top w:w="0" w:type="dxa"/>
          <w:left w:w="0" w:type="dxa"/>
          <w:bottom w:w="0" w:type="dxa"/>
          <w:right w:w="0" w:type="dxa"/>
        </w:tblCellMar>
        <w:tblLook w:val="01E0"/>
      </w:tblPr>
      <w:tblGrid>
        <w:gridCol w:w="1654"/>
        <w:gridCol w:w="1837"/>
        <w:gridCol w:w="1676"/>
        <w:gridCol w:w="1507"/>
        <w:gridCol w:w="1611"/>
      </w:tblGrid>
      <w:tr>
        <w:trPr>
          <w:trHeight w:val="427" w:hRule="exact"/>
        </w:trPr>
        <w:tc>
          <w:tcPr>
            <w:tcW w:w="1654"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30"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tc>
      </w:tr>
      <w:tr>
        <w:trPr>
          <w:trHeight w:val="730" w:hRule="exact"/>
        </w:trPr>
        <w:tc>
          <w:tcPr>
            <w:tcW w:w="1654" w:type="dxa"/>
            <w:vMerge/>
            <w:tcBorders>
              <w:left w:val="nil" w:sz="6" w:space="0" w:color="auto"/>
              <w:bottom w:val="dotted" w:sz="4" w:space="0" w:color="000000"/>
              <w:right w:val="dotted" w:sz="4" w:space="0" w:color="000000"/>
            </w:tcBorders>
          </w:tcPr>
          <w:p>
            <w:pP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z w:val="18"/>
                <w:szCs w:val="18"/>
              </w:rPr>
              <w:t>江信基金管理有限公司</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314" w:lineRule="auto" w:before="65"/>
              <w:ind w:left="290" w:right="22" w:hanging="269"/>
              <w:jc w:val="left"/>
              <w:rPr>
                <w:rFonts w:ascii="宋体" w:hAnsi="宋体" w:cs="宋体" w:eastAsia="宋体" w:hint="default"/>
                <w:sz w:val="18"/>
                <w:szCs w:val="18"/>
              </w:rPr>
            </w:pPr>
            <w:r>
              <w:rPr>
                <w:rFonts w:ascii="宋体" w:hAnsi="宋体" w:cs="宋体" w:eastAsia="宋体" w:hint="default"/>
                <w:sz w:val="18"/>
                <w:szCs w:val="18"/>
              </w:rPr>
              <w:t>广州仁诺互联网小额 贷款有限公司</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314" w:lineRule="auto" w:before="65"/>
              <w:ind w:left="208" w:right="26" w:hanging="180"/>
              <w:jc w:val="left"/>
              <w:rPr>
                <w:rFonts w:ascii="宋体" w:hAnsi="宋体" w:cs="宋体" w:eastAsia="宋体" w:hint="default"/>
                <w:sz w:val="18"/>
                <w:szCs w:val="18"/>
              </w:rPr>
            </w:pPr>
            <w:r>
              <w:rPr>
                <w:rFonts w:ascii="宋体" w:hAnsi="宋体" w:cs="宋体" w:eastAsia="宋体" w:hint="default"/>
                <w:sz w:val="18"/>
                <w:szCs w:val="18"/>
              </w:rPr>
              <w:t>宁波梅花天使投资 管理有限公司</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Qudian Inc.</w:t>
            </w:r>
            <w:r>
              <w:rPr>
                <w:rFonts w:ascii="宋体" w:hAnsi="宋体" w:cs="宋体" w:eastAsia="宋体" w:hint="default"/>
                <w:sz w:val="18"/>
                <w:szCs w:val="18"/>
              </w:rPr>
              <w:t>（注）</w:t>
            </w: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119,067,333.93</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11"/>
              <w:jc w:val="right"/>
              <w:rPr>
                <w:rFonts w:ascii="Times New Roman" w:hAnsi="Times New Roman" w:cs="Times New Roman" w:eastAsia="Times New Roman" w:hint="default"/>
                <w:sz w:val="15"/>
                <w:szCs w:val="15"/>
              </w:rPr>
            </w:pPr>
            <w:r>
              <w:rPr>
                <w:rFonts w:ascii="Times New Roman"/>
                <w:spacing w:val="-1"/>
                <w:sz w:val="15"/>
              </w:rPr>
              <w:t>101,125,158.70</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7"/>
              <w:jc w:val="right"/>
              <w:rPr>
                <w:rFonts w:ascii="Times New Roman" w:hAnsi="Times New Roman" w:cs="Times New Roman" w:eastAsia="Times New Roman" w:hint="default"/>
                <w:sz w:val="15"/>
                <w:szCs w:val="15"/>
              </w:rPr>
            </w:pPr>
            <w:r>
              <w:rPr>
                <w:rFonts w:ascii="Times New Roman"/>
                <w:spacing w:val="-1"/>
                <w:sz w:val="15"/>
              </w:rPr>
              <w:t>45,230,996.67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1"/>
              <w:jc w:val="right"/>
              <w:rPr>
                <w:rFonts w:ascii="Times New Roman" w:hAnsi="Times New Roman" w:cs="Times New Roman" w:eastAsia="Times New Roman" w:hint="default"/>
                <w:sz w:val="15"/>
                <w:szCs w:val="15"/>
              </w:rPr>
            </w:pPr>
            <w:r>
              <w:rPr>
                <w:rFonts w:ascii="Times New Roman"/>
                <w:spacing w:val="-1"/>
                <w:sz w:val="15"/>
              </w:rPr>
              <w:t>17,023,490,766.00</w:t>
            </w:r>
          </w:p>
        </w:tc>
      </w:tr>
      <w:tr>
        <w:trPr>
          <w:trHeight w:val="415"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108,149,687.06</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9"/>
              <w:jc w:val="right"/>
              <w:rPr>
                <w:rFonts w:ascii="Times New Roman" w:hAnsi="Times New Roman" w:cs="Times New Roman" w:eastAsia="Times New Roman" w:hint="default"/>
                <w:sz w:val="15"/>
                <w:szCs w:val="15"/>
              </w:rPr>
            </w:pPr>
            <w:r>
              <w:rPr>
                <w:rFonts w:ascii="Times New Roman"/>
                <w:spacing w:val="-1"/>
                <w:sz w:val="15"/>
              </w:rPr>
              <w:t>12,726.64</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7"/>
              <w:jc w:val="right"/>
              <w:rPr>
                <w:rFonts w:ascii="Times New Roman" w:hAnsi="Times New Roman" w:cs="Times New Roman" w:eastAsia="Times New Roman" w:hint="default"/>
                <w:sz w:val="15"/>
                <w:szCs w:val="15"/>
              </w:rPr>
            </w:pPr>
            <w:r>
              <w:rPr>
                <w:rFonts w:ascii="Times New Roman"/>
                <w:spacing w:val="-1"/>
                <w:sz w:val="15"/>
              </w:rPr>
              <w:t>116,281,897.67</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1"/>
              <w:jc w:val="right"/>
              <w:rPr>
                <w:rFonts w:ascii="Times New Roman" w:hAnsi="Times New Roman" w:cs="Times New Roman" w:eastAsia="Times New Roman" w:hint="default"/>
                <w:sz w:val="15"/>
                <w:szCs w:val="15"/>
              </w:rPr>
            </w:pPr>
            <w:r>
              <w:rPr>
                <w:rFonts w:ascii="Times New Roman"/>
                <w:spacing w:val="-1"/>
                <w:sz w:val="15"/>
              </w:rPr>
              <w:t>1,338,112,804.00</w:t>
            </w: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47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227,217,020.99</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4"/>
              <w:ind w:right="11"/>
              <w:jc w:val="right"/>
              <w:rPr>
                <w:rFonts w:ascii="Times New Roman" w:hAnsi="Times New Roman" w:cs="Times New Roman" w:eastAsia="Times New Roman" w:hint="default"/>
                <w:sz w:val="15"/>
                <w:szCs w:val="15"/>
              </w:rPr>
            </w:pPr>
            <w:r>
              <w:rPr>
                <w:rFonts w:ascii="Times New Roman"/>
                <w:spacing w:val="-1"/>
                <w:sz w:val="15"/>
              </w:rPr>
              <w:t>101,137,885.34</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4"/>
              <w:ind w:right="7"/>
              <w:jc w:val="right"/>
              <w:rPr>
                <w:rFonts w:ascii="Times New Roman" w:hAnsi="Times New Roman" w:cs="Times New Roman" w:eastAsia="Times New Roman" w:hint="default"/>
                <w:sz w:val="15"/>
                <w:szCs w:val="15"/>
              </w:rPr>
            </w:pPr>
            <w:r>
              <w:rPr>
                <w:rFonts w:ascii="Times New Roman"/>
                <w:spacing w:val="-1"/>
                <w:sz w:val="15"/>
              </w:rPr>
              <w:t>161,512,894.34</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4"/>
              <w:ind w:right="11"/>
              <w:jc w:val="right"/>
              <w:rPr>
                <w:rFonts w:ascii="Times New Roman" w:hAnsi="Times New Roman" w:cs="Times New Roman" w:eastAsia="Times New Roman" w:hint="default"/>
                <w:sz w:val="15"/>
                <w:szCs w:val="15"/>
              </w:rPr>
            </w:pPr>
            <w:r>
              <w:rPr>
                <w:rFonts w:ascii="Times New Roman"/>
                <w:spacing w:val="-1"/>
                <w:sz w:val="15"/>
              </w:rPr>
              <w:t>18,361,603,570.00</w:t>
            </w: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18,388,445.41</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4"/>
              <w:ind w:right="9"/>
              <w:jc w:val="right"/>
              <w:rPr>
                <w:rFonts w:ascii="Times New Roman" w:hAnsi="Times New Roman" w:cs="Times New Roman" w:eastAsia="Times New Roman" w:hint="default"/>
                <w:sz w:val="15"/>
                <w:szCs w:val="15"/>
              </w:rPr>
            </w:pPr>
            <w:r>
              <w:rPr>
                <w:rFonts w:ascii="Times New Roman"/>
                <w:spacing w:val="-1"/>
                <w:sz w:val="15"/>
              </w:rPr>
              <w:t>525,210.48</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4"/>
              <w:ind w:right="7"/>
              <w:jc w:val="right"/>
              <w:rPr>
                <w:rFonts w:ascii="Times New Roman" w:hAnsi="Times New Roman" w:cs="Times New Roman" w:eastAsia="Times New Roman" w:hint="default"/>
                <w:sz w:val="15"/>
                <w:szCs w:val="15"/>
              </w:rPr>
            </w:pPr>
            <w:r>
              <w:rPr>
                <w:rFonts w:ascii="Times New Roman"/>
                <w:spacing w:val="-1"/>
                <w:sz w:val="15"/>
              </w:rPr>
              <w:t>16,329,490.65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4"/>
              <w:ind w:right="11"/>
              <w:jc w:val="right"/>
              <w:rPr>
                <w:rFonts w:ascii="Times New Roman" w:hAnsi="Times New Roman" w:cs="Times New Roman" w:eastAsia="Times New Roman" w:hint="default"/>
                <w:sz w:val="15"/>
                <w:szCs w:val="15"/>
              </w:rPr>
            </w:pPr>
            <w:r>
              <w:rPr>
                <w:rFonts w:ascii="Times New Roman"/>
                <w:spacing w:val="-1"/>
                <w:sz w:val="15"/>
              </w:rPr>
              <w:t>3,897,321,228.00</w:t>
            </w: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1,407,114.45</w:t>
            </w: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1"/>
              <w:jc w:val="right"/>
              <w:rPr>
                <w:rFonts w:ascii="Times New Roman" w:hAnsi="Times New Roman" w:cs="Times New Roman" w:eastAsia="Times New Roman" w:hint="default"/>
                <w:sz w:val="15"/>
                <w:szCs w:val="15"/>
              </w:rPr>
            </w:pPr>
            <w:r>
              <w:rPr>
                <w:rFonts w:ascii="Times New Roman"/>
                <w:spacing w:val="-1"/>
                <w:sz w:val="15"/>
              </w:rPr>
              <w:t>2,540,230,713.00</w:t>
            </w:r>
          </w:p>
        </w:tc>
      </w:tr>
      <w:tr>
        <w:trPr>
          <w:trHeight w:val="415"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47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19,795,559.86</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9"/>
              <w:jc w:val="right"/>
              <w:rPr>
                <w:rFonts w:ascii="Times New Roman" w:hAnsi="Times New Roman" w:cs="Times New Roman" w:eastAsia="Times New Roman" w:hint="default"/>
                <w:sz w:val="15"/>
                <w:szCs w:val="15"/>
              </w:rPr>
            </w:pPr>
            <w:r>
              <w:rPr>
                <w:rFonts w:ascii="Times New Roman"/>
                <w:spacing w:val="-1"/>
                <w:sz w:val="15"/>
              </w:rPr>
              <w:t>525,210.48</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7"/>
              <w:jc w:val="right"/>
              <w:rPr>
                <w:rFonts w:ascii="Times New Roman" w:hAnsi="Times New Roman" w:cs="Times New Roman" w:eastAsia="Times New Roman" w:hint="default"/>
                <w:sz w:val="15"/>
                <w:szCs w:val="15"/>
              </w:rPr>
            </w:pPr>
            <w:r>
              <w:rPr>
                <w:rFonts w:ascii="Times New Roman"/>
                <w:spacing w:val="-1"/>
                <w:sz w:val="15"/>
              </w:rPr>
              <w:t>16,329,490.65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1"/>
              <w:jc w:val="right"/>
              <w:rPr>
                <w:rFonts w:ascii="Times New Roman" w:hAnsi="Times New Roman" w:cs="Times New Roman" w:eastAsia="Times New Roman" w:hint="default"/>
                <w:sz w:val="15"/>
                <w:szCs w:val="15"/>
              </w:rPr>
            </w:pPr>
            <w:r>
              <w:rPr>
                <w:rFonts w:ascii="Times New Roman"/>
                <w:spacing w:val="-1"/>
                <w:sz w:val="15"/>
              </w:rPr>
              <w:t>6,437,551,941.00</w:t>
            </w: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7" w:type="dxa"/>
            <w:tcBorders>
              <w:top w:val="dotted" w:sz="4" w:space="0" w:color="000000"/>
              <w:left w:val="dotted" w:sz="4" w:space="0" w:color="000000"/>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3"/>
              <w:ind w:left="28" w:right="-13"/>
              <w:jc w:val="left"/>
              <w:rPr>
                <w:rFonts w:ascii="宋体" w:hAnsi="宋体" w:cs="宋体" w:eastAsia="宋体" w:hint="default"/>
                <w:sz w:val="18"/>
                <w:szCs w:val="18"/>
              </w:rPr>
            </w:pPr>
            <w:r>
              <w:rPr>
                <w:rFonts w:ascii="宋体" w:hAnsi="宋体" w:cs="宋体" w:eastAsia="宋体" w:hint="default"/>
                <w:spacing w:val="21"/>
                <w:sz w:val="18"/>
                <w:szCs w:val="18"/>
              </w:rPr>
              <w:t>归属于母公司股东</w:t>
            </w:r>
            <w:r>
              <w:rPr>
                <w:rFonts w:ascii="宋体" w:hAnsi="宋体" w:cs="宋体" w:eastAsia="宋体" w:hint="default"/>
                <w:spacing w:val="-66"/>
                <w:sz w:val="18"/>
                <w:szCs w:val="18"/>
              </w:rPr>
              <w:t> </w:t>
            </w:r>
            <w:r>
              <w:rPr>
                <w:rFonts w:ascii="宋体" w:hAnsi="宋体" w:cs="宋体" w:eastAsia="宋体" w:hint="default"/>
                <w:sz w:val="18"/>
                <w:szCs w:val="18"/>
              </w:rPr>
              <w:t>权益</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207,421,461.13</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100,612,674.86</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145,183,403.02</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11,924,051,629.00</w:t>
            </w:r>
          </w:p>
        </w:tc>
      </w:tr>
      <w:tr>
        <w:trPr>
          <w:trHeight w:val="730"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1"/>
              <w:ind w:left="28" w:right="-13"/>
              <w:jc w:val="left"/>
              <w:rPr>
                <w:rFonts w:ascii="宋体" w:hAnsi="宋体" w:cs="宋体" w:eastAsia="宋体" w:hint="default"/>
                <w:sz w:val="18"/>
                <w:szCs w:val="18"/>
              </w:rPr>
            </w:pPr>
            <w:r>
              <w:rPr>
                <w:rFonts w:ascii="宋体" w:hAnsi="宋体" w:cs="宋体" w:eastAsia="宋体" w:hint="default"/>
                <w:spacing w:val="21"/>
                <w:sz w:val="18"/>
                <w:szCs w:val="18"/>
              </w:rPr>
              <w:t>按持股比例计算的</w:t>
            </w:r>
            <w:r>
              <w:rPr>
                <w:rFonts w:ascii="宋体" w:hAnsi="宋体" w:cs="宋体" w:eastAsia="宋体" w:hint="default"/>
                <w:spacing w:val="-66"/>
                <w:sz w:val="18"/>
                <w:szCs w:val="18"/>
              </w:rPr>
              <w:t> </w:t>
            </w:r>
            <w:r>
              <w:rPr>
                <w:rFonts w:ascii="宋体" w:hAnsi="宋体" w:cs="宋体" w:eastAsia="宋体" w:hint="default"/>
                <w:sz w:val="18"/>
                <w:szCs w:val="18"/>
              </w:rPr>
              <w:t>净资产份额</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62,226,438.34</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45,275,703.69</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100,457,427.31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598,190,067.33</w:t>
            </w:r>
          </w:p>
        </w:tc>
      </w:tr>
      <w:tr>
        <w:trPr>
          <w:trHeight w:val="415"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37" w:type="dxa"/>
            <w:tcBorders>
              <w:top w:val="dotted" w:sz="4" w:space="0" w:color="000000"/>
              <w:left w:val="dotted" w:sz="4" w:space="0" w:color="000000"/>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7" w:type="dxa"/>
            <w:tcBorders>
              <w:top w:val="dotted" w:sz="4" w:space="0" w:color="000000"/>
              <w:left w:val="dotted" w:sz="4" w:space="0" w:color="000000"/>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3"/>
              <w:ind w:left="28" w:right="-1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pacing w:val="20"/>
                <w:sz w:val="18"/>
                <w:szCs w:val="18"/>
              </w:rPr>
              <w:t>内部交易未实现</w:t>
            </w:r>
            <w:r>
              <w:rPr>
                <w:rFonts w:ascii="宋体" w:hAnsi="宋体" w:cs="宋体" w:eastAsia="宋体" w:hint="default"/>
                <w:spacing w:val="-88"/>
                <w:sz w:val="18"/>
                <w:szCs w:val="18"/>
              </w:rPr>
              <w:t> </w:t>
            </w:r>
            <w:r>
              <w:rPr>
                <w:rFonts w:ascii="宋体" w:hAnsi="宋体" w:cs="宋体" w:eastAsia="宋体" w:hint="default"/>
                <w:sz w:val="18"/>
                <w:szCs w:val="18"/>
              </w:rPr>
              <w:t>利润</w:t>
            </w:r>
          </w:p>
        </w:tc>
        <w:tc>
          <w:tcPr>
            <w:tcW w:w="1837" w:type="dxa"/>
            <w:tcBorders>
              <w:top w:val="dotted" w:sz="4" w:space="0" w:color="000000"/>
              <w:left w:val="dotted" w:sz="4" w:space="0" w:color="000000"/>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7" w:type="dxa"/>
            <w:tcBorders>
              <w:top w:val="dotted" w:sz="4" w:space="0" w:color="000000"/>
              <w:left w:val="dotted" w:sz="4" w:space="0" w:color="000000"/>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
        </w:tc>
      </w:tr>
      <w:tr>
        <w:trPr>
          <w:trHeight w:val="72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1"/>
              <w:ind w:left="28" w:right="-13"/>
              <w:jc w:val="left"/>
              <w:rPr>
                <w:rFonts w:ascii="宋体" w:hAnsi="宋体" w:cs="宋体" w:eastAsia="宋体" w:hint="default"/>
                <w:sz w:val="18"/>
                <w:szCs w:val="18"/>
              </w:rPr>
            </w:pPr>
            <w:r>
              <w:rPr>
                <w:rFonts w:ascii="宋体" w:hAnsi="宋体" w:cs="宋体" w:eastAsia="宋体" w:hint="default"/>
                <w:spacing w:val="21"/>
                <w:sz w:val="18"/>
                <w:szCs w:val="18"/>
              </w:rPr>
              <w:t>对联营企业权益投</w:t>
            </w:r>
            <w:r>
              <w:rPr>
                <w:rFonts w:ascii="宋体" w:hAnsi="宋体" w:cs="宋体" w:eastAsia="宋体" w:hint="default"/>
                <w:spacing w:val="-66"/>
                <w:sz w:val="18"/>
                <w:szCs w:val="18"/>
              </w:rPr>
              <w:t> </w:t>
            </w:r>
            <w:r>
              <w:rPr>
                <w:rFonts w:ascii="宋体" w:hAnsi="宋体" w:cs="宋体" w:eastAsia="宋体" w:hint="default"/>
                <w:sz w:val="18"/>
                <w:szCs w:val="18"/>
              </w:rPr>
              <w:t>资的账面价值</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62,226,438.34</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45,275,703.69</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100,457,427.31</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598,190,067.33</w:t>
            </w:r>
          </w:p>
        </w:tc>
      </w:tr>
      <w:tr>
        <w:trPr>
          <w:trHeight w:val="730"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3"/>
              <w:ind w:left="28" w:right="-13"/>
              <w:jc w:val="left"/>
              <w:rPr>
                <w:rFonts w:ascii="宋体" w:hAnsi="宋体" w:cs="宋体" w:eastAsia="宋体" w:hint="default"/>
                <w:sz w:val="18"/>
                <w:szCs w:val="18"/>
              </w:rPr>
            </w:pPr>
            <w:r>
              <w:rPr>
                <w:rFonts w:ascii="宋体" w:hAnsi="宋体" w:cs="宋体" w:eastAsia="宋体" w:hint="default"/>
                <w:spacing w:val="21"/>
                <w:sz w:val="18"/>
                <w:szCs w:val="18"/>
              </w:rPr>
              <w:t>存在公开报价的权</w:t>
            </w:r>
            <w:r>
              <w:rPr>
                <w:rFonts w:ascii="宋体" w:hAnsi="宋体" w:cs="宋体" w:eastAsia="宋体" w:hint="default"/>
                <w:spacing w:val="-66"/>
                <w:sz w:val="18"/>
                <w:szCs w:val="18"/>
              </w:rPr>
              <w:t> </w:t>
            </w:r>
            <w:r>
              <w:rPr>
                <w:rFonts w:ascii="宋体" w:hAnsi="宋体" w:cs="宋体" w:eastAsia="宋体" w:hint="default"/>
                <w:sz w:val="18"/>
                <w:szCs w:val="18"/>
              </w:rPr>
              <w:t>益投资的公允价值</w:t>
            </w:r>
          </w:p>
        </w:tc>
        <w:tc>
          <w:tcPr>
            <w:tcW w:w="1837" w:type="dxa"/>
            <w:tcBorders>
              <w:top w:val="dotted" w:sz="4" w:space="0" w:color="000000"/>
              <w:left w:val="dotted" w:sz="4" w:space="0" w:color="000000"/>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419,595,408.54</w:t>
            </w: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80,199,432.79</w:t>
            </w: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4"/>
              <w:ind w:right="9"/>
              <w:jc w:val="right"/>
              <w:rPr>
                <w:rFonts w:ascii="Times New Roman" w:hAnsi="Times New Roman" w:cs="Times New Roman" w:eastAsia="Times New Roman" w:hint="default"/>
                <w:sz w:val="15"/>
                <w:szCs w:val="15"/>
              </w:rPr>
            </w:pPr>
            <w:r>
              <w:rPr>
                <w:rFonts w:ascii="Times New Roman"/>
                <w:spacing w:val="-1"/>
                <w:sz w:val="15"/>
              </w:rPr>
              <w:t>33,023,737.39</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4"/>
              <w:ind w:right="11"/>
              <w:jc w:val="right"/>
              <w:rPr>
                <w:rFonts w:ascii="Times New Roman" w:hAnsi="Times New Roman" w:cs="Times New Roman" w:eastAsia="Times New Roman" w:hint="default"/>
                <w:sz w:val="15"/>
                <w:szCs w:val="15"/>
              </w:rPr>
            </w:pPr>
            <w:r>
              <w:rPr>
                <w:rFonts w:ascii="Times New Roman"/>
                <w:spacing w:val="-1"/>
                <w:sz w:val="15"/>
              </w:rPr>
              <w:t>8,840,043,542.00</w:t>
            </w: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6"/>
              <w:jc w:val="right"/>
              <w:rPr>
                <w:rFonts w:ascii="Times New Roman" w:hAnsi="Times New Roman" w:cs="Times New Roman" w:eastAsia="Times New Roman" w:hint="default"/>
                <w:sz w:val="15"/>
                <w:szCs w:val="15"/>
              </w:rPr>
            </w:pPr>
            <w:r>
              <w:rPr>
                <w:rFonts w:ascii="Times New Roman"/>
                <w:spacing w:val="-1"/>
                <w:sz w:val="15"/>
              </w:rPr>
              <w:t>425,099.04</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9"/>
              <w:jc w:val="right"/>
              <w:rPr>
                <w:rFonts w:ascii="Times New Roman" w:hAnsi="Times New Roman" w:cs="Times New Roman" w:eastAsia="Times New Roman" w:hint="default"/>
                <w:sz w:val="15"/>
                <w:szCs w:val="15"/>
              </w:rPr>
            </w:pPr>
            <w:r>
              <w:rPr>
                <w:rFonts w:ascii="Times New Roman"/>
                <w:spacing w:val="-1"/>
                <w:sz w:val="15"/>
              </w:rPr>
              <w:t>714,843.18</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7"/>
              <w:jc w:val="right"/>
              <w:rPr>
                <w:rFonts w:ascii="Times New Roman" w:hAnsi="Times New Roman" w:cs="Times New Roman" w:eastAsia="Times New Roman" w:hint="default"/>
                <w:sz w:val="15"/>
                <w:szCs w:val="15"/>
              </w:rPr>
            </w:pPr>
            <w:r>
              <w:rPr>
                <w:rFonts w:ascii="Times New Roman"/>
                <w:spacing w:val="-1"/>
                <w:sz w:val="15"/>
              </w:rPr>
              <w:t>7,273,234.95</w:t>
            </w: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2"/>
              <w:ind w:right="11"/>
              <w:jc w:val="right"/>
              <w:rPr>
                <w:rFonts w:ascii="Times New Roman" w:hAnsi="Times New Roman" w:cs="Times New Roman" w:eastAsia="Times New Roman" w:hint="default"/>
                <w:sz w:val="15"/>
                <w:szCs w:val="15"/>
              </w:rPr>
            </w:pPr>
            <w:r>
              <w:rPr>
                <w:rFonts w:ascii="Times New Roman"/>
                <w:spacing w:val="-1"/>
                <w:sz w:val="15"/>
              </w:rPr>
              <w:t>3,264,287,925.00</w:t>
            </w:r>
          </w:p>
        </w:tc>
      </w:tr>
      <w:tr>
        <w:trPr>
          <w:trHeight w:val="415"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837" w:type="dxa"/>
            <w:tcBorders>
              <w:top w:val="dotted" w:sz="4" w:space="0" w:color="000000"/>
              <w:left w:val="dotted" w:sz="4" w:space="0" w:color="000000"/>
              <w:bottom w:val="dotted" w:sz="4" w:space="0" w:color="000000"/>
              <w:right w:val="dotted" w:sz="4" w:space="0" w:color="000000"/>
            </w:tcBorders>
          </w:tcPr>
          <w:p>
            <w:pP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18,557,523.05</w:t>
            </w:r>
          </w:p>
        </w:tc>
        <w:tc>
          <w:tcPr>
            <w:tcW w:w="1676" w:type="dxa"/>
            <w:tcBorders>
              <w:top w:val="dotted" w:sz="4" w:space="0" w:color="000000"/>
              <w:left w:val="dotted" w:sz="4" w:space="0" w:color="000000"/>
              <w:bottom w:val="dotted" w:sz="4" w:space="0" w:color="000000"/>
              <w:right w:val="dotted" w:sz="4" w:space="0" w:color="000000"/>
            </w:tcBorders>
          </w:tcPr>
          <w:p>
            <w:pPr/>
          </w:p>
        </w:tc>
        <w:tc>
          <w:tcPr>
            <w:tcW w:w="1507" w:type="dxa"/>
            <w:tcBorders>
              <w:top w:val="dotted" w:sz="4" w:space="0" w:color="000000"/>
              <w:left w:val="dotted" w:sz="4" w:space="0" w:color="000000"/>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4"/>
              <w:ind w:right="11"/>
              <w:jc w:val="right"/>
              <w:rPr>
                <w:rFonts w:ascii="Times New Roman" w:hAnsi="Times New Roman" w:cs="Times New Roman" w:eastAsia="Times New Roman" w:hint="default"/>
                <w:sz w:val="15"/>
                <w:szCs w:val="15"/>
              </w:rPr>
            </w:pPr>
            <w:r>
              <w:rPr>
                <w:rFonts w:ascii="Times New Roman"/>
                <w:spacing w:val="-1"/>
                <w:sz w:val="15"/>
              </w:rPr>
              <w:t>31,893,073.00</w:t>
            </w:r>
          </w:p>
        </w:tc>
      </w:tr>
      <w:tr>
        <w:trPr>
          <w:trHeight w:val="418" w:hRule="exact"/>
        </w:trPr>
        <w:tc>
          <w:tcPr>
            <w:tcW w:w="16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18,982,622.09</w:t>
            </w:r>
          </w:p>
        </w:tc>
        <w:tc>
          <w:tcPr>
            <w:tcW w:w="16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4"/>
              <w:ind w:right="9"/>
              <w:jc w:val="right"/>
              <w:rPr>
                <w:rFonts w:ascii="Times New Roman" w:hAnsi="Times New Roman" w:cs="Times New Roman" w:eastAsia="Times New Roman" w:hint="default"/>
                <w:sz w:val="15"/>
                <w:szCs w:val="15"/>
              </w:rPr>
            </w:pPr>
            <w:r>
              <w:rPr>
                <w:rFonts w:ascii="Times New Roman"/>
                <w:spacing w:val="-1"/>
                <w:sz w:val="15"/>
              </w:rPr>
              <w:t>714,843.18</w:t>
            </w:r>
          </w:p>
        </w:tc>
        <w:tc>
          <w:tcPr>
            <w:tcW w:w="15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4"/>
              <w:ind w:right="7"/>
              <w:jc w:val="right"/>
              <w:rPr>
                <w:rFonts w:ascii="Times New Roman" w:hAnsi="Times New Roman" w:cs="Times New Roman" w:eastAsia="Times New Roman" w:hint="default"/>
                <w:sz w:val="15"/>
                <w:szCs w:val="15"/>
              </w:rPr>
            </w:pPr>
            <w:r>
              <w:rPr>
                <w:rFonts w:ascii="Times New Roman"/>
                <w:spacing w:val="-1"/>
                <w:sz w:val="15"/>
              </w:rPr>
              <w:t>7,273,234.95</w:t>
            </w:r>
          </w:p>
        </w:tc>
        <w:tc>
          <w:tcPr>
            <w:tcW w:w="1611" w:type="dxa"/>
            <w:tcBorders>
              <w:top w:val="dotted" w:sz="4" w:space="0" w:color="000000"/>
              <w:left w:val="dotted" w:sz="4" w:space="0" w:color="000000"/>
              <w:bottom w:val="nil" w:sz="6" w:space="0" w:color="auto"/>
              <w:right w:val="nil" w:sz="6" w:space="0" w:color="auto"/>
            </w:tcBorders>
          </w:tcPr>
          <w:p>
            <w:pPr>
              <w:pStyle w:val="TableParagraph"/>
              <w:spacing w:line="240" w:lineRule="auto" w:before="114"/>
              <w:ind w:right="11"/>
              <w:jc w:val="right"/>
              <w:rPr>
                <w:rFonts w:ascii="Times New Roman" w:hAnsi="Times New Roman" w:cs="Times New Roman" w:eastAsia="Times New Roman" w:hint="default"/>
                <w:sz w:val="15"/>
                <w:szCs w:val="15"/>
              </w:rPr>
            </w:pPr>
            <w:r>
              <w:rPr>
                <w:rFonts w:ascii="Times New Roman"/>
                <w:spacing w:val="-1"/>
                <w:sz w:val="15"/>
              </w:rPr>
              <w:t>3,296,180,998.00</w:t>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79" w:top="1100" w:bottom="1160" w:left="15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p>
      <w:pPr>
        <w:spacing w:line="760" w:lineRule="exact"/>
        <w:ind w:left="109"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4"/>
          <w:sz w:val="20"/>
          <w:szCs w:val="20"/>
        </w:rPr>
        <w:pict>
          <v:group style="width:415.65pt;height:38.050pt;mso-position-horizontal-relative:char;mso-position-vertical-relative:line" coordorigin="0,0" coordsize="8313,761">
            <v:group style="position:absolute;left:29;top:5;width:1635;height:2" coordorigin="29,5" coordsize="1635,2">
              <v:shape style="position:absolute;left:29;top:5;width:1635;height:2" coordorigin="29,5" coordsize="1635,0" path="m29,5l1663,5e" filled="false" stroked="true" strokeweight=".48pt" strokecolor="#000000">
                <v:path arrowok="t"/>
                <v:stroke dashstyle="dash"/>
              </v:shape>
            </v:group>
            <v:group style="position:absolute;left:1663;top:17;width:10;height:2" coordorigin="1663,17" coordsize="10,2">
              <v:shape style="position:absolute;left:1663;top:17;width:10;height:2" coordorigin="1663,17" coordsize="10,0" path="m1663,17l1673,17e" filled="false" stroked="true" strokeweight=".72pt" strokecolor="#000000">
                <v:path arrowok="t"/>
                <v:stroke dashstyle="dash"/>
              </v:shape>
            </v:group>
            <v:group style="position:absolute;left:1663;top:5;width:10;height:2" coordorigin="1663,5" coordsize="10,2">
              <v:shape style="position:absolute;left:1663;top:5;width:10;height:2" coordorigin="1663,5" coordsize="10,0" path="m1663,5l1673,5e" filled="false" stroked="true" strokeweight=".48pt" strokecolor="#000000">
                <v:path arrowok="t"/>
                <v:stroke dashstyle="dash"/>
              </v:shape>
            </v:group>
            <v:group style="position:absolute;left:1673;top:5;width:1827;height:2" coordorigin="1673,5" coordsize="1827,2">
              <v:shape style="position:absolute;left:1673;top:5;width:1827;height:2" coordorigin="1673,5" coordsize="1827,0" path="m1673,5l3500,5e" filled="false" stroked="true" strokeweight=".48pt" strokecolor="#000000">
                <v:path arrowok="t"/>
                <v:stroke dashstyle="dash"/>
              </v:shape>
            </v:group>
            <v:group style="position:absolute;left:3500;top:17;width:10;height:2" coordorigin="3500,17" coordsize="10,2">
              <v:shape style="position:absolute;left:3500;top:17;width:10;height:2" coordorigin="3500,17" coordsize="10,0" path="m3500,17l3509,17e" filled="false" stroked="true" strokeweight=".72pt" strokecolor="#000000">
                <v:path arrowok="t"/>
                <v:stroke dashstyle="dash"/>
              </v:shape>
            </v:group>
            <v:group style="position:absolute;left:3500;top:5;width:10;height:2" coordorigin="3500,5" coordsize="10,2">
              <v:shape style="position:absolute;left:3500;top:5;width:10;height:2" coordorigin="3500,5" coordsize="10,0" path="m3500,5l3509,5e" filled="false" stroked="true" strokeweight=".48pt" strokecolor="#000000">
                <v:path arrowok="t"/>
                <v:stroke dashstyle="dash"/>
              </v:shape>
            </v:group>
            <v:group style="position:absolute;left:3509;top:5;width:1666;height:2" coordorigin="3509,5" coordsize="1666,2">
              <v:shape style="position:absolute;left:3509;top:5;width:1666;height:2" coordorigin="3509,5" coordsize="1666,0" path="m3509,5l5175,5e" filled="false" stroked="true" strokeweight=".48pt" strokecolor="#000000">
                <v:path arrowok="t"/>
                <v:stroke dashstyle="dash"/>
              </v:shape>
            </v:group>
            <v:group style="position:absolute;left:5175;top:17;width:10;height:2" coordorigin="5175,17" coordsize="10,2">
              <v:shape style="position:absolute;left:5175;top:17;width:10;height:2" coordorigin="5175,17" coordsize="10,0" path="m5175,17l5185,17e" filled="false" stroked="true" strokeweight=".72pt" strokecolor="#000000">
                <v:path arrowok="t"/>
                <v:stroke dashstyle="dash"/>
              </v:shape>
            </v:group>
            <v:group style="position:absolute;left:5175;top:5;width:10;height:2" coordorigin="5175,5" coordsize="10,2">
              <v:shape style="position:absolute;left:5175;top:5;width:10;height:2" coordorigin="5175,5" coordsize="10,0" path="m5175,5l5185,5e" filled="false" stroked="true" strokeweight=".48pt" strokecolor="#000000">
                <v:path arrowok="t"/>
                <v:stroke dashstyle="dash"/>
              </v:shape>
            </v:group>
            <v:group style="position:absolute;left:5185;top:5;width:1498;height:2" coordorigin="5185,5" coordsize="1498,2">
              <v:shape style="position:absolute;left:5185;top:5;width:1498;height:2" coordorigin="5185,5" coordsize="1498,0" path="m5185,5l6683,5e" filled="false" stroked="true" strokeweight=".48pt" strokecolor="#000000">
                <v:path arrowok="t"/>
                <v:stroke dashstyle="dash"/>
              </v:shape>
            </v:group>
            <v:group style="position:absolute;left:6683;top:17;width:10;height:2" coordorigin="6683,17" coordsize="10,2">
              <v:shape style="position:absolute;left:6683;top:17;width:10;height:2" coordorigin="6683,17" coordsize="10,0" path="m6683,17l6692,17e" filled="false" stroked="true" strokeweight=".72pt" strokecolor="#000000">
                <v:path arrowok="t"/>
                <v:stroke dashstyle="dash"/>
              </v:shape>
            </v:group>
            <v:group style="position:absolute;left:6683;top:5;width:10;height:2" coordorigin="6683,5" coordsize="10,2">
              <v:shape style="position:absolute;left:6683;top:5;width:10;height:2" coordorigin="6683,5" coordsize="10,0" path="m6683,5l6692,5e" filled="false" stroked="true" strokeweight=".48pt" strokecolor="#000000">
                <v:path arrowok="t"/>
                <v:stroke dashstyle="dash"/>
              </v:shape>
            </v:group>
            <v:group style="position:absolute;left:6692;top:5;width:1607;height:2" coordorigin="6692,5" coordsize="1607,2">
              <v:shape style="position:absolute;left:6692;top:5;width:1607;height:2" coordorigin="6692,5" coordsize="1607,0" path="m6692,5l8298,5e" filled="false" stroked="true" strokeweight=".48pt" strokecolor="#000000">
                <v:path arrowok="t"/>
                <v:stroke dashstyle="dash"/>
              </v:shape>
            </v:group>
            <v:group style="position:absolute;left:14;top:746;width:1649;height:2" coordorigin="14,746" coordsize="1649,2">
              <v:shape style="position:absolute;left:14;top:746;width:1649;height:2" coordorigin="14,746" coordsize="1649,0" path="m14,746l1663,746e" filled="false" stroked="true" strokeweight="1.44pt" strokecolor="#000000">
                <v:path arrowok="t"/>
              </v:shape>
            </v:group>
            <v:group style="position:absolute;left:1668;top:24;width:2;height:708" coordorigin="1668,24" coordsize="2,708">
              <v:shape style="position:absolute;left:1668;top:24;width:2;height:708" coordorigin="1668,24" coordsize="0,708" path="m1668,24l1668,732e" filled="false" stroked="true" strokeweight=".48pt" strokecolor="#000000">
                <v:path arrowok="t"/>
                <v:stroke dashstyle="dash"/>
              </v:shape>
            </v:group>
            <v:group style="position:absolute;left:1663;top:746;width:29;height:2" coordorigin="1663,746" coordsize="29,2">
              <v:shape style="position:absolute;left:1663;top:746;width:29;height:2" coordorigin="1663,746" coordsize="29,0" path="m1663,746l1692,746e" filled="false" stroked="true" strokeweight="1.44pt" strokecolor="#000000">
                <v:path arrowok="t"/>
              </v:shape>
            </v:group>
            <v:group style="position:absolute;left:1692;top:746;width:1808;height:2" coordorigin="1692,746" coordsize="1808,2">
              <v:shape style="position:absolute;left:1692;top:746;width:1808;height:2" coordorigin="1692,746" coordsize="1808,0" path="m1692,746l3500,746e" filled="false" stroked="true" strokeweight="1.44pt" strokecolor="#000000">
                <v:path arrowok="t"/>
              </v:shape>
            </v:group>
            <v:group style="position:absolute;left:3505;top:24;width:2;height:708" coordorigin="3505,24" coordsize="2,708">
              <v:shape style="position:absolute;left:3505;top:24;width:2;height:708" coordorigin="3505,24" coordsize="0,708" path="m3505,24l3505,732e" filled="false" stroked="true" strokeweight=".48pt" strokecolor="#000000">
                <v:path arrowok="t"/>
                <v:stroke dashstyle="dash"/>
              </v:shape>
            </v:group>
            <v:group style="position:absolute;left:3500;top:746;width:29;height:2" coordorigin="3500,746" coordsize="29,2">
              <v:shape style="position:absolute;left:3500;top:746;width:29;height:2" coordorigin="3500,746" coordsize="29,0" path="m3500,746l3529,746e" filled="false" stroked="true" strokeweight="1.44pt" strokecolor="#000000">
                <v:path arrowok="t"/>
              </v:shape>
            </v:group>
            <v:group style="position:absolute;left:3529;top:746;width:1647;height:2" coordorigin="3529,746" coordsize="1647,2">
              <v:shape style="position:absolute;left:3529;top:746;width:1647;height:2" coordorigin="3529,746" coordsize="1647,0" path="m3529,746l5175,746e" filled="false" stroked="true" strokeweight="1.44pt" strokecolor="#000000">
                <v:path arrowok="t"/>
              </v:shape>
            </v:group>
            <v:group style="position:absolute;left:5180;top:24;width:2;height:708" coordorigin="5180,24" coordsize="2,708">
              <v:shape style="position:absolute;left:5180;top:24;width:2;height:708" coordorigin="5180,24" coordsize="0,708" path="m5180,24l5180,732e" filled="false" stroked="true" strokeweight=".48pt" strokecolor="#000000">
                <v:path arrowok="t"/>
                <v:stroke dashstyle="dash"/>
              </v:shape>
            </v:group>
            <v:group style="position:absolute;left:5175;top:746;width:29;height:2" coordorigin="5175,746" coordsize="29,2">
              <v:shape style="position:absolute;left:5175;top:746;width:29;height:2" coordorigin="5175,746" coordsize="29,0" path="m5175,746l5204,746e" filled="false" stroked="true" strokeweight="1.44pt" strokecolor="#000000">
                <v:path arrowok="t"/>
              </v:shape>
            </v:group>
            <v:group style="position:absolute;left:5204;top:746;width:1479;height:2" coordorigin="5204,746" coordsize="1479,2">
              <v:shape style="position:absolute;left:5204;top:746;width:1479;height:2" coordorigin="5204,746" coordsize="1479,0" path="m5204,746l6683,746e" filled="false" stroked="true" strokeweight="1.44pt" strokecolor="#000000">
                <v:path arrowok="t"/>
              </v:shape>
            </v:group>
            <v:group style="position:absolute;left:6687;top:24;width:2;height:708" coordorigin="6687,24" coordsize="2,708">
              <v:shape style="position:absolute;left:6687;top:24;width:2;height:708" coordorigin="6687,24" coordsize="0,708" path="m6687,24l6687,732e" filled="false" stroked="true" strokeweight=".48pt" strokecolor="#000000">
                <v:path arrowok="t"/>
                <v:stroke dashstyle="dash"/>
              </v:shape>
            </v:group>
            <v:group style="position:absolute;left:6683;top:746;width:29;height:2" coordorigin="6683,746" coordsize="29,2">
              <v:shape style="position:absolute;left:6683;top:746;width:29;height:2" coordorigin="6683,746" coordsize="29,0" path="m6683,746l6711,746e" filled="false" stroked="true" strokeweight="1.44pt" strokecolor="#000000">
                <v:path arrowok="t"/>
              </v:shape>
            </v:group>
            <v:group style="position:absolute;left:6711;top:746;width:1587;height:2" coordorigin="6711,746" coordsize="1587,2">
              <v:shape style="position:absolute;left:6711;top:746;width:1587;height:2" coordorigin="6711,746" coordsize="1587,0" path="m6711,746l8298,746e" filled="false" stroked="true" strokeweight="1.44pt" strokecolor="#000000">
                <v:path arrowok="t"/>
              </v:shape>
              <v:shape style="position:absolute;left:0;top:0;width:8313;height:761" type="#_x0000_t202" filled="false" stroked="false">
                <v:textbox inset="0,0,0,0">
                  <w:txbxContent>
                    <w:p>
                      <w:pPr>
                        <w:spacing w:line="316" w:lineRule="auto" w:before="73"/>
                        <w:ind w:left="43" w:right="6635" w:firstLine="0"/>
                        <w:jc w:val="left"/>
                        <w:rPr>
                          <w:rFonts w:ascii="宋体" w:hAnsi="宋体" w:cs="宋体" w:eastAsia="宋体" w:hint="default"/>
                          <w:sz w:val="18"/>
                          <w:szCs w:val="18"/>
                        </w:rPr>
                      </w:pPr>
                      <w:r>
                        <w:rPr>
                          <w:rFonts w:ascii="宋体" w:hAnsi="宋体" w:cs="宋体" w:eastAsia="宋体" w:hint="default"/>
                          <w:spacing w:val="21"/>
                          <w:sz w:val="18"/>
                          <w:szCs w:val="18"/>
                        </w:rPr>
                        <w:t>企业本期收到的来</w:t>
                      </w:r>
                      <w:r>
                        <w:rPr>
                          <w:rFonts w:ascii="宋体" w:hAnsi="宋体" w:cs="宋体" w:eastAsia="宋体" w:hint="default"/>
                          <w:spacing w:val="-66"/>
                          <w:sz w:val="18"/>
                          <w:szCs w:val="18"/>
                        </w:rPr>
                        <w:t> </w:t>
                      </w:r>
                      <w:r>
                        <w:rPr>
                          <w:rFonts w:ascii="宋体" w:hAnsi="宋体" w:cs="宋体" w:eastAsia="宋体" w:hint="default"/>
                          <w:sz w:val="18"/>
                          <w:szCs w:val="18"/>
                        </w:rPr>
                        <w:t>自联营企业的股利</w:t>
                      </w:r>
                    </w:p>
                  </w:txbxContent>
                </v:textbox>
                <w10:wrap type="none"/>
              </v:shape>
            </v:group>
          </v:group>
        </w:pict>
      </w:r>
      <w:r>
        <w:rPr>
          <w:rFonts w:ascii="Microsoft JhengHei" w:hAnsi="Microsoft JhengHei" w:cs="Microsoft JhengHei" w:eastAsia="Microsoft JhengHei" w:hint="default"/>
          <w:position w:val="-14"/>
          <w:sz w:val="20"/>
          <w:szCs w:val="20"/>
        </w:rPr>
      </w:r>
    </w:p>
    <w:p>
      <w:pPr>
        <w:spacing w:line="240" w:lineRule="auto" w:before="5"/>
        <w:rPr>
          <w:rFonts w:ascii="Microsoft JhengHei" w:hAnsi="Microsoft JhengHei" w:cs="Microsoft JhengHei" w:eastAsia="Microsoft JhengHei" w:hint="default"/>
          <w:b/>
          <w:bCs/>
          <w:sz w:val="20"/>
          <w:szCs w:val="20"/>
        </w:rPr>
      </w:pPr>
    </w:p>
    <w:p>
      <w:pPr>
        <w:spacing w:before="44"/>
        <w:ind w:left="498" w:right="1786" w:firstLine="0"/>
        <w:jc w:val="left"/>
        <w:rPr>
          <w:rFonts w:ascii="宋体" w:hAnsi="宋体" w:cs="宋体" w:eastAsia="宋体" w:hint="default"/>
          <w:sz w:val="18"/>
          <w:szCs w:val="18"/>
        </w:rPr>
      </w:pPr>
      <w:r>
        <w:rPr>
          <w:rFonts w:ascii="宋体" w:hAnsi="宋体" w:cs="宋体" w:eastAsia="宋体" w:hint="default"/>
          <w:sz w:val="18"/>
          <w:szCs w:val="18"/>
        </w:rPr>
        <w:t>续：</w:t>
      </w:r>
    </w:p>
    <w:p>
      <w:pPr>
        <w:spacing w:line="240" w:lineRule="auto" w:before="5"/>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554"/>
        <w:gridCol w:w="2940"/>
        <w:gridCol w:w="2833"/>
      </w:tblGrid>
      <w:tr>
        <w:trPr>
          <w:trHeight w:val="427" w:hRule="exact"/>
        </w:trPr>
        <w:tc>
          <w:tcPr>
            <w:tcW w:w="2554"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7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right="4"/>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75" w:hRule="exact"/>
        </w:trPr>
        <w:tc>
          <w:tcPr>
            <w:tcW w:w="2554" w:type="dxa"/>
            <w:vMerge/>
            <w:tcBorders>
              <w:left w:val="nil" w:sz="6" w:space="0" w:color="auto"/>
              <w:bottom w:val="dotted" w:sz="4" w:space="0" w:color="000000"/>
              <w:right w:val="dotted" w:sz="4" w:space="0" w:color="000000"/>
            </w:tcBorders>
          </w:tcPr>
          <w:p>
            <w:pP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left="564" w:right="0"/>
              <w:jc w:val="left"/>
              <w:rPr>
                <w:rFonts w:ascii="宋体" w:hAnsi="宋体" w:cs="宋体" w:eastAsia="宋体" w:hint="default"/>
                <w:sz w:val="18"/>
                <w:szCs w:val="18"/>
              </w:rPr>
            </w:pPr>
            <w:r>
              <w:rPr>
                <w:rFonts w:ascii="宋体" w:hAnsi="宋体" w:cs="宋体" w:eastAsia="宋体" w:hint="default"/>
                <w:sz w:val="18"/>
                <w:szCs w:val="18"/>
              </w:rPr>
              <w:t>江信基金管理有限公司</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right="65"/>
              <w:jc w:val="right"/>
              <w:rPr>
                <w:rFonts w:ascii="宋体" w:hAnsi="宋体" w:cs="宋体" w:eastAsia="宋体" w:hint="default"/>
                <w:sz w:val="18"/>
                <w:szCs w:val="18"/>
              </w:rPr>
            </w:pPr>
            <w:r>
              <w:rPr>
                <w:rFonts w:ascii="宋体" w:hAnsi="宋体" w:cs="宋体" w:eastAsia="宋体" w:hint="default"/>
                <w:sz w:val="18"/>
                <w:szCs w:val="18"/>
              </w:rPr>
              <w:t>广州仁诺互联网小额贷款有限公司</w:t>
            </w:r>
          </w:p>
        </w:tc>
      </w:tr>
      <w:tr>
        <w:trPr>
          <w:trHeight w:val="416"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98,281,860.15</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100,287,822.05</w:t>
            </w:r>
          </w:p>
        </w:tc>
      </w:tr>
      <w:tr>
        <w:trPr>
          <w:trHeight w:val="418"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96,467,919.43</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24,569.32</w:t>
            </w:r>
          </w:p>
        </w:tc>
      </w:tr>
      <w:tr>
        <w:trPr>
          <w:trHeight w:val="418"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8"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194,749,779.58</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100,312,391.37</w:t>
            </w:r>
          </w:p>
        </w:tc>
      </w:tr>
      <w:tr>
        <w:trPr>
          <w:trHeight w:val="418"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6,310,940.54</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414,559.69</w:t>
            </w:r>
          </w:p>
        </w:tc>
      </w:tr>
      <w:tr>
        <w:trPr>
          <w:trHeight w:val="415"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40" w:type="dxa"/>
            <w:tcBorders>
              <w:top w:val="dotted" w:sz="4" w:space="0" w:color="000000"/>
              <w:left w:val="dotted" w:sz="4" w:space="0" w:color="000000"/>
              <w:bottom w:val="dotted" w:sz="4" w:space="0" w:color="000000"/>
              <w:right w:val="dotted" w:sz="4" w:space="0" w:color="000000"/>
            </w:tcBorders>
          </w:tcPr>
          <w:p>
            <w:pP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8"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6,310,940.54</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414,559.69</w:t>
            </w:r>
          </w:p>
        </w:tc>
      </w:tr>
      <w:tr>
        <w:trPr>
          <w:trHeight w:val="475"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2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40" w:type="dxa"/>
            <w:tcBorders>
              <w:top w:val="dotted" w:sz="4" w:space="0" w:color="000000"/>
              <w:left w:val="dotted" w:sz="4" w:space="0" w:color="000000"/>
              <w:bottom w:val="dotted" w:sz="4" w:space="0" w:color="000000"/>
              <w:right w:val="dotted" w:sz="4" w:space="0" w:color="000000"/>
            </w:tcBorders>
          </w:tcPr>
          <w:p>
            <w:pP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right="10"/>
              <w:jc w:val="right"/>
              <w:rPr>
                <w:rFonts w:ascii="Times New Roman" w:hAnsi="Times New Roman" w:cs="Times New Roman" w:eastAsia="Times New Roman" w:hint="default"/>
                <w:sz w:val="18"/>
                <w:szCs w:val="18"/>
              </w:rPr>
            </w:pPr>
            <w:r>
              <w:rPr>
                <w:rFonts w:ascii="Times New Roman"/>
                <w:spacing w:val="-1"/>
                <w:sz w:val="18"/>
              </w:rPr>
              <w:t>188,438,839.04</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spacing w:val="-1"/>
                <w:sz w:val="18"/>
              </w:rPr>
              <w:t>99,897,831.68</w:t>
            </w:r>
          </w:p>
        </w:tc>
      </w:tr>
      <w:tr>
        <w:trPr>
          <w:trHeight w:val="701"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56,531,651.71</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44,954,024.26</w:t>
            </w:r>
          </w:p>
        </w:tc>
      </w:tr>
      <w:tr>
        <w:trPr>
          <w:trHeight w:val="415"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940" w:type="dxa"/>
            <w:tcBorders>
              <w:top w:val="dotted" w:sz="4" w:space="0" w:color="000000"/>
              <w:left w:val="dotted" w:sz="4" w:space="0" w:color="000000"/>
              <w:bottom w:val="dotted" w:sz="4" w:space="0" w:color="000000"/>
              <w:right w:val="dotted" w:sz="4" w:space="0" w:color="000000"/>
            </w:tcBorders>
          </w:tcPr>
          <w:p>
            <w:pP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940" w:type="dxa"/>
            <w:tcBorders>
              <w:top w:val="dotted" w:sz="4" w:space="0" w:color="000000"/>
              <w:left w:val="dotted" w:sz="4" w:space="0" w:color="000000"/>
              <w:bottom w:val="dotted" w:sz="4" w:space="0" w:color="000000"/>
              <w:right w:val="dotted" w:sz="4" w:space="0" w:color="000000"/>
            </w:tcBorders>
          </w:tcPr>
          <w:p>
            <w:pP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521"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6"/>
              <w:ind w:left="28"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940" w:type="dxa"/>
            <w:tcBorders>
              <w:top w:val="dotted" w:sz="4" w:space="0" w:color="000000"/>
              <w:left w:val="dotted" w:sz="4" w:space="0" w:color="000000"/>
              <w:bottom w:val="dotted" w:sz="4" w:space="0" w:color="000000"/>
              <w:right w:val="dotted" w:sz="4" w:space="0" w:color="000000"/>
            </w:tcBorders>
          </w:tcPr>
          <w:p>
            <w:pP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0" w:type="dxa"/>
            <w:tcBorders>
              <w:top w:val="dotted" w:sz="4" w:space="0" w:color="000000"/>
              <w:left w:val="dotted" w:sz="4" w:space="0" w:color="000000"/>
              <w:bottom w:val="dotted" w:sz="4" w:space="0" w:color="000000"/>
              <w:right w:val="dotted" w:sz="4" w:space="0" w:color="000000"/>
            </w:tcBorders>
          </w:tcPr>
          <w:p>
            <w:pP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5"/>
              <w:ind w:left="28" w:right="8"/>
              <w:jc w:val="left"/>
              <w:rPr>
                <w:rFonts w:ascii="宋体" w:hAnsi="宋体" w:cs="宋体" w:eastAsia="宋体" w:hint="default"/>
                <w:sz w:val="18"/>
                <w:szCs w:val="18"/>
              </w:rPr>
            </w:pPr>
            <w:r>
              <w:rPr>
                <w:rFonts w:ascii="宋体" w:hAnsi="宋体" w:cs="宋体" w:eastAsia="宋体" w:hint="default"/>
                <w:spacing w:val="12"/>
                <w:sz w:val="18"/>
                <w:szCs w:val="18"/>
              </w:rPr>
              <w:t>对联营企业权益投资的账面价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56,531,651.71</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44,954,024.26</w:t>
            </w:r>
          </w:p>
        </w:tc>
      </w:tr>
      <w:tr>
        <w:trPr>
          <w:trHeight w:val="927"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8" w:right="8"/>
              <w:jc w:val="left"/>
              <w:rPr>
                <w:rFonts w:ascii="宋体" w:hAnsi="宋体" w:cs="宋体" w:eastAsia="宋体" w:hint="default"/>
                <w:sz w:val="18"/>
                <w:szCs w:val="18"/>
              </w:rPr>
            </w:pPr>
            <w:r>
              <w:rPr>
                <w:rFonts w:ascii="宋体" w:hAnsi="宋体" w:cs="宋体" w:eastAsia="宋体" w:hint="default"/>
                <w:spacing w:val="12"/>
                <w:sz w:val="18"/>
                <w:szCs w:val="18"/>
              </w:rPr>
              <w:t>存在公开报价的权益投资的公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允价值</w:t>
            </w:r>
          </w:p>
        </w:tc>
        <w:tc>
          <w:tcPr>
            <w:tcW w:w="2940" w:type="dxa"/>
            <w:tcBorders>
              <w:top w:val="dotted" w:sz="4" w:space="0" w:color="000000"/>
              <w:left w:val="dotted" w:sz="4" w:space="0" w:color="000000"/>
              <w:bottom w:val="dotted" w:sz="4" w:space="0" w:color="000000"/>
              <w:right w:val="dotted" w:sz="4" w:space="0" w:color="000000"/>
            </w:tcBorders>
          </w:tcPr>
          <w:p>
            <w:pP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38,795,157.57</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44.32</w:t>
            </w:r>
          </w:p>
        </w:tc>
      </w:tr>
      <w:tr>
        <w:trPr>
          <w:trHeight w:val="418"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-12,330,206.65</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427,973.56</w:t>
            </w:r>
          </w:p>
        </w:tc>
      </w:tr>
      <w:tr>
        <w:trPr>
          <w:trHeight w:val="475"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28"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940" w:type="dxa"/>
            <w:tcBorders>
              <w:top w:val="dotted" w:sz="4" w:space="0" w:color="000000"/>
              <w:left w:val="dotted" w:sz="4" w:space="0" w:color="000000"/>
              <w:bottom w:val="dotted" w:sz="4" w:space="0" w:color="000000"/>
              <w:right w:val="dotted" w:sz="4" w:space="0" w:color="000000"/>
            </w:tcBorders>
          </w:tcPr>
          <w:p>
            <w:pP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5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4"/>
              <w:ind w:left="2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
              <w:jc w:val="right"/>
              <w:rPr>
                <w:rFonts w:ascii="Times New Roman" w:hAnsi="Times New Roman" w:cs="Times New Roman" w:eastAsia="Times New Roman" w:hint="default"/>
                <w:sz w:val="18"/>
                <w:szCs w:val="18"/>
              </w:rPr>
            </w:pPr>
            <w:r>
              <w:rPr>
                <w:rFonts w:ascii="Times New Roman"/>
                <w:spacing w:val="-1"/>
                <w:sz w:val="18"/>
              </w:rPr>
              <w:t>-8,856,918.30</w:t>
            </w:r>
          </w:p>
        </w:tc>
        <w:tc>
          <w:tcPr>
            <w:tcW w:w="2833" w:type="dxa"/>
            <w:tcBorders>
              <w:top w:val="dotted" w:sz="4" w:space="0" w:color="000000"/>
              <w:left w:val="dotted" w:sz="4" w:space="0" w:color="000000"/>
              <w:bottom w:val="dotted" w:sz="4" w:space="0" w:color="000000"/>
              <w:right w:val="nil" w:sz="6" w:space="0" w:color="auto"/>
            </w:tcBorders>
          </w:tcPr>
          <w:p>
            <w:pPr/>
          </w:p>
        </w:tc>
      </w:tr>
      <w:tr>
        <w:trPr>
          <w:trHeight w:val="485" w:hRule="exact"/>
        </w:trPr>
        <w:tc>
          <w:tcPr>
            <w:tcW w:w="25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9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4"/>
              <w:ind w:right="10"/>
              <w:jc w:val="right"/>
              <w:rPr>
                <w:rFonts w:ascii="Times New Roman" w:hAnsi="Times New Roman" w:cs="Times New Roman" w:eastAsia="Times New Roman" w:hint="default"/>
                <w:sz w:val="18"/>
                <w:szCs w:val="18"/>
              </w:rPr>
            </w:pPr>
            <w:r>
              <w:rPr>
                <w:rFonts w:ascii="Times New Roman"/>
                <w:spacing w:val="-1"/>
                <w:sz w:val="18"/>
              </w:rPr>
              <w:t>-21,187,124.95</w:t>
            </w:r>
          </w:p>
        </w:tc>
        <w:tc>
          <w:tcPr>
            <w:tcW w:w="28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427,973.56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2554"/>
        <w:gridCol w:w="2940"/>
        <w:gridCol w:w="2833"/>
      </w:tblGrid>
      <w:tr>
        <w:trPr>
          <w:trHeight w:val="430" w:hRule="exact"/>
        </w:trPr>
        <w:tc>
          <w:tcPr>
            <w:tcW w:w="2554"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7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4"/>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473" w:hRule="exact"/>
        </w:trPr>
        <w:tc>
          <w:tcPr>
            <w:tcW w:w="2554" w:type="dxa"/>
            <w:vMerge/>
            <w:tcBorders>
              <w:left w:val="nil" w:sz="6" w:space="0" w:color="auto"/>
              <w:bottom w:val="dotted" w:sz="4" w:space="0" w:color="000000"/>
              <w:right w:val="dotted" w:sz="4" w:space="0" w:color="000000"/>
            </w:tcBorders>
          </w:tcPr>
          <w:p>
            <w:pPr/>
          </w:p>
        </w:tc>
        <w:tc>
          <w:tcPr>
            <w:tcW w:w="29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left="564" w:right="0"/>
              <w:jc w:val="left"/>
              <w:rPr>
                <w:rFonts w:ascii="宋体" w:hAnsi="宋体" w:cs="宋体" w:eastAsia="宋体" w:hint="default"/>
                <w:sz w:val="18"/>
                <w:szCs w:val="18"/>
              </w:rPr>
            </w:pPr>
            <w:r>
              <w:rPr>
                <w:rFonts w:ascii="宋体" w:hAnsi="宋体" w:cs="宋体" w:eastAsia="宋体" w:hint="default"/>
                <w:sz w:val="18"/>
                <w:szCs w:val="18"/>
              </w:rPr>
              <w:t>江信基金管理有限公司</w:t>
            </w:r>
          </w:p>
        </w:tc>
        <w:tc>
          <w:tcPr>
            <w:tcW w:w="28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2"/>
              <w:ind w:left="59" w:right="0"/>
              <w:jc w:val="left"/>
              <w:rPr>
                <w:rFonts w:ascii="宋体" w:hAnsi="宋体" w:cs="宋体" w:eastAsia="宋体" w:hint="default"/>
                <w:sz w:val="18"/>
                <w:szCs w:val="18"/>
              </w:rPr>
            </w:pPr>
            <w:r>
              <w:rPr>
                <w:rFonts w:ascii="宋体" w:hAnsi="宋体" w:cs="宋体" w:eastAsia="宋体" w:hint="default"/>
                <w:sz w:val="18"/>
                <w:szCs w:val="18"/>
              </w:rPr>
              <w:t>广州仁诺互联网小额贷款有限公司</w:t>
            </w:r>
          </w:p>
        </w:tc>
      </w:tr>
      <w:tr>
        <w:trPr>
          <w:trHeight w:val="953" w:hRule="exact"/>
        </w:trPr>
        <w:tc>
          <w:tcPr>
            <w:tcW w:w="25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 w:right="8"/>
              <w:jc w:val="left"/>
              <w:rPr>
                <w:rFonts w:ascii="宋体" w:hAnsi="宋体" w:cs="宋体" w:eastAsia="宋体" w:hint="default"/>
                <w:sz w:val="18"/>
                <w:szCs w:val="18"/>
              </w:rPr>
            </w:pPr>
            <w:r>
              <w:rPr>
                <w:rFonts w:ascii="宋体" w:hAnsi="宋体" w:cs="宋体" w:eastAsia="宋体" w:hint="default"/>
                <w:spacing w:val="12"/>
                <w:sz w:val="18"/>
                <w:szCs w:val="18"/>
              </w:rPr>
              <w:t>企业本期收到的来自联营企业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的股利</w:t>
            </w:r>
          </w:p>
        </w:tc>
        <w:tc>
          <w:tcPr>
            <w:tcW w:w="2940" w:type="dxa"/>
            <w:tcBorders>
              <w:top w:val="dotted" w:sz="4" w:space="0" w:color="000000"/>
              <w:left w:val="dotted" w:sz="4" w:space="0" w:color="000000"/>
              <w:bottom w:val="single" w:sz="12" w:space="0" w:color="000000"/>
              <w:right w:val="dotted" w:sz="4" w:space="0" w:color="000000"/>
            </w:tcBorders>
          </w:tcPr>
          <w:p>
            <w:pPr/>
          </w:p>
        </w:tc>
        <w:tc>
          <w:tcPr>
            <w:tcW w:w="283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21"/>
          <w:szCs w:val="21"/>
        </w:rPr>
      </w:pPr>
    </w:p>
    <w:p>
      <w:pPr>
        <w:pStyle w:val="Heading4"/>
        <w:spacing w:line="335" w:lineRule="exact"/>
        <w:ind w:right="1786"/>
        <w:jc w:val="left"/>
        <w:rPr>
          <w:b w:val="0"/>
          <w:bCs w:val="0"/>
        </w:rPr>
      </w:pPr>
      <w:r>
        <w:rPr>
          <w:rFonts w:ascii="Arial" w:hAnsi="Arial" w:cs="Arial" w:eastAsia="Arial" w:hint="default"/>
        </w:rPr>
        <w:t>3. </w:t>
      </w:r>
      <w:r>
        <w:rPr>
          <w:rFonts w:ascii="Arial" w:hAnsi="Arial" w:cs="Arial" w:eastAsia="Arial" w:hint="default"/>
          <w:spacing w:val="3"/>
        </w:rPr>
        <w:t> </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859"/>
        <w:gridCol w:w="2422"/>
        <w:gridCol w:w="3046"/>
      </w:tblGrid>
      <w:tr>
        <w:trPr>
          <w:trHeight w:val="413" w:hRule="exact"/>
        </w:trPr>
        <w:tc>
          <w:tcPr>
            <w:tcW w:w="28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tc>
        <w:tc>
          <w:tcPr>
            <w:tcW w:w="30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w:t>
            </w:r>
          </w:p>
        </w:tc>
      </w:tr>
      <w:tr>
        <w:trPr>
          <w:trHeight w:val="403"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22" w:type="dxa"/>
            <w:tcBorders>
              <w:top w:val="dotted" w:sz="4" w:space="0" w:color="000000"/>
              <w:left w:val="dotted" w:sz="4" w:space="0" w:color="000000"/>
              <w:bottom w:val="dotted" w:sz="4" w:space="0" w:color="000000"/>
              <w:right w:val="dotted" w:sz="4" w:space="0" w:color="000000"/>
            </w:tcBorders>
          </w:tcPr>
          <w:p>
            <w:pPr/>
          </w:p>
        </w:tc>
        <w:tc>
          <w:tcPr>
            <w:tcW w:w="3046"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联营企业投资账面价值合计</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50,383,554.09</w:t>
            </w:r>
            <w:r>
              <w:rPr>
                <w:rFonts w:ascii="Times New Roman"/>
                <w:sz w:val="18"/>
              </w:rPr>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2,430,216.53</w:t>
            </w:r>
          </w:p>
        </w:tc>
      </w:tr>
      <w:tr>
        <w:trPr>
          <w:trHeight w:val="715"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49"/>
              <w:ind w:left="122" w:right="104"/>
              <w:jc w:val="left"/>
              <w:rPr>
                <w:rFonts w:ascii="宋体" w:hAnsi="宋体" w:cs="宋体" w:eastAsia="宋体" w:hint="default"/>
                <w:sz w:val="18"/>
                <w:szCs w:val="18"/>
              </w:rPr>
            </w:pPr>
            <w:r>
              <w:rPr>
                <w:rFonts w:ascii="宋体" w:hAnsi="宋体" w:cs="宋体" w:eastAsia="宋体" w:hint="default"/>
                <w:spacing w:val="7"/>
                <w:sz w:val="18"/>
                <w:szCs w:val="18"/>
              </w:rPr>
              <w:t>下列各项按持股比例计算的合计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w:t>
            </w:r>
          </w:p>
        </w:tc>
        <w:tc>
          <w:tcPr>
            <w:tcW w:w="2422" w:type="dxa"/>
            <w:tcBorders>
              <w:top w:val="dotted" w:sz="4" w:space="0" w:color="000000"/>
              <w:left w:val="dotted" w:sz="4" w:space="0" w:color="000000"/>
              <w:bottom w:val="dotted" w:sz="4" w:space="0" w:color="000000"/>
              <w:right w:val="dotted" w:sz="4" w:space="0" w:color="000000"/>
            </w:tcBorders>
          </w:tcPr>
          <w:p>
            <w:pPr/>
          </w:p>
        </w:tc>
        <w:tc>
          <w:tcPr>
            <w:tcW w:w="3046"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-4,808,768.84</w:t>
            </w:r>
            <w:r>
              <w:rPr>
                <w:rFonts w:ascii="Times New Roman"/>
                <w:sz w:val="18"/>
              </w:rPr>
            </w:r>
          </w:p>
        </w:tc>
        <w:tc>
          <w:tcPr>
            <w:tcW w:w="30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-565,562.80</w:t>
            </w:r>
          </w:p>
        </w:tc>
      </w:tr>
      <w:tr>
        <w:trPr>
          <w:trHeight w:val="403"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2" w:type="dxa"/>
            <w:tcBorders>
              <w:top w:val="dotted" w:sz="4" w:space="0" w:color="000000"/>
              <w:left w:val="dotted" w:sz="4" w:space="0" w:color="000000"/>
              <w:bottom w:val="dotted" w:sz="4" w:space="0" w:color="000000"/>
              <w:right w:val="dotted" w:sz="4" w:space="0" w:color="000000"/>
            </w:tcBorders>
          </w:tcPr>
          <w:p>
            <w:pPr/>
          </w:p>
        </w:tc>
        <w:tc>
          <w:tcPr>
            <w:tcW w:w="3046"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28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-4,808,768.84</w:t>
            </w:r>
            <w:r>
              <w:rPr>
                <w:rFonts w:ascii="Times New Roman"/>
                <w:sz w:val="18"/>
              </w:rPr>
            </w:r>
          </w:p>
        </w:tc>
        <w:tc>
          <w:tcPr>
            <w:tcW w:w="30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-565,562.80</w:t>
            </w: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right="178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在未纳入合并财务报表范围的结构化主体中的权益</w:t>
      </w:r>
      <w:r>
        <w:rPr>
          <w:b w:val="0"/>
          <w:bCs w:val="0"/>
        </w:rPr>
      </w:r>
    </w:p>
    <w:p>
      <w:pPr>
        <w:pStyle w:val="BodyText"/>
        <w:spacing w:line="355" w:lineRule="auto" w:before="152"/>
        <w:ind w:left="138" w:right="1578" w:firstLine="419"/>
        <w:jc w:val="left"/>
      </w:pPr>
      <w:r>
        <w:rPr>
          <w:spacing w:val="-4"/>
          <w:w w:val="100"/>
        </w:rPr>
        <w:t>本公司主要在金融投资等业务中涉及结构化主体，这些结构化主体通常以募集资金的方</w:t>
      </w:r>
      <w:r>
        <w:rPr>
          <w:w w:val="100"/>
        </w:rPr>
        <w:t> </w:t>
      </w:r>
      <w:r>
        <w:rPr>
          <w:spacing w:val="-4"/>
        </w:rPr>
        <w:t>式购买资产。本公司会分析判断是否对这些结构化主体存在控制，以确定是否会将其纳入合</w:t>
      </w:r>
      <w:r>
        <w:rPr>
          <w:spacing w:val="-41"/>
        </w:rPr>
        <w:t> </w:t>
      </w:r>
      <w:r>
        <w:rPr>
          <w:spacing w:val="-41"/>
        </w:rPr>
      </w:r>
      <w:r>
        <w:rPr>
          <w:spacing w:val="-4"/>
          <w:w w:val="100"/>
        </w:rPr>
        <w:t>并财务报表范围，本公司在未纳入合并财务报表范围的结构化主体中的权益的相关信息如下：</w:t>
      </w:r>
    </w:p>
    <w:p>
      <w:pPr>
        <w:pStyle w:val="BodyText"/>
        <w:spacing w:line="420" w:lineRule="auto" w:before="174"/>
        <w:ind w:left="558" w:right="17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本公司发起设立的结构化主体</w:t>
      </w:r>
      <w:r>
        <w:rPr>
          <w:w w:val="100"/>
        </w:rPr>
        <w:t> </w:t>
      </w:r>
      <w:r>
        <w:rPr>
          <w:spacing w:val="-4"/>
          <w:w w:val="100"/>
        </w:rPr>
        <w:t>本公司发起设立的未纳入合并财务报表范围的结构化主体，主要包括本公司发起设立的</w:t>
      </w:r>
    </w:p>
    <w:p>
      <w:pPr>
        <w:pStyle w:val="BodyText"/>
        <w:spacing w:line="408" w:lineRule="auto" w:before="36"/>
        <w:ind w:left="138" w:right="1788"/>
        <w:jc w:val="both"/>
      </w:pPr>
      <w:r>
        <w:rPr>
          <w:spacing w:val="-4"/>
        </w:rPr>
        <w:t>资产管理计划。这些结构化主体的性质和目的主要是管理投资者的资产并收取管理费，其募</w:t>
      </w:r>
      <w:r>
        <w:rPr>
          <w:spacing w:val="-42"/>
        </w:rPr>
        <w:t> </w:t>
      </w:r>
      <w:r>
        <w:rPr>
          <w:spacing w:val="-42"/>
        </w:rPr>
      </w:r>
      <w:r>
        <w:rPr>
          <w:spacing w:val="-4"/>
          <w:w w:val="100"/>
        </w:rPr>
        <w:t>资方式是向投资者发行投资产品。本公司在这些未纳入合并财务报表范围的结构化主体中享</w:t>
      </w:r>
      <w:r>
        <w:rPr>
          <w:spacing w:val="-89"/>
          <w:w w:val="100"/>
        </w:rPr>
        <w:t> </w:t>
      </w:r>
      <w:r>
        <w:rPr>
          <w:spacing w:val="-89"/>
          <w:w w:val="100"/>
        </w:rPr>
      </w:r>
      <w:r>
        <w:rPr/>
        <w:t>有的权益主要包括直接持有投资或通过管理这些结构化主体收取管理费收入及业绩报酬。</w:t>
      </w:r>
    </w:p>
    <w:p>
      <w:pPr>
        <w:pStyle w:val="BodyText"/>
        <w:spacing w:line="398" w:lineRule="auto" w:before="84"/>
        <w:ind w:left="138" w:right="1788" w:firstLine="419"/>
        <w:jc w:val="both"/>
      </w:pPr>
      <w:r>
        <w:rPr/>
        <w:t>截止</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日，本公司通过直接持有本公司发起设立的未纳入合并财务报表</w:t>
      </w:r>
      <w:r>
        <w:rPr>
          <w:w w:val="100"/>
        </w:rPr>
        <w:t> </w:t>
      </w:r>
      <w:r>
        <w:rPr/>
        <w:t>范围的结构化主体中享有的权益在本公司资产负债表中的相关资产负债项目账面价值及最</w:t>
      </w:r>
      <w:r>
        <w:rPr>
          <w:spacing w:val="7"/>
        </w:rPr>
        <w:t> </w:t>
      </w:r>
      <w:r>
        <w:rPr>
          <w:spacing w:val="7"/>
        </w:rPr>
      </w:r>
      <w:r>
        <w:rPr/>
        <w:t>大损失风险敞口列示如下：</w:t>
      </w:r>
    </w:p>
    <w:p>
      <w:pPr>
        <w:spacing w:before="39"/>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397"/>
        <w:gridCol w:w="2741"/>
        <w:gridCol w:w="2189"/>
      </w:tblGrid>
      <w:tr>
        <w:trPr>
          <w:trHeight w:val="502" w:hRule="exact"/>
        </w:trPr>
        <w:tc>
          <w:tcPr>
            <w:tcW w:w="339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期末账面截止</w:t>
            </w:r>
          </w:p>
        </w:tc>
        <w:tc>
          <w:tcPr>
            <w:tcW w:w="21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期末最大损失敞口</w:t>
            </w:r>
          </w:p>
        </w:tc>
      </w:tr>
      <w:tr>
        <w:trPr>
          <w:trHeight w:val="502" w:hRule="exact"/>
        </w:trPr>
        <w:tc>
          <w:tcPr>
            <w:tcW w:w="33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7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13,550.54</w:t>
            </w:r>
          </w:p>
        </w:tc>
        <w:tc>
          <w:tcPr>
            <w:tcW w:w="21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56" w:right="0"/>
              <w:jc w:val="left"/>
              <w:rPr>
                <w:rFonts w:ascii="Times New Roman" w:hAnsi="Times New Roman" w:cs="Times New Roman" w:eastAsia="Times New Roman" w:hint="default"/>
                <w:sz w:val="18"/>
                <w:szCs w:val="18"/>
              </w:rPr>
            </w:pPr>
            <w:r>
              <w:rPr>
                <w:rFonts w:ascii="Times New Roman"/>
                <w:sz w:val="18"/>
              </w:rPr>
              <w:t>13,550.54</w:t>
            </w:r>
          </w:p>
        </w:tc>
      </w:tr>
    </w:tbl>
    <w:p>
      <w:pPr>
        <w:spacing w:line="240" w:lineRule="auto" w:before="3"/>
        <w:rPr>
          <w:rFonts w:ascii="宋体" w:hAnsi="宋体" w:cs="宋体" w:eastAsia="宋体" w:hint="default"/>
          <w:sz w:val="5"/>
          <w:szCs w:val="5"/>
        </w:rPr>
      </w:pPr>
    </w:p>
    <w:p>
      <w:pPr>
        <w:pStyle w:val="BodyText"/>
        <w:spacing w:line="396" w:lineRule="auto" w:before="36"/>
        <w:ind w:left="138" w:right="1788" w:firstLine="419"/>
        <w:jc w:val="both"/>
      </w:pPr>
      <w:r>
        <w:rPr/>
        <w:t>截止</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日，本公司从本公司发起设立但未纳入合并财务报表范围的、且</w:t>
      </w:r>
      <w:r>
        <w:rPr>
          <w:w w:val="100"/>
        </w:rPr>
        <w:t> </w:t>
      </w:r>
      <w:r>
        <w:rPr/>
        <w:t>资产负债表日在该结构化主体中没有权益的资产管理计划中获取的管理费收入资产管理计</w:t>
      </w:r>
      <w:r>
        <w:rPr>
          <w:spacing w:val="7"/>
        </w:rPr>
        <w:t> </w:t>
      </w:r>
      <w:r>
        <w:rPr>
          <w:spacing w:val="7"/>
        </w:rPr>
      </w:r>
      <w:r>
        <w:rPr/>
        <w:t>划中获取的管理费收入、手续费收入及业绩报酬为人民币</w:t>
      </w:r>
      <w:r>
        <w:rPr>
          <w:spacing w:val="-54"/>
        </w:rPr>
        <w:t> </w:t>
      </w:r>
      <w:r>
        <w:rPr>
          <w:rFonts w:ascii="Times New Roman" w:hAnsi="Times New Roman" w:cs="Times New Roman" w:eastAsia="Times New Roman" w:hint="default"/>
        </w:rPr>
        <w:t>7,191.61</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2"/>
          <w:szCs w:val="22"/>
        </w:rPr>
      </w:pPr>
    </w:p>
    <w:p>
      <w:pPr>
        <w:pStyle w:val="BodyText"/>
        <w:spacing w:line="240" w:lineRule="auto"/>
        <w:ind w:left="558" w:right="17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第三方金融机构发起的结构化主体</w:t>
      </w:r>
    </w:p>
    <w:p>
      <w:pPr>
        <w:spacing w:line="240" w:lineRule="auto" w:before="6"/>
        <w:rPr>
          <w:rFonts w:ascii="宋体" w:hAnsi="宋体" w:cs="宋体" w:eastAsia="宋体" w:hint="default"/>
          <w:sz w:val="16"/>
          <w:szCs w:val="16"/>
        </w:rPr>
      </w:pPr>
    </w:p>
    <w:p>
      <w:pPr>
        <w:pStyle w:val="BodyText"/>
        <w:spacing w:line="398" w:lineRule="auto"/>
        <w:ind w:left="138" w:right="1788" w:firstLine="419"/>
        <w:jc w:val="both"/>
      </w:pPr>
      <w:r>
        <w:rPr/>
        <w:t>截止</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日，本公司通过直接投资在第三方金融机构发起的结构化主体中</w:t>
      </w:r>
      <w:r>
        <w:rPr>
          <w:w w:val="100"/>
        </w:rPr>
        <w:t> </w:t>
      </w:r>
      <w:r>
        <w:rPr/>
        <w:t>享有的权益在本公司资产负债表的相关资产负债项目账面价值及最大损失风险敞口列示如</w:t>
      </w:r>
      <w:r>
        <w:rPr>
          <w:spacing w:val="7"/>
        </w:rPr>
        <w:t> </w:t>
      </w:r>
      <w:r>
        <w:rPr>
          <w:spacing w:val="7"/>
        </w:rPr>
      </w:r>
      <w:r>
        <w:rPr/>
        <w:t>下：</w:t>
      </w:r>
    </w:p>
    <w:p>
      <w:pPr>
        <w:spacing w:before="11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423"/>
        <w:gridCol w:w="2408"/>
        <w:gridCol w:w="2497"/>
      </w:tblGrid>
      <w:tr>
        <w:trPr>
          <w:trHeight w:val="499" w:hRule="exact"/>
        </w:trPr>
        <w:tc>
          <w:tcPr>
            <w:tcW w:w="34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5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4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期末最大损失敞口</w:t>
            </w:r>
          </w:p>
        </w:tc>
      </w:tr>
      <w:tr>
        <w:trPr>
          <w:trHeight w:val="490" w:hRule="exact"/>
        </w:trPr>
        <w:tc>
          <w:tcPr>
            <w:tcW w:w="34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49,037.40</w:t>
            </w:r>
          </w:p>
        </w:tc>
        <w:tc>
          <w:tcPr>
            <w:tcW w:w="24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49,037.40</w:t>
            </w:r>
          </w:p>
        </w:tc>
      </w:tr>
      <w:tr>
        <w:trPr>
          <w:trHeight w:val="502" w:hRule="exact"/>
        </w:trPr>
        <w:tc>
          <w:tcPr>
            <w:tcW w:w="34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8,657.77</w:t>
            </w:r>
          </w:p>
        </w:tc>
        <w:tc>
          <w:tcPr>
            <w:tcW w:w="249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8,657.77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420" w:lineRule="auto" w:before="36"/>
        <w:ind w:left="558" w:right="17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未纳入合并范围的相关说明</w:t>
      </w:r>
      <w:r>
        <w:rPr>
          <w:w w:val="100"/>
        </w:rPr>
        <w:t> </w:t>
      </w:r>
      <w:r>
        <w:rPr>
          <w:spacing w:val="-4"/>
        </w:rPr>
        <w:t>以上结构化主体因不满足“拥有对被投资方的权力因素”或虽满足拥有对被投资方的权</w:t>
      </w:r>
    </w:p>
    <w:p>
      <w:pPr>
        <w:pStyle w:val="BodyText"/>
        <w:spacing w:line="240" w:lineRule="auto" w:before="35"/>
        <w:ind w:left="138" w:right="1578"/>
        <w:jc w:val="left"/>
      </w:pPr>
      <w:r>
        <w:rPr>
          <w:w w:val="100"/>
        </w:rPr>
        <w:t>力但</w:t>
      </w:r>
      <w:r>
        <w:rPr>
          <w:spacing w:val="-3"/>
          <w:w w:val="100"/>
        </w:rPr>
        <w:t>不</w:t>
      </w:r>
      <w:r>
        <w:rPr>
          <w:w w:val="100"/>
        </w:rPr>
        <w:t>满</w:t>
      </w:r>
      <w:r>
        <w:rPr>
          <w:spacing w:val="-101"/>
          <w:w w:val="100"/>
        </w:rPr>
        <w:t>足</w:t>
      </w:r>
      <w:r>
        <w:rPr>
          <w:spacing w:val="-3"/>
          <w:w w:val="100"/>
        </w:rPr>
        <w:t>“</w:t>
      </w:r>
      <w:r>
        <w:rPr>
          <w:w w:val="100"/>
        </w:rPr>
        <w:t>有</w:t>
      </w:r>
      <w:r>
        <w:rPr>
          <w:spacing w:val="-3"/>
          <w:w w:val="100"/>
        </w:rPr>
        <w:t>能</w:t>
      </w:r>
      <w:r>
        <w:rPr>
          <w:w w:val="100"/>
        </w:rPr>
        <w:t>力</w:t>
      </w:r>
      <w:r>
        <w:rPr>
          <w:spacing w:val="-3"/>
          <w:w w:val="100"/>
        </w:rPr>
        <w:t>运</w:t>
      </w:r>
      <w:r>
        <w:rPr>
          <w:w w:val="100"/>
        </w:rPr>
        <w:t>用</w:t>
      </w:r>
      <w:r>
        <w:rPr>
          <w:spacing w:val="-3"/>
          <w:w w:val="100"/>
        </w:rPr>
        <w:t>对</w:t>
      </w:r>
      <w:r>
        <w:rPr>
          <w:w w:val="100"/>
        </w:rPr>
        <w:t>被投</w:t>
      </w:r>
      <w:r>
        <w:rPr>
          <w:spacing w:val="-3"/>
          <w:w w:val="100"/>
        </w:rPr>
        <w:t>资</w:t>
      </w:r>
      <w:r>
        <w:rPr>
          <w:w w:val="100"/>
        </w:rPr>
        <w:t>方</w:t>
      </w:r>
      <w:r>
        <w:rPr>
          <w:spacing w:val="-3"/>
          <w:w w:val="100"/>
        </w:rPr>
        <w:t>的</w:t>
      </w:r>
      <w:r>
        <w:rPr>
          <w:w w:val="100"/>
        </w:rPr>
        <w:t>权</w:t>
      </w:r>
      <w:r>
        <w:rPr>
          <w:spacing w:val="-3"/>
          <w:w w:val="100"/>
        </w:rPr>
        <w:t>力</w:t>
      </w:r>
      <w:r>
        <w:rPr>
          <w:w w:val="100"/>
        </w:rPr>
        <w:t>影</w:t>
      </w:r>
      <w:r>
        <w:rPr>
          <w:spacing w:val="-3"/>
          <w:w w:val="100"/>
        </w:rPr>
        <w:t>响</w:t>
      </w:r>
      <w:r>
        <w:rPr>
          <w:w w:val="100"/>
        </w:rPr>
        <w:t>其</w:t>
      </w:r>
      <w:r>
        <w:rPr>
          <w:spacing w:val="-3"/>
          <w:w w:val="100"/>
        </w:rPr>
        <w:t>回</w:t>
      </w:r>
      <w:r>
        <w:rPr>
          <w:w w:val="100"/>
        </w:rPr>
        <w:t>报金</w:t>
      </w:r>
      <w:r>
        <w:rPr>
          <w:spacing w:val="-3"/>
          <w:w w:val="100"/>
        </w:rPr>
        <w:t>额</w:t>
      </w:r>
      <w:r>
        <w:rPr>
          <w:spacing w:val="-101"/>
          <w:w w:val="100"/>
        </w:rPr>
        <w:t>”</w:t>
      </w:r>
      <w:r>
        <w:rPr>
          <w:w w:val="100"/>
        </w:rPr>
        <w:t>的</w:t>
      </w:r>
      <w:r>
        <w:rPr>
          <w:spacing w:val="-3"/>
          <w:w w:val="100"/>
        </w:rPr>
        <w:t>条件</w:t>
      </w:r>
      <w:r>
        <w:rPr>
          <w:spacing w:val="-99"/>
          <w:w w:val="100"/>
        </w:rPr>
        <w:t>，</w:t>
      </w:r>
      <w:r>
        <w:rPr>
          <w:spacing w:val="-3"/>
          <w:w w:val="100"/>
        </w:rPr>
        <w:t>因</w:t>
      </w:r>
      <w:r>
        <w:rPr>
          <w:w w:val="100"/>
        </w:rPr>
        <w:t>此</w:t>
      </w:r>
      <w:r>
        <w:rPr>
          <w:spacing w:val="-3"/>
          <w:w w:val="100"/>
        </w:rPr>
        <w:t>未纳</w:t>
      </w:r>
      <w:r>
        <w:rPr>
          <w:w w:val="100"/>
        </w:rPr>
        <w:t>入合</w:t>
      </w:r>
      <w:r>
        <w:rPr>
          <w:spacing w:val="-3"/>
          <w:w w:val="100"/>
        </w:rPr>
        <w:t>并范围</w:t>
      </w:r>
      <w:r>
        <w:rPr>
          <w:w w:val="100"/>
        </w:rPr>
        <w:t>。</w:t>
      </w:r>
    </w:p>
    <w:p>
      <w:pPr>
        <w:spacing w:line="240" w:lineRule="auto" w:before="0"/>
        <w:rPr>
          <w:rFonts w:ascii="宋体" w:hAnsi="宋体" w:cs="宋体" w:eastAsia="宋体" w:hint="default"/>
          <w:sz w:val="20"/>
          <w:szCs w:val="20"/>
        </w:rPr>
      </w:pPr>
    </w:p>
    <w:p>
      <w:pPr>
        <w:pStyle w:val="Heading4"/>
        <w:spacing w:line="240" w:lineRule="auto" w:before="155"/>
        <w:ind w:left="138" w:right="1786"/>
        <w:jc w:val="left"/>
        <w:rPr>
          <w:b w:val="0"/>
          <w:bCs w:val="0"/>
        </w:rPr>
      </w:pPr>
      <w:r>
        <w:rPr/>
        <w:t>九、</w:t>
      </w:r>
      <w:r>
        <w:rPr>
          <w:spacing w:val="46"/>
        </w:rPr>
        <w:t> </w:t>
      </w:r>
      <w:r>
        <w:rPr/>
        <w:t>与金融工具相关的风险披露</w:t>
      </w:r>
      <w:r>
        <w:rPr>
          <w:b w:val="0"/>
          <w:bCs w:val="0"/>
        </w:rPr>
      </w:r>
    </w:p>
    <w:p>
      <w:pPr>
        <w:spacing w:line="240" w:lineRule="auto" w:before="10"/>
        <w:rPr>
          <w:rFonts w:ascii="Microsoft JhengHei" w:hAnsi="Microsoft JhengHei" w:cs="Microsoft JhengHei" w:eastAsia="Microsoft JhengHei" w:hint="default"/>
          <w:b/>
          <w:bCs/>
          <w:sz w:val="10"/>
          <w:szCs w:val="10"/>
        </w:rPr>
      </w:pPr>
    </w:p>
    <w:p>
      <w:pPr>
        <w:pStyle w:val="Heading4"/>
        <w:spacing w:line="240" w:lineRule="auto"/>
        <w:ind w:left="562" w:right="1786"/>
        <w:jc w:val="left"/>
        <w:rPr>
          <w:b w:val="0"/>
          <w:bCs w:val="0"/>
        </w:rPr>
      </w:pPr>
      <w:r>
        <w:rPr/>
        <w:t>（一）</w:t>
      </w:r>
      <w:r>
        <w:rPr>
          <w:spacing w:val="-18"/>
        </w:rPr>
        <w:t> </w:t>
      </w:r>
      <w:r>
        <w:rPr/>
        <w:t>风险管理政策及组织架构</w:t>
      </w:r>
      <w:r>
        <w:rPr>
          <w:b w:val="0"/>
          <w:bCs w:val="0"/>
        </w:rPr>
      </w:r>
    </w:p>
    <w:p>
      <w:pPr>
        <w:spacing w:line="338" w:lineRule="auto" w:before="42"/>
        <w:ind w:left="558" w:right="1786" w:firstLine="2"/>
        <w:jc w:val="left"/>
        <w:rPr>
          <w:rFonts w:ascii="宋体" w:hAnsi="宋体" w:cs="宋体" w:eastAsia="宋体" w:hint="default"/>
          <w:sz w:val="21"/>
          <w:szCs w:val="21"/>
        </w:rPr>
      </w:pPr>
      <w:r>
        <w:rPr>
          <w:rFonts w:ascii="Calibri" w:hAnsi="Calibri" w:cs="Calibri" w:eastAsia="Calibri"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风险管理政策</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4"/>
          <w:w w:val="100"/>
          <w:sz w:val="21"/>
          <w:szCs w:val="21"/>
        </w:rPr>
        <w:t>公司风险管理的目标是建立健全与公司发展战略相适应的全面风险管理体系，打造专业</w:t>
      </w:r>
    </w:p>
    <w:p>
      <w:pPr>
        <w:pStyle w:val="BodyText"/>
        <w:spacing w:line="355" w:lineRule="auto" w:before="47"/>
        <w:ind w:left="138" w:right="1786"/>
        <w:jc w:val="left"/>
      </w:pPr>
      <w:r>
        <w:rPr>
          <w:spacing w:val="-4"/>
        </w:rPr>
        <w:t>的风险管理团队，树立合法合规、稳健经营的风险管理文化，确保公司承担的风险水平在风</w:t>
      </w:r>
      <w:r>
        <w:rPr>
          <w:spacing w:val="-44"/>
        </w:rPr>
        <w:t> </w:t>
      </w:r>
      <w:r>
        <w:rPr>
          <w:spacing w:val="-44"/>
        </w:rPr>
      </w:r>
      <w:r>
        <w:rPr/>
        <w:t>险偏好范围之内。</w:t>
      </w:r>
    </w:p>
    <w:p>
      <w:pPr>
        <w:pStyle w:val="BodyText"/>
        <w:spacing w:line="336" w:lineRule="auto" w:before="75"/>
        <w:ind w:left="138" w:right="1788" w:firstLine="419"/>
        <w:jc w:val="both"/>
      </w:pPr>
      <w:r>
        <w:rPr>
          <w:spacing w:val="-7"/>
          <w:w w:val="100"/>
        </w:rPr>
        <w:t>公司施行全面风险管理遵循以下基本原则：（</w:t>
      </w:r>
      <w:r>
        <w:rPr>
          <w:rFonts w:ascii="Times New Roman" w:hAnsi="Times New Roman" w:cs="Times New Roman" w:eastAsia="Times New Roman" w:hint="default"/>
          <w:spacing w:val="-7"/>
          <w:w w:val="100"/>
        </w:rPr>
        <w:t>1</w:t>
      </w:r>
      <w:r>
        <w:rPr>
          <w:spacing w:val="-7"/>
          <w:w w:val="100"/>
        </w:rPr>
        <w:t>）全覆盖原则：公司全面风险管理覆盖各</w:t>
      </w:r>
      <w:r>
        <w:rPr>
          <w:w w:val="100"/>
        </w:rPr>
        <w:t> </w:t>
      </w:r>
      <w:r>
        <w:rPr>
          <w:spacing w:val="-7"/>
          <w:w w:val="100"/>
        </w:rPr>
        <w:t>部门、分支机构和所有子公司，建立公司集中统一的风险管理体系；（</w:t>
      </w:r>
      <w:r>
        <w:rPr>
          <w:rFonts w:ascii="Times New Roman" w:hAnsi="Times New Roman" w:cs="Times New Roman" w:eastAsia="Times New Roman" w:hint="default"/>
          <w:spacing w:val="-7"/>
          <w:w w:val="100"/>
        </w:rPr>
        <w:t>2</w:t>
      </w:r>
      <w:r>
        <w:rPr>
          <w:spacing w:val="-7"/>
          <w:w w:val="100"/>
        </w:rPr>
        <w:t>）健全性原则：全面</w:t>
      </w:r>
      <w:r>
        <w:rPr>
          <w:spacing w:val="-73"/>
          <w:w w:val="100"/>
        </w:rPr>
        <w:t> </w:t>
      </w:r>
      <w:r>
        <w:rPr>
          <w:spacing w:val="-73"/>
          <w:w w:val="100"/>
        </w:rPr>
      </w:r>
      <w:r>
        <w:rPr>
          <w:spacing w:val="-4"/>
        </w:rPr>
        <w:t>风险管理应当做到事前、事中、事后管控相统一，覆盖公司所有业务、部门和人员，渗透到</w:t>
      </w:r>
    </w:p>
    <w:p>
      <w:pPr>
        <w:spacing w:after="0" w:line="336" w:lineRule="auto"/>
        <w:jc w:val="both"/>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38" w:lineRule="auto"/>
        <w:ind w:left="138" w:right="1788"/>
        <w:jc w:val="both"/>
      </w:pPr>
      <w:r>
        <w:rPr>
          <w:w w:val="100"/>
        </w:rPr>
        <w:t>决</w:t>
      </w:r>
      <w:r>
        <w:rPr>
          <w:spacing w:val="-3"/>
          <w:w w:val="100"/>
        </w:rPr>
        <w:t>策</w:t>
      </w:r>
      <w:r>
        <w:rPr>
          <w:spacing w:val="-15"/>
          <w:w w:val="100"/>
        </w:rPr>
        <w:t>、</w:t>
      </w:r>
      <w:r>
        <w:rPr>
          <w:spacing w:val="-3"/>
          <w:w w:val="100"/>
        </w:rPr>
        <w:t>执</w:t>
      </w:r>
      <w:r>
        <w:rPr>
          <w:w w:val="100"/>
        </w:rPr>
        <w:t>行</w:t>
      </w:r>
      <w:r>
        <w:rPr>
          <w:spacing w:val="-17"/>
          <w:w w:val="100"/>
        </w:rPr>
        <w:t>、</w:t>
      </w:r>
      <w:r>
        <w:rPr>
          <w:w w:val="100"/>
        </w:rPr>
        <w:t>监</w:t>
      </w:r>
      <w:r>
        <w:rPr>
          <w:spacing w:val="-3"/>
          <w:w w:val="100"/>
        </w:rPr>
        <w:t>督</w:t>
      </w:r>
      <w:r>
        <w:rPr>
          <w:spacing w:val="-15"/>
          <w:w w:val="100"/>
        </w:rPr>
        <w:t>、</w:t>
      </w:r>
      <w:r>
        <w:rPr>
          <w:spacing w:val="-3"/>
          <w:w w:val="100"/>
        </w:rPr>
        <w:t>反馈</w:t>
      </w:r>
      <w:r>
        <w:rPr>
          <w:w w:val="100"/>
        </w:rPr>
        <w:t>等各</w:t>
      </w:r>
      <w:r>
        <w:rPr>
          <w:spacing w:val="-3"/>
          <w:w w:val="100"/>
        </w:rPr>
        <w:t>个</w:t>
      </w:r>
      <w:r>
        <w:rPr>
          <w:w w:val="100"/>
        </w:rPr>
        <w:t>环</w:t>
      </w:r>
      <w:r>
        <w:rPr>
          <w:spacing w:val="-3"/>
          <w:w w:val="100"/>
        </w:rPr>
        <w:t>节</w:t>
      </w:r>
      <w:r>
        <w:rPr>
          <w:spacing w:val="-17"/>
          <w:w w:val="100"/>
        </w:rPr>
        <w:t>，</w:t>
      </w:r>
      <w:r>
        <w:rPr>
          <w:w w:val="100"/>
        </w:rPr>
        <w:t>确</w:t>
      </w:r>
      <w:r>
        <w:rPr>
          <w:spacing w:val="-3"/>
          <w:w w:val="100"/>
        </w:rPr>
        <w:t>保</w:t>
      </w:r>
      <w:r>
        <w:rPr>
          <w:w w:val="100"/>
        </w:rPr>
        <w:t>不</w:t>
      </w:r>
      <w:r>
        <w:rPr>
          <w:spacing w:val="-3"/>
          <w:w w:val="100"/>
        </w:rPr>
        <w:t>存在</w:t>
      </w:r>
      <w:r>
        <w:rPr>
          <w:w w:val="100"/>
        </w:rPr>
        <w:t>风险</w:t>
      </w:r>
      <w:r>
        <w:rPr>
          <w:spacing w:val="-3"/>
          <w:w w:val="100"/>
        </w:rPr>
        <w:t>管</w:t>
      </w:r>
      <w:r>
        <w:rPr>
          <w:w w:val="100"/>
        </w:rPr>
        <w:t>理</w:t>
      </w:r>
      <w:r>
        <w:rPr>
          <w:spacing w:val="-3"/>
          <w:w w:val="100"/>
        </w:rPr>
        <w:t>的</w:t>
      </w:r>
      <w:r>
        <w:rPr>
          <w:w w:val="100"/>
        </w:rPr>
        <w:t>空</w:t>
      </w:r>
      <w:r>
        <w:rPr>
          <w:spacing w:val="-3"/>
          <w:w w:val="100"/>
        </w:rPr>
        <w:t>白</w:t>
      </w:r>
      <w:r>
        <w:rPr>
          <w:w w:val="100"/>
        </w:rPr>
        <w:t>或</w:t>
      </w:r>
      <w:r>
        <w:rPr>
          <w:spacing w:val="-3"/>
          <w:w w:val="100"/>
        </w:rPr>
        <w:t>者</w:t>
      </w:r>
      <w:r>
        <w:rPr>
          <w:w w:val="100"/>
        </w:rPr>
        <w:t>漏</w:t>
      </w:r>
      <w:r>
        <w:rPr>
          <w:spacing w:val="-3"/>
          <w:w w:val="100"/>
        </w:rPr>
        <w:t>洞</w:t>
      </w:r>
      <w:r>
        <w:rPr>
          <w:spacing w:val="-123"/>
          <w:w w:val="100"/>
        </w:rPr>
        <w:t>；</w:t>
      </w:r>
      <w:r>
        <w:rPr>
          <w:w w:val="100"/>
        </w:rPr>
        <w:t>（</w:t>
      </w:r>
      <w:r>
        <w:rPr>
          <w:rFonts w:ascii="Times New Roman" w:hAnsi="Times New Roman" w:cs="Times New Roman" w:eastAsia="Times New Roman" w:hint="default"/>
          <w:w w:val="100"/>
        </w:rPr>
        <w:t>3</w:t>
      </w:r>
      <w:r>
        <w:rPr>
          <w:spacing w:val="-17"/>
          <w:w w:val="100"/>
        </w:rPr>
        <w:t>）</w:t>
      </w:r>
      <w:r>
        <w:rPr>
          <w:w w:val="100"/>
        </w:rPr>
        <w:t>指</w:t>
      </w:r>
      <w:r>
        <w:rPr>
          <w:spacing w:val="-3"/>
          <w:w w:val="100"/>
        </w:rPr>
        <w:t>标</w:t>
      </w:r>
      <w:r>
        <w:rPr>
          <w:w w:val="100"/>
        </w:rPr>
        <w:t>化原</w:t>
      </w:r>
      <w:r>
        <w:rPr>
          <w:w w:val="100"/>
        </w:rPr>
        <w:t> 则</w:t>
      </w:r>
      <w:r>
        <w:rPr>
          <w:spacing w:val="-101"/>
          <w:w w:val="100"/>
        </w:rPr>
        <w:t>：</w:t>
      </w:r>
      <w:r>
        <w:rPr>
          <w:w w:val="100"/>
        </w:rPr>
        <w:t>建</w:t>
      </w:r>
      <w:r>
        <w:rPr>
          <w:spacing w:val="-3"/>
          <w:w w:val="100"/>
        </w:rPr>
        <w:t>立</w:t>
      </w:r>
      <w:r>
        <w:rPr>
          <w:w w:val="100"/>
        </w:rPr>
        <w:t>健</w:t>
      </w:r>
      <w:r>
        <w:rPr>
          <w:spacing w:val="-3"/>
          <w:w w:val="100"/>
        </w:rPr>
        <w:t>全</w:t>
      </w:r>
      <w:r>
        <w:rPr>
          <w:w w:val="100"/>
        </w:rPr>
        <w:t>公</w:t>
      </w:r>
      <w:r>
        <w:rPr>
          <w:spacing w:val="-3"/>
          <w:w w:val="100"/>
        </w:rPr>
        <w:t>司</w:t>
      </w:r>
      <w:r>
        <w:rPr>
          <w:w w:val="100"/>
        </w:rPr>
        <w:t>全</w:t>
      </w:r>
      <w:r>
        <w:rPr>
          <w:spacing w:val="-3"/>
          <w:w w:val="100"/>
        </w:rPr>
        <w:t>面</w:t>
      </w:r>
      <w:r>
        <w:rPr>
          <w:w w:val="100"/>
        </w:rPr>
        <w:t>风</w:t>
      </w:r>
      <w:r>
        <w:rPr>
          <w:spacing w:val="-3"/>
          <w:w w:val="100"/>
        </w:rPr>
        <w:t>险</w:t>
      </w:r>
      <w:r>
        <w:rPr>
          <w:w w:val="100"/>
        </w:rPr>
        <w:t>管理</w:t>
      </w:r>
      <w:r>
        <w:rPr>
          <w:spacing w:val="-3"/>
          <w:w w:val="100"/>
        </w:rPr>
        <w:t>指</w:t>
      </w:r>
      <w:r>
        <w:rPr>
          <w:w w:val="100"/>
        </w:rPr>
        <w:t>标</w:t>
      </w:r>
      <w:r>
        <w:rPr>
          <w:spacing w:val="-3"/>
          <w:w w:val="100"/>
        </w:rPr>
        <w:t>化</w:t>
      </w:r>
      <w:r>
        <w:rPr>
          <w:w w:val="100"/>
        </w:rPr>
        <w:t>体</w:t>
      </w:r>
      <w:r>
        <w:rPr>
          <w:spacing w:val="-3"/>
          <w:w w:val="100"/>
        </w:rPr>
        <w:t>系</w:t>
      </w:r>
      <w:r>
        <w:rPr>
          <w:spacing w:val="-101"/>
          <w:w w:val="100"/>
        </w:rPr>
        <w:t>，</w:t>
      </w:r>
      <w:r>
        <w:rPr>
          <w:w w:val="100"/>
        </w:rPr>
        <w:t>实</w:t>
      </w:r>
      <w:r>
        <w:rPr>
          <w:spacing w:val="-3"/>
          <w:w w:val="100"/>
        </w:rPr>
        <w:t>行</w:t>
      </w:r>
      <w:r>
        <w:rPr>
          <w:w w:val="100"/>
        </w:rPr>
        <w:t>各</w:t>
      </w:r>
      <w:r>
        <w:rPr>
          <w:spacing w:val="-3"/>
          <w:w w:val="100"/>
        </w:rPr>
        <w:t>类</w:t>
      </w:r>
      <w:r>
        <w:rPr>
          <w:w w:val="100"/>
        </w:rPr>
        <w:t>风险</w:t>
      </w:r>
      <w:r>
        <w:rPr>
          <w:spacing w:val="-3"/>
          <w:w w:val="100"/>
        </w:rPr>
        <w:t>指</w:t>
      </w:r>
      <w:r>
        <w:rPr>
          <w:w w:val="100"/>
        </w:rPr>
        <w:t>标</w:t>
      </w:r>
      <w:r>
        <w:rPr>
          <w:spacing w:val="-3"/>
          <w:w w:val="100"/>
        </w:rPr>
        <w:t>的</w:t>
      </w:r>
      <w:r>
        <w:rPr>
          <w:w w:val="100"/>
        </w:rPr>
        <w:t>分</w:t>
      </w:r>
      <w:r>
        <w:rPr>
          <w:spacing w:val="-3"/>
          <w:w w:val="100"/>
        </w:rPr>
        <w:t>级</w:t>
      </w:r>
      <w:r>
        <w:rPr>
          <w:w w:val="100"/>
        </w:rPr>
        <w:t>管</w:t>
      </w:r>
      <w:r>
        <w:rPr>
          <w:spacing w:val="-3"/>
          <w:w w:val="100"/>
        </w:rPr>
        <w:t>理</w:t>
      </w:r>
      <w:r>
        <w:rPr>
          <w:spacing w:val="-101"/>
          <w:w w:val="100"/>
        </w:rPr>
        <w:t>、</w:t>
      </w:r>
      <w:r>
        <w:rPr>
          <w:w w:val="100"/>
        </w:rPr>
        <w:t>限</w:t>
      </w:r>
      <w:r>
        <w:rPr>
          <w:spacing w:val="-3"/>
          <w:w w:val="100"/>
        </w:rPr>
        <w:t>额</w:t>
      </w:r>
      <w:r>
        <w:rPr>
          <w:w w:val="100"/>
        </w:rPr>
        <w:t>控制</w:t>
      </w:r>
      <w:r>
        <w:rPr>
          <w:spacing w:val="-3"/>
          <w:w w:val="100"/>
        </w:rPr>
        <w:t>机制</w:t>
      </w:r>
      <w:r>
        <w:rPr>
          <w:w w:val="100"/>
        </w:rPr>
        <w:t>；</w:t>
      </w:r>
    </w:p>
    <w:p>
      <w:pPr>
        <w:pStyle w:val="BodyText"/>
        <w:spacing w:line="326" w:lineRule="auto" w:before="44"/>
        <w:ind w:left="558" w:right="1786" w:hanging="420"/>
        <w:jc w:val="left"/>
      </w:pPr>
      <w:r>
        <w:rPr>
          <w:spacing w:val="-7"/>
        </w:rPr>
        <w:t>（</w:t>
      </w:r>
      <w:r>
        <w:rPr>
          <w:rFonts w:ascii="Times New Roman" w:hAnsi="Times New Roman" w:cs="Times New Roman" w:eastAsia="Times New Roman" w:hint="default"/>
          <w:spacing w:val="-7"/>
        </w:rPr>
        <w:t>4</w:t>
      </w:r>
      <w:r>
        <w:rPr>
          <w:spacing w:val="-7"/>
        </w:rPr>
        <w:t>）独立性原则：公司保障首席风险官、风险管理职能部门和风险管理人员履职的独立性。</w:t>
      </w:r>
      <w:r>
        <w:rPr>
          <w:spacing w:val="-23"/>
        </w:rPr>
        <w:t> </w:t>
      </w:r>
      <w:r>
        <w:rPr>
          <w:spacing w:val="-23"/>
        </w:rPr>
      </w:r>
      <w:r>
        <w:rPr>
          <w:rFonts w:ascii="Calibri" w:hAnsi="Calibri" w:cs="Calibri" w:eastAsia="Calibri" w:hint="default"/>
          <w:b/>
          <w:bCs/>
        </w:rPr>
        <w:t>2</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b/>
          <w:bCs/>
          <w:spacing w:val="47"/>
        </w:rPr>
        <w:t> </w:t>
      </w:r>
      <w:r>
        <w:rPr>
          <w:rFonts w:ascii="Microsoft JhengHei" w:hAnsi="Microsoft JhengHei" w:cs="Microsoft JhengHei" w:eastAsia="Microsoft JhengHei" w:hint="default"/>
          <w:b/>
          <w:bCs/>
        </w:rPr>
        <w:t>风险管理组织架构</w:t>
      </w:r>
      <w:r>
        <w:rPr>
          <w:rFonts w:ascii="Microsoft JhengHei" w:hAnsi="Microsoft JhengHei" w:cs="Microsoft JhengHei" w:eastAsia="Microsoft JhengHei" w:hint="default"/>
          <w:b/>
          <w:bCs/>
          <w:w w:val="100"/>
        </w:rPr>
        <w:t> </w:t>
      </w:r>
      <w:r>
        <w:rPr>
          <w:spacing w:val="-4"/>
        </w:rPr>
        <w:t>公司全面风险管理的组织架构分为五个层级：第一层级为董事会（下设有风险控制委员</w:t>
      </w:r>
    </w:p>
    <w:p>
      <w:pPr>
        <w:pStyle w:val="BodyText"/>
        <w:spacing w:line="355" w:lineRule="auto" w:before="57"/>
        <w:ind w:left="138" w:right="1790"/>
        <w:jc w:val="both"/>
      </w:pPr>
      <w:r>
        <w:rPr>
          <w:spacing w:val="-4"/>
        </w:rPr>
        <w:t>会）和监事会；第二层级为经理层（下设有风险管理委员会）和首席风险官；第三层级为风</w:t>
      </w:r>
      <w:r>
        <w:rPr>
          <w:spacing w:val="-45"/>
        </w:rPr>
        <w:t> </w:t>
      </w:r>
      <w:r>
        <w:rPr>
          <w:spacing w:val="-45"/>
        </w:rPr>
      </w:r>
      <w:r>
        <w:rPr>
          <w:spacing w:val="-4"/>
        </w:rPr>
        <w:t>险管理部及各类专业风险管理部门；第四层级为各业务部门、分支机构和子公司；第五层级</w:t>
      </w:r>
      <w:r>
        <w:rPr>
          <w:spacing w:val="-44"/>
        </w:rPr>
        <w:t> </w:t>
      </w:r>
      <w:r>
        <w:rPr>
          <w:spacing w:val="-44"/>
        </w:rPr>
      </w:r>
      <w:r>
        <w:rPr/>
        <w:t>为公司的全体员工。</w:t>
      </w:r>
    </w:p>
    <w:p>
      <w:pPr>
        <w:pStyle w:val="BodyText"/>
        <w:spacing w:line="357" w:lineRule="auto" w:before="75"/>
        <w:ind w:left="138" w:right="1578" w:firstLine="419"/>
        <w:jc w:val="left"/>
      </w:pPr>
      <w:r>
        <w:rPr>
          <w:spacing w:val="-4"/>
          <w:w w:val="100"/>
        </w:rPr>
        <w:t>董事会是全面风险管理工作的领导机构，对公司整体的风险管理体系建设和有效运行负</w:t>
      </w:r>
      <w:r>
        <w:rPr>
          <w:w w:val="100"/>
        </w:rPr>
        <w:t> </w:t>
      </w:r>
      <w:r>
        <w:rPr>
          <w:spacing w:val="-1"/>
        </w:rPr>
        <w:t>最终责任。董事会下设风险控制委员会。风险控制委员会的主要职责是推进风险文化建设；</w:t>
      </w:r>
      <w:r>
        <w:rPr>
          <w:spacing w:val="-50"/>
        </w:rPr>
        <w:t> </w:t>
      </w:r>
      <w:r>
        <w:rPr>
          <w:spacing w:val="-50"/>
        </w:rPr>
      </w:r>
      <w:r>
        <w:rPr>
          <w:spacing w:val="-4"/>
        </w:rPr>
        <w:t>审议公司的风险偏好、风险容忍度以及重大风险限额；审批公司风险控制指标半年度、年度</w:t>
      </w:r>
      <w:r>
        <w:rPr>
          <w:spacing w:val="-44"/>
        </w:rPr>
        <w:t> </w:t>
      </w:r>
      <w:r>
        <w:rPr>
          <w:spacing w:val="-44"/>
        </w:rPr>
      </w:r>
      <w:r>
        <w:rPr>
          <w:spacing w:val="-4"/>
        </w:rPr>
        <w:t>情况报告；审批公司风险管理体系评估报告；监督、检查公司风险管理制度执行和风险管理</w:t>
      </w:r>
      <w:r>
        <w:rPr>
          <w:spacing w:val="-44"/>
        </w:rPr>
        <w:t> </w:t>
      </w:r>
      <w:r>
        <w:rPr>
          <w:spacing w:val="-44"/>
        </w:rPr>
      </w:r>
      <w:r>
        <w:rPr>
          <w:spacing w:val="-4"/>
        </w:rPr>
        <w:t>履职情况；建立与首席风险官的直接沟通机制及董事会授权的其他职责。监事会承担全面风</w:t>
      </w:r>
      <w:r>
        <w:rPr>
          <w:spacing w:val="-41"/>
        </w:rPr>
        <w:t> </w:t>
      </w:r>
      <w:r>
        <w:rPr>
          <w:spacing w:val="-41"/>
        </w:rPr>
      </w:r>
      <w:r>
        <w:rPr>
          <w:spacing w:val="-4"/>
          <w:w w:val="100"/>
        </w:rPr>
        <w:t>险管理的监督责任，负责监督检查董事会和经理层在风险管理方面的履职尽责情况并督促整</w:t>
      </w:r>
      <w:r>
        <w:rPr>
          <w:spacing w:val="-89"/>
          <w:w w:val="100"/>
        </w:rPr>
        <w:t> </w:t>
      </w:r>
      <w:r>
        <w:rPr>
          <w:spacing w:val="-89"/>
          <w:w w:val="100"/>
        </w:rPr>
      </w:r>
      <w:r>
        <w:rPr/>
        <w:t>改。</w:t>
      </w:r>
    </w:p>
    <w:p>
      <w:pPr>
        <w:pStyle w:val="BodyText"/>
        <w:spacing w:line="357" w:lineRule="auto" w:before="71"/>
        <w:ind w:left="138" w:right="1578" w:firstLine="419"/>
        <w:jc w:val="left"/>
      </w:pPr>
      <w:r>
        <w:rPr>
          <w:spacing w:val="-4"/>
        </w:rPr>
        <w:t>公司经理层具体负责公司的全面风险管理工作，并向公司董事会负责，主要职责包括审</w:t>
      </w:r>
      <w:r>
        <w:rPr>
          <w:w w:val="100"/>
        </w:rPr>
        <w:t> </w:t>
      </w:r>
      <w:r>
        <w:rPr>
          <w:spacing w:val="-4"/>
        </w:rPr>
        <w:t>批除风险管理基本制度之外的公司风险管理办法，并适时调整；审批公司风险限额指标体系</w:t>
      </w:r>
      <w:r>
        <w:rPr>
          <w:spacing w:val="-40"/>
        </w:rPr>
        <w:t> </w:t>
      </w:r>
      <w:r>
        <w:rPr>
          <w:spacing w:val="-40"/>
        </w:rPr>
      </w:r>
      <w:r>
        <w:rPr>
          <w:spacing w:val="-7"/>
          <w:w w:val="100"/>
        </w:rPr>
        <w:t>的分解及相关事宜；审批公司压力测试相关事宜；审议公司风险管理信息技术系统建设预案，</w:t>
      </w:r>
      <w:r>
        <w:rPr>
          <w:spacing w:val="-69"/>
          <w:w w:val="100"/>
        </w:rPr>
        <w:t> </w:t>
      </w:r>
      <w:r>
        <w:rPr>
          <w:spacing w:val="-69"/>
          <w:w w:val="100"/>
        </w:rPr>
      </w:r>
      <w:r>
        <w:rPr>
          <w:spacing w:val="-4"/>
          <w:w w:val="100"/>
        </w:rPr>
        <w:t>提交董事会审批；审批风险管理部门提交的风险管理报告及董事会授权的其他风险管理职责。</w:t>
      </w:r>
      <w:r>
        <w:rPr>
          <w:spacing w:val="-88"/>
          <w:w w:val="100"/>
        </w:rPr>
        <w:t> </w:t>
      </w:r>
      <w:r>
        <w:rPr>
          <w:spacing w:val="-88"/>
          <w:w w:val="100"/>
        </w:rPr>
      </w:r>
      <w:r>
        <w:rPr>
          <w:spacing w:val="-4"/>
        </w:rPr>
        <w:t>风险管理委员会由公司分管副总裁、首席风险官、办公室、财务管理总部、合规法律部、风</w:t>
      </w:r>
      <w:r>
        <w:rPr>
          <w:spacing w:val="-42"/>
        </w:rPr>
        <w:t> </w:t>
      </w:r>
      <w:r>
        <w:rPr>
          <w:spacing w:val="-42"/>
        </w:rPr>
      </w:r>
      <w:r>
        <w:rPr>
          <w:spacing w:val="-4"/>
        </w:rPr>
        <w:t>险管理部以及公司各业务部门主要负责人组成，分管副总裁任主任。在经理层授权范围内履</w:t>
      </w:r>
      <w:r>
        <w:rPr>
          <w:spacing w:val="-40"/>
        </w:rPr>
        <w:t> </w:t>
      </w:r>
      <w:r>
        <w:rPr>
          <w:spacing w:val="-40"/>
        </w:rPr>
      </w:r>
      <w:r>
        <w:rPr>
          <w:spacing w:val="-4"/>
        </w:rPr>
        <w:t>行全面风险管理相关职责。首席风险官为公司负责全面风险管理的高级管理人员，由董事会</w:t>
      </w:r>
      <w:r>
        <w:rPr>
          <w:spacing w:val="-42"/>
        </w:rPr>
        <w:t> </w:t>
      </w:r>
      <w:r>
        <w:rPr>
          <w:spacing w:val="-42"/>
        </w:rPr>
      </w:r>
      <w:r>
        <w:rPr/>
        <w:t>聘任和解聘，向董事会及其风险控制委员会、经理层及风险管理委员会负责并报告工作。</w:t>
      </w:r>
    </w:p>
    <w:p>
      <w:pPr>
        <w:pStyle w:val="BodyText"/>
        <w:spacing w:line="355" w:lineRule="auto" w:before="73"/>
        <w:ind w:left="138" w:right="1578" w:firstLine="419"/>
        <w:jc w:val="left"/>
      </w:pPr>
      <w:r>
        <w:rPr>
          <w:spacing w:val="-4"/>
        </w:rPr>
        <w:t>风险管理部是公司风险管理的核心部门，履行公司全面风险管理职能；资金运营部负责</w:t>
      </w:r>
      <w:r>
        <w:rPr>
          <w:w w:val="100"/>
        </w:rPr>
        <w:t> </w:t>
      </w:r>
      <w:r>
        <w:rPr>
          <w:spacing w:val="-4"/>
        </w:rPr>
        <w:t>流动性风险管理；办公室负责声誉风险管理；合规法律部负责合规风险管理；信息技术总部</w:t>
      </w:r>
      <w:r>
        <w:rPr>
          <w:spacing w:val="-44"/>
        </w:rPr>
        <w:t> </w:t>
      </w:r>
      <w:r>
        <w:rPr>
          <w:spacing w:val="-44"/>
        </w:rPr>
      </w:r>
      <w:r>
        <w:rPr>
          <w:spacing w:val="-4"/>
          <w:w w:val="100"/>
        </w:rPr>
        <w:t>负责防范和控制公司各种信息系统引发的操作风险；运营管理总部负责防范和控制清算和结</w:t>
      </w:r>
      <w:r>
        <w:rPr>
          <w:spacing w:val="-89"/>
          <w:w w:val="100"/>
        </w:rPr>
        <w:t> </w:t>
      </w:r>
      <w:r>
        <w:rPr>
          <w:spacing w:val="-89"/>
          <w:w w:val="100"/>
        </w:rPr>
      </w:r>
      <w:r>
        <w:rPr>
          <w:spacing w:val="-1"/>
        </w:rPr>
        <w:t>算风险；人力资源总部负责监督各项人力资源管理制度的实施，防范和控制人力资源风险；</w:t>
      </w:r>
      <w:r>
        <w:rPr>
          <w:spacing w:val="-50"/>
        </w:rPr>
        <w:t> </w:t>
      </w:r>
      <w:r>
        <w:rPr>
          <w:spacing w:val="-50"/>
        </w:rPr>
      </w:r>
      <w:r>
        <w:rPr>
          <w:spacing w:val="-4"/>
        </w:rPr>
        <w:t>行政管理部负责控制和防范经营场所安全风险；财务管理总部负责财务安全风险管理；内核</w:t>
      </w:r>
      <w:r>
        <w:rPr>
          <w:spacing w:val="-41"/>
        </w:rPr>
        <w:t> </w:t>
      </w:r>
      <w:r>
        <w:rPr>
          <w:spacing w:val="-41"/>
        </w:rPr>
      </w:r>
      <w:r>
        <w:rPr>
          <w:spacing w:val="-4"/>
          <w:w w:val="100"/>
        </w:rPr>
        <w:t>总部负责对公司投资银行业务进行内核审核；稽核监察部负责对公司全面风险管理的充分性</w:t>
      </w:r>
      <w:r>
        <w:rPr>
          <w:spacing w:val="-90"/>
          <w:w w:val="100"/>
        </w:rPr>
        <w:t> </w:t>
      </w:r>
      <w:r>
        <w:rPr>
          <w:spacing w:val="-90"/>
          <w:w w:val="100"/>
        </w:rPr>
      </w:r>
      <w:r>
        <w:rPr/>
        <w:t>和有效性进行评估和审计。</w:t>
      </w:r>
    </w:p>
    <w:p>
      <w:pPr>
        <w:pStyle w:val="BodyText"/>
        <w:spacing w:line="355" w:lineRule="auto" w:before="76"/>
        <w:ind w:left="138" w:right="1786" w:firstLine="419"/>
        <w:jc w:val="left"/>
      </w:pPr>
      <w:r>
        <w:rPr>
          <w:spacing w:val="-4"/>
        </w:rPr>
        <w:t>公司各业务部门、分支机构和子公司负责人为风险管理的第一责任人，履行本部门风险</w:t>
      </w:r>
      <w:r>
        <w:rPr>
          <w:w w:val="100"/>
        </w:rPr>
        <w:t> </w:t>
      </w:r>
      <w:r>
        <w:rPr>
          <w:spacing w:val="-4"/>
        </w:rPr>
        <w:t>管理职能，并主动接受风险管理职能部门的组织、协调、指导和监督。各业务部门、分支机</w:t>
      </w:r>
    </w:p>
    <w:p>
      <w:pPr>
        <w:spacing w:after="0" w:line="355" w:lineRule="auto"/>
        <w:jc w:val="left"/>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55" w:lineRule="auto"/>
        <w:ind w:left="138" w:right="1786"/>
        <w:jc w:val="left"/>
      </w:pPr>
      <w:r>
        <w:rPr>
          <w:spacing w:val="-4"/>
        </w:rPr>
        <w:t>构和子公司的合规风控专员具体组织落实本单位的风险管理事宜，对业务部门、分支机构和</w:t>
      </w:r>
      <w:r>
        <w:rPr>
          <w:spacing w:val="-41"/>
        </w:rPr>
        <w:t> </w:t>
      </w:r>
      <w:r>
        <w:rPr>
          <w:spacing w:val="-41"/>
        </w:rPr>
      </w:r>
      <w:r>
        <w:rPr/>
        <w:t>子公司负责人负责，并接受风险管理部门的工作指导。</w:t>
      </w:r>
    </w:p>
    <w:p>
      <w:pPr>
        <w:pStyle w:val="BodyText"/>
        <w:spacing w:line="355" w:lineRule="auto" w:before="75"/>
        <w:ind w:left="138" w:right="1790" w:firstLine="419"/>
        <w:jc w:val="both"/>
      </w:pPr>
      <w:r>
        <w:rPr>
          <w:spacing w:val="-4"/>
          <w:w w:val="100"/>
        </w:rPr>
        <w:t>风险管理是公司所有员工的共同责任。公司各单位负责人应当在决策中全面考虑与业务</w:t>
      </w:r>
      <w:r>
        <w:rPr>
          <w:w w:val="100"/>
        </w:rPr>
        <w:t> </w:t>
      </w:r>
      <w:r>
        <w:rPr>
          <w:spacing w:val="-4"/>
        </w:rPr>
        <w:t>相关的各类风险，并承担风险管理的直接责任。公司员工必须恪守职业道德底线，必须从内</w:t>
      </w:r>
      <w:r>
        <w:rPr>
          <w:spacing w:val="-44"/>
        </w:rPr>
        <w:t> </w:t>
      </w:r>
      <w:r>
        <w:rPr>
          <w:spacing w:val="-44"/>
        </w:rPr>
      </w:r>
      <w:r>
        <w:rPr/>
        <w:t>心敬畏法律与规章，保护公司和个人声誉不受损害。</w:t>
      </w:r>
    </w:p>
    <w:p>
      <w:pPr>
        <w:pStyle w:val="BodyText"/>
        <w:spacing w:line="357" w:lineRule="auto" w:before="75"/>
        <w:ind w:left="138" w:right="1789" w:firstLine="419"/>
        <w:jc w:val="both"/>
      </w:pPr>
      <w:r>
        <w:rPr>
          <w:spacing w:val="-4"/>
        </w:rPr>
        <w:t>公司在日常经营活动中涉及的风险主要包括信用风险、市场风险、流动性风险、操作风</w:t>
      </w:r>
      <w:r>
        <w:rPr>
          <w:w w:val="100"/>
        </w:rPr>
        <w:t> </w:t>
      </w:r>
      <w:r>
        <w:rPr>
          <w:spacing w:val="-4"/>
        </w:rPr>
        <w:t>险和合规风险等。本公司制定了相应的政策和程序来识别和分析这些风险，并设定适当的风</w:t>
      </w:r>
      <w:r>
        <w:rPr>
          <w:spacing w:val="-40"/>
        </w:rPr>
        <w:t> </w:t>
      </w:r>
      <w:r>
        <w:rPr>
          <w:spacing w:val="-40"/>
        </w:rPr>
      </w:r>
      <w:r>
        <w:rPr>
          <w:spacing w:val="-4"/>
        </w:rPr>
        <w:t>险指标、风险限额、风险政策及内部控制流程，通过信息系统支持和有效的机制持续管理上</w:t>
      </w:r>
      <w:r>
        <w:rPr>
          <w:spacing w:val="-41"/>
        </w:rPr>
        <w:t> </w:t>
      </w:r>
      <w:r>
        <w:rPr>
          <w:spacing w:val="-41"/>
        </w:rPr>
      </w:r>
      <w:r>
        <w:rPr/>
        <w:t>述各类风险。</w:t>
      </w:r>
    </w:p>
    <w:p>
      <w:pPr>
        <w:spacing w:line="240" w:lineRule="auto" w:before="0"/>
        <w:rPr>
          <w:rFonts w:ascii="宋体" w:hAnsi="宋体" w:cs="宋体" w:eastAsia="宋体" w:hint="default"/>
          <w:sz w:val="20"/>
          <w:szCs w:val="20"/>
        </w:rPr>
      </w:pPr>
    </w:p>
    <w:p>
      <w:pPr>
        <w:pStyle w:val="BodyText"/>
        <w:spacing w:line="340" w:lineRule="auto" w:before="143"/>
        <w:ind w:left="558" w:right="1578" w:firstLine="4"/>
        <w:jc w:val="left"/>
      </w:pPr>
      <w:r>
        <w:rPr>
          <w:rFonts w:ascii="Microsoft JhengHei" w:hAnsi="Microsoft JhengHei" w:cs="Microsoft JhengHei" w:eastAsia="Microsoft JhengHei" w:hint="default"/>
          <w:b/>
          <w:bCs/>
        </w:rPr>
        <w:t>（二）</w:t>
      </w:r>
      <w:r>
        <w:rPr>
          <w:rFonts w:ascii="Microsoft JhengHei" w:hAnsi="Microsoft JhengHei" w:cs="Microsoft JhengHei" w:eastAsia="Microsoft JhengHei" w:hint="default"/>
          <w:b/>
          <w:bCs/>
          <w:spacing w:val="-31"/>
        </w:rPr>
        <w:t> </w:t>
      </w:r>
      <w:r>
        <w:rPr>
          <w:rFonts w:ascii="Microsoft JhengHei" w:hAnsi="Microsoft JhengHei" w:cs="Microsoft JhengHei" w:eastAsia="Microsoft JhengHei" w:hint="default"/>
          <w:b/>
          <w:bCs/>
        </w:rPr>
        <w:t>信用风险</w:t>
      </w:r>
      <w:r>
        <w:rPr>
          <w:rFonts w:ascii="Microsoft JhengHei" w:hAnsi="Microsoft JhengHei" w:cs="Microsoft JhengHei" w:eastAsia="Microsoft JhengHei" w:hint="default"/>
          <w:b/>
          <w:bCs/>
          <w:spacing w:val="-49"/>
        </w:rPr>
        <w:t> </w:t>
      </w:r>
      <w:r>
        <w:rPr>
          <w:rFonts w:ascii="Microsoft JhengHei" w:hAnsi="Microsoft JhengHei" w:cs="Microsoft JhengHei" w:eastAsia="Microsoft JhengHei" w:hint="default"/>
          <w:b/>
          <w:bCs/>
          <w:spacing w:val="-49"/>
        </w:rPr>
      </w:r>
      <w:r>
        <w:rPr>
          <w:spacing w:val="-4"/>
          <w:w w:val="100"/>
        </w:rPr>
        <w:t>信用风险一般是指因客户、交易对手未履行合约责任或信用资质恶化而带来损失的风险。</w:t>
      </w:r>
    </w:p>
    <w:p>
      <w:pPr>
        <w:pStyle w:val="BodyText"/>
        <w:spacing w:line="355" w:lineRule="auto" w:before="45"/>
        <w:ind w:left="138" w:right="1786"/>
        <w:jc w:val="left"/>
      </w:pPr>
      <w:r>
        <w:rPr>
          <w:spacing w:val="-4"/>
          <w:w w:val="100"/>
        </w:rPr>
        <w:t>本公司的货币资金主要存放在国有商业银行或大型股份制商业银行，结算备付金存放在中国</w:t>
      </w:r>
      <w:r>
        <w:rPr>
          <w:spacing w:val="-89"/>
          <w:w w:val="100"/>
        </w:rPr>
        <w:t> </w:t>
      </w:r>
      <w:r>
        <w:rPr>
          <w:spacing w:val="-89"/>
          <w:w w:val="100"/>
        </w:rPr>
      </w:r>
      <w:r>
        <w:rPr/>
        <w:t>证券登记结算有限责任公司，现金及现金等价物面临的信用风险相对较低。</w:t>
      </w:r>
    </w:p>
    <w:p>
      <w:pPr>
        <w:pStyle w:val="BodyText"/>
        <w:spacing w:line="355" w:lineRule="auto" w:before="76"/>
        <w:ind w:left="138" w:right="1578" w:firstLine="419"/>
        <w:jc w:val="left"/>
      </w:pPr>
      <w:r>
        <w:rPr>
          <w:spacing w:val="-4"/>
        </w:rPr>
        <w:t>本公司的信用风险主要来自三个方面：一是本公司代理客户买卖证券交易，若本公司没</w:t>
      </w:r>
      <w:r>
        <w:rPr>
          <w:w w:val="100"/>
        </w:rPr>
        <w:t> </w:t>
      </w:r>
      <w:r>
        <w:rPr>
          <w:spacing w:val="-4"/>
          <w:w w:val="100"/>
        </w:rPr>
        <w:t>有提前要求客户依法缴足交易保证金，在结算当日客户的资金不足以支付交易所需的情况下，</w:t>
      </w:r>
      <w:r>
        <w:rPr>
          <w:spacing w:val="-88"/>
          <w:w w:val="100"/>
        </w:rPr>
        <w:t> </w:t>
      </w:r>
      <w:r>
        <w:rPr>
          <w:spacing w:val="-88"/>
          <w:w w:val="100"/>
        </w:rPr>
      </w:r>
      <w:r>
        <w:rPr/>
        <w:t>或客户资金由于其他原因出现缺口，本公司有责任代客户进行结算而造成信用损失的风险。</w:t>
      </w:r>
      <w:r>
        <w:rPr>
          <w:spacing w:val="-90"/>
        </w:rPr>
        <w:t> </w:t>
      </w:r>
      <w:r>
        <w:rPr>
          <w:spacing w:val="-90"/>
        </w:rPr>
      </w:r>
      <w:r>
        <w:rPr>
          <w:spacing w:val="-4"/>
        </w:rPr>
        <w:t>二是融资融券、股票质押式回购等证券融资类业务的信用风险，指客户未能履行合同约定而</w:t>
      </w:r>
      <w:r>
        <w:rPr>
          <w:spacing w:val="-41"/>
        </w:rPr>
        <w:t> </w:t>
      </w:r>
      <w:r>
        <w:rPr>
          <w:spacing w:val="-41"/>
        </w:rPr>
      </w:r>
      <w:r>
        <w:rPr>
          <w:spacing w:val="-4"/>
        </w:rPr>
        <w:t>带来损失的风险。三是信用类产品投资的违约风险，公司投资的信用类产品的融资人或者发</w:t>
      </w:r>
      <w:r>
        <w:rPr>
          <w:spacing w:val="-41"/>
        </w:rPr>
        <w:t> </w:t>
      </w:r>
      <w:r>
        <w:rPr>
          <w:spacing w:val="-41"/>
        </w:rPr>
      </w:r>
      <w:r>
        <w:rPr/>
        <w:t>行人出现违约、拒绝支付到期本息、资质恶化导致公司承受资产损失和收益变化的风险。</w:t>
      </w:r>
    </w:p>
    <w:p>
      <w:pPr>
        <w:pStyle w:val="BodyText"/>
        <w:spacing w:line="355" w:lineRule="auto" w:before="75"/>
        <w:ind w:left="138" w:right="1786" w:firstLine="419"/>
        <w:jc w:val="left"/>
      </w:pPr>
      <w:r>
        <w:rPr>
          <w:spacing w:val="-4"/>
          <w:w w:val="100"/>
        </w:rPr>
        <w:t>对于经纪业务产生的信用风险，本公司代理客户进行的证券及期货交易均以全额保证金</w:t>
      </w:r>
      <w:r>
        <w:rPr>
          <w:w w:val="100"/>
        </w:rPr>
        <w:t> </w:t>
      </w:r>
      <w:r>
        <w:rPr/>
        <w:t>结算，很大程度上控制了与本公司交易业务量相关的结算风险。</w:t>
      </w:r>
    </w:p>
    <w:p>
      <w:pPr>
        <w:pStyle w:val="BodyText"/>
        <w:spacing w:line="355" w:lineRule="auto" w:before="76"/>
        <w:ind w:left="138" w:right="1578" w:firstLine="419"/>
        <w:jc w:val="left"/>
      </w:pPr>
      <w:r>
        <w:rPr>
          <w:spacing w:val="-4"/>
          <w:w w:val="100"/>
        </w:rPr>
        <w:t>对于证券融资类业务信用风险，本公司对重点客户的维保比例及其主要持仓证券集中度、</w:t>
      </w:r>
      <w:r>
        <w:rPr>
          <w:w w:val="100"/>
        </w:rPr>
        <w:t> </w:t>
      </w:r>
      <w:r>
        <w:rPr>
          <w:spacing w:val="-4"/>
        </w:rPr>
        <w:t>市值规模进行监控，同时会对重点客户和质押股票的市场负面舆情进行监控，并对一批持仓</w:t>
      </w:r>
      <w:r>
        <w:rPr>
          <w:spacing w:val="-42"/>
        </w:rPr>
        <w:t> </w:t>
      </w:r>
      <w:r>
        <w:rPr>
          <w:spacing w:val="-42"/>
        </w:rPr>
      </w:r>
      <w:r>
        <w:rPr>
          <w:spacing w:val="-4"/>
        </w:rPr>
        <w:t>退市、暂停上市证券的客户提前预警，对于低于平仓线的客户，公司在必要提示之后会采取</w:t>
      </w:r>
      <w:r>
        <w:rPr>
          <w:spacing w:val="-44"/>
        </w:rPr>
        <w:t> </w:t>
      </w:r>
      <w:r>
        <w:rPr>
          <w:spacing w:val="-44"/>
        </w:rPr>
      </w:r>
      <w:r>
        <w:rPr/>
        <w:t>强制平仓、司法追索的方式，控制此类业务的信用风险。</w:t>
      </w:r>
    </w:p>
    <w:p>
      <w:pPr>
        <w:pStyle w:val="BodyText"/>
        <w:spacing w:line="355" w:lineRule="auto" w:before="75"/>
        <w:ind w:left="138" w:right="1578" w:firstLine="419"/>
        <w:jc w:val="left"/>
      </w:pPr>
      <w:r>
        <w:rPr>
          <w:spacing w:val="-4"/>
        </w:rPr>
        <w:t>对于信用类产品投资产生的信用风险，本公司建立了信用风险管理流程，通过对投资品</w:t>
      </w:r>
      <w:r>
        <w:rPr>
          <w:w w:val="100"/>
        </w:rPr>
        <w:t> </w:t>
      </w:r>
      <w:r>
        <w:rPr>
          <w:spacing w:val="-4"/>
        </w:rPr>
        <w:t>种信用等级评估来控制证券发行人的信用风险，且通过分散化投资以分散信用风险。本公司</w:t>
      </w:r>
      <w:r>
        <w:rPr>
          <w:spacing w:val="-40"/>
        </w:rPr>
        <w:t> </w:t>
      </w:r>
      <w:r>
        <w:rPr>
          <w:spacing w:val="-40"/>
        </w:rPr>
      </w:r>
      <w:r>
        <w:rPr>
          <w:spacing w:val="-7"/>
          <w:w w:val="100"/>
        </w:rPr>
        <w:t>债券投资的信用评级情况按《中国人民银行信用评级管理指导意见》设定的标准统计及汇总，</w:t>
      </w:r>
      <w:r>
        <w:rPr>
          <w:spacing w:val="-70"/>
          <w:w w:val="100"/>
        </w:rPr>
        <w:t> </w:t>
      </w:r>
      <w:r>
        <w:rPr>
          <w:spacing w:val="-70"/>
          <w:w w:val="100"/>
        </w:rPr>
      </w:r>
      <w:r>
        <w:rPr/>
        <w:t>并建立了相应的信用评级系统，通过专业的模型对债券评级进行划分。</w:t>
      </w:r>
    </w:p>
    <w:p>
      <w:pPr>
        <w:pStyle w:val="Heading4"/>
        <w:spacing w:line="240" w:lineRule="auto" w:before="6"/>
        <w:ind w:left="421" w:right="1786"/>
        <w:jc w:val="left"/>
        <w:rPr>
          <w:b w:val="0"/>
          <w:bCs w:val="0"/>
        </w:rPr>
      </w:pPr>
      <w:r>
        <w:rPr>
          <w:rFonts w:ascii="Calibri" w:hAnsi="Calibri" w:cs="Calibri" w:eastAsia="Calibri" w:hint="default"/>
        </w:rPr>
        <w:t>1</w:t>
      </w:r>
      <w:r>
        <w:rPr/>
        <w:t>． </w:t>
      </w:r>
      <w:r>
        <w:rPr>
          <w:spacing w:val="6"/>
        </w:rPr>
        <w:t> </w:t>
      </w:r>
      <w:r>
        <w:rPr/>
        <w:t>担保物及其他信用增级措施</w:t>
      </w:r>
      <w:r>
        <w:rPr>
          <w:b w:val="0"/>
          <w:bCs w:val="0"/>
        </w:rPr>
      </w:r>
    </w:p>
    <w:p>
      <w:pPr>
        <w:spacing w:after="0" w:line="240" w:lineRule="auto"/>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5"/>
          <w:szCs w:val="15"/>
        </w:rPr>
      </w:pPr>
    </w:p>
    <w:p>
      <w:pPr>
        <w:pStyle w:val="BodyText"/>
        <w:spacing w:line="355" w:lineRule="auto" w:before="36"/>
        <w:ind w:left="138" w:right="1788" w:firstLine="419"/>
        <w:jc w:val="both"/>
      </w:pPr>
      <w:r>
        <w:rPr>
          <w:spacing w:val="-4"/>
        </w:rPr>
        <w:t>本公司采用一系列政策和信用增级措施来降低信用风险敞口至可接受水平。其中，最为</w:t>
      </w:r>
      <w:r>
        <w:rPr>
          <w:w w:val="100"/>
        </w:rPr>
        <w:t> </w:t>
      </w:r>
      <w:r>
        <w:rPr>
          <w:spacing w:val="-4"/>
          <w:w w:val="100"/>
        </w:rPr>
        <w:t>普遍的方法是提供抵押物或担保。本公司根据交易对手的信用风险评估决定所需的担保物金</w:t>
      </w:r>
      <w:r>
        <w:rPr>
          <w:spacing w:val="-89"/>
          <w:w w:val="100"/>
        </w:rPr>
        <w:t> </w:t>
      </w:r>
      <w:r>
        <w:rPr>
          <w:spacing w:val="-89"/>
          <w:w w:val="100"/>
        </w:rPr>
      </w:r>
      <w:r>
        <w:rPr>
          <w:spacing w:val="-4"/>
        </w:rPr>
        <w:t>额及类型。对于融出资金和买入返售协议下的担保物主要为股票、债券和基金等。本公司管</w:t>
      </w:r>
      <w:r>
        <w:rPr>
          <w:spacing w:val="-44"/>
        </w:rPr>
        <w:t> </w:t>
      </w:r>
      <w:r>
        <w:rPr>
          <w:spacing w:val="-44"/>
        </w:rPr>
      </w:r>
      <w:r>
        <w:rPr>
          <w:spacing w:val="-4"/>
        </w:rPr>
        <w:t>理层会定期检查担保物的市场价值，根据相关协议要求追加担保物，并在进行损失准备的充</w:t>
      </w:r>
      <w:r>
        <w:rPr>
          <w:spacing w:val="-41"/>
        </w:rPr>
        <w:t> </w:t>
      </w:r>
      <w:r>
        <w:rPr>
          <w:spacing w:val="-41"/>
        </w:rPr>
      </w:r>
      <w:r>
        <w:rPr/>
        <w:t>足性审查时监视担保物的市场价值变化。</w:t>
      </w:r>
    </w:p>
    <w:p>
      <w:pPr>
        <w:pStyle w:val="BodyText"/>
        <w:spacing w:line="355" w:lineRule="auto" w:before="75"/>
        <w:ind w:left="138" w:right="1790" w:firstLine="419"/>
        <w:jc w:val="both"/>
      </w:pPr>
      <w:r>
        <w:rPr>
          <w:spacing w:val="-4"/>
          <w:w w:val="100"/>
        </w:rPr>
        <w:t>在不考虑担保物或其他信用增级措施的情况下，资产负债表日最大信用风险敞口是指金</w:t>
      </w:r>
      <w:r>
        <w:rPr>
          <w:w w:val="100"/>
        </w:rPr>
        <w:t> </w:t>
      </w:r>
      <w:r>
        <w:rPr/>
        <w:t>融资产扣除减值准备后的账面价值。本公司最大信用风险敞口金额列示如下：</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43"/>
        <w:gridCol w:w="4172"/>
      </w:tblGrid>
      <w:tr>
        <w:trPr>
          <w:trHeight w:val="427" w:hRule="exact"/>
        </w:trPr>
        <w:tc>
          <w:tcPr>
            <w:tcW w:w="41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7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7,330,388,192.41</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824,458,019.67</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4,038,944,177.49</w:t>
            </w:r>
          </w:p>
        </w:tc>
      </w:tr>
      <w:tr>
        <w:trPr>
          <w:trHeight w:val="415"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7,429,736,012.99</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1,809,616.27</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205,879,718.79</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pacing w:val="-1"/>
                <w:sz w:val="18"/>
              </w:rPr>
              <w:t>654,237,237.85</w:t>
            </w:r>
          </w:p>
        </w:tc>
      </w:tr>
      <w:tr>
        <w:trPr>
          <w:trHeight w:val="415"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1,661,148.46</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117,041,447.86</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5,046,428,956.40</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360,350,271.32</w:t>
            </w:r>
          </w:p>
        </w:tc>
      </w:tr>
      <w:tr>
        <w:trPr>
          <w:trHeight w:val="415"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18" w:hRule="exact"/>
        </w:trPr>
        <w:tc>
          <w:tcPr>
            <w:tcW w:w="41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41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86,857,743.66</w:t>
            </w:r>
          </w:p>
        </w:tc>
      </w:tr>
      <w:tr>
        <w:trPr>
          <w:trHeight w:val="427" w:hRule="exact"/>
        </w:trPr>
        <w:tc>
          <w:tcPr>
            <w:tcW w:w="41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合计信用风险敞口</w:t>
            </w:r>
          </w:p>
        </w:tc>
        <w:tc>
          <w:tcPr>
            <w:tcW w:w="41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26,197,792,543.17</w:t>
            </w:r>
          </w:p>
        </w:tc>
      </w:tr>
    </w:tbl>
    <w:p>
      <w:pPr>
        <w:spacing w:line="240" w:lineRule="auto" w:before="5"/>
        <w:rPr>
          <w:rFonts w:ascii="宋体" w:hAnsi="宋体" w:cs="宋体" w:eastAsia="宋体" w:hint="default"/>
          <w:sz w:val="28"/>
          <w:szCs w:val="28"/>
        </w:rPr>
      </w:pPr>
    </w:p>
    <w:p>
      <w:pPr>
        <w:pStyle w:val="Heading4"/>
        <w:spacing w:line="335" w:lineRule="exact"/>
        <w:ind w:right="1786"/>
        <w:jc w:val="left"/>
        <w:rPr>
          <w:b w:val="0"/>
          <w:bCs w:val="0"/>
        </w:rPr>
      </w:pPr>
      <w:r>
        <w:rPr/>
        <w:t>（三）</w:t>
      </w:r>
      <w:r>
        <w:rPr>
          <w:spacing w:val="-20"/>
        </w:rPr>
        <w:t> </w:t>
      </w:r>
      <w:r>
        <w:rPr/>
        <w:t>流动性风险</w:t>
      </w:r>
      <w:r>
        <w:rPr>
          <w:b w:val="0"/>
          <w:bCs w:val="0"/>
        </w:rPr>
      </w:r>
    </w:p>
    <w:p>
      <w:pPr>
        <w:pStyle w:val="BodyText"/>
        <w:spacing w:line="355" w:lineRule="auto" w:before="152"/>
        <w:ind w:left="138" w:right="1789" w:firstLine="419"/>
        <w:jc w:val="both"/>
      </w:pPr>
      <w:r>
        <w:rPr>
          <w:spacing w:val="-4"/>
        </w:rPr>
        <w:t>流动性风险是指公司无法以合理成本及时获得充足资金，以偿付到期债务、履行其他支</w:t>
      </w:r>
      <w:r>
        <w:rPr>
          <w:w w:val="100"/>
        </w:rPr>
        <w:t> </w:t>
      </w:r>
      <w:r>
        <w:rPr/>
        <w:t>付义务和满足正常业务开展的资金需求的风险。</w:t>
      </w:r>
    </w:p>
    <w:p>
      <w:pPr>
        <w:pStyle w:val="BodyText"/>
        <w:spacing w:line="357" w:lineRule="auto" w:before="75"/>
        <w:ind w:left="138" w:right="1788" w:firstLine="419"/>
        <w:jc w:val="both"/>
      </w:pPr>
      <w:r>
        <w:rPr>
          <w:spacing w:val="-4"/>
        </w:rPr>
        <w:t>由于公司自营业务规模及融资类业务规模较大，公司经营过程中易受宏观政策、市场变</w:t>
      </w:r>
      <w:r>
        <w:rPr>
          <w:w w:val="100"/>
        </w:rPr>
        <w:t> </w:t>
      </w:r>
      <w:r>
        <w:rPr>
          <w:spacing w:val="-4"/>
        </w:rPr>
        <w:t>化、经营状况、客户信用等因素影响，并可能因资产负债结构不匹配而引发流动性风险。公</w:t>
      </w:r>
      <w:r>
        <w:rPr>
          <w:spacing w:val="-45"/>
        </w:rPr>
        <w:t> </w:t>
      </w:r>
      <w:r>
        <w:rPr>
          <w:spacing w:val="-45"/>
        </w:rPr>
      </w:r>
      <w:r>
        <w:rPr>
          <w:spacing w:val="-4"/>
          <w:w w:val="100"/>
        </w:rPr>
        <w:t>司核心流动性风险指标均满足监管所设定的预警要求，各期限结构内流动性风险敞口始终保</w:t>
      </w:r>
      <w:r>
        <w:rPr>
          <w:spacing w:val="-89"/>
          <w:w w:val="100"/>
        </w:rPr>
        <w:t> </w:t>
      </w:r>
      <w:r>
        <w:rPr>
          <w:spacing w:val="-89"/>
          <w:w w:val="100"/>
        </w:rPr>
      </w:r>
      <w:r>
        <w:rPr>
          <w:spacing w:val="-4"/>
        </w:rPr>
        <w:t>持在合理的范围内，可保证在压力情景下持续稳健运营，整体流动性风险可控。公司建立了</w:t>
      </w:r>
      <w:r>
        <w:rPr>
          <w:spacing w:val="-44"/>
        </w:rPr>
        <w:t> </w:t>
      </w:r>
      <w:r>
        <w:rPr>
          <w:spacing w:val="-44"/>
        </w:rPr>
      </w:r>
      <w:r>
        <w:rPr>
          <w:spacing w:val="-9"/>
          <w:w w:val="100"/>
        </w:rPr>
        <w:t>流动性风险管理办法及配套制度，明确了流动性风险限额、融资渠道、流动性风险应急计划、</w:t>
      </w:r>
    </w:p>
    <w:p>
      <w:pPr>
        <w:spacing w:after="0" w:line="357" w:lineRule="auto"/>
        <w:jc w:val="both"/>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55" w:lineRule="auto"/>
        <w:ind w:left="138" w:right="1789"/>
        <w:jc w:val="both"/>
      </w:pPr>
      <w:r>
        <w:rPr>
          <w:spacing w:val="-4"/>
        </w:rPr>
        <w:t>流动性风险报告机制等，有效控制和防范流动性风险。公司持续充足的资金储备降低了流动</w:t>
      </w:r>
      <w:r>
        <w:rPr>
          <w:spacing w:val="-40"/>
        </w:rPr>
        <w:t> </w:t>
      </w:r>
      <w:r>
        <w:rPr>
          <w:spacing w:val="-40"/>
        </w:rPr>
      </w:r>
      <w:r>
        <w:rPr>
          <w:spacing w:val="-4"/>
        </w:rPr>
        <w:t>性风险发生的可能，并保证了公司在复杂市场环境下的平稳运营能力。面对未来不确定的市</w:t>
      </w:r>
      <w:r>
        <w:rPr>
          <w:spacing w:val="-42"/>
        </w:rPr>
        <w:t> </w:t>
      </w:r>
      <w:r>
        <w:rPr>
          <w:spacing w:val="-42"/>
        </w:rPr>
      </w:r>
      <w:r>
        <w:rPr>
          <w:spacing w:val="-4"/>
        </w:rPr>
        <w:t>场环境，公司将继续积极开展资产负债管理，在保障安全性、流动性的基础上，提升资金使</w:t>
      </w:r>
      <w:r>
        <w:rPr>
          <w:spacing w:val="-48"/>
        </w:rPr>
        <w:t> </w:t>
      </w:r>
      <w:r>
        <w:rPr>
          <w:spacing w:val="-48"/>
        </w:rPr>
      </w:r>
      <w:r>
        <w:rPr>
          <w:spacing w:val="-4"/>
        </w:rPr>
        <w:t>用效率，保障公司稳健运营。另一方面，公司通过进行流动性应急演练，测试公司压力情况</w:t>
      </w:r>
      <w:r>
        <w:rPr>
          <w:spacing w:val="-45"/>
        </w:rPr>
        <w:t> </w:t>
      </w:r>
      <w:r>
        <w:rPr>
          <w:spacing w:val="-45"/>
        </w:rPr>
      </w:r>
      <w:r>
        <w:rPr/>
        <w:t>下的融资渠道和优质流动资产变现能力，不断提升公司流动性风险应对能力。</w:t>
      </w:r>
    </w:p>
    <w:p>
      <w:pPr>
        <w:spacing w:before="73"/>
        <w:ind w:left="558" w:right="1786" w:firstLine="0"/>
        <w:jc w:val="left"/>
        <w:rPr>
          <w:rFonts w:ascii="宋体" w:hAnsi="宋体" w:cs="宋体" w:eastAsia="宋体" w:hint="default"/>
          <w:sz w:val="18"/>
          <w:szCs w:val="18"/>
        </w:rPr>
      </w:pPr>
      <w:r>
        <w:rPr/>
        <w:pict>
          <v:group style="position:absolute;margin-left:233.809998pt;margin-top:50.623646pt;width:.5pt;height:.1pt;mso-position-horizontal-relative:page;mso-position-vertical-relative:paragraph;z-index:-1327456" coordorigin="4676,1012" coordsize="10,2">
            <v:shape style="position:absolute;left:4676;top:1012;width:10;height:2" coordorigin="4676,1012" coordsize="10,0" path="m4676,1012l4686,1012e" filled="false" stroked="true" strokeweight=".72pt" strokecolor="#000000">
              <v:path arrowok="t"/>
              <v:stroke dashstyle="dash"/>
            </v:shape>
            <w10:wrap type="none"/>
          </v:group>
        </w:pict>
      </w:r>
      <w:r>
        <w:rPr/>
        <w:pict>
          <v:group style="position:absolute;margin-left:293.929993pt;margin-top:50.623646pt;width:.5pt;height:.1pt;mso-position-horizontal-relative:page;mso-position-vertical-relative:paragraph;z-index:-1327432" coordorigin="5879,1012" coordsize="10,2">
            <v:shape style="position:absolute;left:5879;top:1012;width:10;height:2" coordorigin="5879,1012" coordsize="10,0" path="m5879,1012l5888,1012e" filled="false" stroked="true" strokeweight=".72pt" strokecolor="#000000">
              <v:path arrowok="t"/>
              <v:stroke dashstyle="dash"/>
            </v:shape>
            <w10:wrap type="none"/>
          </v:group>
        </w:pict>
      </w:r>
      <w:r>
        <w:rPr/>
        <w:pict>
          <v:group style="position:absolute;margin-left:354.070007pt;margin-top:50.623646pt;width:.5pt;height:.1pt;mso-position-horizontal-relative:page;mso-position-vertical-relative:paragraph;z-index:-1327408" coordorigin="7081,1012" coordsize="10,2">
            <v:shape style="position:absolute;left:7081;top:1012;width:10;height:2" coordorigin="7081,1012" coordsize="10,0" path="m7081,1012l7091,1012e" filled="false" stroked="true" strokeweight=".72pt" strokecolor="#000000">
              <v:path arrowok="t"/>
              <v:stroke dashstyle="dash"/>
            </v:shape>
            <w10:wrap type="none"/>
          </v:group>
        </w:pict>
      </w:r>
      <w:r>
        <w:rPr/>
        <w:pict>
          <v:group style="position:absolute;margin-left:414.070007pt;margin-top:50.623646pt;width:.5pt;height:.1pt;mso-position-horizontal-relative:page;mso-position-vertical-relative:paragraph;z-index:-1327384" coordorigin="8281,1012" coordsize="10,2">
            <v:shape style="position:absolute;left:8281;top:1012;width:10;height:2" coordorigin="8281,1012" coordsize="10,0" path="m8281,1012l8291,1012e" filled="false" stroked="true" strokeweight=".72pt" strokecolor="#000000">
              <v:path arrowok="t"/>
              <v:stroke dashstyle="dash"/>
            </v:shape>
            <w10:wrap type="none"/>
          </v:group>
        </w:pict>
      </w:r>
      <w:r>
        <w:rPr/>
        <w:pict>
          <v:group style="position:absolute;margin-left:444.820007pt;margin-top:50.623646pt;width:.5pt;height:.1pt;mso-position-horizontal-relative:page;mso-position-vertical-relative:paragraph;z-index:-1327360" coordorigin="8896,1012" coordsize="10,2">
            <v:shape style="position:absolute;left:8896;top:1012;width:10;height:2" coordorigin="8896,1012" coordsize="10,0" path="m8896,1012l8906,1012e" filled="false" stroked="true" strokeweight=".72pt" strokecolor="#000000">
              <v:path arrowok="t"/>
              <v:stroke dashstyle="dash"/>
            </v:shape>
            <w10:wrap type="none"/>
          </v:group>
        </w:pict>
      </w:r>
      <w:r>
        <w:rPr>
          <w:rFonts w:ascii="宋体" w:hAnsi="宋体" w:cs="宋体" w:eastAsia="宋体" w:hint="default"/>
          <w:sz w:val="21"/>
          <w:szCs w:val="21"/>
        </w:rPr>
        <w:t>本公司各项金融负债的合同现金流量按</w:t>
      </w:r>
      <w:r>
        <w:rPr>
          <w:rFonts w:ascii="宋体" w:hAnsi="宋体" w:cs="宋体" w:eastAsia="宋体" w:hint="default"/>
          <w:sz w:val="18"/>
          <w:szCs w:val="18"/>
        </w:rPr>
        <w:t>到期日列示如下：</w:t>
      </w: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694"/>
        <w:gridCol w:w="1203"/>
        <w:gridCol w:w="1202"/>
        <w:gridCol w:w="1203"/>
        <w:gridCol w:w="1200"/>
        <w:gridCol w:w="615"/>
        <w:gridCol w:w="1210"/>
      </w:tblGrid>
      <w:tr>
        <w:trPr>
          <w:trHeight w:val="428" w:hRule="exact"/>
        </w:trPr>
        <w:tc>
          <w:tcPr>
            <w:tcW w:w="169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554"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6633"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92"/>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r>
      <w:tr>
        <w:trPr>
          <w:trHeight w:val="418" w:hRule="exact"/>
        </w:trPr>
        <w:tc>
          <w:tcPr>
            <w:tcW w:w="1694" w:type="dxa"/>
            <w:vMerge/>
            <w:tcBorders>
              <w:left w:val="nil" w:sz="6" w:space="0" w:color="auto"/>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23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个月以内</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32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个月</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23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个月</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3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6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1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年以上</w:t>
            </w: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left="67" w:right="0"/>
              <w:jc w:val="center"/>
              <w:rPr>
                <w:rFonts w:ascii="宋体" w:hAnsi="宋体" w:cs="宋体" w:eastAsia="宋体" w:hint="default"/>
                <w:sz w:val="15"/>
                <w:szCs w:val="15"/>
              </w:rPr>
            </w:pPr>
            <w:r>
              <w:rPr>
                <w:rFonts w:ascii="宋体" w:hAnsi="宋体" w:cs="宋体" w:eastAsia="宋体" w:hint="default"/>
                <w:spacing w:val="-3"/>
                <w:sz w:val="15"/>
                <w:szCs w:val="15"/>
              </w:rPr>
              <w:t>合计</w:t>
            </w:r>
            <w:r>
              <w:rPr>
                <w:rFonts w:ascii="宋体" w:hAnsi="宋体" w:cs="宋体" w:eastAsia="宋体" w:hint="default"/>
                <w:sz w:val="15"/>
                <w:szCs w:val="15"/>
              </w:rPr>
            </w:r>
          </w:p>
        </w:tc>
      </w:tr>
      <w:tr>
        <w:trPr>
          <w:trHeight w:val="418" w:hRule="exact"/>
        </w:trPr>
        <w:tc>
          <w:tcPr>
            <w:tcW w:w="1694" w:type="dxa"/>
            <w:tcBorders>
              <w:top w:val="dotted" w:sz="4" w:space="0" w:color="000000"/>
              <w:left w:val="nil" w:sz="6" w:space="0" w:color="auto"/>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02"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应付短期融资款</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261,268,936.99</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55"/>
              <w:jc w:val="right"/>
              <w:rPr>
                <w:rFonts w:ascii="Times New Roman" w:hAnsi="Times New Roman" w:cs="Times New Roman" w:eastAsia="Times New Roman" w:hint="default"/>
                <w:sz w:val="15"/>
                <w:szCs w:val="15"/>
              </w:rPr>
            </w:pPr>
            <w:r>
              <w:rPr>
                <w:rFonts w:ascii="Times New Roman"/>
                <w:spacing w:val="-1"/>
                <w:sz w:val="15"/>
              </w:rPr>
              <w:t>1,593,702,824.65</w:t>
            </w:r>
          </w:p>
        </w:tc>
        <w:tc>
          <w:tcPr>
            <w:tcW w:w="1203"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5"/>
                <w:szCs w:val="15"/>
              </w:rPr>
            </w:pPr>
            <w:r>
              <w:rPr>
                <w:rFonts w:ascii="Times New Roman"/>
                <w:spacing w:val="-1"/>
                <w:sz w:val="15"/>
              </w:rPr>
              <w:t>1,854,971,761.64</w:t>
            </w:r>
          </w:p>
        </w:tc>
      </w:tr>
      <w:tr>
        <w:trPr>
          <w:trHeight w:val="418"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400,223,611.11</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55"/>
              <w:jc w:val="right"/>
              <w:rPr>
                <w:rFonts w:ascii="Times New Roman" w:hAnsi="Times New Roman" w:cs="Times New Roman" w:eastAsia="Times New Roman" w:hint="default"/>
                <w:sz w:val="15"/>
                <w:szCs w:val="15"/>
              </w:rPr>
            </w:pPr>
            <w:r>
              <w:rPr>
                <w:rFonts w:ascii="Times New Roman"/>
                <w:spacing w:val="-1"/>
                <w:sz w:val="15"/>
              </w:rPr>
              <w:t>1,010,490,277.78</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1,357,197,986.06</w:t>
            </w: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2,767,911,874.95</w:t>
            </w:r>
          </w:p>
        </w:tc>
      </w:tr>
      <w:tr>
        <w:trPr>
          <w:trHeight w:val="418"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872,205,750.00</w:t>
            </w:r>
          </w:p>
        </w:tc>
        <w:tc>
          <w:tcPr>
            <w:tcW w:w="1202"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872,205,750.00</w:t>
            </w:r>
          </w:p>
        </w:tc>
      </w:tr>
      <w:tr>
        <w:trPr>
          <w:trHeight w:val="418"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1203" w:type="dxa"/>
            <w:tcBorders>
              <w:top w:val="dotted" w:sz="4" w:space="0" w:color="000000"/>
              <w:left w:val="dotted" w:sz="4" w:space="0" w:color="000000"/>
              <w:bottom w:val="dotted" w:sz="4" w:space="0" w:color="000000"/>
              <w:right w:val="dotted" w:sz="4" w:space="0" w:color="000000"/>
            </w:tcBorders>
          </w:tcPr>
          <w:p>
            <w:pPr/>
          </w:p>
        </w:tc>
        <w:tc>
          <w:tcPr>
            <w:tcW w:w="1202"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109,252,358.02</w:t>
            </w: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3"/>
              <w:jc w:val="right"/>
              <w:rPr>
                <w:rFonts w:ascii="Times New Roman" w:hAnsi="Times New Roman" w:cs="Times New Roman" w:eastAsia="Times New Roman" w:hint="default"/>
                <w:sz w:val="15"/>
                <w:szCs w:val="15"/>
              </w:rPr>
            </w:pPr>
            <w:r>
              <w:rPr>
                <w:rFonts w:ascii="Times New Roman"/>
                <w:spacing w:val="-1"/>
                <w:sz w:val="15"/>
              </w:rPr>
              <w:t>109,252,358.02</w:t>
            </w:r>
          </w:p>
        </w:tc>
      </w:tr>
      <w:tr>
        <w:trPr>
          <w:trHeight w:val="415"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
              <w:jc w:val="right"/>
              <w:rPr>
                <w:rFonts w:ascii="Times New Roman" w:hAnsi="Times New Roman" w:cs="Times New Roman" w:eastAsia="Times New Roman" w:hint="default"/>
                <w:sz w:val="15"/>
                <w:szCs w:val="15"/>
              </w:rPr>
            </w:pPr>
            <w:r>
              <w:rPr>
                <w:rFonts w:ascii="Times New Roman"/>
                <w:spacing w:val="-2"/>
                <w:sz w:val="15"/>
              </w:rPr>
              <w:t>192,676,480.24</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684,246.17</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319" w:right="0"/>
              <w:jc w:val="left"/>
              <w:rPr>
                <w:rFonts w:ascii="Times New Roman" w:hAnsi="Times New Roman" w:cs="Times New Roman" w:eastAsia="Times New Roman" w:hint="default"/>
                <w:sz w:val="15"/>
                <w:szCs w:val="15"/>
              </w:rPr>
            </w:pPr>
            <w:r>
              <w:rPr>
                <w:rFonts w:ascii="Times New Roman"/>
                <w:sz w:val="15"/>
              </w:rPr>
              <w:t>23,768,557.35</w:t>
            </w: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3"/>
              <w:jc w:val="right"/>
              <w:rPr>
                <w:rFonts w:ascii="Times New Roman" w:hAnsi="Times New Roman" w:cs="Times New Roman" w:eastAsia="Times New Roman" w:hint="default"/>
                <w:sz w:val="15"/>
                <w:szCs w:val="15"/>
              </w:rPr>
            </w:pPr>
            <w:r>
              <w:rPr>
                <w:rFonts w:ascii="Times New Roman"/>
                <w:spacing w:val="-1"/>
                <w:sz w:val="15"/>
              </w:rPr>
              <w:t>217,129,283.76</w:t>
            </w:r>
          </w:p>
        </w:tc>
      </w:tr>
      <w:tr>
        <w:trPr>
          <w:trHeight w:val="418"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
              <w:jc w:val="right"/>
              <w:rPr>
                <w:rFonts w:ascii="Times New Roman" w:hAnsi="Times New Roman" w:cs="Times New Roman" w:eastAsia="Times New Roman" w:hint="default"/>
                <w:sz w:val="15"/>
                <w:szCs w:val="15"/>
              </w:rPr>
            </w:pPr>
            <w:r>
              <w:rPr>
                <w:rFonts w:ascii="Times New Roman"/>
                <w:spacing w:val="-1"/>
                <w:sz w:val="15"/>
              </w:rPr>
              <w:t>5,166,414,700.63</w:t>
            </w:r>
          </w:p>
        </w:tc>
        <w:tc>
          <w:tcPr>
            <w:tcW w:w="12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192,544,438.36</w:t>
            </w:r>
          </w:p>
        </w:tc>
        <w:tc>
          <w:tcPr>
            <w:tcW w:w="1203"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5,358,959,138.99</w:t>
            </w:r>
          </w:p>
        </w:tc>
      </w:tr>
      <w:tr>
        <w:trPr>
          <w:trHeight w:val="418"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55"/>
              <w:jc w:val="right"/>
              <w:rPr>
                <w:rFonts w:ascii="Times New Roman" w:hAnsi="Times New Roman" w:cs="Times New Roman" w:eastAsia="Times New Roman" w:hint="default"/>
                <w:sz w:val="15"/>
                <w:szCs w:val="15"/>
              </w:rPr>
            </w:pPr>
            <w:r>
              <w:rPr>
                <w:rFonts w:ascii="Times New Roman"/>
                <w:spacing w:val="-1"/>
                <w:sz w:val="15"/>
              </w:rPr>
              <w:t>6,791,858,244.05</w:t>
            </w:r>
          </w:p>
        </w:tc>
        <w:tc>
          <w:tcPr>
            <w:tcW w:w="1202"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6,791,858,244.05</w:t>
            </w:r>
          </w:p>
        </w:tc>
      </w:tr>
      <w:tr>
        <w:trPr>
          <w:trHeight w:val="418"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2,125,045.72</w:t>
            </w:r>
          </w:p>
        </w:tc>
        <w:tc>
          <w:tcPr>
            <w:tcW w:w="1202"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421,575,109.99</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63,028,767.12</w:t>
            </w: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3"/>
              <w:jc w:val="right"/>
              <w:rPr>
                <w:rFonts w:ascii="Times New Roman" w:hAnsi="Times New Roman" w:cs="Times New Roman" w:eastAsia="Times New Roman" w:hint="default"/>
                <w:sz w:val="15"/>
                <w:szCs w:val="15"/>
              </w:rPr>
            </w:pPr>
            <w:r>
              <w:rPr>
                <w:rFonts w:ascii="Times New Roman"/>
                <w:spacing w:val="-1"/>
                <w:sz w:val="15"/>
              </w:rPr>
              <w:t>486,728,922.83</w:t>
            </w:r>
          </w:p>
        </w:tc>
      </w:tr>
      <w:tr>
        <w:trPr>
          <w:trHeight w:val="415"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pacing w:val="-2"/>
                <w:sz w:val="15"/>
                <w:szCs w:val="15"/>
              </w:rPr>
              <w:t>一年内到期的非流动负债</w:t>
            </w:r>
          </w:p>
        </w:tc>
        <w:tc>
          <w:tcPr>
            <w:tcW w:w="1203" w:type="dxa"/>
            <w:tcBorders>
              <w:top w:val="dotted" w:sz="4" w:space="0" w:color="000000"/>
              <w:left w:val="dotted" w:sz="4" w:space="0" w:color="000000"/>
              <w:bottom w:val="dotted" w:sz="4" w:space="0" w:color="000000"/>
              <w:right w:val="dotted" w:sz="4" w:space="0" w:color="000000"/>
            </w:tcBorders>
          </w:tcPr>
          <w:p>
            <w:pPr/>
          </w:p>
        </w:tc>
        <w:tc>
          <w:tcPr>
            <w:tcW w:w="1202"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2,274,584,221.65</w:t>
            </w:r>
          </w:p>
        </w:tc>
        <w:tc>
          <w:tcPr>
            <w:tcW w:w="1200" w:type="dxa"/>
            <w:tcBorders>
              <w:top w:val="dotted" w:sz="4" w:space="0" w:color="000000"/>
              <w:left w:val="dotted" w:sz="4" w:space="0" w:color="000000"/>
              <w:bottom w:val="dotted" w:sz="4" w:space="0" w:color="000000"/>
              <w:right w:val="dotted" w:sz="4" w:space="0" w:color="000000"/>
            </w:tcBorders>
          </w:tcPr>
          <w:p>
            <w:pP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5"/>
                <w:szCs w:val="15"/>
              </w:rPr>
            </w:pPr>
            <w:r>
              <w:rPr>
                <w:rFonts w:ascii="Times New Roman"/>
                <w:spacing w:val="-1"/>
                <w:sz w:val="15"/>
              </w:rPr>
              <w:t>2,274,584,221.65</w:t>
            </w:r>
          </w:p>
        </w:tc>
      </w:tr>
      <w:tr>
        <w:trPr>
          <w:trHeight w:val="418" w:hRule="exact"/>
        </w:trPr>
        <w:tc>
          <w:tcPr>
            <w:tcW w:w="16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203" w:type="dxa"/>
            <w:tcBorders>
              <w:top w:val="dotted" w:sz="4" w:space="0" w:color="000000"/>
              <w:left w:val="dotted" w:sz="4" w:space="0" w:color="000000"/>
              <w:bottom w:val="dotted" w:sz="4" w:space="0" w:color="000000"/>
              <w:right w:val="dotted" w:sz="4" w:space="0" w:color="000000"/>
            </w:tcBorders>
          </w:tcPr>
          <w:p>
            <w:pPr/>
          </w:p>
        </w:tc>
        <w:tc>
          <w:tcPr>
            <w:tcW w:w="1202" w:type="dxa"/>
            <w:tcBorders>
              <w:top w:val="dotted" w:sz="4" w:space="0" w:color="000000"/>
              <w:left w:val="dotted" w:sz="4" w:space="0" w:color="000000"/>
              <w:bottom w:val="dotted" w:sz="4" w:space="0" w:color="000000"/>
              <w:right w:val="dotted" w:sz="4" w:space="0" w:color="000000"/>
            </w:tcBorders>
          </w:tcPr>
          <w:p>
            <w:pPr/>
          </w:p>
        </w:tc>
        <w:tc>
          <w:tcPr>
            <w:tcW w:w="1203"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1,171,409,759.67</w:t>
            </w:r>
          </w:p>
        </w:tc>
        <w:tc>
          <w:tcPr>
            <w:tcW w:w="615"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1,171,409,759.67</w:t>
            </w:r>
          </w:p>
        </w:tc>
      </w:tr>
      <w:tr>
        <w:trPr>
          <w:trHeight w:val="427" w:hRule="exact"/>
        </w:trPr>
        <w:tc>
          <w:tcPr>
            <w:tcW w:w="16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1"/>
              <w:ind w:left="403" w:right="0"/>
              <w:jc w:val="left"/>
              <w:rPr>
                <w:rFonts w:ascii="宋体" w:hAnsi="宋体" w:cs="宋体" w:eastAsia="宋体" w:hint="default"/>
                <w:sz w:val="15"/>
                <w:szCs w:val="15"/>
              </w:rPr>
            </w:pPr>
            <w:r>
              <w:rPr>
                <w:rFonts w:ascii="宋体" w:hAnsi="宋体" w:cs="宋体" w:eastAsia="宋体" w:hint="default"/>
                <w:sz w:val="15"/>
                <w:szCs w:val="15"/>
              </w:rPr>
              <w:t>金融负债合计</w:t>
            </w:r>
          </w:p>
        </w:tc>
        <w:tc>
          <w:tcPr>
            <w:tcW w:w="12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
              <w:jc w:val="right"/>
              <w:rPr>
                <w:rFonts w:ascii="Times New Roman" w:hAnsi="Times New Roman" w:cs="Times New Roman" w:eastAsia="Times New Roman" w:hint="default"/>
                <w:sz w:val="15"/>
                <w:szCs w:val="15"/>
              </w:rPr>
            </w:pPr>
            <w:r>
              <w:rPr>
                <w:rFonts w:ascii="Times New Roman"/>
                <w:spacing w:val="-1"/>
                <w:sz w:val="15"/>
              </w:rPr>
              <w:t>13,686,779,439.00</w:t>
            </w:r>
          </w:p>
        </w:tc>
        <w:tc>
          <w:tcPr>
            <w:tcW w:w="12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2,797,421,786.96</w:t>
            </w:r>
          </w:p>
        </w:tc>
        <w:tc>
          <w:tcPr>
            <w:tcW w:w="12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29" w:right="0"/>
              <w:jc w:val="left"/>
              <w:rPr>
                <w:rFonts w:ascii="Times New Roman" w:hAnsi="Times New Roman" w:cs="Times New Roman" w:eastAsia="Times New Roman" w:hint="default"/>
                <w:sz w:val="15"/>
                <w:szCs w:val="15"/>
              </w:rPr>
            </w:pPr>
            <w:r>
              <w:rPr>
                <w:rFonts w:ascii="Times New Roman"/>
                <w:sz w:val="15"/>
              </w:rPr>
              <w:t>4,186,378,233.07</w:t>
            </w:r>
          </w:p>
        </w:tc>
        <w:tc>
          <w:tcPr>
            <w:tcW w:w="12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29" w:right="0"/>
              <w:jc w:val="left"/>
              <w:rPr>
                <w:rFonts w:ascii="Times New Roman" w:hAnsi="Times New Roman" w:cs="Times New Roman" w:eastAsia="Times New Roman" w:hint="default"/>
                <w:sz w:val="15"/>
                <w:szCs w:val="15"/>
              </w:rPr>
            </w:pPr>
            <w:r>
              <w:rPr>
                <w:rFonts w:ascii="Times New Roman"/>
                <w:sz w:val="15"/>
              </w:rPr>
              <w:t>1,234,438,526.79</w:t>
            </w:r>
          </w:p>
        </w:tc>
        <w:tc>
          <w:tcPr>
            <w:tcW w:w="615" w:type="dxa"/>
            <w:tcBorders>
              <w:top w:val="dotted" w:sz="4" w:space="0" w:color="000000"/>
              <w:left w:val="dotted" w:sz="4" w:space="0" w:color="000000"/>
              <w:bottom w:val="single" w:sz="12" w:space="0" w:color="000000"/>
              <w:right w:val="dotted" w:sz="4" w:space="0" w:color="000000"/>
            </w:tcBorders>
          </w:tcPr>
          <w:p>
            <w:pPr/>
          </w:p>
        </w:tc>
        <w:tc>
          <w:tcPr>
            <w:tcW w:w="12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21,905,017,985.82</w:t>
            </w:r>
          </w:p>
        </w:tc>
      </w:tr>
    </w:tbl>
    <w:p>
      <w:pPr>
        <w:spacing w:line="240" w:lineRule="auto" w:before="4"/>
        <w:rPr>
          <w:rFonts w:ascii="宋体" w:hAnsi="宋体" w:cs="宋体" w:eastAsia="宋体" w:hint="default"/>
          <w:sz w:val="24"/>
          <w:szCs w:val="24"/>
        </w:rPr>
      </w:pPr>
    </w:p>
    <w:p>
      <w:pPr>
        <w:pStyle w:val="Heading4"/>
        <w:spacing w:line="335" w:lineRule="exact"/>
        <w:ind w:right="1786"/>
        <w:jc w:val="left"/>
        <w:rPr>
          <w:b w:val="0"/>
          <w:bCs w:val="0"/>
        </w:rPr>
      </w:pPr>
      <w:r>
        <w:rPr/>
        <w:t>（四）</w:t>
      </w:r>
      <w:r>
        <w:rPr>
          <w:spacing w:val="-21"/>
        </w:rPr>
        <w:t> </w:t>
      </w:r>
      <w:r>
        <w:rPr/>
        <w:t>市场风险</w:t>
      </w:r>
      <w:r>
        <w:rPr>
          <w:b w:val="0"/>
          <w:bCs w:val="0"/>
        </w:rPr>
      </w:r>
    </w:p>
    <w:p>
      <w:pPr>
        <w:pStyle w:val="BodyText"/>
        <w:spacing w:line="355" w:lineRule="auto" w:before="153"/>
        <w:ind w:left="138" w:right="1788" w:firstLine="419"/>
        <w:jc w:val="both"/>
      </w:pPr>
      <w:r>
        <w:rPr>
          <w:spacing w:val="-4"/>
          <w:w w:val="100"/>
        </w:rPr>
        <w:t>市场风险是由于市场的一般或特定变化对货币、利率和衍生金融工具交易敞口头寸造成</w:t>
      </w:r>
      <w:r>
        <w:rPr>
          <w:w w:val="100"/>
        </w:rPr>
        <w:t> </w:t>
      </w:r>
      <w:r>
        <w:rPr>
          <w:spacing w:val="-4"/>
          <w:w w:val="100"/>
        </w:rPr>
        <w:t>影响而产生。本公司主要涉及的市场风险是指在以自有资金进行各类投资时因证券市场价格</w:t>
      </w:r>
      <w:r>
        <w:rPr>
          <w:spacing w:val="-89"/>
          <w:w w:val="100"/>
        </w:rPr>
        <w:t> </w:t>
      </w:r>
      <w:r>
        <w:rPr>
          <w:spacing w:val="-89"/>
          <w:w w:val="100"/>
        </w:rPr>
      </w:r>
      <w:r>
        <w:rPr/>
        <w:t>变动、利率变动或汇率变动而产生亏损的风险。</w:t>
      </w:r>
      <w:r>
        <w:rPr>
          <w:spacing w:val="12"/>
        </w:rPr>
        <w:t> </w:t>
      </w:r>
      <w:r>
        <w:rPr/>
        <w:t>本公司亦从事股票及债券承销业务，并需</w:t>
      </w:r>
      <w:r>
        <w:rPr>
          <w:w w:val="100"/>
        </w:rPr>
        <w:t> </w:t>
      </w:r>
      <w:r>
        <w:rPr>
          <w:spacing w:val="-4"/>
        </w:rPr>
        <w:t>要对部分新股发行及债券承销作出余额认购承诺。该等情况下，任何未完成承销的部分由于</w:t>
      </w:r>
      <w:r>
        <w:rPr>
          <w:spacing w:val="-40"/>
        </w:rPr>
        <w:t> </w:t>
      </w:r>
      <w:r>
        <w:rPr>
          <w:spacing w:val="-40"/>
        </w:rPr>
      </w:r>
      <w:r>
        <w:rPr/>
        <w:t>市场环境变化造成的市场价低于承销价所产生的价格变动风险将由本公司承担。</w:t>
      </w:r>
    </w:p>
    <w:p>
      <w:pPr>
        <w:pStyle w:val="BodyText"/>
        <w:spacing w:line="357" w:lineRule="auto" w:before="75"/>
        <w:ind w:left="138" w:right="1790" w:firstLine="419"/>
        <w:jc w:val="both"/>
      </w:pPr>
      <w:r>
        <w:rPr>
          <w:spacing w:val="-4"/>
          <w:w w:val="100"/>
        </w:rPr>
        <w:t>本公司管理层确定了本公司所能承担的最大市场风险敞口政策，该风险敞口根据本公司</w:t>
      </w:r>
      <w:r>
        <w:rPr>
          <w:w w:val="100"/>
        </w:rPr>
        <w:t> </w:t>
      </w:r>
      <w:r>
        <w:rPr>
          <w:spacing w:val="-4"/>
        </w:rPr>
        <w:t>风险偏好、资本状况、风险承受能力、业务规模情况综合制定。本公司根据风险敞口制定相</w:t>
      </w:r>
      <w:r>
        <w:rPr>
          <w:spacing w:val="-45"/>
        </w:rPr>
        <w:t> </w:t>
      </w:r>
      <w:r>
        <w:rPr>
          <w:spacing w:val="-45"/>
        </w:rPr>
      </w:r>
      <w:r>
        <w:rPr>
          <w:spacing w:val="-4"/>
        </w:rPr>
        <w:t>关的投资规模限额和风险限额并分解到各投资部门，通过投资交易控制、风险价值、敏感性</w:t>
      </w:r>
      <w:r>
        <w:rPr>
          <w:spacing w:val="-41"/>
        </w:rPr>
        <w:t> </w:t>
      </w:r>
      <w:r>
        <w:rPr>
          <w:spacing w:val="-41"/>
        </w:rPr>
      </w:r>
      <w:r>
        <w:rPr>
          <w:spacing w:val="-4"/>
        </w:rPr>
        <w:t>分析、压力测试、风险绩效评估以及盈亏、集中度、流动性的监控的综合使用来管理市场风</w:t>
      </w:r>
    </w:p>
    <w:p>
      <w:pPr>
        <w:spacing w:after="0" w:line="357" w:lineRule="auto"/>
        <w:jc w:val="both"/>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138" w:right="1786"/>
        <w:jc w:val="left"/>
      </w:pPr>
      <w:r>
        <w:rPr/>
        <w:t>险。</w:t>
      </w:r>
    </w:p>
    <w:p>
      <w:pPr>
        <w:pStyle w:val="BodyText"/>
        <w:spacing w:line="357" w:lineRule="auto" w:before="176"/>
        <w:ind w:left="138" w:right="1788" w:firstLine="419"/>
        <w:jc w:val="both"/>
      </w:pPr>
      <w:r>
        <w:rPr>
          <w:spacing w:val="-4"/>
          <w:w w:val="100"/>
        </w:rPr>
        <w:t>本公司由独立于业务部门的风险管理部对本公司整体的市场风险进行全面的评估、监测</w:t>
      </w:r>
      <w:r>
        <w:rPr>
          <w:w w:val="100"/>
        </w:rPr>
        <w:t> </w:t>
      </w:r>
      <w:r>
        <w:rPr>
          <w:spacing w:val="-4"/>
        </w:rPr>
        <w:t>和管理，并将评估、监测结果向各业务部门、公司管理层进行汇报。在具体实施市场风险管</w:t>
      </w:r>
      <w:r>
        <w:rPr>
          <w:spacing w:val="-45"/>
        </w:rPr>
        <w:t> </w:t>
      </w:r>
      <w:r>
        <w:rPr>
          <w:spacing w:val="-45"/>
        </w:rPr>
      </w:r>
      <w:r>
        <w:rPr>
          <w:spacing w:val="-4"/>
        </w:rPr>
        <w:t>理的过程中，前台业务部门作为市场风险的直接承担者和一线管理人员，动态管理其持仓部</w:t>
      </w:r>
      <w:r>
        <w:rPr>
          <w:spacing w:val="-40"/>
        </w:rPr>
        <w:t> </w:t>
      </w:r>
      <w:r>
        <w:rPr>
          <w:spacing w:val="-40"/>
        </w:rPr>
      </w:r>
      <w:r>
        <w:rPr>
          <w:spacing w:val="-5"/>
        </w:rPr>
        <w:t>分所暴露出的市场风险，并在风险暴露较高时主动采取降低风险敞口或风险对冲等操作；而</w:t>
      </w:r>
      <w:r>
        <w:rPr>
          <w:spacing w:val="-46"/>
        </w:rPr>
        <w:t> </w:t>
      </w:r>
      <w:r>
        <w:rPr>
          <w:spacing w:val="-46"/>
        </w:rPr>
      </w:r>
      <w:r>
        <w:rPr>
          <w:spacing w:val="-4"/>
          <w:w w:val="100"/>
        </w:rPr>
        <w:t>风险管理一部的相关监控人员则会持续地直接与业务部门的团队沟通风险信息，讨论风险状</w:t>
      </w:r>
      <w:r>
        <w:rPr>
          <w:spacing w:val="-89"/>
          <w:w w:val="100"/>
        </w:rPr>
        <w:t> </w:t>
      </w:r>
      <w:r>
        <w:rPr>
          <w:spacing w:val="-89"/>
          <w:w w:val="100"/>
        </w:rPr>
      </w:r>
      <w:r>
        <w:rPr>
          <w:spacing w:val="-4"/>
        </w:rPr>
        <w:t>态和极端损失情景等。同时，通过定期风险报告及时向公司管理层汇报公司整体及各业务部</w:t>
      </w:r>
      <w:r>
        <w:rPr>
          <w:spacing w:val="-40"/>
        </w:rPr>
        <w:t> </w:t>
      </w:r>
      <w:r>
        <w:rPr>
          <w:spacing w:val="-40"/>
        </w:rPr>
      </w:r>
      <w:r>
        <w:rPr/>
        <w:t>门的市场风险状况以及变化情况。</w:t>
      </w:r>
    </w:p>
    <w:p>
      <w:pPr>
        <w:pStyle w:val="BodyText"/>
        <w:spacing w:line="350" w:lineRule="auto" w:before="73"/>
        <w:ind w:left="138" w:right="1789" w:firstLine="419"/>
        <w:jc w:val="both"/>
      </w:pPr>
      <w:r>
        <w:rPr>
          <w:spacing w:val="-4"/>
          <w:w w:val="100"/>
        </w:rPr>
        <w:t>风险管理部门使用一系列量化方法来估计可能的市场风险损失，既包括在市场正常波动</w:t>
      </w:r>
      <w:r>
        <w:rPr>
          <w:w w:val="100"/>
        </w:rPr>
        <w:t> </w:t>
      </w:r>
      <w:r>
        <w:rPr>
          <w:spacing w:val="-6"/>
        </w:rPr>
        <w:t>状况下的可能损失，也包括市场极端变动状况下的可能损失。风险管理一部主要通过 </w:t>
      </w:r>
      <w:r>
        <w:rPr>
          <w:rFonts w:ascii="Arial" w:hAnsi="Arial" w:cs="Arial" w:eastAsia="Arial" w:hint="default"/>
          <w:spacing w:val="-6"/>
        </w:rPr>
        <w:t>VaR </w:t>
      </w:r>
      <w:r>
        <w:rPr/>
        <w:t>和</w:t>
      </w:r>
      <w:r>
        <w:rPr>
          <w:w w:val="100"/>
        </w:rPr>
        <w:t> </w:t>
      </w:r>
      <w:r>
        <w:rPr>
          <w:spacing w:val="-4"/>
        </w:rPr>
        <w:t>敏感性分析的方式对正常波动情况下的短期可能损失进行衡量，同时，对于极端情况下的可</w:t>
      </w:r>
      <w:r>
        <w:rPr>
          <w:spacing w:val="-40"/>
        </w:rPr>
        <w:t> </w:t>
      </w:r>
      <w:r>
        <w:rPr>
          <w:spacing w:val="-40"/>
        </w:rPr>
      </w:r>
      <w:r>
        <w:rPr/>
        <w:t>能损失，则采用压力测试的方法进行评估。</w:t>
      </w:r>
    </w:p>
    <w:p>
      <w:pPr>
        <w:pStyle w:val="BodyText"/>
        <w:spacing w:line="340" w:lineRule="auto" w:before="10"/>
        <w:ind w:left="558" w:right="1786"/>
        <w:jc w:val="left"/>
      </w:pPr>
      <w:r>
        <w:rPr>
          <w:rFonts w:ascii="Trebuchet MS" w:hAnsi="Trebuchet MS" w:cs="Trebuchet MS" w:eastAsia="Trebuchet MS" w:hint="default"/>
          <w:b/>
          <w:bCs/>
        </w:rPr>
        <w:t>1</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b/>
          <w:bCs/>
          <w:spacing w:val="50"/>
        </w:rPr>
        <w:t> </w:t>
      </w:r>
      <w:r>
        <w:rPr>
          <w:rFonts w:ascii="Microsoft JhengHei" w:hAnsi="Microsoft JhengHei" w:cs="Microsoft JhengHei" w:eastAsia="Microsoft JhengHei" w:hint="default"/>
          <w:b/>
          <w:bCs/>
        </w:rPr>
        <w:t>汇率风险</w:t>
      </w:r>
      <w:r>
        <w:rPr>
          <w:rFonts w:ascii="Microsoft JhengHei" w:hAnsi="Microsoft JhengHei" w:cs="Microsoft JhengHei" w:eastAsia="Microsoft JhengHei" w:hint="default"/>
          <w:b/>
          <w:bCs/>
          <w:w w:val="100"/>
        </w:rPr>
        <w:t> </w:t>
      </w:r>
      <w:r>
        <w:rPr>
          <w:spacing w:val="-2"/>
        </w:rPr>
        <w:t>汇率风险是指公司进行的外币业务因外汇汇率变动所产生的风险。公司除境外子公司</w:t>
      </w:r>
    </w:p>
    <w:p>
      <w:pPr>
        <w:pStyle w:val="BodyText"/>
        <w:spacing w:line="355" w:lineRule="auto" w:before="45"/>
        <w:ind w:left="138" w:right="1803"/>
        <w:jc w:val="left"/>
      </w:pPr>
      <w:r>
        <w:rPr/>
        <w:t>持有以港币或美元为记账本位币的资产及负债外，其他外币资产及负债主要为</w:t>
      </w:r>
      <w:r>
        <w:rPr>
          <w:spacing w:val="-54"/>
        </w:rPr>
        <w:t> </w:t>
      </w:r>
      <w:r>
        <w:rPr>
          <w:rFonts w:ascii="宋体" w:hAnsi="宋体" w:cs="宋体" w:eastAsia="宋体" w:hint="default"/>
        </w:rPr>
        <w:t>B</w:t>
      </w:r>
      <w:r>
        <w:rPr>
          <w:rFonts w:ascii="宋体" w:hAnsi="宋体" w:cs="宋体" w:eastAsia="宋体" w:hint="default"/>
          <w:spacing w:val="-55"/>
        </w:rPr>
        <w:t> </w:t>
      </w:r>
      <w:r>
        <w:rPr/>
        <w:t>股业务交</w:t>
      </w:r>
      <w:r>
        <w:rPr>
          <w:w w:val="100"/>
        </w:rPr>
        <w:t> </w:t>
      </w:r>
      <w:r>
        <w:rPr/>
        <w:t>易手续费等佣金费用。公司于</w:t>
      </w:r>
      <w:r>
        <w:rPr>
          <w:spacing w:val="-54"/>
        </w:rPr>
        <w:t> </w:t>
      </w:r>
      <w:r>
        <w:rPr>
          <w:rFonts w:ascii="宋体" w:hAnsi="宋体" w:cs="宋体" w:eastAsia="宋体" w:hint="default"/>
        </w:rPr>
        <w:t>2004</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月取得证券类外汇经营许可资格，故存在因汇率波</w:t>
      </w:r>
      <w:r>
        <w:rPr>
          <w:w w:val="100"/>
        </w:rPr>
        <w:t> </w:t>
      </w:r>
      <w:r>
        <w:rPr/>
        <w:t>动而导致公司实现的外币利润在结汇时受到影响的风险敞口，但因子公司实际发生的</w:t>
      </w:r>
      <w:r>
        <w:rPr>
          <w:spacing w:val="-53"/>
        </w:rPr>
        <w:t> </w:t>
      </w:r>
      <w:r>
        <w:rPr>
          <w:rFonts w:ascii="宋体" w:hAnsi="宋体" w:cs="宋体" w:eastAsia="宋体" w:hint="default"/>
        </w:rPr>
        <w:t>B</w:t>
      </w:r>
      <w:r>
        <w:rPr>
          <w:rFonts w:ascii="宋体" w:hAnsi="宋体" w:cs="宋体" w:eastAsia="宋体" w:hint="default"/>
          <w:spacing w:val="-56"/>
        </w:rPr>
        <w:t> </w:t>
      </w:r>
      <w:r>
        <w:rPr/>
        <w:t>股</w:t>
      </w:r>
      <w:r>
        <w:rPr>
          <w:w w:val="100"/>
        </w:rPr>
        <w:t> </w:t>
      </w:r>
      <w:r>
        <w:rPr/>
        <w:t>业务及佣金收入占比较小，因此无重大外汇波动风险。资产负债表日公司的汇率风险敞口</w:t>
      </w:r>
      <w:r>
        <w:rPr>
          <w:w w:val="100"/>
        </w:rPr>
        <w:t> </w:t>
      </w:r>
      <w:r>
        <w:rPr/>
        <w:t>折算成人民币的金额列示如下：</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834"/>
        <w:gridCol w:w="1834"/>
        <w:gridCol w:w="1825"/>
      </w:tblGrid>
      <w:tr>
        <w:trPr>
          <w:trHeight w:val="427" w:hRule="exact"/>
        </w:trPr>
        <w:tc>
          <w:tcPr>
            <w:tcW w:w="2835"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6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825" w:type="dxa"/>
            <w:tcBorders>
              <w:top w:val="single" w:sz="12" w:space="0" w:color="000000"/>
              <w:left w:val="dotted" w:sz="4" w:space="0" w:color="000000"/>
              <w:bottom w:val="dotted" w:sz="4" w:space="0" w:color="000000"/>
              <w:right w:val="nil" w:sz="6" w:space="0" w:color="auto"/>
            </w:tcBorders>
          </w:tcPr>
          <w:p>
            <w:pPr/>
          </w:p>
        </w:tc>
      </w:tr>
      <w:tr>
        <w:trPr>
          <w:trHeight w:val="418" w:hRule="exact"/>
        </w:trPr>
        <w:tc>
          <w:tcPr>
            <w:tcW w:w="2835" w:type="dxa"/>
            <w:vMerge/>
            <w:tcBorders>
              <w:left w:val="nil" w:sz="6" w:space="0" w:color="auto"/>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80" w:right="0"/>
              <w:jc w:val="left"/>
              <w:rPr>
                <w:rFonts w:ascii="宋体" w:hAnsi="宋体" w:cs="宋体" w:eastAsia="宋体" w:hint="default"/>
                <w:sz w:val="18"/>
                <w:szCs w:val="18"/>
              </w:rPr>
            </w:pPr>
            <w:r>
              <w:rPr>
                <w:rFonts w:ascii="宋体" w:hAnsi="宋体" w:cs="宋体" w:eastAsia="宋体" w:hint="default"/>
                <w:sz w:val="18"/>
                <w:szCs w:val="18"/>
              </w:rPr>
              <w:t>美元折合人民币</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80" w:right="0"/>
              <w:jc w:val="left"/>
              <w:rPr>
                <w:rFonts w:ascii="宋体" w:hAnsi="宋体" w:cs="宋体" w:eastAsia="宋体" w:hint="default"/>
                <w:sz w:val="18"/>
                <w:szCs w:val="18"/>
              </w:rPr>
            </w:pPr>
            <w:r>
              <w:rPr>
                <w:rFonts w:ascii="宋体" w:hAnsi="宋体" w:cs="宋体" w:eastAsia="宋体" w:hint="default"/>
                <w:sz w:val="18"/>
                <w:szCs w:val="18"/>
              </w:rPr>
              <w:t>港币折合人民币</w:t>
            </w:r>
          </w:p>
        </w:tc>
        <w:tc>
          <w:tcPr>
            <w:tcW w:w="1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26,393,254.33</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11,245,043.59</w:t>
            </w:r>
          </w:p>
        </w:tc>
        <w:tc>
          <w:tcPr>
            <w:tcW w:w="1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37,638,297.92</w:t>
            </w:r>
          </w:p>
        </w:tc>
      </w:tr>
      <w:tr>
        <w:trPr>
          <w:trHeight w:val="418"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6,604,075.47</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2,492,214.39</w:t>
            </w:r>
          </w:p>
        </w:tc>
        <w:tc>
          <w:tcPr>
            <w:tcW w:w="1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9,096,289.86</w:t>
            </w:r>
          </w:p>
        </w:tc>
      </w:tr>
      <w:tr>
        <w:trPr>
          <w:trHeight w:val="418"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27,792,552.94</w:t>
            </w:r>
          </w:p>
        </w:tc>
        <w:tc>
          <w:tcPr>
            <w:tcW w:w="1834" w:type="dxa"/>
            <w:tcBorders>
              <w:top w:val="dotted" w:sz="4" w:space="0" w:color="000000"/>
              <w:left w:val="dotted" w:sz="4" w:space="0" w:color="000000"/>
              <w:bottom w:val="dotted" w:sz="4" w:space="0" w:color="000000"/>
              <w:right w:val="dotted" w:sz="4" w:space="0" w:color="000000"/>
            </w:tcBorders>
          </w:tcPr>
          <w:p>
            <w:pPr/>
          </w:p>
        </w:tc>
        <w:tc>
          <w:tcPr>
            <w:tcW w:w="1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27,792,552.94</w:t>
            </w:r>
          </w:p>
        </w:tc>
      </w:tr>
      <w:tr>
        <w:trPr>
          <w:trHeight w:val="418"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1,883,574.00</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447,900.00</w:t>
            </w:r>
          </w:p>
        </w:tc>
        <w:tc>
          <w:tcPr>
            <w:tcW w:w="1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2,331,474.00</w:t>
            </w:r>
          </w:p>
        </w:tc>
      </w:tr>
      <w:tr>
        <w:trPr>
          <w:trHeight w:val="415"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dotted" w:sz="4" w:space="0" w:color="000000"/>
              <w:left w:val="dotted" w:sz="4" w:space="0" w:color="000000"/>
              <w:bottom w:val="dotted" w:sz="4" w:space="0" w:color="000000"/>
              <w:right w:val="dotted" w:sz="4" w:space="0" w:color="000000"/>
            </w:tcBorders>
          </w:tcPr>
          <w:p>
            <w:pP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w w:val="95"/>
                <w:sz w:val="18"/>
              </w:rPr>
              <w:t>8,837.83</w:t>
            </w:r>
          </w:p>
        </w:tc>
        <w:tc>
          <w:tcPr>
            <w:tcW w:w="1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w w:val="95"/>
                <w:sz w:val="18"/>
              </w:rPr>
              <w:t>8,837.83</w:t>
            </w:r>
          </w:p>
        </w:tc>
      </w:tr>
      <w:tr>
        <w:trPr>
          <w:trHeight w:val="418"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62,367,228.00</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162,229,380.00</w:t>
            </w:r>
          </w:p>
        </w:tc>
        <w:tc>
          <w:tcPr>
            <w:tcW w:w="1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224,596,608.00</w:t>
            </w:r>
          </w:p>
        </w:tc>
      </w:tr>
      <w:tr>
        <w:trPr>
          <w:trHeight w:val="418"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27,506.81</w:t>
            </w:r>
          </w:p>
        </w:tc>
        <w:tc>
          <w:tcPr>
            <w:tcW w:w="18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w w:val="95"/>
                <w:sz w:val="18"/>
              </w:rPr>
              <w:t>1,411.48</w:t>
            </w:r>
          </w:p>
        </w:tc>
        <w:tc>
          <w:tcPr>
            <w:tcW w:w="1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pacing w:val="-1"/>
                <w:sz w:val="18"/>
              </w:rPr>
              <w:t>28,918.28</w:t>
            </w:r>
          </w:p>
        </w:tc>
      </w:tr>
      <w:tr>
        <w:trPr>
          <w:trHeight w:val="427"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22,106,362.06</w:t>
            </w:r>
          </w:p>
        </w:tc>
        <w:tc>
          <w:tcPr>
            <w:tcW w:w="18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8,102,529.86</w:t>
            </w:r>
          </w:p>
        </w:tc>
        <w:tc>
          <w:tcPr>
            <w:tcW w:w="1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30,208,891.91</w:t>
            </w:r>
          </w:p>
        </w:tc>
      </w:tr>
    </w:tbl>
    <w:p>
      <w:pPr>
        <w:spacing w:line="240" w:lineRule="auto" w:before="0"/>
        <w:rPr>
          <w:rFonts w:ascii="宋体" w:hAnsi="宋体" w:cs="宋体" w:eastAsia="宋体" w:hint="default"/>
          <w:sz w:val="20"/>
          <w:szCs w:val="20"/>
        </w:rPr>
      </w:pPr>
    </w:p>
    <w:p>
      <w:pPr>
        <w:pStyle w:val="Heading4"/>
        <w:spacing w:line="240" w:lineRule="auto" w:before="125"/>
        <w:ind w:right="1786"/>
        <w:jc w:val="left"/>
        <w:rPr>
          <w:b w:val="0"/>
          <w:bCs w:val="0"/>
        </w:rPr>
      </w:pPr>
      <w:r>
        <w:rPr>
          <w:rFonts w:ascii="Trebuchet MS" w:hAnsi="Trebuchet MS" w:cs="Trebuchet MS" w:eastAsia="Trebuchet MS" w:hint="default"/>
          <w:w w:val="105"/>
        </w:rPr>
        <w:t>2.</w:t>
      </w:r>
      <w:r>
        <w:rPr>
          <w:rFonts w:ascii="Trebuchet MS" w:hAnsi="Trebuchet MS" w:cs="Trebuchet MS" w:eastAsia="Trebuchet MS" w:hint="default"/>
          <w:spacing w:val="2"/>
          <w:w w:val="105"/>
        </w:rPr>
        <w:t> </w:t>
      </w:r>
      <w:r>
        <w:rPr>
          <w:w w:val="105"/>
        </w:rPr>
        <w:t>利率风险</w:t>
      </w:r>
      <w:r>
        <w:rPr>
          <w:b w:val="0"/>
          <w:bCs w:val="0"/>
          <w:w w:val="105"/>
        </w:rPr>
      </w:r>
    </w:p>
    <w:p>
      <w:pPr>
        <w:spacing w:after="0" w:line="240" w:lineRule="auto"/>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5"/>
          <w:szCs w:val="15"/>
        </w:rPr>
      </w:pPr>
    </w:p>
    <w:p>
      <w:pPr>
        <w:pStyle w:val="BodyText"/>
        <w:spacing w:line="355" w:lineRule="auto" w:before="36"/>
        <w:ind w:left="198" w:right="1909" w:firstLine="419"/>
        <w:jc w:val="both"/>
      </w:pPr>
      <w:r>
        <w:rPr>
          <w:spacing w:val="-2"/>
        </w:rPr>
        <w:t>利率风险，是指金融工具的公允价值或未来现金流量因市场利率变动而发生波动的风</w:t>
      </w:r>
      <w:r>
        <w:rPr>
          <w:w w:val="100"/>
        </w:rPr>
        <w:t> </w:t>
      </w:r>
      <w:r>
        <w:rPr/>
        <w:t>险。</w:t>
      </w:r>
    </w:p>
    <w:p>
      <w:pPr>
        <w:pStyle w:val="BodyText"/>
        <w:spacing w:line="355" w:lineRule="auto" w:before="75"/>
        <w:ind w:left="198" w:right="1909" w:firstLine="419"/>
        <w:jc w:val="both"/>
        <w:rPr>
          <w:rFonts w:ascii="宋体" w:hAnsi="宋体" w:cs="宋体" w:eastAsia="宋体" w:hint="default"/>
        </w:rPr>
      </w:pPr>
      <w:r>
        <w:rPr/>
        <w:pict>
          <v:group style="position:absolute;margin-left:231.050003pt;margin-top:132.203659pt;width:.5pt;height:.1pt;mso-position-horizontal-relative:page;mso-position-vertical-relative:paragraph;z-index:-1327336" coordorigin="4621,2644" coordsize="10,2">
            <v:shape style="position:absolute;left:4621;top:2644;width:10;height:2" coordorigin="4621,2644" coordsize="10,0" path="m4621,2644l4631,2644e" filled="false" stroked="true" strokeweight=".72pt" strokecolor="#000000">
              <v:path arrowok="t"/>
              <v:stroke dashstyle="dash"/>
            </v:shape>
            <w10:wrap type="none"/>
          </v:group>
        </w:pict>
      </w:r>
      <w:r>
        <w:rPr/>
        <w:pict>
          <v:group style="position:absolute;margin-left:287.209991pt;margin-top:132.203659pt;width:.5pt;height:.1pt;mso-position-horizontal-relative:page;mso-position-vertical-relative:paragraph;z-index:-1327312" coordorigin="5744,2644" coordsize="10,2">
            <v:shape style="position:absolute;left:5744;top:2644;width:10;height:2" coordorigin="5744,2644" coordsize="10,0" path="m5744,2644l5754,2644e" filled="false" stroked="true" strokeweight=".72pt" strokecolor="#000000">
              <v:path arrowok="t"/>
              <v:stroke dashstyle="dash"/>
            </v:shape>
            <w10:wrap type="none"/>
          </v:group>
        </w:pict>
      </w:r>
      <w:r>
        <w:rPr/>
        <w:pict>
          <v:group style="position:absolute;margin-left:343.269989pt;margin-top:132.203659pt;width:.5pt;height:.1pt;mso-position-horizontal-relative:page;mso-position-vertical-relative:paragraph;z-index:-1327288" coordorigin="6865,2644" coordsize="10,2">
            <v:shape style="position:absolute;left:6865;top:2644;width:10;height:2" coordorigin="6865,2644" coordsize="10,0" path="m6865,2644l6875,2644e" filled="false" stroked="true" strokeweight=".72pt" strokecolor="#000000">
              <v:path arrowok="t"/>
              <v:stroke dashstyle="dash"/>
            </v:shape>
            <w10:wrap type="none"/>
          </v:group>
        </w:pict>
      </w:r>
      <w:r>
        <w:rPr/>
        <w:pict>
          <v:group style="position:absolute;margin-left:403.149994pt;margin-top:132.203659pt;width:.5pt;height:.1pt;mso-position-horizontal-relative:page;mso-position-vertical-relative:paragraph;z-index:-1327264" coordorigin="8063,2644" coordsize="10,2">
            <v:shape style="position:absolute;left:8063;top:2644;width:10;height:2" coordorigin="8063,2644" coordsize="10,0" path="m8063,2644l8073,2644e" filled="false" stroked="true" strokeweight=".72pt" strokecolor="#000000">
              <v:path arrowok="t"/>
              <v:stroke dashstyle="dash"/>
            </v:shape>
            <w10:wrap type="none"/>
          </v:group>
        </w:pict>
      </w:r>
      <w:r>
        <w:rPr/>
        <w:pict>
          <v:group style="position:absolute;margin-left:428.109985pt;margin-top:132.203659pt;width:.5pt;height:.1pt;mso-position-horizontal-relative:page;mso-position-vertical-relative:paragraph;z-index:-1327240" coordorigin="8562,2644" coordsize="10,2">
            <v:shape style="position:absolute;left:8562;top:2644;width:10;height:2" coordorigin="8562,2644" coordsize="10,0" path="m8562,2644l8572,2644e" filled="false" stroked="true" strokeweight=".72pt" strokecolor="#000000">
              <v:path arrowok="t"/>
              <v:stroke dashstyle="dash"/>
            </v:shape>
            <w10:wrap type="none"/>
          </v:group>
        </w:pict>
      </w:r>
      <w:r>
        <w:rPr/>
        <w:pict>
          <v:group style="position:absolute;margin-left:85.704002pt;margin-top:8.143662pt;width:15.4pt;height:.1pt;mso-position-horizontal-relative:page;mso-position-vertical-relative:paragraph;z-index:-1327216" coordorigin="1714,163" coordsize="308,2">
            <v:shape style="position:absolute;left:1714;top:163;width:308;height:2" coordorigin="1714,163" coordsize="308,0" path="m1714,163l2022,163e" filled="false" stroked="true" strokeweight=".48pt" strokecolor="#000000">
              <v:path arrowok="t"/>
              <v:stroke dashstyle="dash"/>
            </v:shape>
            <w10:wrap type="none"/>
          </v:group>
        </w:pict>
      </w:r>
      <w:r>
        <w:rPr>
          <w:spacing w:val="-2"/>
        </w:rPr>
        <w:t>公司投资的主要生息金融资产为活期存款、定期存款、结算备付金、融出资金、买入</w:t>
      </w:r>
      <w:r>
        <w:rPr>
          <w:w w:val="100"/>
        </w:rPr>
        <w:t> </w:t>
      </w:r>
      <w:r>
        <w:rPr>
          <w:spacing w:val="-2"/>
        </w:rPr>
        <w:t>返售金融资产、存出保证金及债券投资；生息负债主要为短期借款、应付短期融资款、拆</w:t>
      </w:r>
      <w:r>
        <w:rPr>
          <w:spacing w:val="-31"/>
        </w:rPr>
        <w:t> </w:t>
      </w:r>
      <w:r>
        <w:rPr>
          <w:spacing w:val="-31"/>
        </w:rPr>
      </w:r>
      <w:r>
        <w:rPr>
          <w:spacing w:val="-2"/>
        </w:rPr>
        <w:t>入资金、卖出回购金融资产、代理买卖证券款、应付债券等。公司定期监测市场利率的变</w:t>
      </w:r>
      <w:r>
        <w:rPr>
          <w:spacing w:val="-31"/>
        </w:rPr>
        <w:t> </w:t>
      </w:r>
      <w:r>
        <w:rPr>
          <w:spacing w:val="-31"/>
        </w:rPr>
      </w:r>
      <w:r>
        <w:rPr>
          <w:spacing w:val="-2"/>
        </w:rPr>
        <w:t>化，并根据债券市场的走势及判断，以及流动性管理的需要，灵活调整非权益类证券的配</w:t>
      </w:r>
      <w:r>
        <w:rPr>
          <w:spacing w:val="-31"/>
        </w:rPr>
        <w:t> </w:t>
      </w:r>
      <w:r>
        <w:rPr>
          <w:spacing w:val="-31"/>
        </w:rPr>
      </w:r>
      <w:r>
        <w:rPr/>
        <w:t>置和融入资金规模。公司资产负债表日的利率风险敞口如下</w:t>
      </w:r>
      <w:r>
        <w:rPr>
          <w:rFonts w:ascii="宋体" w:hAnsi="宋体" w:cs="宋体" w:eastAsia="宋体" w:hint="default"/>
        </w:rPr>
        <w:t>:</w:t>
      </w:r>
    </w:p>
    <w:p>
      <w:pPr>
        <w:spacing w:line="240" w:lineRule="auto" w:before="6"/>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646"/>
        <w:gridCol w:w="1196"/>
        <w:gridCol w:w="1123"/>
        <w:gridCol w:w="1121"/>
        <w:gridCol w:w="1198"/>
        <w:gridCol w:w="499"/>
        <w:gridCol w:w="1544"/>
      </w:tblGrid>
      <w:tr>
        <w:trPr>
          <w:trHeight w:val="427" w:hRule="exact"/>
        </w:trPr>
        <w:tc>
          <w:tcPr>
            <w:tcW w:w="1646" w:type="dxa"/>
            <w:vMerge w:val="restart"/>
            <w:tcBorders>
              <w:top w:val="single" w:sz="12" w:space="0" w:color="000000"/>
              <w:left w:val="nil" w:sz="6" w:space="0" w:color="auto"/>
              <w:right w:val="dotted" w:sz="4" w:space="0" w:color="000000"/>
            </w:tcBorders>
          </w:tcPr>
          <w:p>
            <w:pPr/>
          </w:p>
        </w:tc>
        <w:tc>
          <w:tcPr>
            <w:tcW w:w="6681"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91"/>
              <w:ind w:right="2"/>
              <w:jc w:val="center"/>
              <w:rPr>
                <w:rFonts w:ascii="宋体" w:hAnsi="宋体" w:cs="宋体" w:eastAsia="宋体" w:hint="default"/>
                <w:sz w:val="15"/>
                <w:szCs w:val="15"/>
              </w:rPr>
            </w:pPr>
            <w:r>
              <w:rPr>
                <w:rFonts w:ascii="宋体" w:hAnsi="宋体" w:cs="宋体" w:eastAsia="宋体" w:hint="default"/>
                <w:sz w:val="15"/>
                <w:szCs w:val="15"/>
              </w:rPr>
              <w:t>期末金额</w:t>
            </w:r>
          </w:p>
        </w:tc>
      </w:tr>
      <w:tr>
        <w:trPr>
          <w:trHeight w:val="730" w:hRule="exact"/>
        </w:trPr>
        <w:tc>
          <w:tcPr>
            <w:tcW w:w="1646" w:type="dxa"/>
            <w:vMerge/>
            <w:tcBorders>
              <w:left w:val="nil" w:sz="6" w:space="0" w:color="auto"/>
              <w:bottom w:val="dotted" w:sz="4" w:space="0" w:color="000000"/>
              <w:right w:val="dotted" w:sz="4" w:space="0" w:color="000000"/>
            </w:tcBorders>
          </w:tcPr>
          <w:p>
            <w:pP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个月以内</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个月</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个月</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499" w:type="dxa"/>
            <w:tcBorders>
              <w:top w:val="dotted" w:sz="4" w:space="0" w:color="000000"/>
              <w:left w:val="dotted" w:sz="4" w:space="0" w:color="000000"/>
              <w:bottom w:val="dotted" w:sz="4" w:space="0" w:color="000000"/>
              <w:right w:val="dotted" w:sz="4" w:space="0" w:color="000000"/>
            </w:tcBorders>
          </w:tcPr>
          <w:p>
            <w:pPr>
              <w:pStyle w:val="TableParagraph"/>
              <w:spacing w:line="360" w:lineRule="auto" w:before="91"/>
              <w:ind w:left="167" w:right="36" w:hanging="132"/>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w:t>
            </w:r>
            <w:r>
              <w:rPr>
                <w:rFonts w:ascii="宋体" w:hAnsi="宋体" w:cs="宋体" w:eastAsia="宋体" w:hint="default"/>
                <w:w w:val="100"/>
                <w:sz w:val="15"/>
                <w:szCs w:val="15"/>
              </w:rPr>
              <w:t> </w:t>
            </w:r>
            <w:r>
              <w:rPr>
                <w:rFonts w:ascii="宋体" w:hAnsi="宋体" w:cs="宋体" w:eastAsia="宋体" w:hint="default"/>
                <w:sz w:val="15"/>
                <w:szCs w:val="15"/>
              </w:rPr>
              <w:t>上</w:t>
            </w: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spacing w:val="-3"/>
                <w:sz w:val="15"/>
                <w:szCs w:val="15"/>
              </w:rPr>
              <w:t>合计</w:t>
            </w:r>
            <w:r>
              <w:rPr>
                <w:rFonts w:ascii="宋体" w:hAnsi="宋体" w:cs="宋体" w:eastAsia="宋体" w:hint="default"/>
                <w:sz w:val="15"/>
                <w:szCs w:val="15"/>
              </w:rPr>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金融资产：</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7,330,388,192.41</w:t>
            </w: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5"/>
                <w:szCs w:val="15"/>
              </w:rPr>
            </w:pPr>
            <w:r>
              <w:rPr>
                <w:rFonts w:ascii="Times New Roman"/>
                <w:spacing w:val="-1"/>
                <w:sz w:val="15"/>
              </w:rPr>
              <w:t>7,330,388,192.41</w:t>
            </w:r>
          </w:p>
        </w:tc>
      </w:tr>
      <w:tr>
        <w:trPr>
          <w:trHeight w:val="415"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结算备付金</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824,458,019.67</w:t>
            </w: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2"/>
                <w:sz w:val="15"/>
              </w:rPr>
              <w:t>824,458,019.67</w:t>
            </w:r>
          </w:p>
        </w:tc>
      </w:tr>
      <w:tr>
        <w:trPr>
          <w:trHeight w:val="730"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融出资金</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86" w:right="0"/>
              <w:jc w:val="left"/>
              <w:rPr>
                <w:rFonts w:ascii="Times New Roman" w:hAnsi="Times New Roman" w:cs="Times New Roman" w:eastAsia="Times New Roman" w:hint="default"/>
                <w:sz w:val="15"/>
                <w:szCs w:val="15"/>
              </w:rPr>
            </w:pPr>
            <w:r>
              <w:rPr>
                <w:rFonts w:ascii="Times New Roman"/>
                <w:sz w:val="15"/>
              </w:rPr>
              <w:t>104,106,204.15</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1,040,338,753.62</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2,895,457,206.96</w:t>
            </w: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12"/>
              <w:jc w:val="right"/>
              <w:rPr>
                <w:rFonts w:ascii="Times New Roman" w:hAnsi="Times New Roman" w:cs="Times New Roman" w:eastAsia="Times New Roman" w:hint="default"/>
                <w:sz w:val="15"/>
                <w:szCs w:val="15"/>
              </w:rPr>
            </w:pPr>
            <w:r>
              <w:rPr>
                <w:rFonts w:ascii="Times New Roman"/>
                <w:spacing w:val="-1"/>
                <w:sz w:val="15"/>
              </w:rPr>
              <w:t>4,039,902,164.73</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7,345,659,341.28</w:t>
            </w: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86" w:right="0"/>
              <w:jc w:val="left"/>
              <w:rPr>
                <w:rFonts w:ascii="Times New Roman" w:hAnsi="Times New Roman" w:cs="Times New Roman" w:eastAsia="Times New Roman" w:hint="default"/>
                <w:sz w:val="15"/>
                <w:szCs w:val="15"/>
              </w:rPr>
            </w:pPr>
            <w:r>
              <w:rPr>
                <w:rFonts w:ascii="Times New Roman"/>
                <w:sz w:val="15"/>
              </w:rPr>
              <w:t>84,076,671.71</w:t>
            </w: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7,429,736,012.99</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衍生金融资产</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
              <w:jc w:val="right"/>
              <w:rPr>
                <w:rFonts w:ascii="Times New Roman" w:hAnsi="Times New Roman" w:cs="Times New Roman" w:eastAsia="Times New Roman" w:hint="default"/>
                <w:sz w:val="15"/>
                <w:szCs w:val="15"/>
              </w:rPr>
            </w:pPr>
            <w:r>
              <w:rPr>
                <w:rFonts w:ascii="Times New Roman"/>
                <w:w w:val="100"/>
                <w:sz w:val="15"/>
              </w:rPr>
              <w:t>-</w:t>
            </w:r>
          </w:p>
        </w:tc>
      </w:tr>
      <w:tr>
        <w:trPr>
          <w:trHeight w:val="415"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存出保证金</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88"/>
              <w:jc w:val="right"/>
              <w:rPr>
                <w:rFonts w:ascii="Times New Roman" w:hAnsi="Times New Roman" w:cs="Times New Roman" w:eastAsia="Times New Roman" w:hint="default"/>
                <w:sz w:val="15"/>
                <w:szCs w:val="15"/>
              </w:rPr>
            </w:pPr>
            <w:r>
              <w:rPr>
                <w:rFonts w:ascii="Times New Roman"/>
                <w:spacing w:val="-2"/>
                <w:sz w:val="15"/>
              </w:rPr>
              <w:t>654,237,237.85</w:t>
            </w: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2"/>
                <w:sz w:val="15"/>
              </w:rPr>
              <w:t>654,237,237.85</w:t>
            </w:r>
          </w:p>
        </w:tc>
      </w:tr>
      <w:tr>
        <w:trPr>
          <w:trHeight w:val="730"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买入返售金融资产</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86" w:right="0"/>
              <w:jc w:val="left"/>
              <w:rPr>
                <w:rFonts w:ascii="Times New Roman" w:hAnsi="Times New Roman" w:cs="Times New Roman" w:eastAsia="Times New Roman" w:hint="default"/>
                <w:sz w:val="15"/>
                <w:szCs w:val="15"/>
              </w:rPr>
            </w:pPr>
            <w:r>
              <w:rPr>
                <w:rFonts w:ascii="Times New Roman"/>
                <w:sz w:val="15"/>
              </w:rPr>
              <w:t>2,060,817,150.29</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88"/>
              <w:jc w:val="right"/>
              <w:rPr>
                <w:rFonts w:ascii="Times New Roman" w:hAnsi="Times New Roman" w:cs="Times New Roman" w:eastAsia="Times New Roman" w:hint="default"/>
                <w:sz w:val="15"/>
                <w:szCs w:val="15"/>
              </w:rPr>
            </w:pPr>
            <w:r>
              <w:rPr>
                <w:rFonts w:ascii="Times New Roman"/>
                <w:spacing w:val="-2"/>
                <w:sz w:val="15"/>
              </w:rPr>
              <w:t>475,749,123.61</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2,463,761,393.58</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86" w:right="0"/>
              <w:jc w:val="left"/>
              <w:rPr>
                <w:rFonts w:ascii="Times New Roman" w:hAnsi="Times New Roman" w:cs="Times New Roman" w:eastAsia="Times New Roman" w:hint="default"/>
                <w:sz w:val="15"/>
                <w:szCs w:val="15"/>
              </w:rPr>
            </w:pPr>
            <w:r>
              <w:rPr>
                <w:rFonts w:ascii="Times New Roman"/>
                <w:sz w:val="15"/>
              </w:rPr>
              <w:t>100,578,112.56</w:t>
            </w: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12"/>
              <w:jc w:val="right"/>
              <w:rPr>
                <w:rFonts w:ascii="Times New Roman" w:hAnsi="Times New Roman" w:cs="Times New Roman" w:eastAsia="Times New Roman" w:hint="default"/>
                <w:sz w:val="15"/>
                <w:szCs w:val="15"/>
              </w:rPr>
            </w:pPr>
            <w:r>
              <w:rPr>
                <w:rFonts w:ascii="Times New Roman"/>
                <w:spacing w:val="-1"/>
                <w:sz w:val="15"/>
              </w:rPr>
              <w:t>5,100,905,780.04</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
              <w:jc w:val="right"/>
              <w:rPr>
                <w:rFonts w:ascii="Times New Roman" w:hAnsi="Times New Roman" w:cs="Times New Roman" w:eastAsia="Times New Roman" w:hint="default"/>
                <w:sz w:val="15"/>
                <w:szCs w:val="15"/>
              </w:rPr>
            </w:pPr>
            <w:r>
              <w:rPr>
                <w:rFonts w:ascii="Times New Roman"/>
                <w:w w:val="100"/>
                <w:sz w:val="15"/>
              </w:rPr>
              <w:t>-</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其他债权投资</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360,350,271.32</w:t>
            </w: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2"/>
                <w:sz w:val="15"/>
              </w:rPr>
              <w:t>360,350,271.32</w:t>
            </w:r>
          </w:p>
        </w:tc>
      </w:tr>
      <w:tr>
        <w:trPr>
          <w:trHeight w:val="416"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其他非流动金融资产</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86" w:right="0"/>
              <w:jc w:val="left"/>
              <w:rPr>
                <w:rFonts w:ascii="Times New Roman" w:hAnsi="Times New Roman" w:cs="Times New Roman" w:eastAsia="Times New Roman" w:hint="default"/>
                <w:sz w:val="15"/>
                <w:szCs w:val="15"/>
              </w:rPr>
            </w:pPr>
            <w:r>
              <w:rPr>
                <w:rFonts w:ascii="Times New Roman"/>
                <w:sz w:val="15"/>
              </w:rPr>
              <w:t>86,857,743.66</w:t>
            </w: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86,857,743.66</w:t>
            </w:r>
          </w:p>
        </w:tc>
      </w:tr>
      <w:tr>
        <w:trPr>
          <w:trHeight w:val="730"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15"/>
                <w:szCs w:val="15"/>
              </w:rPr>
            </w:pPr>
            <w:r>
              <w:rPr>
                <w:rFonts w:ascii="宋体" w:hAnsi="宋体" w:cs="宋体" w:eastAsia="宋体" w:hint="default"/>
                <w:sz w:val="15"/>
                <w:szCs w:val="15"/>
              </w:rPr>
              <w:t>金融资产合计</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5"/>
                <w:szCs w:val="15"/>
              </w:rPr>
            </w:pPr>
            <w:r>
              <w:rPr>
                <w:rFonts w:ascii="Times New Roman"/>
                <w:sz w:val="15"/>
              </w:rPr>
              <w:t>17,665,428,907.80</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2,170,325,115.08</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5,443,295,272.25</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240" w:right="0"/>
              <w:jc w:val="left"/>
              <w:rPr>
                <w:rFonts w:ascii="Times New Roman" w:hAnsi="Times New Roman" w:cs="Times New Roman" w:eastAsia="Times New Roman" w:hint="default"/>
                <w:sz w:val="15"/>
                <w:szCs w:val="15"/>
              </w:rPr>
            </w:pPr>
            <w:r>
              <w:rPr>
                <w:rFonts w:ascii="Times New Roman"/>
                <w:sz w:val="15"/>
              </w:rPr>
              <w:t>547,786,127.54</w:t>
            </w:r>
          </w:p>
        </w:tc>
        <w:tc>
          <w:tcPr>
            <w:tcW w:w="4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7"/>
              <w:jc w:val="right"/>
              <w:rPr>
                <w:rFonts w:ascii="Times New Roman" w:hAnsi="Times New Roman" w:cs="Times New Roman" w:eastAsia="Times New Roman" w:hint="default"/>
                <w:sz w:val="15"/>
                <w:szCs w:val="15"/>
              </w:rPr>
            </w:pPr>
            <w:r>
              <w:rPr>
                <w:rFonts w:ascii="Times New Roman"/>
                <w:w w:val="100"/>
                <w:sz w:val="15"/>
              </w:rPr>
              <w:t>-</w:t>
            </w: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12"/>
              <w:jc w:val="right"/>
              <w:rPr>
                <w:rFonts w:ascii="Times New Roman" w:hAnsi="Times New Roman" w:cs="Times New Roman" w:eastAsia="Times New Roman" w:hint="default"/>
                <w:sz w:val="15"/>
                <w:szCs w:val="15"/>
              </w:rPr>
            </w:pPr>
            <w:r>
              <w:rPr>
                <w:rFonts w:ascii="Times New Roman"/>
                <w:spacing w:val="-2"/>
                <w:sz w:val="15"/>
              </w:rPr>
              <w:t>25,826,835,422.67</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应付短期融资款</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88"/>
              <w:jc w:val="right"/>
              <w:rPr>
                <w:rFonts w:ascii="Times New Roman" w:hAnsi="Times New Roman" w:cs="Times New Roman" w:eastAsia="Times New Roman" w:hint="default"/>
                <w:sz w:val="15"/>
                <w:szCs w:val="15"/>
              </w:rPr>
            </w:pPr>
            <w:r>
              <w:rPr>
                <w:rFonts w:ascii="Times New Roman"/>
                <w:spacing w:val="-2"/>
                <w:sz w:val="15"/>
              </w:rPr>
              <w:t>261,268,936.99</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1,593,702,824.65</w:t>
            </w: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2"/>
              <w:jc w:val="right"/>
              <w:rPr>
                <w:rFonts w:ascii="Times New Roman" w:hAnsi="Times New Roman" w:cs="Times New Roman" w:eastAsia="Times New Roman" w:hint="default"/>
                <w:sz w:val="15"/>
                <w:szCs w:val="15"/>
              </w:rPr>
            </w:pPr>
            <w:r>
              <w:rPr>
                <w:rFonts w:ascii="Times New Roman"/>
                <w:spacing w:val="-1"/>
                <w:sz w:val="15"/>
              </w:rPr>
              <w:t>1,854,971,761.64</w:t>
            </w:r>
          </w:p>
        </w:tc>
      </w:tr>
      <w:tr>
        <w:trPr>
          <w:trHeight w:val="727"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88"/>
              <w:jc w:val="right"/>
              <w:rPr>
                <w:rFonts w:ascii="Times New Roman" w:hAnsi="Times New Roman" w:cs="Times New Roman" w:eastAsia="Times New Roman" w:hint="default"/>
                <w:sz w:val="15"/>
                <w:szCs w:val="15"/>
              </w:rPr>
            </w:pPr>
            <w:r>
              <w:rPr>
                <w:rFonts w:ascii="Times New Roman"/>
                <w:spacing w:val="-2"/>
                <w:sz w:val="15"/>
              </w:rPr>
              <w:t>400,223,611.11</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1,010,490,277.78</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86" w:right="0"/>
              <w:jc w:val="left"/>
              <w:rPr>
                <w:rFonts w:ascii="Times New Roman" w:hAnsi="Times New Roman" w:cs="Times New Roman" w:eastAsia="Times New Roman" w:hint="default"/>
                <w:sz w:val="15"/>
                <w:szCs w:val="15"/>
              </w:rPr>
            </w:pPr>
            <w:r>
              <w:rPr>
                <w:rFonts w:ascii="Times New Roman"/>
                <w:sz w:val="15"/>
              </w:rPr>
              <w:t>1,357,197,986.06</w:t>
            </w: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2"/>
              <w:jc w:val="right"/>
              <w:rPr>
                <w:rFonts w:ascii="Times New Roman" w:hAnsi="Times New Roman" w:cs="Times New Roman" w:eastAsia="Times New Roman" w:hint="default"/>
                <w:sz w:val="15"/>
                <w:szCs w:val="15"/>
              </w:rPr>
            </w:pPr>
            <w:r>
              <w:rPr>
                <w:rFonts w:ascii="Times New Roman"/>
                <w:spacing w:val="-1"/>
                <w:sz w:val="15"/>
              </w:rPr>
              <w:t>2,767,911,874.95</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37" w:right="0"/>
              <w:jc w:val="left"/>
              <w:rPr>
                <w:rFonts w:ascii="Times New Roman" w:hAnsi="Times New Roman" w:cs="Times New Roman" w:eastAsia="Times New Roman" w:hint="default"/>
                <w:sz w:val="15"/>
                <w:szCs w:val="15"/>
              </w:rPr>
            </w:pPr>
            <w:r>
              <w:rPr>
                <w:rFonts w:ascii="Times New Roman"/>
                <w:sz w:val="15"/>
              </w:rPr>
              <w:t>872,205,750.00</w:t>
            </w: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872,205,750.00</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109,252,358.02</w:t>
            </w: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109,252,358.02</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124" w:right="0"/>
              <w:jc w:val="left"/>
              <w:rPr>
                <w:rFonts w:ascii="Times New Roman" w:hAnsi="Times New Roman" w:cs="Times New Roman" w:eastAsia="Times New Roman" w:hint="default"/>
                <w:sz w:val="15"/>
                <w:szCs w:val="15"/>
              </w:rPr>
            </w:pPr>
            <w:r>
              <w:rPr>
                <w:rFonts w:ascii="Times New Roman"/>
                <w:sz w:val="15"/>
              </w:rPr>
              <w:t>5,166,414,700.63</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192,544,438.36</w:t>
            </w: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nil" w:sz="6" w:space="0" w:color="auto"/>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5"/>
                <w:szCs w:val="15"/>
              </w:rPr>
            </w:pPr>
            <w:r>
              <w:rPr>
                <w:rFonts w:ascii="Times New Roman"/>
                <w:spacing w:val="-1"/>
                <w:sz w:val="15"/>
              </w:rPr>
              <w:t>5,358,959,138.99</w:t>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79" w:top="1100" w:bottom="1160" w:left="1600" w:right="0"/>
        </w:sectPr>
      </w:pPr>
    </w:p>
    <w:p>
      <w:pPr>
        <w:spacing w:line="240" w:lineRule="auto" w:before="0"/>
        <w:rPr>
          <w:rFonts w:ascii="宋体" w:hAnsi="宋体" w:cs="宋体" w:eastAsia="宋体" w:hint="default"/>
          <w:sz w:val="20"/>
          <w:szCs w:val="20"/>
        </w:rPr>
      </w:pPr>
      <w:r>
        <w:rPr/>
        <w:pict>
          <v:group style="position:absolute;margin-left:231.050003pt;margin-top:130.459976pt;width:.5pt;height:.1pt;mso-position-horizontal-relative:page;mso-position-vertical-relative:page;z-index:-1327192" coordorigin="4621,2609" coordsize="10,2">
            <v:shape style="position:absolute;left:4621;top:2609;width:10;height:2" coordorigin="4621,2609" coordsize="10,0" path="m4621,2609l4631,2609e" filled="false" stroked="true" strokeweight=".72pt" strokecolor="#000000">
              <v:path arrowok="t"/>
              <v:stroke dashstyle="dash"/>
            </v:shape>
            <w10:wrap type="none"/>
          </v:group>
        </w:pict>
      </w:r>
      <w:r>
        <w:rPr/>
        <w:pict>
          <v:group style="position:absolute;margin-left:287.209991pt;margin-top:130.459976pt;width:.5pt;height:.1pt;mso-position-horizontal-relative:page;mso-position-vertical-relative:page;z-index:-1327168" coordorigin="5744,2609" coordsize="10,2">
            <v:shape style="position:absolute;left:5744;top:2609;width:10;height:2" coordorigin="5744,2609" coordsize="10,0" path="m5744,2609l5754,2609e" filled="false" stroked="true" strokeweight=".72pt" strokecolor="#000000">
              <v:path arrowok="t"/>
              <v:stroke dashstyle="dash"/>
            </v:shape>
            <w10:wrap type="none"/>
          </v:group>
        </w:pict>
      </w:r>
      <w:r>
        <w:rPr/>
        <w:pict>
          <v:group style="position:absolute;margin-left:343.269989pt;margin-top:130.459976pt;width:.5pt;height:.1pt;mso-position-horizontal-relative:page;mso-position-vertical-relative:page;z-index:-1327144" coordorigin="6865,2609" coordsize="10,2">
            <v:shape style="position:absolute;left:6865;top:2609;width:10;height:2" coordorigin="6865,2609" coordsize="10,0" path="m6865,2609l6875,2609e" filled="false" stroked="true" strokeweight=".72pt" strokecolor="#000000">
              <v:path arrowok="t"/>
              <v:stroke dashstyle="dash"/>
            </v:shape>
            <w10:wrap type="none"/>
          </v:group>
        </w:pict>
      </w:r>
      <w:r>
        <w:rPr/>
        <w:pict>
          <v:group style="position:absolute;margin-left:403.149994pt;margin-top:130.459976pt;width:.5pt;height:.1pt;mso-position-horizontal-relative:page;mso-position-vertical-relative:page;z-index:-1327120" coordorigin="8063,2609" coordsize="10,2">
            <v:shape style="position:absolute;left:8063;top:2609;width:10;height:2" coordorigin="8063,2609" coordsize="10,0" path="m8063,2609l8073,2609e" filled="false" stroked="true" strokeweight=".72pt" strokecolor="#000000">
              <v:path arrowok="t"/>
              <v:stroke dashstyle="dash"/>
            </v:shape>
            <w10:wrap type="none"/>
          </v:group>
        </w:pict>
      </w:r>
      <w:r>
        <w:rPr/>
        <w:pict>
          <v:group style="position:absolute;margin-left:428.109985pt;margin-top:130.459976pt;width:.5pt;height:.1pt;mso-position-horizontal-relative:page;mso-position-vertical-relative:page;z-index:-1327096" coordorigin="8562,2609" coordsize="10,2">
            <v:shape style="position:absolute;left:8562;top:2609;width:10;height:2" coordorigin="8562,2609" coordsize="10,0" path="m8562,2609l8572,2609e" filled="false" stroked="true" strokeweight=".72pt" strokecolor="#000000">
              <v:path arrowok="t"/>
              <v:stroke dashstyle="dash"/>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1646"/>
        <w:gridCol w:w="1196"/>
        <w:gridCol w:w="1123"/>
        <w:gridCol w:w="1121"/>
        <w:gridCol w:w="1198"/>
        <w:gridCol w:w="499"/>
        <w:gridCol w:w="1544"/>
      </w:tblGrid>
      <w:tr>
        <w:trPr>
          <w:trHeight w:val="430" w:hRule="exact"/>
        </w:trPr>
        <w:tc>
          <w:tcPr>
            <w:tcW w:w="1646" w:type="dxa"/>
            <w:vMerge w:val="restart"/>
            <w:tcBorders>
              <w:top w:val="single" w:sz="12" w:space="0" w:color="000000"/>
              <w:left w:val="nil" w:sz="6" w:space="0" w:color="auto"/>
              <w:right w:val="dotted" w:sz="4" w:space="0" w:color="000000"/>
            </w:tcBorders>
          </w:tcPr>
          <w:p>
            <w:pPr/>
          </w:p>
        </w:tc>
        <w:tc>
          <w:tcPr>
            <w:tcW w:w="6681"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91"/>
              <w:ind w:right="2"/>
              <w:jc w:val="center"/>
              <w:rPr>
                <w:rFonts w:ascii="宋体" w:hAnsi="宋体" w:cs="宋体" w:eastAsia="宋体" w:hint="default"/>
                <w:sz w:val="15"/>
                <w:szCs w:val="15"/>
              </w:rPr>
            </w:pPr>
            <w:r>
              <w:rPr>
                <w:rFonts w:ascii="宋体" w:hAnsi="宋体" w:cs="宋体" w:eastAsia="宋体" w:hint="default"/>
                <w:sz w:val="15"/>
                <w:szCs w:val="15"/>
              </w:rPr>
              <w:t>期末金额</w:t>
            </w:r>
          </w:p>
        </w:tc>
      </w:tr>
      <w:tr>
        <w:trPr>
          <w:trHeight w:val="727" w:hRule="exact"/>
        </w:trPr>
        <w:tc>
          <w:tcPr>
            <w:tcW w:w="1646" w:type="dxa"/>
            <w:vMerge/>
            <w:tcBorders>
              <w:left w:val="nil" w:sz="6" w:space="0" w:color="auto"/>
              <w:bottom w:val="dotted" w:sz="4" w:space="0" w:color="000000"/>
              <w:right w:val="dotted" w:sz="4" w:space="0" w:color="000000"/>
            </w:tcBorders>
          </w:tcPr>
          <w:p>
            <w:pP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个月以内</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个月</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个月</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499" w:type="dxa"/>
            <w:tcBorders>
              <w:top w:val="dotted" w:sz="4" w:space="0" w:color="000000"/>
              <w:left w:val="dotted" w:sz="4" w:space="0" w:color="000000"/>
              <w:bottom w:val="dotted" w:sz="4" w:space="0" w:color="000000"/>
              <w:right w:val="dotted" w:sz="4" w:space="0" w:color="000000"/>
            </w:tcBorders>
          </w:tcPr>
          <w:p>
            <w:pPr>
              <w:pStyle w:val="TableParagraph"/>
              <w:spacing w:line="360" w:lineRule="auto" w:before="89"/>
              <w:ind w:left="167" w:right="36" w:hanging="132"/>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w:t>
            </w:r>
            <w:r>
              <w:rPr>
                <w:rFonts w:ascii="宋体" w:hAnsi="宋体" w:cs="宋体" w:eastAsia="宋体" w:hint="default"/>
                <w:w w:val="100"/>
                <w:sz w:val="15"/>
                <w:szCs w:val="15"/>
              </w:rPr>
              <w:t> </w:t>
            </w:r>
            <w:r>
              <w:rPr>
                <w:rFonts w:ascii="宋体" w:hAnsi="宋体" w:cs="宋体" w:eastAsia="宋体" w:hint="default"/>
                <w:sz w:val="15"/>
                <w:szCs w:val="15"/>
              </w:rPr>
              <w:t>上</w:t>
            </w: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spacing w:val="-3"/>
                <w:sz w:val="15"/>
                <w:szCs w:val="15"/>
              </w:rPr>
              <w:t>合计</w:t>
            </w:r>
            <w:r>
              <w:rPr>
                <w:rFonts w:ascii="宋体" w:hAnsi="宋体" w:cs="宋体" w:eastAsia="宋体" w:hint="default"/>
                <w:sz w:val="15"/>
                <w:szCs w:val="15"/>
              </w:rPr>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28"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6,791,858,244.05</w:t>
            </w: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6,791,858,244.05</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63,028,767.12</w:t>
            </w: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63,028,767.12</w:t>
            </w:r>
          </w:p>
        </w:tc>
      </w:tr>
      <w:tr>
        <w:trPr>
          <w:trHeight w:val="730"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381" w:lineRule="auto" w:before="89"/>
              <w:ind w:left="28" w:right="7"/>
              <w:jc w:val="left"/>
              <w:rPr>
                <w:rFonts w:ascii="宋体" w:hAnsi="宋体" w:cs="宋体" w:eastAsia="宋体" w:hint="default"/>
                <w:sz w:val="15"/>
                <w:szCs w:val="15"/>
              </w:rPr>
            </w:pPr>
            <w:r>
              <w:rPr>
                <w:rFonts w:ascii="宋体" w:hAnsi="宋体" w:cs="宋体" w:eastAsia="宋体" w:hint="default"/>
                <w:spacing w:val="7"/>
                <w:sz w:val="15"/>
                <w:szCs w:val="15"/>
              </w:rPr>
              <w:t>一年内到期的非流动负</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债</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9"/>
              <w:jc w:val="right"/>
              <w:rPr>
                <w:rFonts w:ascii="Times New Roman" w:hAnsi="Times New Roman" w:cs="Times New Roman" w:eastAsia="Times New Roman" w:hint="default"/>
                <w:sz w:val="15"/>
                <w:szCs w:val="15"/>
              </w:rPr>
            </w:pPr>
            <w:r>
              <w:rPr>
                <w:rFonts w:ascii="Times New Roman"/>
                <w:spacing w:val="-1"/>
                <w:sz w:val="15"/>
              </w:rPr>
              <w:t>2,274,584,221.65</w:t>
            </w: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12"/>
              <w:jc w:val="right"/>
              <w:rPr>
                <w:rFonts w:ascii="Times New Roman" w:hAnsi="Times New Roman" w:cs="Times New Roman" w:eastAsia="Times New Roman" w:hint="default"/>
                <w:sz w:val="15"/>
                <w:szCs w:val="15"/>
              </w:rPr>
            </w:pPr>
            <w:r>
              <w:rPr>
                <w:rFonts w:ascii="Times New Roman"/>
                <w:spacing w:val="-1"/>
                <w:sz w:val="15"/>
              </w:rPr>
              <w:t>2,274,584,221.65</w:t>
            </w:r>
          </w:p>
        </w:tc>
      </w:tr>
      <w:tr>
        <w:trPr>
          <w:trHeight w:val="416"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9"/>
              <w:ind w:left="28"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196"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1,171,409,759.67</w:t>
            </w: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5"/>
                <w:szCs w:val="15"/>
              </w:rPr>
            </w:pPr>
            <w:r>
              <w:rPr>
                <w:rFonts w:ascii="Times New Roman"/>
                <w:spacing w:val="-1"/>
                <w:sz w:val="15"/>
              </w:rPr>
              <w:t>1,171,409,759.67</w:t>
            </w:r>
          </w:p>
        </w:tc>
      </w:tr>
      <w:tr>
        <w:trPr>
          <w:trHeight w:val="418" w:hRule="exact"/>
        </w:trPr>
        <w:tc>
          <w:tcPr>
            <w:tcW w:w="16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1"/>
              <w:ind w:left="379" w:right="0"/>
              <w:jc w:val="left"/>
              <w:rPr>
                <w:rFonts w:ascii="宋体" w:hAnsi="宋体" w:cs="宋体" w:eastAsia="宋体" w:hint="default"/>
                <w:sz w:val="15"/>
                <w:szCs w:val="15"/>
              </w:rPr>
            </w:pPr>
            <w:r>
              <w:rPr>
                <w:rFonts w:ascii="宋体" w:hAnsi="宋体" w:cs="宋体" w:eastAsia="宋体" w:hint="default"/>
                <w:sz w:val="15"/>
                <w:szCs w:val="15"/>
              </w:rPr>
              <w:t>金融负债合计</w:t>
            </w:r>
          </w:p>
        </w:tc>
        <w:tc>
          <w:tcPr>
            <w:tcW w:w="1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12,830,478,694.68</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854,036,986.46</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pacing w:val="-1"/>
                <w:sz w:val="15"/>
              </w:rPr>
              <w:t>2,713,445,460.45</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4,866,220,734.50</w:t>
            </w:r>
          </w:p>
        </w:tc>
        <w:tc>
          <w:tcPr>
            <w:tcW w:w="49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21,264,181,876.09</w:t>
            </w:r>
          </w:p>
        </w:tc>
      </w:tr>
      <w:tr>
        <w:trPr>
          <w:trHeight w:val="427" w:hRule="exact"/>
        </w:trPr>
        <w:tc>
          <w:tcPr>
            <w:tcW w:w="16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9"/>
              <w:ind w:left="21" w:right="0"/>
              <w:jc w:val="center"/>
              <w:rPr>
                <w:rFonts w:ascii="宋体" w:hAnsi="宋体" w:cs="宋体" w:eastAsia="宋体" w:hint="default"/>
                <w:sz w:val="15"/>
                <w:szCs w:val="15"/>
              </w:rPr>
            </w:pPr>
            <w:r>
              <w:rPr>
                <w:rFonts w:ascii="宋体" w:hAnsi="宋体" w:cs="宋体" w:eastAsia="宋体" w:hint="default"/>
                <w:sz w:val="15"/>
                <w:szCs w:val="15"/>
              </w:rPr>
              <w:t>净敞口</w:t>
            </w:r>
          </w:p>
        </w:tc>
        <w:tc>
          <w:tcPr>
            <w:tcW w:w="11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4,834,950,213.12</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1,316,288,128.62</w:t>
            </w:r>
          </w:p>
        </w:tc>
        <w:tc>
          <w:tcPr>
            <w:tcW w:w="11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left="40" w:right="0"/>
              <w:jc w:val="center"/>
              <w:rPr>
                <w:rFonts w:ascii="Times New Roman" w:hAnsi="Times New Roman" w:cs="Times New Roman" w:eastAsia="Times New Roman" w:hint="default"/>
                <w:sz w:val="15"/>
                <w:szCs w:val="15"/>
              </w:rPr>
            </w:pPr>
            <w:r>
              <w:rPr>
                <w:rFonts w:ascii="Times New Roman"/>
                <w:spacing w:val="-1"/>
                <w:sz w:val="15"/>
              </w:rPr>
              <w:t>2,729,849,811.80</w:t>
            </w:r>
          </w:p>
        </w:tc>
        <w:tc>
          <w:tcPr>
            <w:tcW w:w="11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-4,318,434,606.96</w:t>
            </w:r>
          </w:p>
        </w:tc>
        <w:tc>
          <w:tcPr>
            <w:tcW w:w="499" w:type="dxa"/>
            <w:tcBorders>
              <w:top w:val="dotted" w:sz="4" w:space="0" w:color="000000"/>
              <w:left w:val="dotted" w:sz="4" w:space="0" w:color="000000"/>
              <w:bottom w:val="single" w:sz="12" w:space="0" w:color="000000"/>
              <w:right w:val="dotted" w:sz="4" w:space="0" w:color="000000"/>
            </w:tcBorders>
          </w:tcPr>
          <w:p>
            <w:pPr/>
          </w:p>
        </w:tc>
        <w:tc>
          <w:tcPr>
            <w:tcW w:w="154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5"/>
                <w:szCs w:val="15"/>
              </w:rPr>
            </w:pPr>
            <w:r>
              <w:rPr>
                <w:rFonts w:ascii="Times New Roman"/>
                <w:spacing w:val="-1"/>
                <w:sz w:val="15"/>
              </w:rPr>
              <w:t>4,562,653,546.58</w:t>
            </w:r>
          </w:p>
        </w:tc>
      </w:tr>
    </w:tbl>
    <w:p>
      <w:pPr>
        <w:spacing w:line="240" w:lineRule="auto" w:before="0"/>
        <w:rPr>
          <w:rFonts w:ascii="宋体" w:hAnsi="宋体" w:cs="宋体" w:eastAsia="宋体" w:hint="default"/>
          <w:sz w:val="20"/>
          <w:szCs w:val="20"/>
        </w:rPr>
      </w:pPr>
    </w:p>
    <w:p>
      <w:pPr>
        <w:pStyle w:val="BodyText"/>
        <w:spacing w:line="340" w:lineRule="auto" w:before="124"/>
        <w:ind w:left="562" w:right="1786" w:hanging="5"/>
        <w:jc w:val="left"/>
      </w:pPr>
      <w:r>
        <w:rPr>
          <w:rFonts w:ascii="Trebuchet MS" w:hAnsi="Trebuchet MS" w:cs="Trebuchet MS" w:eastAsia="Trebuchet MS" w:hint="default"/>
          <w:b/>
          <w:bCs/>
        </w:rPr>
        <w:t>2</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b/>
          <w:bCs/>
          <w:spacing w:val="50"/>
        </w:rPr>
        <w:t> </w:t>
      </w:r>
      <w:r>
        <w:rPr>
          <w:rFonts w:ascii="Microsoft JhengHei" w:hAnsi="Microsoft JhengHei" w:cs="Microsoft JhengHei" w:eastAsia="Microsoft JhengHei" w:hint="default"/>
          <w:b/>
          <w:bCs/>
        </w:rPr>
        <w:t>价格风险</w:t>
      </w:r>
      <w:r>
        <w:rPr>
          <w:rFonts w:ascii="Microsoft JhengHei" w:hAnsi="Microsoft JhengHei" w:cs="Microsoft JhengHei" w:eastAsia="Microsoft JhengHei" w:hint="default"/>
          <w:b/>
          <w:bCs/>
          <w:w w:val="100"/>
        </w:rPr>
        <w:t> </w:t>
      </w:r>
      <w:r>
        <w:rPr/>
        <w:t>价格风险是指本公司所持金融工具的公允价值或未来现金流量因除市场利率和外汇汇</w:t>
      </w:r>
    </w:p>
    <w:p>
      <w:pPr>
        <w:pStyle w:val="BodyText"/>
        <w:spacing w:line="355" w:lineRule="auto" w:before="45"/>
        <w:ind w:left="138" w:right="1788"/>
        <w:jc w:val="both"/>
      </w:pPr>
      <w:r>
        <w:rPr>
          <w:spacing w:val="-4"/>
          <w:w w:val="100"/>
        </w:rPr>
        <w:t>率以外的市场价格因素变动而发生波动的风险。本公司主要投资于证券交易所上市或银行间</w:t>
      </w:r>
      <w:r>
        <w:rPr>
          <w:spacing w:val="-89"/>
          <w:w w:val="100"/>
        </w:rPr>
        <w:t> </w:t>
      </w:r>
      <w:r>
        <w:rPr>
          <w:spacing w:val="-89"/>
          <w:w w:val="100"/>
        </w:rPr>
      </w:r>
      <w:r>
        <w:rPr>
          <w:spacing w:val="-4"/>
          <w:w w:val="100"/>
        </w:rPr>
        <w:t>同业市场交易的股票和债券，所面临的其他价格风险来源于单个证券发行主体自身经营情况</w:t>
      </w:r>
      <w:r>
        <w:rPr>
          <w:spacing w:val="-89"/>
          <w:w w:val="100"/>
        </w:rPr>
        <w:t> </w:t>
      </w:r>
      <w:r>
        <w:rPr>
          <w:spacing w:val="-89"/>
          <w:w w:val="100"/>
        </w:rPr>
      </w:r>
      <w:r>
        <w:rPr/>
        <w:t>或特殊事项的影响，也可能来源于证券市场整体波动的影响。</w:t>
      </w:r>
    </w:p>
    <w:p>
      <w:pPr>
        <w:pStyle w:val="BodyText"/>
        <w:spacing w:line="403" w:lineRule="auto" w:before="174"/>
        <w:ind w:left="138" w:right="1789" w:firstLine="424"/>
        <w:jc w:val="both"/>
      </w:pPr>
      <w:r>
        <w:rPr>
          <w:spacing w:val="-4"/>
        </w:rPr>
        <w:t>本公司的管理层在构建和管理投资组合的过程中，采用</w:t>
      </w:r>
      <w:r>
        <w:rPr>
          <w:rFonts w:ascii="Times New Roman" w:hAnsi="Times New Roman" w:cs="Times New Roman" w:eastAsia="Times New Roman" w:hint="default"/>
          <w:spacing w:val="-4"/>
        </w:rPr>
        <w:t>“</w:t>
      </w:r>
      <w:r>
        <w:rPr>
          <w:spacing w:val="-4"/>
        </w:rPr>
        <w:t>自上而下</w:t>
      </w:r>
      <w:r>
        <w:rPr>
          <w:rFonts w:ascii="Times New Roman" w:hAnsi="Times New Roman" w:cs="Times New Roman" w:eastAsia="Times New Roman" w:hint="default"/>
          <w:spacing w:val="-4"/>
        </w:rPr>
        <w:t>”</w:t>
      </w:r>
      <w:r>
        <w:rPr>
          <w:spacing w:val="-4"/>
        </w:rPr>
        <w:t>的策略，通过对宏观</w:t>
      </w:r>
      <w:r>
        <w:rPr>
          <w:w w:val="100"/>
        </w:rPr>
        <w:t> </w:t>
      </w:r>
      <w:r>
        <w:rPr>
          <w:spacing w:val="-4"/>
        </w:rPr>
        <w:t>经济情况及政策的分析，结合证券市场运行情况，做出资产配置及组合构建的决定；通过对</w:t>
      </w:r>
      <w:r>
        <w:rPr>
          <w:spacing w:val="-44"/>
        </w:rPr>
        <w:t> </w:t>
      </w:r>
      <w:r>
        <w:rPr>
          <w:spacing w:val="-44"/>
        </w:rPr>
      </w:r>
      <w:r>
        <w:rPr>
          <w:spacing w:val="-4"/>
        </w:rPr>
        <w:t>单个证券的定性分析及定量分析，选择适当的投资品种进行投资。本公司的管理层定期结合</w:t>
      </w:r>
      <w:r>
        <w:rPr>
          <w:spacing w:val="-41"/>
        </w:rPr>
        <w:t> </w:t>
      </w:r>
      <w:r>
        <w:rPr>
          <w:spacing w:val="-41"/>
        </w:rPr>
      </w:r>
      <w:r>
        <w:rPr>
          <w:spacing w:val="-4"/>
        </w:rPr>
        <w:t>宏观及微观环境的变化，对投资策略、资产配置、投资组合进行修正，来主动应对可能发生</w:t>
      </w:r>
      <w:r>
        <w:rPr>
          <w:spacing w:val="-45"/>
        </w:rPr>
        <w:t> </w:t>
      </w:r>
      <w:r>
        <w:rPr>
          <w:spacing w:val="-45"/>
        </w:rPr>
      </w:r>
      <w:r>
        <w:rPr/>
        <w:t>的市场价格风险。资产负债表日公司的价格风险敞口如下：</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861"/>
        <w:gridCol w:w="3466"/>
      </w:tblGrid>
      <w:tr>
        <w:trPr>
          <w:trHeight w:val="490" w:hRule="exact"/>
        </w:trPr>
        <w:tc>
          <w:tcPr>
            <w:tcW w:w="486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0"/>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0"/>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10,150,540,636.33</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其中：债券</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7,345,659,341.28</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66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1,738,140,648.16</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66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347,181,794.63</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66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93,679,426.97</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662" w:right="0"/>
              <w:jc w:val="left"/>
              <w:rPr>
                <w:rFonts w:ascii="宋体" w:hAnsi="宋体" w:cs="宋体" w:eastAsia="宋体" w:hint="default"/>
                <w:sz w:val="18"/>
                <w:szCs w:val="18"/>
              </w:rPr>
            </w:pPr>
            <w:r>
              <w:rPr>
                <w:rFonts w:ascii="宋体" w:hAnsi="宋体" w:cs="宋体" w:eastAsia="宋体" w:hint="default"/>
                <w:sz w:val="18"/>
                <w:szCs w:val="18"/>
              </w:rPr>
              <w:t>资管计划</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245,965,417.62</w:t>
            </w:r>
          </w:p>
        </w:tc>
      </w:tr>
      <w:tr>
        <w:trPr>
          <w:trHeight w:val="492" w:hRule="exact"/>
        </w:trPr>
        <w:tc>
          <w:tcPr>
            <w:tcW w:w="486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0"/>
              <w:ind w:left="662"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34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379,914,007.67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4861"/>
        <w:gridCol w:w="3466"/>
      </w:tblGrid>
      <w:tr>
        <w:trPr>
          <w:trHeight w:val="492" w:hRule="exact"/>
        </w:trPr>
        <w:tc>
          <w:tcPr>
            <w:tcW w:w="486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2"/>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tabs>
                <w:tab w:pos="122" w:val="left" w:leader="none"/>
              </w:tabs>
              <w:spacing w:line="240" w:lineRule="auto" w:before="140"/>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dotted" w:color="000000"/>
              </w:rPr>
              <w:t> </w:t>
              <w:tab/>
            </w:r>
            <w:r>
              <w:rPr>
                <w:rFonts w:ascii="宋体" w:hAnsi="宋体" w:cs="宋体" w:eastAsia="宋体" w:hint="default"/>
                <w:sz w:val="18"/>
                <w:szCs w:val="18"/>
                <w:u w:val="dotted" w:color="000000"/>
              </w:rPr>
              <w:t>其</w:t>
            </w:r>
            <w:r>
              <w:rPr>
                <w:rFonts w:ascii="宋体" w:hAnsi="宋体" w:cs="宋体" w:eastAsia="宋体" w:hint="default"/>
                <w:sz w:val="18"/>
                <w:szCs w:val="18"/>
              </w:rPr>
              <w:t>他债权投资</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360,350,271.32</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1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535"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368,244,351.66</w:t>
            </w:r>
          </w:p>
        </w:tc>
      </w:tr>
      <w:tr>
        <w:trPr>
          <w:trHeight w:val="480" w:hRule="exact"/>
        </w:trPr>
        <w:tc>
          <w:tcPr>
            <w:tcW w:w="48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0"/>
              <w:ind w:left="66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34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281,386,608.00</w:t>
            </w:r>
          </w:p>
        </w:tc>
      </w:tr>
      <w:tr>
        <w:trPr>
          <w:trHeight w:val="490" w:hRule="exact"/>
        </w:trPr>
        <w:tc>
          <w:tcPr>
            <w:tcW w:w="486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0"/>
              <w:ind w:left="662"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34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86,857,743.66</w:t>
            </w:r>
          </w:p>
        </w:tc>
      </w:tr>
    </w:tbl>
    <w:p>
      <w:pPr>
        <w:spacing w:line="240" w:lineRule="auto" w:before="5"/>
        <w:rPr>
          <w:rFonts w:ascii="宋体" w:hAnsi="宋体" w:cs="宋体" w:eastAsia="宋体" w:hint="default"/>
          <w:sz w:val="28"/>
          <w:szCs w:val="28"/>
        </w:rPr>
      </w:pPr>
    </w:p>
    <w:p>
      <w:pPr>
        <w:pStyle w:val="Heading4"/>
        <w:spacing w:line="335" w:lineRule="exact"/>
        <w:ind w:left="138" w:right="1786"/>
        <w:jc w:val="left"/>
        <w:rPr>
          <w:b w:val="0"/>
          <w:bCs w:val="0"/>
        </w:rPr>
      </w:pPr>
      <w:r>
        <w:rPr/>
        <w:t>十、</w:t>
      </w:r>
      <w:r>
        <w:rPr>
          <w:spacing w:val="42"/>
        </w:rPr>
        <w:t> </w:t>
      </w:r>
      <w:r>
        <w:rPr/>
        <w:t>公允价值</w:t>
      </w:r>
      <w:r>
        <w:rPr>
          <w:b w:val="0"/>
          <w:bCs w:val="0"/>
        </w:rPr>
      </w:r>
    </w:p>
    <w:p>
      <w:pPr>
        <w:pStyle w:val="BodyText"/>
        <w:spacing w:line="393" w:lineRule="auto" w:before="147"/>
        <w:ind w:left="558" w:right="1578"/>
        <w:jc w:val="left"/>
      </w:pPr>
      <w:r>
        <w:rPr/>
        <w:t>公允价值计量所使用的输入值划分为三个层次：</w:t>
      </w:r>
      <w:r>
        <w:rPr>
          <w:w w:val="100"/>
        </w:rPr>
        <w:t> </w:t>
      </w:r>
      <w:r>
        <w:rPr>
          <w:spacing w:val="-1"/>
        </w:rPr>
        <w:t>第一层次输入值是在计量日能够取得的相同资产或负债在活跃市场上未经调整的报价。</w:t>
      </w:r>
      <w:r>
        <w:rPr>
          <w:spacing w:val="-55"/>
        </w:rPr>
        <w:t> </w:t>
      </w:r>
      <w:r>
        <w:rPr>
          <w:spacing w:val="-55"/>
        </w:rPr>
      </w:r>
      <w:r>
        <w:rPr/>
        <w:t>第二层次输入值是除第一层次输入值外相关资产或负债直接或间接可观察的输入值。</w:t>
      </w:r>
      <w:r>
        <w:rPr>
          <w:w w:val="100"/>
        </w:rPr>
        <w:t> </w:t>
      </w:r>
      <w:r>
        <w:rPr/>
        <w:t>第三层次输入值是相关资产或负债的不可观察输入值。</w:t>
      </w:r>
      <w:r>
        <w:rPr>
          <w:w w:val="100"/>
        </w:rPr>
        <w:t> </w:t>
      </w:r>
      <w:r>
        <w:rPr>
          <w:spacing w:val="-4"/>
          <w:w w:val="100"/>
        </w:rPr>
        <w:t>公允价值计量结果所属的层次，由对公允价值计量整体而言具有重要意义的输入值所属</w:t>
      </w:r>
    </w:p>
    <w:p>
      <w:pPr>
        <w:pStyle w:val="BodyText"/>
        <w:spacing w:line="272" w:lineRule="exact"/>
        <w:ind w:left="138" w:right="1786"/>
        <w:jc w:val="left"/>
      </w:pPr>
      <w:r>
        <w:rPr/>
        <w:t>的最低层次决定。</w:t>
      </w:r>
    </w:p>
    <w:p>
      <w:pPr>
        <w:pStyle w:val="Heading4"/>
        <w:tabs>
          <w:tab w:pos="1397" w:val="left" w:leader="none"/>
        </w:tabs>
        <w:spacing w:line="240" w:lineRule="auto" w:before="107"/>
        <w:ind w:right="1786"/>
        <w:jc w:val="left"/>
        <w:rPr>
          <w:b w:val="0"/>
          <w:bCs w:val="0"/>
        </w:rPr>
      </w:pPr>
      <w:r>
        <w:rPr/>
        <w:pict>
          <v:group style="position:absolute;margin-left:275.929993pt;margin-top:55.634438pt;width:.5pt;height:.1pt;mso-position-horizontal-relative:page;mso-position-vertical-relative:paragraph;z-index:-1327072" coordorigin="5519,1113" coordsize="10,2">
            <v:shape style="position:absolute;left:5519;top:1113;width:10;height:2" coordorigin="5519,1113" coordsize="10,0" path="m5519,1113l5528,1113e" filled="false" stroked="true" strokeweight=".72pt" strokecolor="#000000">
              <v:path arrowok="t"/>
              <v:stroke dashstyle="dash"/>
            </v:shape>
            <w10:wrap type="none"/>
          </v:group>
        </w:pict>
      </w:r>
      <w:r>
        <w:rPr/>
        <w:pict>
          <v:group style="position:absolute;margin-left:338.230011pt;margin-top:55.634438pt;width:.5pt;height:.1pt;mso-position-horizontal-relative:page;mso-position-vertical-relative:paragraph;z-index:-1327048" coordorigin="6765,1113" coordsize="10,2">
            <v:shape style="position:absolute;left:6765;top:1113;width:10;height:2" coordorigin="6765,1113" coordsize="10,0" path="m6765,1113l6774,1113e" filled="false" stroked="true" strokeweight=".72pt" strokecolor="#000000">
              <v:path arrowok="t"/>
              <v:stroke dashstyle="dash"/>
            </v:shape>
            <w10:wrap type="none"/>
          </v:group>
        </w:pict>
      </w:r>
      <w:r>
        <w:rPr/>
        <w:pict>
          <v:group style="position:absolute;margin-left:398.230011pt;margin-top:55.634438pt;width:.5pt;height:.1pt;mso-position-horizontal-relative:page;mso-position-vertical-relative:paragraph;z-index:-1327024" coordorigin="7965,1113" coordsize="10,2">
            <v:shape style="position:absolute;left:7965;top:1113;width:10;height:2" coordorigin="7965,1113" coordsize="10,0" path="m7965,1113l7974,1113e" filled="false" stroked="true" strokeweight=".72pt" strokecolor="#000000">
              <v:path arrowok="t"/>
              <v:stroke dashstyle="dash"/>
            </v:shape>
            <w10:wrap type="none"/>
          </v:group>
        </w:pict>
      </w:r>
      <w:r>
        <w:rPr/>
        <w:t>（一）</w:t>
        <w:tab/>
        <w:t>以公允价值计量的金融工具</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571"/>
        <w:gridCol w:w="1169"/>
        <w:gridCol w:w="1246"/>
        <w:gridCol w:w="1200"/>
        <w:gridCol w:w="2115"/>
      </w:tblGrid>
      <w:tr>
        <w:trPr>
          <w:trHeight w:val="427" w:hRule="exact"/>
        </w:trPr>
        <w:tc>
          <w:tcPr>
            <w:tcW w:w="257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30"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18" w:hRule="exact"/>
        </w:trPr>
        <w:tc>
          <w:tcPr>
            <w:tcW w:w="2571" w:type="dxa"/>
            <w:vMerge/>
            <w:tcBorders>
              <w:left w:val="nil" w:sz="6" w:space="0" w:color="auto"/>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18" w:right="0"/>
              <w:jc w:val="left"/>
              <w:rPr>
                <w:rFonts w:ascii="宋体" w:hAnsi="宋体" w:cs="宋体" w:eastAsia="宋体" w:hint="default"/>
                <w:sz w:val="18"/>
                <w:szCs w:val="18"/>
              </w:rPr>
            </w:pPr>
            <w:r>
              <w:rPr>
                <w:rFonts w:ascii="宋体" w:hAnsi="宋体" w:cs="宋体" w:eastAsia="宋体" w:hint="default"/>
                <w:sz w:val="18"/>
                <w:szCs w:val="18"/>
              </w:rPr>
              <w:t>第一层次</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56" w:right="0"/>
              <w:jc w:val="left"/>
              <w:rPr>
                <w:rFonts w:ascii="宋体" w:hAnsi="宋体" w:cs="宋体" w:eastAsia="宋体" w:hint="default"/>
                <w:sz w:val="18"/>
                <w:szCs w:val="18"/>
              </w:rPr>
            </w:pPr>
            <w:r>
              <w:rPr>
                <w:rFonts w:ascii="宋体" w:hAnsi="宋体" w:cs="宋体" w:eastAsia="宋体" w:hint="default"/>
                <w:sz w:val="18"/>
                <w:szCs w:val="18"/>
              </w:rPr>
              <w:t>第二层次</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35" w:right="0"/>
              <w:jc w:val="left"/>
              <w:rPr>
                <w:rFonts w:ascii="宋体" w:hAnsi="宋体" w:cs="宋体" w:eastAsia="宋体" w:hint="default"/>
                <w:sz w:val="18"/>
                <w:szCs w:val="18"/>
              </w:rPr>
            </w:pPr>
            <w:r>
              <w:rPr>
                <w:rFonts w:ascii="宋体" w:hAnsi="宋体" w:cs="宋体" w:eastAsia="宋体" w:hint="default"/>
                <w:sz w:val="18"/>
                <w:szCs w:val="18"/>
              </w:rPr>
              <w:t>第三层次</w:t>
            </w:r>
          </w:p>
        </w:tc>
        <w:tc>
          <w:tcPr>
            <w:tcW w:w="2115" w:type="dxa"/>
            <w:vMerge w:val="restart"/>
            <w:tcBorders>
              <w:top w:val="dotted" w:sz="4" w:space="0" w:color="000000"/>
              <w:left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2571" w:type="dxa"/>
            <w:vMerge/>
            <w:tcBorders>
              <w:left w:val="nil" w:sz="6" w:space="0" w:color="auto"/>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38"/>
              <w:jc w:val="right"/>
              <w:rPr>
                <w:rFonts w:ascii="宋体" w:hAnsi="宋体" w:cs="宋体" w:eastAsia="宋体" w:hint="default"/>
                <w:sz w:val="18"/>
                <w:szCs w:val="18"/>
              </w:rPr>
            </w:pPr>
            <w:r>
              <w:rPr>
                <w:rFonts w:ascii="宋体" w:hAnsi="宋体" w:cs="宋体" w:eastAsia="宋体" w:hint="default"/>
                <w:sz w:val="18"/>
                <w:szCs w:val="18"/>
              </w:rPr>
              <w:t>公允价值计量</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77"/>
              <w:jc w:val="right"/>
              <w:rPr>
                <w:rFonts w:ascii="宋体" w:hAnsi="宋体" w:cs="宋体" w:eastAsia="宋体" w:hint="default"/>
                <w:sz w:val="18"/>
                <w:szCs w:val="18"/>
              </w:rPr>
            </w:pPr>
            <w:r>
              <w:rPr>
                <w:rFonts w:ascii="宋体" w:hAnsi="宋体" w:cs="宋体" w:eastAsia="宋体" w:hint="default"/>
                <w:sz w:val="18"/>
                <w:szCs w:val="18"/>
              </w:rPr>
              <w:t>公允价值计量</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53"/>
              <w:jc w:val="right"/>
              <w:rPr>
                <w:rFonts w:ascii="宋体" w:hAnsi="宋体" w:cs="宋体" w:eastAsia="宋体" w:hint="default"/>
                <w:sz w:val="18"/>
                <w:szCs w:val="18"/>
              </w:rPr>
            </w:pPr>
            <w:r>
              <w:rPr>
                <w:rFonts w:ascii="宋体" w:hAnsi="宋体" w:cs="宋体" w:eastAsia="宋体" w:hint="default"/>
                <w:sz w:val="18"/>
                <w:szCs w:val="18"/>
              </w:rPr>
              <w:t>公允价值计量</w:t>
            </w:r>
          </w:p>
        </w:tc>
        <w:tc>
          <w:tcPr>
            <w:tcW w:w="2115" w:type="dxa"/>
            <w:vMerge/>
            <w:tcBorders>
              <w:left w:val="dotted" w:sz="4" w:space="0" w:color="000000"/>
              <w:bottom w:val="dotted" w:sz="4" w:space="0" w:color="000000"/>
              <w:right w:val="nil" w:sz="6" w:space="0" w:color="auto"/>
            </w:tcBorders>
          </w:tcPr>
          <w:p>
            <w:pP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持续的公允价值计量</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2,077,740,836.93</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0"/>
              <w:jc w:val="right"/>
              <w:rPr>
                <w:rFonts w:ascii="Times New Roman" w:hAnsi="Times New Roman" w:cs="Times New Roman" w:eastAsia="Times New Roman" w:hint="default"/>
                <w:sz w:val="15"/>
                <w:szCs w:val="15"/>
              </w:rPr>
            </w:pPr>
            <w:r>
              <w:rPr>
                <w:rFonts w:ascii="Times New Roman"/>
                <w:spacing w:val="-1"/>
                <w:sz w:val="15"/>
              </w:rPr>
              <w:t>7,679,357,761.70</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393,442,037.70</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10,150,540,636.33</w:t>
            </w:r>
          </w:p>
        </w:tc>
      </w:tr>
      <w:tr>
        <w:trPr>
          <w:trHeight w:val="730"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4"/>
              <w:ind w:left="28" w:right="1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以公允价值计量且其变动计入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当期损益的金融资产</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2,077,740,836.93</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0"/>
              <w:jc w:val="right"/>
              <w:rPr>
                <w:rFonts w:ascii="Times New Roman" w:hAnsi="Times New Roman" w:cs="Times New Roman" w:eastAsia="Times New Roman" w:hint="default"/>
                <w:sz w:val="15"/>
                <w:szCs w:val="15"/>
              </w:rPr>
            </w:pPr>
            <w:r>
              <w:rPr>
                <w:rFonts w:ascii="Times New Roman"/>
                <w:spacing w:val="-1"/>
                <w:sz w:val="15"/>
              </w:rPr>
              <w:t>7,679,357,761.70</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393,442,037.70</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10,150,540,636.33</w:t>
            </w:r>
          </w:p>
        </w:tc>
      </w:tr>
      <w:tr>
        <w:trPr>
          <w:trHeight w:val="415"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right="73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债务工具投资</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
              <w:jc w:val="right"/>
              <w:rPr>
                <w:rFonts w:ascii="Times New Roman" w:hAnsi="Times New Roman" w:cs="Times New Roman" w:eastAsia="Times New Roman" w:hint="default"/>
                <w:sz w:val="15"/>
                <w:szCs w:val="15"/>
              </w:rPr>
            </w:pPr>
            <w:r>
              <w:rPr>
                <w:rFonts w:ascii="Times New Roman"/>
                <w:spacing w:val="-1"/>
                <w:sz w:val="15"/>
              </w:rPr>
              <w:t>7,345,659,341.28</w:t>
            </w: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2"/>
              <w:jc w:val="right"/>
              <w:rPr>
                <w:rFonts w:ascii="Times New Roman" w:hAnsi="Times New Roman" w:cs="Times New Roman" w:eastAsia="Times New Roman" w:hint="default"/>
                <w:sz w:val="15"/>
                <w:szCs w:val="15"/>
              </w:rPr>
            </w:pPr>
            <w:r>
              <w:rPr>
                <w:rFonts w:ascii="Times New Roman"/>
                <w:spacing w:val="-1"/>
                <w:sz w:val="15"/>
              </w:rPr>
              <w:t>7,345,659,341.28</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right="73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权益工具投资</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1,730,559,042.30</w:t>
            </w: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7,581,605.86</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1,738,140,648.16</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基金</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347,181,794.63</w:t>
            </w: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347,181,794.63</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理财产品</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3,656,331.09</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90,023,095.88</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93,679,426.97</w:t>
            </w:r>
          </w:p>
        </w:tc>
      </w:tr>
      <w:tr>
        <w:trPr>
          <w:trHeight w:val="415"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资管计划</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245,965,417.62</w:t>
            </w: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3"/>
              <w:jc w:val="right"/>
              <w:rPr>
                <w:rFonts w:ascii="Times New Roman" w:hAnsi="Times New Roman" w:cs="Times New Roman" w:eastAsia="Times New Roman" w:hint="default"/>
                <w:sz w:val="15"/>
                <w:szCs w:val="15"/>
              </w:rPr>
            </w:pPr>
            <w:r>
              <w:rPr>
                <w:rFonts w:ascii="Times New Roman"/>
                <w:spacing w:val="-1"/>
                <w:sz w:val="15"/>
              </w:rPr>
              <w:t>245,965,417.62</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信托计划</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84,076,671.71</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295,837,335.96</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379,914,007.67</w:t>
            </w:r>
          </w:p>
        </w:tc>
      </w:tr>
      <w:tr>
        <w:trPr>
          <w:trHeight w:val="730"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6"/>
              <w:ind w:left="28" w:right="1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、指定以公允价值计量且其变动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计入当期损益的金融资产</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nil" w:sz="6" w:space="0" w:color="auto"/>
              <w:right w:val="nil" w:sz="6" w:space="0" w:color="auto"/>
            </w:tcBorders>
          </w:tcPr>
          <w:p>
            <w:pPr/>
          </w:p>
        </w:tc>
      </w:tr>
    </w:tbl>
    <w:p>
      <w:pPr>
        <w:spacing w:after="0"/>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275.929993pt;margin-top:130.459976pt;width:.5pt;height:.1pt;mso-position-horizontal-relative:page;mso-position-vertical-relative:page;z-index:-1327000" coordorigin="5519,2609" coordsize="10,2">
            <v:shape style="position:absolute;left:5519;top:2609;width:10;height:2" coordorigin="5519,2609" coordsize="10,0" path="m5519,2609l5528,2609e" filled="false" stroked="true" strokeweight=".72pt" strokecolor="#000000">
              <v:path arrowok="t"/>
              <v:stroke dashstyle="dash"/>
            </v:shape>
            <w10:wrap type="none"/>
          </v:group>
        </w:pict>
      </w:r>
      <w:r>
        <w:rPr/>
        <w:pict>
          <v:group style="position:absolute;margin-left:338.230011pt;margin-top:130.459976pt;width:.5pt;height:.1pt;mso-position-horizontal-relative:page;mso-position-vertical-relative:page;z-index:-1326976" coordorigin="6765,2609" coordsize="10,2">
            <v:shape style="position:absolute;left:6765;top:2609;width:10;height:2" coordorigin="6765,2609" coordsize="10,0" path="m6765,2609l6774,2609e" filled="false" stroked="true" strokeweight=".72pt" strokecolor="#000000">
              <v:path arrowok="t"/>
              <v:stroke dashstyle="dash"/>
            </v:shape>
            <w10:wrap type="none"/>
          </v:group>
        </w:pict>
      </w:r>
      <w:r>
        <w:rPr/>
        <w:pict>
          <v:group style="position:absolute;margin-left:398.230011pt;margin-top:130.459976pt;width:.5pt;height:.1pt;mso-position-horizontal-relative:page;mso-position-vertical-relative:page;z-index:-1326952" coordorigin="7965,2609" coordsize="10,2">
            <v:shape style="position:absolute;left:7965;top:2609;width:10;height:2" coordorigin="7965,2609" coordsize="10,0" path="m7965,2609l7974,2609e" filled="false" stroked="true" strokeweight=".72pt" strokecolor="#000000">
              <v:path arrowok="t"/>
              <v:stroke dashstyle="dash"/>
            </v:shape>
            <w10:wrap type="none"/>
          </v:group>
        </w:pict>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tbl>
      <w:tblPr>
        <w:tblW w:w="0" w:type="auto"/>
        <w:jc w:val="left"/>
        <w:tblInd w:w="109" w:type="dxa"/>
        <w:tblLayout w:type="fixed"/>
        <w:tblCellMar>
          <w:top w:w="0" w:type="dxa"/>
          <w:left w:w="0" w:type="dxa"/>
          <w:bottom w:w="0" w:type="dxa"/>
          <w:right w:w="0" w:type="dxa"/>
        </w:tblCellMar>
        <w:tblLook w:val="01E0"/>
      </w:tblPr>
      <w:tblGrid>
        <w:gridCol w:w="2571"/>
        <w:gridCol w:w="1169"/>
        <w:gridCol w:w="1246"/>
        <w:gridCol w:w="1200"/>
        <w:gridCol w:w="2115"/>
      </w:tblGrid>
      <w:tr>
        <w:trPr>
          <w:trHeight w:val="430" w:hRule="exact"/>
        </w:trPr>
        <w:tc>
          <w:tcPr>
            <w:tcW w:w="257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30"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15" w:hRule="exact"/>
        </w:trPr>
        <w:tc>
          <w:tcPr>
            <w:tcW w:w="2571" w:type="dxa"/>
            <w:vMerge/>
            <w:tcBorders>
              <w:left w:val="nil" w:sz="6" w:space="0" w:color="auto"/>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第一层次</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56" w:right="0"/>
              <w:jc w:val="left"/>
              <w:rPr>
                <w:rFonts w:ascii="宋体" w:hAnsi="宋体" w:cs="宋体" w:eastAsia="宋体" w:hint="default"/>
                <w:sz w:val="18"/>
                <w:szCs w:val="18"/>
              </w:rPr>
            </w:pPr>
            <w:r>
              <w:rPr>
                <w:rFonts w:ascii="宋体" w:hAnsi="宋体" w:cs="宋体" w:eastAsia="宋体" w:hint="default"/>
                <w:sz w:val="18"/>
                <w:szCs w:val="18"/>
              </w:rPr>
              <w:t>第二层次</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35" w:right="0"/>
              <w:jc w:val="left"/>
              <w:rPr>
                <w:rFonts w:ascii="宋体" w:hAnsi="宋体" w:cs="宋体" w:eastAsia="宋体" w:hint="default"/>
                <w:sz w:val="18"/>
                <w:szCs w:val="18"/>
              </w:rPr>
            </w:pPr>
            <w:r>
              <w:rPr>
                <w:rFonts w:ascii="宋体" w:hAnsi="宋体" w:cs="宋体" w:eastAsia="宋体" w:hint="default"/>
                <w:sz w:val="18"/>
                <w:szCs w:val="18"/>
              </w:rPr>
              <w:t>第三层次</w:t>
            </w:r>
          </w:p>
        </w:tc>
        <w:tc>
          <w:tcPr>
            <w:tcW w:w="2115" w:type="dxa"/>
            <w:vMerge w:val="restart"/>
            <w:tcBorders>
              <w:top w:val="dotted" w:sz="4" w:space="0" w:color="000000"/>
              <w:left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8" w:hRule="exact"/>
        </w:trPr>
        <w:tc>
          <w:tcPr>
            <w:tcW w:w="2571" w:type="dxa"/>
            <w:vMerge/>
            <w:tcBorders>
              <w:left w:val="nil" w:sz="6" w:space="0" w:color="auto"/>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公允价值计量</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77"/>
              <w:jc w:val="right"/>
              <w:rPr>
                <w:rFonts w:ascii="宋体" w:hAnsi="宋体" w:cs="宋体" w:eastAsia="宋体" w:hint="default"/>
                <w:sz w:val="18"/>
                <w:szCs w:val="18"/>
              </w:rPr>
            </w:pPr>
            <w:r>
              <w:rPr>
                <w:rFonts w:ascii="宋体" w:hAnsi="宋体" w:cs="宋体" w:eastAsia="宋体" w:hint="default"/>
                <w:sz w:val="18"/>
                <w:szCs w:val="18"/>
              </w:rPr>
              <w:t>公允价值计量</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5"/>
              <w:ind w:right="53"/>
              <w:jc w:val="right"/>
              <w:rPr>
                <w:rFonts w:ascii="宋体" w:hAnsi="宋体" w:cs="宋体" w:eastAsia="宋体" w:hint="default"/>
                <w:sz w:val="18"/>
                <w:szCs w:val="18"/>
              </w:rPr>
            </w:pPr>
            <w:r>
              <w:rPr>
                <w:rFonts w:ascii="宋体" w:hAnsi="宋体" w:cs="宋体" w:eastAsia="宋体" w:hint="default"/>
                <w:sz w:val="18"/>
                <w:szCs w:val="18"/>
              </w:rPr>
              <w:t>公允价值计量</w:t>
            </w:r>
          </w:p>
        </w:tc>
        <w:tc>
          <w:tcPr>
            <w:tcW w:w="2115" w:type="dxa"/>
            <w:vMerge/>
            <w:tcBorders>
              <w:left w:val="dotted" w:sz="4" w:space="0" w:color="000000"/>
              <w:bottom w:val="dotted" w:sz="4" w:space="0" w:color="000000"/>
              <w:right w:val="nil" w:sz="6" w:space="0" w:color="auto"/>
            </w:tcBorders>
          </w:tcPr>
          <w:p>
            <w:pP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（二）衍生金融资产</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1,809,616.27</w:t>
            </w: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1,809,616.27</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z w:val="18"/>
                <w:szCs w:val="18"/>
              </w:rPr>
              <w:t>（三）其他债权投资</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329,557,285.02</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30,792,986.30</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360,350,271.32</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（四）其他权益工具投资</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100,000,000.00</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3"/>
              <w:jc w:val="right"/>
              <w:rPr>
                <w:rFonts w:ascii="Times New Roman" w:hAnsi="Times New Roman" w:cs="Times New Roman" w:eastAsia="Times New Roman" w:hint="default"/>
                <w:sz w:val="15"/>
                <w:szCs w:val="15"/>
              </w:rPr>
            </w:pPr>
            <w:r>
              <w:rPr>
                <w:rFonts w:ascii="Times New Roman"/>
                <w:spacing w:val="-1"/>
                <w:sz w:val="15"/>
              </w:rPr>
              <w:t>100,000,000.00</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（五）其他非流动金融资产</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
              <w:jc w:val="right"/>
              <w:rPr>
                <w:rFonts w:ascii="Times New Roman" w:hAnsi="Times New Roman" w:cs="Times New Roman" w:eastAsia="Times New Roman" w:hint="default"/>
                <w:sz w:val="15"/>
                <w:szCs w:val="15"/>
              </w:rPr>
            </w:pPr>
            <w:r>
              <w:rPr>
                <w:rFonts w:ascii="Times New Roman"/>
                <w:spacing w:val="-1"/>
                <w:sz w:val="15"/>
              </w:rPr>
              <w:t>86,857,743.66</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7"/>
              <w:jc w:val="right"/>
              <w:rPr>
                <w:rFonts w:ascii="Times New Roman" w:hAnsi="Times New Roman" w:cs="Times New Roman" w:eastAsia="Times New Roman" w:hint="default"/>
                <w:sz w:val="15"/>
                <w:szCs w:val="15"/>
              </w:rPr>
            </w:pPr>
            <w:r>
              <w:rPr>
                <w:rFonts w:ascii="Times New Roman"/>
                <w:spacing w:val="-1"/>
                <w:sz w:val="15"/>
              </w:rPr>
              <w:t>281,386,608.00</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3"/>
              <w:jc w:val="right"/>
              <w:rPr>
                <w:rFonts w:ascii="Times New Roman" w:hAnsi="Times New Roman" w:cs="Times New Roman" w:eastAsia="Times New Roman" w:hint="default"/>
                <w:sz w:val="15"/>
                <w:szCs w:val="15"/>
              </w:rPr>
            </w:pPr>
            <w:r>
              <w:rPr>
                <w:rFonts w:ascii="Times New Roman"/>
                <w:spacing w:val="-1"/>
                <w:sz w:val="15"/>
              </w:rPr>
              <w:t>368,244,351.66</w:t>
            </w:r>
          </w:p>
        </w:tc>
      </w:tr>
      <w:tr>
        <w:trPr>
          <w:trHeight w:val="727"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28" w:right="1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3"/>
                <w:sz w:val="18"/>
                <w:szCs w:val="18"/>
              </w:rPr>
              <w:t>持续以公允价值计量的资产总</w:t>
            </w:r>
            <w:r>
              <w:rPr>
                <w:rFonts w:ascii="Microsoft JhengHei" w:hAnsi="Microsoft JhengHei" w:cs="Microsoft JhengHei" w:eastAsia="Microsoft JhengHei" w:hint="default"/>
                <w:b/>
                <w:bCs/>
                <w:spacing w:val="-37"/>
                <w:sz w:val="18"/>
                <w:szCs w:val="18"/>
              </w:rPr>
              <w:t> </w:t>
            </w:r>
            <w:r>
              <w:rPr>
                <w:rFonts w:ascii="Microsoft JhengHei" w:hAnsi="Microsoft JhengHei" w:cs="Microsoft JhengHei" w:eastAsia="Microsoft JhengHei" w:hint="default"/>
                <w:b/>
                <w:bCs/>
                <w:spacing w:val="-37"/>
                <w:sz w:val="18"/>
                <w:szCs w:val="18"/>
              </w:rPr>
            </w: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pacing w:val="-1"/>
                <w:sz w:val="15"/>
              </w:rPr>
              <w:t>2,077,740,836.93</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0"/>
              <w:jc w:val="right"/>
              <w:rPr>
                <w:rFonts w:ascii="Times New Roman" w:hAnsi="Times New Roman" w:cs="Times New Roman" w:eastAsia="Times New Roman" w:hint="default"/>
                <w:sz w:val="15"/>
                <w:szCs w:val="15"/>
              </w:rPr>
            </w:pPr>
            <w:r>
              <w:rPr>
                <w:rFonts w:ascii="Times New Roman"/>
                <w:spacing w:val="-1"/>
                <w:sz w:val="15"/>
              </w:rPr>
              <w:t>8,097,582,406.65</w:t>
            </w:r>
          </w:p>
        </w:tc>
        <w:tc>
          <w:tcPr>
            <w:tcW w:w="12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right"/>
              <w:rPr>
                <w:rFonts w:ascii="Times New Roman" w:hAnsi="Times New Roman" w:cs="Times New Roman" w:eastAsia="Times New Roman" w:hint="default"/>
                <w:sz w:val="15"/>
                <w:szCs w:val="15"/>
              </w:rPr>
            </w:pPr>
            <w:r>
              <w:rPr>
                <w:rFonts w:ascii="Times New Roman"/>
                <w:spacing w:val="-1"/>
                <w:sz w:val="15"/>
              </w:rPr>
              <w:t>805,621,632.00</w:t>
            </w: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2"/>
              <w:jc w:val="right"/>
              <w:rPr>
                <w:rFonts w:ascii="Times New Roman" w:hAnsi="Times New Roman" w:cs="Times New Roman" w:eastAsia="Times New Roman" w:hint="default"/>
                <w:sz w:val="15"/>
                <w:szCs w:val="15"/>
              </w:rPr>
            </w:pPr>
            <w:r>
              <w:rPr>
                <w:rFonts w:ascii="Times New Roman"/>
                <w:spacing w:val="-1"/>
                <w:sz w:val="15"/>
              </w:rPr>
              <w:t>10,980,944,875.58</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（一）交易性金融负债</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981,458,108.02</w:t>
            </w: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7"/>
                <w:szCs w:val="7"/>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981,458,108.02</w:t>
            </w: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08"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109,252,358.02</w:t>
            </w: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3"/>
              <w:jc w:val="right"/>
              <w:rPr>
                <w:rFonts w:ascii="Times New Roman" w:hAnsi="Times New Roman" w:cs="Times New Roman" w:eastAsia="Times New Roman" w:hint="default"/>
                <w:sz w:val="15"/>
                <w:szCs w:val="15"/>
              </w:rPr>
            </w:pPr>
            <w:r>
              <w:rPr>
                <w:rFonts w:ascii="Times New Roman"/>
                <w:spacing w:val="-1"/>
                <w:sz w:val="15"/>
              </w:rPr>
              <w:t>109,252,358.02</w:t>
            </w:r>
          </w:p>
        </w:tc>
      </w:tr>
      <w:tr>
        <w:trPr>
          <w:trHeight w:val="416"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7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1"/>
              <w:jc w:val="right"/>
              <w:rPr>
                <w:rFonts w:ascii="Times New Roman" w:hAnsi="Times New Roman" w:cs="Times New Roman" w:eastAsia="Times New Roman" w:hint="default"/>
                <w:sz w:val="15"/>
                <w:szCs w:val="15"/>
              </w:rPr>
            </w:pPr>
            <w:r>
              <w:rPr>
                <w:rFonts w:ascii="Times New Roman"/>
                <w:spacing w:val="-1"/>
                <w:sz w:val="15"/>
              </w:rPr>
              <w:t>872,205,750.00</w:t>
            </w: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3"/>
              <w:jc w:val="right"/>
              <w:rPr>
                <w:rFonts w:ascii="Times New Roman" w:hAnsi="Times New Roman" w:cs="Times New Roman" w:eastAsia="Times New Roman" w:hint="default"/>
                <w:sz w:val="15"/>
                <w:szCs w:val="15"/>
              </w:rPr>
            </w:pPr>
            <w:r>
              <w:rPr>
                <w:rFonts w:ascii="Times New Roman"/>
                <w:spacing w:val="-1"/>
                <w:sz w:val="15"/>
              </w:rPr>
              <w:t>872,205,750.00</w:t>
            </w:r>
          </w:p>
        </w:tc>
      </w:tr>
      <w:tr>
        <w:trPr>
          <w:trHeight w:val="730" w:hRule="exact"/>
        </w:trPr>
        <w:tc>
          <w:tcPr>
            <w:tcW w:w="2571"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12"/>
              <w:jc w:val="left"/>
              <w:rPr>
                <w:rFonts w:ascii="宋体" w:hAnsi="宋体" w:cs="宋体" w:eastAsia="宋体" w:hint="default"/>
                <w:sz w:val="18"/>
                <w:szCs w:val="18"/>
              </w:rPr>
            </w:pPr>
            <w:r>
              <w:rPr>
                <w:rFonts w:ascii="宋体" w:hAnsi="宋体" w:cs="宋体" w:eastAsia="宋体" w:hint="default"/>
                <w:sz w:val="18"/>
                <w:szCs w:val="18"/>
              </w:rPr>
              <w:t>（二）指定为以公允价值计量且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变动计入当期损益的金融负债</w:t>
            </w:r>
          </w:p>
        </w:tc>
        <w:tc>
          <w:tcPr>
            <w:tcW w:w="1169" w:type="dxa"/>
            <w:tcBorders>
              <w:top w:val="dotted" w:sz="4" w:space="0" w:color="000000"/>
              <w:left w:val="dotted" w:sz="4" w:space="0" w:color="000000"/>
              <w:bottom w:val="dotted" w:sz="4" w:space="0" w:color="000000"/>
              <w:right w:val="dotted" w:sz="4" w:space="0" w:color="000000"/>
            </w:tcBorders>
          </w:tcPr>
          <w:p>
            <w:pPr/>
          </w:p>
        </w:tc>
        <w:tc>
          <w:tcPr>
            <w:tcW w:w="1246" w:type="dxa"/>
            <w:tcBorders>
              <w:top w:val="dotted" w:sz="4" w:space="0" w:color="000000"/>
              <w:left w:val="dotted" w:sz="4" w:space="0" w:color="000000"/>
              <w:bottom w:val="dotted" w:sz="4" w:space="0" w:color="000000"/>
              <w:right w:val="dotted" w:sz="4" w:space="0" w:color="000000"/>
            </w:tcBorders>
          </w:tcPr>
          <w:p>
            <w:pPr/>
          </w:p>
        </w:tc>
        <w:tc>
          <w:tcPr>
            <w:tcW w:w="1200" w:type="dxa"/>
            <w:tcBorders>
              <w:top w:val="dotted" w:sz="4" w:space="0" w:color="000000"/>
              <w:left w:val="dotted" w:sz="4" w:space="0" w:color="000000"/>
              <w:bottom w:val="dotted" w:sz="4" w:space="0" w:color="000000"/>
              <w:right w:val="dotted" w:sz="4" w:space="0" w:color="000000"/>
            </w:tcBorders>
          </w:tcPr>
          <w:p>
            <w:pPr/>
          </w:p>
        </w:tc>
        <w:tc>
          <w:tcPr>
            <w:tcW w:w="2115" w:type="dxa"/>
            <w:tcBorders>
              <w:top w:val="dotted" w:sz="4" w:space="0" w:color="000000"/>
              <w:left w:val="dotted" w:sz="4" w:space="0" w:color="000000"/>
              <w:bottom w:val="dotted" w:sz="4" w:space="0" w:color="000000"/>
              <w:right w:val="nil" w:sz="6" w:space="0" w:color="auto"/>
            </w:tcBorders>
          </w:tcPr>
          <w:p>
            <w:pPr/>
          </w:p>
        </w:tc>
      </w:tr>
      <w:tr>
        <w:trPr>
          <w:trHeight w:val="739" w:hRule="exact"/>
        </w:trPr>
        <w:tc>
          <w:tcPr>
            <w:tcW w:w="25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left="28" w:right="1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3"/>
                <w:sz w:val="18"/>
                <w:szCs w:val="18"/>
              </w:rPr>
              <w:t>持续以公允价值计量的负债总</w:t>
            </w:r>
            <w:r>
              <w:rPr>
                <w:rFonts w:ascii="Microsoft JhengHei" w:hAnsi="Microsoft JhengHei" w:cs="Microsoft JhengHei" w:eastAsia="Microsoft JhengHei" w:hint="default"/>
                <w:b/>
                <w:bCs/>
                <w:spacing w:val="-37"/>
                <w:sz w:val="18"/>
                <w:szCs w:val="18"/>
              </w:rPr>
              <w:t> </w:t>
            </w:r>
            <w:r>
              <w:rPr>
                <w:rFonts w:ascii="Microsoft JhengHei" w:hAnsi="Microsoft JhengHei" w:cs="Microsoft JhengHei" w:eastAsia="Microsoft JhengHei" w:hint="default"/>
                <w:b/>
                <w:bCs/>
                <w:spacing w:val="-37"/>
                <w:sz w:val="18"/>
                <w:szCs w:val="18"/>
              </w:rPr>
            </w: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c>
          <w:tcPr>
            <w:tcW w:w="1169" w:type="dxa"/>
            <w:tcBorders>
              <w:top w:val="dotted" w:sz="4" w:space="0" w:color="000000"/>
              <w:left w:val="dotted" w:sz="4" w:space="0" w:color="000000"/>
              <w:bottom w:val="single" w:sz="12" w:space="0" w:color="000000"/>
              <w:right w:val="dotted" w:sz="4" w:space="0" w:color="000000"/>
            </w:tcBorders>
          </w:tcPr>
          <w:p>
            <w:pP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1"/>
              <w:jc w:val="right"/>
              <w:rPr>
                <w:rFonts w:ascii="Times New Roman" w:hAnsi="Times New Roman" w:cs="Times New Roman" w:eastAsia="Times New Roman" w:hint="default"/>
                <w:sz w:val="15"/>
                <w:szCs w:val="15"/>
              </w:rPr>
            </w:pPr>
            <w:r>
              <w:rPr>
                <w:rFonts w:ascii="Times New Roman"/>
                <w:spacing w:val="-1"/>
                <w:sz w:val="15"/>
              </w:rPr>
              <w:t>981,458,108.02</w:t>
            </w:r>
          </w:p>
        </w:tc>
        <w:tc>
          <w:tcPr>
            <w:tcW w:w="1200" w:type="dxa"/>
            <w:tcBorders>
              <w:top w:val="dotted" w:sz="4" w:space="0" w:color="000000"/>
              <w:left w:val="dotted" w:sz="4" w:space="0" w:color="000000"/>
              <w:bottom w:val="single" w:sz="12" w:space="0" w:color="000000"/>
              <w:right w:val="dotted" w:sz="4" w:space="0" w:color="000000"/>
            </w:tcBorders>
          </w:tcPr>
          <w:p>
            <w:pPr/>
          </w:p>
        </w:tc>
        <w:tc>
          <w:tcPr>
            <w:tcW w:w="21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981,458,108.02</w:t>
            </w:r>
          </w:p>
        </w:tc>
      </w:tr>
    </w:tbl>
    <w:p>
      <w:pPr>
        <w:spacing w:line="240" w:lineRule="auto" w:before="3"/>
        <w:rPr>
          <w:rFonts w:ascii="Microsoft JhengHei" w:hAnsi="Microsoft JhengHei" w:cs="Microsoft JhengHei" w:eastAsia="Microsoft JhengHei" w:hint="default"/>
          <w:b/>
          <w:bCs/>
          <w:sz w:val="21"/>
          <w:szCs w:val="21"/>
        </w:rPr>
      </w:pPr>
    </w:p>
    <w:p>
      <w:pPr>
        <w:pStyle w:val="Heading4"/>
        <w:tabs>
          <w:tab w:pos="1397" w:val="left" w:leader="none"/>
        </w:tabs>
        <w:spacing w:line="335" w:lineRule="exact"/>
        <w:ind w:right="1786"/>
        <w:jc w:val="left"/>
        <w:rPr>
          <w:b w:val="0"/>
          <w:bCs w:val="0"/>
        </w:rPr>
      </w:pPr>
      <w:r>
        <w:rPr/>
        <w:t>（二）</w:t>
        <w:tab/>
        <w:t>持续和非持续第一层次公允价值计量项目市价的确定依据</w:t>
      </w:r>
      <w:r>
        <w:rPr>
          <w:b w:val="0"/>
          <w:bCs w:val="0"/>
        </w:rPr>
      </w:r>
    </w:p>
    <w:p>
      <w:pPr>
        <w:pStyle w:val="BodyText"/>
        <w:spacing w:line="355" w:lineRule="auto" w:before="152"/>
        <w:ind w:left="138" w:right="1786" w:firstLine="419"/>
        <w:jc w:val="left"/>
      </w:pPr>
      <w:r>
        <w:rPr>
          <w:spacing w:val="-4"/>
        </w:rPr>
        <w:t>对于存在活跃市场的交易性金融资产、衍生金融工具，其公允价值按资产负债表日的市</w:t>
      </w:r>
      <w:r>
        <w:rPr>
          <w:w w:val="100"/>
        </w:rPr>
        <w:t> </w:t>
      </w:r>
      <w:r>
        <w:rPr/>
        <w:t>场价格确定。</w:t>
      </w:r>
    </w:p>
    <w:p>
      <w:pPr>
        <w:spacing w:line="240" w:lineRule="auto" w:before="0"/>
        <w:rPr>
          <w:rFonts w:ascii="宋体" w:hAnsi="宋体" w:cs="宋体" w:eastAsia="宋体" w:hint="default"/>
          <w:sz w:val="20"/>
          <w:szCs w:val="20"/>
        </w:rPr>
      </w:pPr>
    </w:p>
    <w:p>
      <w:pPr>
        <w:pStyle w:val="Heading4"/>
        <w:spacing w:line="268" w:lineRule="auto" w:before="148"/>
        <w:ind w:left="138" w:right="1786" w:firstLine="422"/>
        <w:jc w:val="left"/>
        <w:rPr>
          <w:b w:val="0"/>
          <w:bCs w:val="0"/>
        </w:rPr>
      </w:pPr>
      <w:r>
        <w:rPr>
          <w:spacing w:val="-4"/>
        </w:rPr>
        <w:t>（三）持续和非持续第二层次公允价值计量项目，采用的估值技术和重要参数的定性及</w:t>
      </w:r>
      <w:r>
        <w:rPr>
          <w:w w:val="100"/>
        </w:rPr>
        <w:t> </w:t>
      </w:r>
      <w:r>
        <w:rPr/>
        <w:t>定量信息</w:t>
      </w:r>
      <w:r>
        <w:rPr>
          <w:b w:val="0"/>
          <w:bCs w:val="0"/>
        </w:rPr>
      </w:r>
    </w:p>
    <w:p>
      <w:pPr>
        <w:pStyle w:val="BodyText"/>
        <w:spacing w:line="355" w:lineRule="auto" w:before="119"/>
        <w:ind w:left="138" w:right="1578" w:firstLine="419"/>
        <w:jc w:val="left"/>
      </w:pPr>
      <w:r>
        <w:rPr>
          <w:w w:val="100"/>
        </w:rPr>
        <w:t>对于</w:t>
      </w:r>
      <w:r>
        <w:rPr>
          <w:spacing w:val="-3"/>
          <w:w w:val="100"/>
        </w:rPr>
        <w:t>交</w:t>
      </w:r>
      <w:r>
        <w:rPr>
          <w:w w:val="100"/>
        </w:rPr>
        <w:t>易</w:t>
      </w:r>
      <w:r>
        <w:rPr>
          <w:spacing w:val="-3"/>
          <w:w w:val="100"/>
        </w:rPr>
        <w:t>性</w:t>
      </w:r>
      <w:r>
        <w:rPr>
          <w:w w:val="100"/>
        </w:rPr>
        <w:t>金</w:t>
      </w:r>
      <w:r>
        <w:rPr>
          <w:spacing w:val="-3"/>
          <w:w w:val="100"/>
        </w:rPr>
        <w:t>融</w:t>
      </w:r>
      <w:r>
        <w:rPr>
          <w:w w:val="100"/>
        </w:rPr>
        <w:t>资</w:t>
      </w:r>
      <w:r>
        <w:rPr>
          <w:spacing w:val="-3"/>
          <w:w w:val="100"/>
        </w:rPr>
        <w:t>产</w:t>
      </w:r>
      <w:r>
        <w:rPr>
          <w:spacing w:val="-89"/>
          <w:w w:val="100"/>
        </w:rPr>
        <w:t>、</w:t>
      </w:r>
      <w:r>
        <w:rPr>
          <w:spacing w:val="-3"/>
          <w:w w:val="100"/>
        </w:rPr>
        <w:t>其他</w:t>
      </w:r>
      <w:r>
        <w:rPr>
          <w:w w:val="100"/>
        </w:rPr>
        <w:t>债权</w:t>
      </w:r>
      <w:r>
        <w:rPr>
          <w:spacing w:val="-3"/>
          <w:w w:val="100"/>
        </w:rPr>
        <w:t>投</w:t>
      </w:r>
      <w:r>
        <w:rPr>
          <w:w w:val="100"/>
        </w:rPr>
        <w:t>资</w:t>
      </w:r>
      <w:r>
        <w:rPr>
          <w:spacing w:val="-3"/>
          <w:w w:val="100"/>
        </w:rPr>
        <w:t>中</w:t>
      </w:r>
      <w:r>
        <w:rPr>
          <w:w w:val="100"/>
        </w:rPr>
        <w:t>的</w:t>
      </w:r>
      <w:r>
        <w:rPr>
          <w:spacing w:val="-3"/>
          <w:w w:val="100"/>
        </w:rPr>
        <w:t>债</w:t>
      </w:r>
      <w:r>
        <w:rPr>
          <w:w w:val="100"/>
        </w:rPr>
        <w:t>券</w:t>
      </w:r>
      <w:r>
        <w:rPr>
          <w:spacing w:val="-3"/>
          <w:w w:val="100"/>
        </w:rPr>
        <w:t>投</w:t>
      </w:r>
      <w:r>
        <w:rPr>
          <w:w w:val="100"/>
        </w:rPr>
        <w:t>资</w:t>
      </w:r>
      <w:r>
        <w:rPr>
          <w:spacing w:val="-3"/>
          <w:w w:val="100"/>
        </w:rPr>
        <w:t>的</w:t>
      </w:r>
      <w:r>
        <w:rPr>
          <w:w w:val="100"/>
        </w:rPr>
        <w:t>公允</w:t>
      </w:r>
      <w:r>
        <w:rPr>
          <w:spacing w:val="-3"/>
          <w:w w:val="100"/>
        </w:rPr>
        <w:t>价</w:t>
      </w:r>
      <w:r>
        <w:rPr>
          <w:w w:val="100"/>
        </w:rPr>
        <w:t>值</w:t>
      </w:r>
      <w:r>
        <w:rPr>
          <w:spacing w:val="-3"/>
          <w:w w:val="100"/>
        </w:rPr>
        <w:t>是</w:t>
      </w:r>
      <w:r>
        <w:rPr>
          <w:w w:val="100"/>
        </w:rPr>
        <w:t>采</w:t>
      </w:r>
      <w:r>
        <w:rPr>
          <w:spacing w:val="-3"/>
          <w:w w:val="100"/>
        </w:rPr>
        <w:t>用</w:t>
      </w:r>
      <w:r>
        <w:rPr>
          <w:w w:val="100"/>
        </w:rPr>
        <w:t>相</w:t>
      </w:r>
      <w:r>
        <w:rPr>
          <w:spacing w:val="-3"/>
          <w:w w:val="100"/>
        </w:rPr>
        <w:t>关</w:t>
      </w:r>
      <w:r>
        <w:rPr>
          <w:w w:val="100"/>
        </w:rPr>
        <w:t>债</w:t>
      </w:r>
      <w:r>
        <w:rPr>
          <w:spacing w:val="-3"/>
          <w:w w:val="100"/>
        </w:rPr>
        <w:t>券</w:t>
      </w:r>
      <w:r>
        <w:rPr>
          <w:w w:val="100"/>
        </w:rPr>
        <w:t>登记</w:t>
      </w:r>
      <w:r>
        <w:rPr>
          <w:spacing w:val="-3"/>
          <w:w w:val="100"/>
        </w:rPr>
        <w:t>结</w:t>
      </w:r>
      <w:r>
        <w:rPr>
          <w:w w:val="100"/>
        </w:rPr>
        <w:t>算</w:t>
      </w:r>
      <w:r>
        <w:rPr>
          <w:w w:val="100"/>
        </w:rPr>
        <w:t> 机构</w:t>
      </w:r>
      <w:r>
        <w:rPr>
          <w:spacing w:val="-3"/>
          <w:w w:val="100"/>
        </w:rPr>
        <w:t>估</w:t>
      </w:r>
      <w:r>
        <w:rPr>
          <w:w w:val="100"/>
        </w:rPr>
        <w:t>值</w:t>
      </w:r>
      <w:r>
        <w:rPr>
          <w:spacing w:val="-3"/>
          <w:w w:val="100"/>
        </w:rPr>
        <w:t>系</w:t>
      </w:r>
      <w:r>
        <w:rPr>
          <w:w w:val="100"/>
        </w:rPr>
        <w:t>统</w:t>
      </w:r>
      <w:r>
        <w:rPr>
          <w:spacing w:val="-3"/>
          <w:w w:val="100"/>
        </w:rPr>
        <w:t>的</w:t>
      </w:r>
      <w:r>
        <w:rPr>
          <w:w w:val="100"/>
        </w:rPr>
        <w:t>报</w:t>
      </w:r>
      <w:r>
        <w:rPr>
          <w:spacing w:val="-3"/>
          <w:w w:val="100"/>
        </w:rPr>
        <w:t>价</w:t>
      </w:r>
      <w:r>
        <w:rPr>
          <w:spacing w:val="-89"/>
          <w:w w:val="100"/>
        </w:rPr>
        <w:t>。</w:t>
      </w:r>
      <w:r>
        <w:rPr>
          <w:spacing w:val="-3"/>
          <w:w w:val="100"/>
        </w:rPr>
        <w:t>相关</w:t>
      </w:r>
      <w:r>
        <w:rPr>
          <w:w w:val="100"/>
        </w:rPr>
        <w:t>报价</w:t>
      </w:r>
      <w:r>
        <w:rPr>
          <w:spacing w:val="-3"/>
          <w:w w:val="100"/>
        </w:rPr>
        <w:t>机</w:t>
      </w:r>
      <w:r>
        <w:rPr>
          <w:w w:val="100"/>
        </w:rPr>
        <w:t>构</w:t>
      </w:r>
      <w:r>
        <w:rPr>
          <w:spacing w:val="-3"/>
          <w:w w:val="100"/>
        </w:rPr>
        <w:t>在</w:t>
      </w:r>
      <w:r>
        <w:rPr>
          <w:w w:val="100"/>
        </w:rPr>
        <w:t>形</w:t>
      </w:r>
      <w:r>
        <w:rPr>
          <w:spacing w:val="-3"/>
          <w:w w:val="100"/>
        </w:rPr>
        <w:t>成</w:t>
      </w:r>
      <w:r>
        <w:rPr>
          <w:w w:val="100"/>
        </w:rPr>
        <w:t>报</w:t>
      </w:r>
      <w:r>
        <w:rPr>
          <w:spacing w:val="-3"/>
          <w:w w:val="100"/>
        </w:rPr>
        <w:t>价</w:t>
      </w:r>
      <w:r>
        <w:rPr>
          <w:w w:val="100"/>
        </w:rPr>
        <w:t>过</w:t>
      </w:r>
      <w:r>
        <w:rPr>
          <w:spacing w:val="-3"/>
          <w:w w:val="100"/>
        </w:rPr>
        <w:t>程</w:t>
      </w:r>
      <w:r>
        <w:rPr>
          <w:w w:val="100"/>
        </w:rPr>
        <w:t>中采</w:t>
      </w:r>
      <w:r>
        <w:rPr>
          <w:spacing w:val="-3"/>
          <w:w w:val="100"/>
        </w:rPr>
        <w:t>用</w:t>
      </w:r>
      <w:r>
        <w:rPr>
          <w:w w:val="100"/>
        </w:rPr>
        <w:t>了</w:t>
      </w:r>
      <w:r>
        <w:rPr>
          <w:spacing w:val="-3"/>
          <w:w w:val="100"/>
        </w:rPr>
        <w:t>反</w:t>
      </w:r>
      <w:r>
        <w:rPr>
          <w:w w:val="100"/>
        </w:rPr>
        <w:t>映</w:t>
      </w:r>
      <w:r>
        <w:rPr>
          <w:spacing w:val="-3"/>
          <w:w w:val="100"/>
        </w:rPr>
        <w:t>市</w:t>
      </w:r>
      <w:r>
        <w:rPr>
          <w:w w:val="100"/>
        </w:rPr>
        <w:t>场</w:t>
      </w:r>
      <w:r>
        <w:rPr>
          <w:spacing w:val="-3"/>
          <w:w w:val="100"/>
        </w:rPr>
        <w:t>状</w:t>
      </w:r>
      <w:r>
        <w:rPr>
          <w:w w:val="100"/>
        </w:rPr>
        <w:t>况</w:t>
      </w:r>
      <w:r>
        <w:rPr>
          <w:spacing w:val="-3"/>
          <w:w w:val="100"/>
        </w:rPr>
        <w:t>的</w:t>
      </w:r>
      <w:r>
        <w:rPr>
          <w:w w:val="100"/>
        </w:rPr>
        <w:t>可观</w:t>
      </w:r>
      <w:r>
        <w:rPr>
          <w:spacing w:val="-3"/>
          <w:w w:val="100"/>
        </w:rPr>
        <w:t>察输入值</w:t>
      </w:r>
      <w:r>
        <w:rPr>
          <w:w w:val="100"/>
        </w:rPr>
        <w:t>。</w:t>
      </w:r>
    </w:p>
    <w:p>
      <w:pPr>
        <w:spacing w:line="240" w:lineRule="auto" w:before="0"/>
        <w:rPr>
          <w:rFonts w:ascii="宋体" w:hAnsi="宋体" w:cs="宋体" w:eastAsia="宋体" w:hint="default"/>
          <w:sz w:val="20"/>
          <w:szCs w:val="20"/>
        </w:rPr>
      </w:pPr>
    </w:p>
    <w:p>
      <w:pPr>
        <w:pStyle w:val="Heading4"/>
        <w:tabs>
          <w:tab w:pos="1397" w:val="left" w:leader="none"/>
        </w:tabs>
        <w:spacing w:line="266" w:lineRule="auto" w:before="148"/>
        <w:ind w:left="138" w:right="1803" w:firstLine="422"/>
        <w:jc w:val="left"/>
        <w:rPr>
          <w:b w:val="0"/>
          <w:bCs w:val="0"/>
        </w:rPr>
      </w:pPr>
      <w:r>
        <w:rPr/>
        <w:t>（三）</w:t>
        <w:tab/>
      </w:r>
      <w:r>
        <w:rPr>
          <w:spacing w:val="2"/>
        </w:rPr>
        <w:t>持续和非持续第三层次公允价值计量项目，采用的估值技术和重要参数的定</w:t>
      </w:r>
      <w:r>
        <w:rPr>
          <w:w w:val="100"/>
        </w:rPr>
        <w:t> </w:t>
      </w:r>
      <w:r>
        <w:rPr/>
        <w:t>性及定量信息</w:t>
      </w:r>
      <w:r>
        <w:rPr>
          <w:b w:val="0"/>
          <w:bCs w:val="0"/>
        </w:rPr>
      </w:r>
    </w:p>
    <w:p>
      <w:pPr>
        <w:pStyle w:val="BodyText"/>
        <w:spacing w:line="240" w:lineRule="auto" w:before="122"/>
        <w:ind w:left="558" w:right="1786"/>
        <w:jc w:val="left"/>
      </w:pPr>
      <w:r>
        <w:rPr>
          <w:spacing w:val="-4"/>
        </w:rPr>
        <w:t>对于非上市股权投资、债券投资、信托计划、理财产品、资管计划，本公司从交易对手</w:t>
      </w:r>
    </w:p>
    <w:p>
      <w:pPr>
        <w:spacing w:after="0" w:line="240" w:lineRule="auto"/>
        <w:jc w:val="left"/>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55" w:lineRule="auto"/>
        <w:ind w:left="138" w:right="1788"/>
        <w:jc w:val="both"/>
        <w:rPr>
          <w:sz w:val="18"/>
          <w:szCs w:val="18"/>
        </w:rPr>
      </w:pPr>
      <w:r>
        <w:rPr>
          <w:spacing w:val="-4"/>
        </w:rPr>
        <w:t>处询价或者采用估值技术来确定其公允价值，估值技术包括现金流量折现法、市场法等。这</w:t>
      </w:r>
      <w:r>
        <w:rPr>
          <w:spacing w:val="-41"/>
        </w:rPr>
        <w:t> </w:t>
      </w:r>
      <w:r>
        <w:rPr>
          <w:spacing w:val="-41"/>
        </w:rPr>
      </w:r>
      <w:r>
        <w:rPr>
          <w:spacing w:val="-4"/>
        </w:rPr>
        <w:t>些金融工具公允价值的计量采用了重要的不可观察输入值，因此公司将其分为第三层次。不</w:t>
      </w:r>
      <w:r>
        <w:rPr>
          <w:spacing w:val="-40"/>
        </w:rPr>
        <w:t> </w:t>
      </w:r>
      <w:r>
        <w:rPr>
          <w:spacing w:val="-40"/>
        </w:rPr>
      </w:r>
      <w:r>
        <w:rPr/>
        <w:t>可观察输入值包括最近交易价格、加权平均资本成本、流动性折</w:t>
      </w:r>
      <w:r>
        <w:rPr>
          <w:sz w:val="18"/>
          <w:szCs w:val="18"/>
        </w:rPr>
        <w:t>扣、市净率等。</w:t>
      </w:r>
    </w:p>
    <w:p>
      <w:pPr>
        <w:spacing w:after="0" w:line="355" w:lineRule="auto"/>
        <w:jc w:val="both"/>
        <w:rPr>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20" w:lineRule="exact"/>
        <w:ind w:left="1423"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10">
            <v:group style="position:absolute;left:5;top:5;width:208;height:2" coordorigin="5,5" coordsize="208,2">
              <v:shape style="position:absolute;left:5;top:5;width:208;height:2" coordorigin="5,5" coordsize="208,0" path="m5,5l212,5e" filled="false" stroked="true" strokeweight=".48pt" strokecolor="#000000">
                <v:path arrowok="t"/>
                <v:stroke dashstyle="dash"/>
              </v:shape>
            </v:group>
          </v:group>
        </w:pict>
      </w:r>
      <w:r>
        <w:rPr>
          <w:rFonts w:ascii="宋体" w:hAnsi="宋体" w:cs="宋体" w:eastAsia="宋体" w:hint="default"/>
          <w:sz w:val="2"/>
          <w:szCs w:val="2"/>
        </w:rPr>
      </w:r>
    </w:p>
    <w:p>
      <w:pPr>
        <w:pStyle w:val="Heading4"/>
        <w:tabs>
          <w:tab w:pos="1400" w:val="left" w:leader="none"/>
        </w:tabs>
        <w:spacing w:line="240" w:lineRule="auto" w:before="26"/>
        <w:ind w:left="562" w:right="0"/>
        <w:jc w:val="left"/>
        <w:rPr>
          <w:b w:val="0"/>
          <w:bCs w:val="0"/>
        </w:rPr>
      </w:pPr>
      <w:r>
        <w:rPr/>
        <w:pict>
          <v:group style="position:absolute;margin-left:372.410004pt;margin-top:51.584435pt;width:.5pt;height:.1pt;mso-position-horizontal-relative:page;mso-position-vertical-relative:paragraph;z-index:-1326904" coordorigin="7448,1032" coordsize="10,2">
            <v:shape style="position:absolute;left:7448;top:1032;width:10;height:2" coordorigin="7448,1032" coordsize="10,0" path="m7448,1032l7458,1032e" filled="false" stroked="true" strokeweight=".72pt" strokecolor="#000000">
              <v:path arrowok="t"/>
              <v:stroke dashstyle="dash"/>
            </v:shape>
            <w10:wrap type="none"/>
          </v:group>
        </w:pict>
      </w:r>
      <w:r>
        <w:rPr/>
        <w:pict>
          <v:group style="position:absolute;margin-left:474.910004pt;margin-top:51.584435pt;width:.5pt;height:.1pt;mso-position-horizontal-relative:page;mso-position-vertical-relative:paragraph;z-index:-1326880" coordorigin="9498,1032" coordsize="10,2">
            <v:shape style="position:absolute;left:9498;top:1032;width:10;height:2" coordorigin="9498,1032" coordsize="10,0" path="m9498,1032l9508,1032e" filled="false" stroked="true" strokeweight=".72pt" strokecolor="#000000">
              <v:path arrowok="t"/>
              <v:stroke dashstyle="dash"/>
            </v:shape>
            <w10:wrap type="none"/>
          </v:group>
        </w:pict>
      </w:r>
      <w:r>
        <w:rPr/>
        <w:pict>
          <v:group style="position:absolute;margin-left:516.669983pt;margin-top:51.584435pt;width:.5pt;height:.1pt;mso-position-horizontal-relative:page;mso-position-vertical-relative:paragraph;z-index:-1326856" coordorigin="10333,1032" coordsize="10,2">
            <v:shape style="position:absolute;left:10333;top:1032;width:10;height:2" coordorigin="10333,1032" coordsize="10,0" path="m10333,1032l10343,1032e" filled="false" stroked="true" strokeweight=".72pt" strokecolor="#000000">
              <v:path arrowok="t"/>
              <v:stroke dashstyle="dash"/>
            </v:shape>
            <w10:wrap type="none"/>
          </v:group>
        </w:pict>
      </w:r>
      <w:r>
        <w:rPr/>
        <w:pict>
          <v:group style="position:absolute;margin-left:563.590027pt;margin-top:51.584435pt;width:.5pt;height:.1pt;mso-position-horizontal-relative:page;mso-position-vertical-relative:paragraph;z-index:-1326832" coordorigin="11272,1032" coordsize="10,2">
            <v:shape style="position:absolute;left:11272;top:1032;width:10;height:2" coordorigin="11272,1032" coordsize="10,0" path="m11272,1032l11281,1032e" filled="false" stroked="true" strokeweight=".72pt" strokecolor="#000000">
              <v:path arrowok="t"/>
              <v:stroke dashstyle="dash"/>
            </v:shape>
            <w10:wrap type="none"/>
          </v:group>
        </w:pict>
      </w:r>
      <w:r>
        <w:rPr/>
        <w:t>（四）</w:t>
        <w:tab/>
        <w:t>持续的第三层次公允价值计量项目，年初与期末账面价值间的调节信息及不可观察参数敏感性分析</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1371"/>
        <w:gridCol w:w="1258"/>
        <w:gridCol w:w="1107"/>
        <w:gridCol w:w="1166"/>
        <w:gridCol w:w="1126"/>
        <w:gridCol w:w="884"/>
        <w:gridCol w:w="1166"/>
        <w:gridCol w:w="835"/>
        <w:gridCol w:w="938"/>
        <w:gridCol w:w="1169"/>
        <w:gridCol w:w="1193"/>
        <w:gridCol w:w="1042"/>
      </w:tblGrid>
      <w:tr>
        <w:trPr>
          <w:trHeight w:val="427" w:hRule="exact"/>
        </w:trPr>
        <w:tc>
          <w:tcPr>
            <w:tcW w:w="1371" w:type="dxa"/>
            <w:vMerge w:val="restart"/>
            <w:tcBorders>
              <w:top w:val="single" w:sz="12" w:space="0" w:color="000000"/>
              <w:left w:val="nil" w:sz="6" w:space="0" w:color="auto"/>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8" w:type="dxa"/>
            <w:vMerge w:val="restart"/>
            <w:tcBorders>
              <w:top w:val="single" w:sz="12" w:space="0" w:color="000000"/>
              <w:left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07"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316" w:lineRule="auto"/>
              <w:ind w:left="458" w:right="98" w:hanging="360"/>
              <w:jc w:val="left"/>
              <w:rPr>
                <w:rFonts w:ascii="宋体" w:hAnsi="宋体" w:cs="宋体" w:eastAsia="宋体" w:hint="default"/>
                <w:sz w:val="18"/>
                <w:szCs w:val="18"/>
              </w:rPr>
            </w:pPr>
            <w:r>
              <w:rPr>
                <w:rFonts w:ascii="宋体" w:hAnsi="宋体" w:cs="宋体" w:eastAsia="宋体" w:hint="default"/>
                <w:sz w:val="18"/>
                <w:szCs w:val="18"/>
              </w:rPr>
              <w:t>转入第三层 次</w:t>
            </w:r>
          </w:p>
        </w:tc>
        <w:tc>
          <w:tcPr>
            <w:tcW w:w="1166" w:type="dxa"/>
            <w:vMerge w:val="restart"/>
            <w:tcBorders>
              <w:top w:val="single" w:sz="12" w:space="0" w:color="000000"/>
              <w:left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4"/>
                <w:szCs w:val="2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转出第三层次</w:t>
            </w:r>
          </w:p>
        </w:tc>
        <w:tc>
          <w:tcPr>
            <w:tcW w:w="200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191"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4109"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3"/>
              <w:ind w:left="1060" w:right="0"/>
              <w:jc w:val="left"/>
              <w:rPr>
                <w:rFonts w:ascii="宋体" w:hAnsi="宋体" w:cs="宋体" w:eastAsia="宋体" w:hint="default"/>
                <w:sz w:val="18"/>
                <w:szCs w:val="18"/>
              </w:rPr>
            </w:pPr>
            <w:r>
              <w:rPr>
                <w:rFonts w:ascii="宋体" w:hAnsi="宋体" w:cs="宋体" w:eastAsia="宋体" w:hint="default"/>
                <w:sz w:val="18"/>
                <w:szCs w:val="18"/>
              </w:rPr>
              <w:t>购买、发行、出售和结算</w:t>
            </w:r>
          </w:p>
        </w:tc>
        <w:tc>
          <w:tcPr>
            <w:tcW w:w="1193"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2" w:type="dxa"/>
            <w:vMerge w:val="restart"/>
            <w:tcBorders>
              <w:top w:val="single" w:sz="12" w:space="0" w:color="000000"/>
              <w:left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727" w:hRule="exact"/>
        </w:trPr>
        <w:tc>
          <w:tcPr>
            <w:tcW w:w="1371" w:type="dxa"/>
            <w:vMerge/>
            <w:tcBorders>
              <w:left w:val="nil" w:sz="6" w:space="0" w:color="auto"/>
              <w:bottom w:val="dotted" w:sz="4" w:space="0" w:color="000000"/>
              <w:right w:val="dotted" w:sz="4" w:space="0" w:color="000000"/>
            </w:tcBorders>
          </w:tcPr>
          <w:p>
            <w:pPr/>
          </w:p>
        </w:tc>
        <w:tc>
          <w:tcPr>
            <w:tcW w:w="1258" w:type="dxa"/>
            <w:vMerge/>
            <w:tcBorders>
              <w:left w:val="dotted" w:sz="4" w:space="0" w:color="000000"/>
              <w:bottom w:val="dotted" w:sz="4" w:space="0" w:color="000000"/>
              <w:right w:val="dotted" w:sz="4" w:space="0" w:color="000000"/>
            </w:tcBorders>
          </w:tcPr>
          <w:p>
            <w:pPr/>
          </w:p>
        </w:tc>
        <w:tc>
          <w:tcPr>
            <w:tcW w:w="1107" w:type="dxa"/>
            <w:vMerge/>
            <w:tcBorders>
              <w:left w:val="dotted" w:sz="4" w:space="0" w:color="000000"/>
              <w:bottom w:val="dotted" w:sz="4" w:space="0" w:color="000000"/>
              <w:right w:val="dotted" w:sz="4" w:space="0" w:color="000000"/>
            </w:tcBorders>
          </w:tcPr>
          <w:p>
            <w:pPr/>
          </w:p>
        </w:tc>
        <w:tc>
          <w:tcPr>
            <w:tcW w:w="1166" w:type="dxa"/>
            <w:vMerge/>
            <w:tcBorders>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计入损益</w:t>
            </w:r>
          </w:p>
        </w:tc>
        <w:tc>
          <w:tcPr>
            <w:tcW w:w="884"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63"/>
              <w:ind w:left="76" w:right="75"/>
              <w:jc w:val="left"/>
              <w:rPr>
                <w:rFonts w:ascii="宋体" w:hAnsi="宋体" w:cs="宋体" w:eastAsia="宋体" w:hint="default"/>
                <w:sz w:val="18"/>
                <w:szCs w:val="18"/>
              </w:rPr>
            </w:pPr>
            <w:r>
              <w:rPr>
                <w:rFonts w:ascii="宋体" w:hAnsi="宋体" w:cs="宋体" w:eastAsia="宋体" w:hint="default"/>
                <w:sz w:val="18"/>
                <w:szCs w:val="18"/>
              </w:rPr>
              <w:t>计入其他 综合收益</w:t>
            </w: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vMerge/>
            <w:tcBorders>
              <w:left w:val="dotted" w:sz="4" w:space="0" w:color="000000"/>
              <w:bottom w:val="dotted" w:sz="4" w:space="0" w:color="000000"/>
              <w:right w:val="dotted" w:sz="4" w:space="0" w:color="000000"/>
            </w:tcBorders>
          </w:tcPr>
          <w:p>
            <w:pPr/>
          </w:p>
        </w:tc>
        <w:tc>
          <w:tcPr>
            <w:tcW w:w="1042" w:type="dxa"/>
            <w:vMerge/>
            <w:tcBorders>
              <w:left w:val="dotted" w:sz="4" w:space="0" w:color="000000"/>
              <w:bottom w:val="dotted" w:sz="4" w:space="0" w:color="000000"/>
              <w:right w:val="nil" w:sz="6" w:space="0" w:color="auto"/>
            </w:tcBorders>
          </w:tcPr>
          <w:p>
            <w:pPr/>
          </w:p>
        </w:tc>
      </w:tr>
      <w:tr>
        <w:trPr>
          <w:trHeight w:val="730"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6"/>
              <w:ind w:left="28" w:right="6"/>
              <w:jc w:val="left"/>
              <w:rPr>
                <w:rFonts w:ascii="宋体" w:hAnsi="宋体" w:cs="宋体" w:eastAsia="宋体" w:hint="default"/>
                <w:sz w:val="18"/>
                <w:szCs w:val="18"/>
              </w:rPr>
            </w:pPr>
            <w:r>
              <w:rPr>
                <w:rFonts w:ascii="宋体" w:hAnsi="宋体" w:cs="宋体" w:eastAsia="宋体" w:hint="default"/>
                <w:spacing w:val="9"/>
                <w:sz w:val="18"/>
                <w:szCs w:val="18"/>
              </w:rPr>
              <w:t>（一）交易性金</w:t>
            </w:r>
            <w:r>
              <w:rPr>
                <w:rFonts w:ascii="宋体" w:hAnsi="宋体" w:cs="宋体" w:eastAsia="宋体" w:hint="default"/>
                <w:sz w:val="18"/>
                <w:szCs w:val="18"/>
              </w:rPr>
              <w:t> 融资产</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202,587,270.00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200,320,000.00</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4,886,853.72</w:t>
            </w: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386,566,148.98</w:t>
            </w: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278,235.00</w:t>
            </w: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393,442,037.70</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1258" w:type="dxa"/>
            <w:tcBorders>
              <w:top w:val="dotted" w:sz="4" w:space="0" w:color="000000"/>
              <w:left w:val="dotted" w:sz="4" w:space="0" w:color="000000"/>
              <w:bottom w:val="dotted" w:sz="4" w:space="0" w:color="000000"/>
              <w:right w:val="dotted" w:sz="4" w:space="0" w:color="000000"/>
            </w:tcBorders>
          </w:tcPr>
          <w:p>
            <w:pP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2,267,270.00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242,570.86</w:t>
            </w: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5,350,000.00</w:t>
            </w: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93" w:right="0"/>
              <w:jc w:val="center"/>
              <w:rPr>
                <w:rFonts w:ascii="Times New Roman" w:hAnsi="Times New Roman" w:cs="Times New Roman" w:eastAsia="Times New Roman" w:hint="default"/>
                <w:sz w:val="18"/>
                <w:szCs w:val="18"/>
              </w:rPr>
            </w:pPr>
            <w:r>
              <w:rPr>
                <w:rFonts w:ascii="Times New Roman"/>
                <w:sz w:val="18"/>
              </w:rPr>
              <w:t>278,235.00</w:t>
            </w: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7,581,605.86</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5"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258" w:type="dxa"/>
            <w:tcBorders>
              <w:top w:val="dotted" w:sz="4" w:space="0" w:color="000000"/>
              <w:left w:val="dotted" w:sz="4" w:space="0" w:color="000000"/>
              <w:bottom w:val="dotted" w:sz="4" w:space="0" w:color="000000"/>
              <w:right w:val="dotted" w:sz="4" w:space="0" w:color="000000"/>
            </w:tcBorders>
          </w:tcPr>
          <w:p>
            <w:pP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523,095.88</w:t>
            </w: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89,500,000.00</w:t>
            </w: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90,023,095.88</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资管计划</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200,320,000.00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11" w:right="0"/>
              <w:jc w:val="center"/>
              <w:rPr>
                <w:rFonts w:ascii="Times New Roman" w:hAnsi="Times New Roman" w:cs="Times New Roman" w:eastAsia="Times New Roman" w:hint="default"/>
                <w:sz w:val="18"/>
                <w:szCs w:val="18"/>
              </w:rPr>
            </w:pPr>
            <w:r>
              <w:rPr>
                <w:rFonts w:ascii="Times New Roman"/>
                <w:sz w:val="18"/>
              </w:rPr>
              <w:t>200,320,000.00</w:t>
            </w:r>
          </w:p>
        </w:tc>
        <w:tc>
          <w:tcPr>
            <w:tcW w:w="1126" w:type="dxa"/>
            <w:tcBorders>
              <w:top w:val="dotted" w:sz="4" w:space="0" w:color="000000"/>
              <w:left w:val="dotted" w:sz="4" w:space="0" w:color="000000"/>
              <w:bottom w:val="dotted" w:sz="4" w:space="0" w:color="000000"/>
              <w:right w:val="dotted" w:sz="4" w:space="0" w:color="000000"/>
            </w:tcBorders>
          </w:tcPr>
          <w:p>
            <w:pP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6"/>
              <w:ind w:left="28"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1258" w:type="dxa"/>
            <w:tcBorders>
              <w:top w:val="dotted" w:sz="4" w:space="0" w:color="000000"/>
              <w:left w:val="dotted" w:sz="4" w:space="0" w:color="000000"/>
              <w:bottom w:val="dotted" w:sz="4" w:space="0" w:color="000000"/>
              <w:right w:val="dotted" w:sz="4" w:space="0" w:color="000000"/>
            </w:tcBorders>
          </w:tcPr>
          <w:p>
            <w:pP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4,121,186.98</w:t>
            </w: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291,716,148.98</w:t>
            </w: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295,837,335.96</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258" w:type="dxa"/>
            <w:tcBorders>
              <w:top w:val="dotted" w:sz="4" w:space="0" w:color="000000"/>
              <w:left w:val="dotted" w:sz="4" w:space="0" w:color="000000"/>
              <w:bottom w:val="dotted" w:sz="4" w:space="0" w:color="000000"/>
              <w:right w:val="dotted" w:sz="4" w:space="0" w:color="000000"/>
            </w:tcBorders>
          </w:tcPr>
          <w:p>
            <w:pP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727"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6"/>
              <w:jc w:val="left"/>
              <w:rPr>
                <w:rFonts w:ascii="宋体" w:hAnsi="宋体" w:cs="宋体" w:eastAsia="宋体" w:hint="default"/>
                <w:sz w:val="18"/>
                <w:szCs w:val="18"/>
              </w:rPr>
            </w:pPr>
            <w:r>
              <w:rPr>
                <w:rFonts w:ascii="宋体" w:hAnsi="宋体" w:cs="宋体" w:eastAsia="宋体" w:hint="default"/>
                <w:spacing w:val="9"/>
                <w:sz w:val="18"/>
                <w:szCs w:val="18"/>
              </w:rPr>
              <w:t>（二）其他债权</w:t>
            </w:r>
            <w:r>
              <w:rPr>
                <w:rFonts w:ascii="宋体" w:hAnsi="宋体" w:cs="宋体" w:eastAsia="宋体" w:hint="default"/>
                <w:sz w:val="18"/>
                <w:szCs w:val="18"/>
              </w:rPr>
              <w:t> 投资</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30,792,986.30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2,010,000.01</w:t>
            </w: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-2,010,000.01</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30,792,986.30</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30,792,986.30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2,010,000.01</w:t>
            </w: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-2,010,000.01</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30,792,986.30</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6"/>
              <w:jc w:val="left"/>
              <w:rPr>
                <w:rFonts w:ascii="宋体" w:hAnsi="宋体" w:cs="宋体" w:eastAsia="宋体" w:hint="default"/>
                <w:sz w:val="18"/>
                <w:szCs w:val="18"/>
              </w:rPr>
            </w:pPr>
            <w:r>
              <w:rPr>
                <w:rFonts w:ascii="宋体" w:hAnsi="宋体" w:cs="宋体" w:eastAsia="宋体" w:hint="default"/>
                <w:spacing w:val="9"/>
                <w:sz w:val="18"/>
                <w:szCs w:val="18"/>
              </w:rPr>
              <w:t>（三）其他权益</w:t>
            </w:r>
            <w:r>
              <w:rPr>
                <w:rFonts w:ascii="宋体" w:hAnsi="宋体" w:cs="宋体" w:eastAsia="宋体" w:hint="default"/>
                <w:sz w:val="18"/>
                <w:szCs w:val="18"/>
              </w:rPr>
              <w:t> 工具投资</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100,000,000.00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100,000,000.00</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中证金报价系统</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100,000,000.00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100,000,000.00</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6"/>
              <w:jc w:val="left"/>
              <w:rPr>
                <w:rFonts w:ascii="宋体" w:hAnsi="宋体" w:cs="宋体" w:eastAsia="宋体" w:hint="default"/>
                <w:sz w:val="18"/>
                <w:szCs w:val="18"/>
              </w:rPr>
            </w:pPr>
            <w:r>
              <w:rPr>
                <w:rFonts w:ascii="宋体" w:hAnsi="宋体" w:cs="宋体" w:eastAsia="宋体" w:hint="default"/>
                <w:spacing w:val="9"/>
                <w:sz w:val="18"/>
                <w:szCs w:val="18"/>
              </w:rPr>
              <w:t>（四）其他非流</w:t>
            </w:r>
            <w:r>
              <w:rPr>
                <w:rFonts w:ascii="宋体" w:hAnsi="宋体" w:cs="宋体" w:eastAsia="宋体" w:hint="default"/>
                <w:sz w:val="18"/>
                <w:szCs w:val="18"/>
              </w:rPr>
              <w:t> 动金融资产</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271,546,372.00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-7,745,995.00</w:t>
            </w: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50,000,000.00</w:t>
            </w: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-32,413,769.00</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281,386,608.00</w:t>
            </w:r>
          </w:p>
        </w:tc>
        <w:tc>
          <w:tcPr>
            <w:tcW w:w="1042" w:type="dxa"/>
            <w:tcBorders>
              <w:top w:val="dotted" w:sz="4" w:space="0" w:color="000000"/>
              <w:left w:val="dotted" w:sz="4" w:space="0" w:color="000000"/>
              <w:bottom w:val="nil" w:sz="6" w:space="0" w:color="auto"/>
              <w:right w:val="nil" w:sz="6" w:space="0" w:color="auto"/>
            </w:tcBorders>
          </w:tcPr>
          <w:p>
            <w:pPr/>
          </w:p>
        </w:tc>
      </w:tr>
    </w:tbl>
    <w:p>
      <w:pPr>
        <w:spacing w:after="0"/>
        <w:sectPr>
          <w:headerReference w:type="default" r:id="rId70"/>
          <w:footerReference w:type="default" r:id="rId71"/>
          <w:pgSz w:w="16840" w:h="11910" w:orient="landscape"/>
          <w:pgMar w:header="877" w:footer="980" w:top="1100" w:bottom="1160" w:left="1300" w:right="2000"/>
          <w:pgNumType w:start="2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1371"/>
        <w:gridCol w:w="1258"/>
        <w:gridCol w:w="1107"/>
        <w:gridCol w:w="1166"/>
        <w:gridCol w:w="1126"/>
        <w:gridCol w:w="884"/>
        <w:gridCol w:w="1166"/>
        <w:gridCol w:w="835"/>
        <w:gridCol w:w="938"/>
        <w:gridCol w:w="1169"/>
        <w:gridCol w:w="1193"/>
        <w:gridCol w:w="1042"/>
      </w:tblGrid>
      <w:tr>
        <w:trPr>
          <w:trHeight w:val="415"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1258" w:type="dxa"/>
            <w:tcBorders>
              <w:top w:val="dotted" w:sz="4" w:space="0" w:color="000000"/>
              <w:left w:val="dotted" w:sz="4" w:space="0" w:color="000000"/>
              <w:bottom w:val="dotted" w:sz="4" w:space="0" w:color="000000"/>
              <w:right w:val="dotted" w:sz="4" w:space="0" w:color="000000"/>
            </w:tcBorders>
          </w:tcPr>
          <w:p>
            <w:pP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1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103" w:right="0"/>
              <w:jc w:val="center"/>
              <w:rPr>
                <w:rFonts w:ascii="Times New Roman" w:hAnsi="Times New Roman" w:cs="Times New Roman" w:eastAsia="Times New Roman" w:hint="default"/>
                <w:sz w:val="18"/>
                <w:szCs w:val="18"/>
              </w:rPr>
            </w:pPr>
            <w:r>
              <w:rPr>
                <w:rFonts w:ascii="Times New Roman"/>
                <w:sz w:val="18"/>
              </w:rPr>
              <w:t>271,546,372.00</w:t>
            </w:r>
          </w:p>
        </w:tc>
        <w:tc>
          <w:tcPr>
            <w:tcW w:w="1107"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-7,745,995.00</w:t>
            </w:r>
          </w:p>
        </w:tc>
        <w:tc>
          <w:tcPr>
            <w:tcW w:w="884" w:type="dxa"/>
            <w:tcBorders>
              <w:top w:val="dotted" w:sz="4" w:space="0" w:color="000000"/>
              <w:left w:val="dotted" w:sz="4" w:space="0" w:color="000000"/>
              <w:bottom w:val="dotted" w:sz="4" w:space="0" w:color="000000"/>
              <w:right w:val="dotted" w:sz="4" w:space="0" w:color="000000"/>
            </w:tcBorders>
          </w:tcPr>
          <w:p>
            <w:pP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50,000,000.00</w:t>
            </w:r>
          </w:p>
        </w:tc>
        <w:tc>
          <w:tcPr>
            <w:tcW w:w="835"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11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40" w:right="0"/>
              <w:jc w:val="center"/>
              <w:rPr>
                <w:rFonts w:ascii="Times New Roman" w:hAnsi="Times New Roman" w:cs="Times New Roman" w:eastAsia="Times New Roman" w:hint="default"/>
                <w:sz w:val="18"/>
                <w:szCs w:val="18"/>
              </w:rPr>
            </w:pPr>
            <w:r>
              <w:rPr>
                <w:rFonts w:ascii="Times New Roman"/>
                <w:sz w:val="18"/>
              </w:rPr>
              <w:t>-32,413,769.00</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38" w:right="0"/>
              <w:jc w:val="center"/>
              <w:rPr>
                <w:rFonts w:ascii="Times New Roman" w:hAnsi="Times New Roman" w:cs="Times New Roman" w:eastAsia="Times New Roman" w:hint="default"/>
                <w:sz w:val="18"/>
                <w:szCs w:val="18"/>
              </w:rPr>
            </w:pPr>
            <w:r>
              <w:rPr>
                <w:rFonts w:ascii="Times New Roman"/>
                <w:sz w:val="18"/>
              </w:rPr>
              <w:t>281,386,608.00</w:t>
            </w:r>
          </w:p>
        </w:tc>
        <w:tc>
          <w:tcPr>
            <w:tcW w:w="1042"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13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103" w:right="0"/>
              <w:jc w:val="center"/>
              <w:rPr>
                <w:rFonts w:ascii="Times New Roman" w:hAnsi="Times New Roman" w:cs="Times New Roman" w:eastAsia="Times New Roman" w:hint="default"/>
                <w:sz w:val="18"/>
                <w:szCs w:val="18"/>
              </w:rPr>
            </w:pPr>
            <w:r>
              <w:rPr>
                <w:rFonts w:ascii="Times New Roman"/>
                <w:sz w:val="18"/>
              </w:rPr>
              <w:t>604,926,628.30</w:t>
            </w:r>
          </w:p>
        </w:tc>
        <w:tc>
          <w:tcPr>
            <w:tcW w:w="1107" w:type="dxa"/>
            <w:tcBorders>
              <w:top w:val="dotted" w:sz="4" w:space="0" w:color="000000"/>
              <w:left w:val="dotted" w:sz="4" w:space="0" w:color="000000"/>
              <w:bottom w:val="single" w:sz="12" w:space="0" w:color="000000"/>
              <w:right w:val="dotted" w:sz="4" w:space="0" w:color="000000"/>
            </w:tcBorders>
          </w:tcPr>
          <w:p>
            <w:pPr/>
          </w:p>
        </w:tc>
        <w:tc>
          <w:tcPr>
            <w:tcW w:w="11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21" w:right="0"/>
              <w:jc w:val="left"/>
              <w:rPr>
                <w:rFonts w:ascii="Times New Roman" w:hAnsi="Times New Roman" w:cs="Times New Roman" w:eastAsia="Times New Roman" w:hint="default"/>
                <w:sz w:val="18"/>
                <w:szCs w:val="18"/>
              </w:rPr>
            </w:pPr>
            <w:r>
              <w:rPr>
                <w:rFonts w:ascii="Times New Roman"/>
                <w:sz w:val="18"/>
              </w:rPr>
              <w:t>200,320,000.00</w:t>
            </w:r>
          </w:p>
        </w:tc>
        <w:tc>
          <w:tcPr>
            <w:tcW w:w="1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-849,141.27</w:t>
            </w:r>
          </w:p>
        </w:tc>
        <w:tc>
          <w:tcPr>
            <w:tcW w:w="884" w:type="dxa"/>
            <w:tcBorders>
              <w:top w:val="dotted" w:sz="4" w:space="0" w:color="000000"/>
              <w:left w:val="dotted" w:sz="4" w:space="0" w:color="000000"/>
              <w:bottom w:val="single" w:sz="12" w:space="0" w:color="000000"/>
              <w:right w:val="dotted" w:sz="4" w:space="0" w:color="000000"/>
            </w:tcBorders>
          </w:tcPr>
          <w:p>
            <w:pPr/>
          </w:p>
        </w:tc>
        <w:tc>
          <w:tcPr>
            <w:tcW w:w="11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436,566,148.98</w:t>
            </w:r>
          </w:p>
        </w:tc>
        <w:tc>
          <w:tcPr>
            <w:tcW w:w="835" w:type="dxa"/>
            <w:tcBorders>
              <w:top w:val="dotted" w:sz="4" w:space="0" w:color="000000"/>
              <w:left w:val="dotted" w:sz="4" w:space="0" w:color="000000"/>
              <w:bottom w:val="single" w:sz="12" w:space="0" w:color="000000"/>
              <w:right w:val="dotted" w:sz="4" w:space="0" w:color="000000"/>
            </w:tcBorders>
          </w:tcPr>
          <w:p>
            <w:pPr/>
          </w:p>
        </w:tc>
        <w:tc>
          <w:tcPr>
            <w:tcW w:w="9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278,235.00</w:t>
            </w:r>
          </w:p>
        </w:tc>
        <w:tc>
          <w:tcPr>
            <w:tcW w:w="11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40" w:right="0"/>
              <w:jc w:val="center"/>
              <w:rPr>
                <w:rFonts w:ascii="Times New Roman" w:hAnsi="Times New Roman" w:cs="Times New Roman" w:eastAsia="Times New Roman" w:hint="default"/>
                <w:sz w:val="18"/>
                <w:szCs w:val="18"/>
              </w:rPr>
            </w:pPr>
            <w:r>
              <w:rPr>
                <w:rFonts w:ascii="Times New Roman"/>
                <w:sz w:val="18"/>
              </w:rPr>
              <w:t>-34,423,769.01</w:t>
            </w:r>
          </w:p>
        </w:tc>
        <w:tc>
          <w:tcPr>
            <w:tcW w:w="11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left="38" w:right="0"/>
              <w:jc w:val="center"/>
              <w:rPr>
                <w:rFonts w:ascii="Times New Roman" w:hAnsi="Times New Roman" w:cs="Times New Roman" w:eastAsia="Times New Roman" w:hint="default"/>
                <w:sz w:val="18"/>
                <w:szCs w:val="18"/>
              </w:rPr>
            </w:pPr>
            <w:r>
              <w:rPr>
                <w:rFonts w:ascii="Times New Roman"/>
                <w:sz w:val="18"/>
              </w:rPr>
              <w:t>805,621,632.00</w:t>
            </w:r>
          </w:p>
        </w:tc>
        <w:tc>
          <w:tcPr>
            <w:tcW w:w="1042" w:type="dxa"/>
            <w:tcBorders>
              <w:top w:val="dotted" w:sz="4" w:space="0" w:color="000000"/>
              <w:left w:val="dotted" w:sz="4" w:space="0" w:color="000000"/>
              <w:bottom w:val="single" w:sz="12" w:space="0" w:color="000000"/>
              <w:right w:val="nil" w:sz="6" w:space="0" w:color="auto"/>
            </w:tcBorders>
          </w:tcPr>
          <w:p>
            <w:pPr/>
          </w:p>
        </w:tc>
      </w:tr>
    </w:tbl>
    <w:p>
      <w:pPr>
        <w:spacing w:after="0"/>
        <w:sectPr>
          <w:pgSz w:w="16840" w:h="11910" w:orient="landscape"/>
          <w:pgMar w:header="877" w:footer="980" w:top="1100" w:bottom="1160" w:left="1300" w:right="2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4"/>
        <w:spacing w:line="335" w:lineRule="exact"/>
        <w:ind w:left="1345" w:right="0"/>
        <w:jc w:val="left"/>
        <w:rPr>
          <w:b w:val="0"/>
          <w:bCs w:val="0"/>
        </w:rPr>
      </w:pPr>
      <w:r>
        <w:rPr/>
        <w:t>（五）   </w:t>
      </w:r>
      <w:r>
        <w:rPr>
          <w:spacing w:val="10"/>
        </w:rPr>
        <w:t> </w:t>
      </w:r>
      <w:r>
        <w:rPr/>
        <w:t>不以公允价值计量的金融资产和金融负债的公允价值情况</w:t>
      </w:r>
      <w:r>
        <w:rPr>
          <w:b w:val="0"/>
          <w:bCs w:val="0"/>
        </w:rPr>
      </w:r>
    </w:p>
    <w:p>
      <w:pPr>
        <w:pStyle w:val="BodyText"/>
        <w:spacing w:line="355" w:lineRule="auto" w:before="150"/>
        <w:ind w:left="918" w:right="1789" w:firstLine="419"/>
        <w:jc w:val="both"/>
      </w:pPr>
      <w:r>
        <w:rPr/>
        <w:pict>
          <v:group style="position:absolute;margin-left:50.040001pt;margin-top:29.483643pt;width:51.05pt;height:.1pt;mso-position-horizontal-relative:page;mso-position-vertical-relative:paragraph;z-index:-1326808" coordorigin="1001,590" coordsize="1021,2">
            <v:shape style="position:absolute;left:1001;top:590;width:1021;height:2" coordorigin="1001,590" coordsize="1021,0" path="m1001,590l2022,590e" filled="false" stroked="true" strokeweight=".48pt" strokecolor="#000000">
              <v:path arrowok="t"/>
              <v:stroke dashstyle="dash"/>
            </v:shape>
            <w10:wrap type="none"/>
          </v:group>
        </w:pict>
      </w:r>
      <w:r>
        <w:rPr>
          <w:spacing w:val="-4"/>
          <w:w w:val="100"/>
        </w:rPr>
        <w:t>除了上述以公允价值计量的金融资产和金融负债外，公司对其他不以公允价值计量的金</w:t>
      </w:r>
      <w:r>
        <w:rPr>
          <w:w w:val="100"/>
        </w:rPr>
        <w:t> </w:t>
      </w:r>
      <w:r>
        <w:rPr>
          <w:spacing w:val="-4"/>
        </w:rPr>
        <w:t>融资产和金融负债，如融出资金、买入返售金融资产、应收账款、应付债券、拆入资金、卖</w:t>
      </w:r>
      <w:r>
        <w:rPr>
          <w:spacing w:val="-47"/>
        </w:rPr>
        <w:t> </w:t>
      </w:r>
      <w:r>
        <w:rPr>
          <w:spacing w:val="-47"/>
        </w:rPr>
      </w:r>
      <w:r>
        <w:rPr>
          <w:spacing w:val="-9"/>
          <w:w w:val="100"/>
        </w:rPr>
        <w:t>出回购金融资产款、应付账款等，公允价值与账面价值相若，根据会计政策的规定进行计量。</w:t>
      </w:r>
    </w:p>
    <w:p>
      <w:pPr>
        <w:spacing w:line="240" w:lineRule="auto" w:before="0"/>
        <w:rPr>
          <w:rFonts w:ascii="宋体" w:hAnsi="宋体" w:cs="宋体" w:eastAsia="宋体" w:hint="default"/>
          <w:sz w:val="20"/>
          <w:szCs w:val="20"/>
        </w:rPr>
      </w:pPr>
    </w:p>
    <w:p>
      <w:pPr>
        <w:pStyle w:val="Heading4"/>
        <w:tabs>
          <w:tab w:pos="1757" w:val="left" w:leader="none"/>
        </w:tabs>
        <w:spacing w:line="240" w:lineRule="auto" w:before="145"/>
        <w:ind w:left="918" w:right="0"/>
        <w:jc w:val="left"/>
        <w:rPr>
          <w:b w:val="0"/>
          <w:bCs w:val="0"/>
        </w:rPr>
      </w:pPr>
      <w:r>
        <w:rPr/>
        <w:t>十一、</w:t>
        <w:tab/>
        <w:t>关联方及关联交易</w:t>
      </w:r>
      <w:r>
        <w:rPr>
          <w:b w:val="0"/>
          <w:bCs w:val="0"/>
        </w:rPr>
      </w:r>
    </w:p>
    <w:p>
      <w:pPr>
        <w:pStyle w:val="Heading4"/>
        <w:spacing w:line="240" w:lineRule="auto" w:before="84"/>
        <w:ind w:left="1340" w:right="0"/>
        <w:jc w:val="left"/>
        <w:rPr>
          <w:b w:val="0"/>
          <w:bCs w:val="0"/>
        </w:rPr>
      </w:pPr>
      <w:r>
        <w:rPr/>
        <w:t>（一）本企业的母公司情况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889" w:type="dxa"/>
        <w:tblLayout w:type="fixed"/>
        <w:tblCellMar>
          <w:top w:w="0" w:type="dxa"/>
          <w:left w:w="0" w:type="dxa"/>
          <w:bottom w:w="0" w:type="dxa"/>
          <w:right w:w="0" w:type="dxa"/>
        </w:tblCellMar>
        <w:tblLook w:val="01E0"/>
      </w:tblPr>
      <w:tblGrid>
        <w:gridCol w:w="2703"/>
        <w:gridCol w:w="1123"/>
        <w:gridCol w:w="1604"/>
        <w:gridCol w:w="1126"/>
        <w:gridCol w:w="961"/>
        <w:gridCol w:w="1027"/>
      </w:tblGrid>
      <w:tr>
        <w:trPr>
          <w:trHeight w:val="821" w:hRule="exact"/>
        </w:trPr>
        <w:tc>
          <w:tcPr>
            <w:tcW w:w="270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1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45"/>
              <w:ind w:right="4"/>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万元</w:t>
            </w:r>
            <w:r>
              <w:rPr>
                <w:rFonts w:ascii="Arial" w:hAnsi="Arial" w:cs="Arial" w:eastAsia="Arial" w:hint="default"/>
                <w:sz w:val="18"/>
                <w:szCs w:val="18"/>
              </w:rPr>
              <w:t>)</w:t>
            </w:r>
          </w:p>
        </w:tc>
        <w:tc>
          <w:tcPr>
            <w:tcW w:w="961" w:type="dxa"/>
            <w:tcBorders>
              <w:top w:val="single" w:sz="12" w:space="0" w:color="000000"/>
              <w:left w:val="dotted" w:sz="4" w:space="0" w:color="000000"/>
              <w:bottom w:val="dotted" w:sz="4" w:space="0" w:color="000000"/>
              <w:right w:val="dotted" w:sz="4" w:space="0" w:color="000000"/>
            </w:tcBorders>
          </w:tcPr>
          <w:p>
            <w:pPr>
              <w:pStyle w:val="TableParagraph"/>
              <w:spacing w:line="242" w:lineRule="auto" w:before="22"/>
              <w:ind w:left="112" w:right="116"/>
              <w:jc w:val="center"/>
              <w:rPr>
                <w:rFonts w:ascii="Arial" w:hAnsi="Arial" w:cs="Arial" w:eastAsia="Arial" w:hint="default"/>
                <w:sz w:val="18"/>
                <w:szCs w:val="18"/>
              </w:rPr>
            </w:pPr>
            <w:r>
              <w:rPr>
                <w:rFonts w:ascii="宋体" w:hAnsi="宋体" w:cs="宋体" w:eastAsia="宋体" w:hint="default"/>
                <w:sz w:val="18"/>
                <w:szCs w:val="18"/>
              </w:rPr>
              <w:t>对本公司 的持股比 例</w:t>
            </w:r>
            <w:r>
              <w:rPr>
                <w:rFonts w:ascii="Arial" w:hAnsi="Arial" w:cs="Arial" w:eastAsia="Arial" w:hint="default"/>
                <w:sz w:val="18"/>
                <w:szCs w:val="18"/>
              </w:rPr>
              <w:t>(%)</w:t>
            </w:r>
          </w:p>
        </w:tc>
        <w:tc>
          <w:tcPr>
            <w:tcW w:w="1027" w:type="dxa"/>
            <w:tcBorders>
              <w:top w:val="single" w:sz="12" w:space="0" w:color="000000"/>
              <w:left w:val="dotted" w:sz="4" w:space="0" w:color="000000"/>
              <w:bottom w:val="dotted" w:sz="4" w:space="0" w:color="000000"/>
              <w:right w:val="nil" w:sz="6" w:space="0" w:color="auto"/>
            </w:tcBorders>
          </w:tcPr>
          <w:p>
            <w:pPr>
              <w:pStyle w:val="TableParagraph"/>
              <w:spacing w:line="264" w:lineRule="auto" w:before="22"/>
              <w:ind w:left="57" w:right="62"/>
              <w:jc w:val="center"/>
              <w:rPr>
                <w:rFonts w:ascii="Arial" w:hAnsi="Arial" w:cs="Arial" w:eastAsia="Arial" w:hint="default"/>
                <w:sz w:val="18"/>
                <w:szCs w:val="18"/>
              </w:rPr>
            </w:pPr>
            <w:r>
              <w:rPr>
                <w:rFonts w:ascii="宋体" w:hAnsi="宋体" w:cs="宋体" w:eastAsia="宋体" w:hint="default"/>
                <w:sz w:val="18"/>
                <w:szCs w:val="18"/>
              </w:rPr>
              <w:t>对本公司的 表决权比例 </w:t>
            </w:r>
            <w:r>
              <w:rPr>
                <w:rFonts w:ascii="Arial" w:hAnsi="Arial" w:cs="Arial" w:eastAsia="Arial" w:hint="default"/>
                <w:sz w:val="18"/>
                <w:szCs w:val="18"/>
              </w:rPr>
              <w:t>(%)</w:t>
            </w:r>
          </w:p>
        </w:tc>
      </w:tr>
      <w:tr>
        <w:trPr>
          <w:trHeight w:val="569" w:hRule="exact"/>
        </w:trPr>
        <w:tc>
          <w:tcPr>
            <w:tcW w:w="2703" w:type="dxa"/>
            <w:tcBorders>
              <w:top w:val="dotted" w:sz="4" w:space="0" w:color="000000"/>
              <w:left w:val="nil" w:sz="6" w:space="0" w:color="auto"/>
              <w:bottom w:val="dotted" w:sz="4" w:space="0" w:color="000000"/>
              <w:right w:val="dotted" w:sz="4" w:space="0" w:color="000000"/>
            </w:tcBorders>
          </w:tcPr>
          <w:p>
            <w:pPr>
              <w:pStyle w:val="TableParagraph"/>
              <w:spacing w:line="244" w:lineRule="auto" w:before="20"/>
              <w:ind w:left="122" w:right="101"/>
              <w:jc w:val="left"/>
              <w:rPr>
                <w:rFonts w:ascii="宋体" w:hAnsi="宋体" w:cs="宋体" w:eastAsia="宋体" w:hint="default"/>
                <w:sz w:val="18"/>
                <w:szCs w:val="18"/>
              </w:rPr>
            </w:pPr>
            <w:r>
              <w:rPr>
                <w:rFonts w:ascii="宋体" w:hAnsi="宋体" w:cs="宋体" w:eastAsia="宋体" w:hint="default"/>
                <w:spacing w:val="-4"/>
                <w:sz w:val="18"/>
                <w:szCs w:val="18"/>
              </w:rPr>
              <w:t>深圳前海财智发展投资中心（有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投资管理、咨询</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250,001.00</w:t>
            </w:r>
          </w:p>
        </w:tc>
        <w:tc>
          <w:tcPr>
            <w:tcW w:w="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17.06</w:t>
            </w:r>
          </w:p>
        </w:tc>
        <w:tc>
          <w:tcPr>
            <w:tcW w:w="10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17.06</w:t>
            </w:r>
          </w:p>
        </w:tc>
      </w:tr>
      <w:tr>
        <w:trPr>
          <w:trHeight w:val="571" w:hRule="exact"/>
        </w:trPr>
        <w:tc>
          <w:tcPr>
            <w:tcW w:w="2703" w:type="dxa"/>
            <w:tcBorders>
              <w:top w:val="dotted" w:sz="4" w:space="0" w:color="000000"/>
              <w:left w:val="nil" w:sz="6" w:space="0" w:color="auto"/>
              <w:bottom w:val="dotted" w:sz="4" w:space="0" w:color="000000"/>
              <w:right w:val="dotted" w:sz="4" w:space="0" w:color="000000"/>
            </w:tcBorders>
          </w:tcPr>
          <w:p>
            <w:pPr>
              <w:pStyle w:val="TableParagraph"/>
              <w:spacing w:line="242" w:lineRule="auto" w:before="22"/>
              <w:ind w:left="122" w:right="101"/>
              <w:jc w:val="left"/>
              <w:rPr>
                <w:rFonts w:ascii="宋体" w:hAnsi="宋体" w:cs="宋体" w:eastAsia="宋体" w:hint="default"/>
                <w:sz w:val="18"/>
                <w:szCs w:val="18"/>
              </w:rPr>
            </w:pPr>
            <w:r>
              <w:rPr>
                <w:rFonts w:ascii="宋体" w:hAnsi="宋体" w:cs="宋体" w:eastAsia="宋体" w:hint="default"/>
                <w:spacing w:val="-4"/>
                <w:sz w:val="18"/>
                <w:szCs w:val="18"/>
              </w:rPr>
              <w:t>深圳前海财智远大投资中心（有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投资管理、咨询</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180,001.00</w:t>
            </w:r>
          </w:p>
        </w:tc>
        <w:tc>
          <w:tcPr>
            <w:tcW w:w="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13.35</w:t>
            </w:r>
          </w:p>
        </w:tc>
        <w:tc>
          <w:tcPr>
            <w:tcW w:w="10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13.35</w:t>
            </w:r>
          </w:p>
        </w:tc>
      </w:tr>
      <w:tr>
        <w:trPr>
          <w:trHeight w:val="569" w:hRule="exact"/>
        </w:trPr>
        <w:tc>
          <w:tcPr>
            <w:tcW w:w="2703" w:type="dxa"/>
            <w:tcBorders>
              <w:top w:val="dotted" w:sz="4" w:space="0" w:color="000000"/>
              <w:left w:val="nil" w:sz="6" w:space="0" w:color="auto"/>
              <w:bottom w:val="dotted" w:sz="4" w:space="0" w:color="000000"/>
              <w:right w:val="dotted" w:sz="4" w:space="0" w:color="000000"/>
            </w:tcBorders>
          </w:tcPr>
          <w:p>
            <w:pPr>
              <w:pStyle w:val="TableParagraph"/>
              <w:spacing w:line="244" w:lineRule="auto" w:before="20"/>
              <w:ind w:left="122" w:right="101"/>
              <w:jc w:val="left"/>
              <w:rPr>
                <w:rFonts w:ascii="宋体" w:hAnsi="宋体" w:cs="宋体" w:eastAsia="宋体" w:hint="default"/>
                <w:sz w:val="18"/>
                <w:szCs w:val="18"/>
              </w:rPr>
            </w:pPr>
            <w:r>
              <w:rPr>
                <w:rFonts w:ascii="宋体" w:hAnsi="宋体" w:cs="宋体" w:eastAsia="宋体" w:hint="default"/>
                <w:spacing w:val="-4"/>
                <w:sz w:val="18"/>
                <w:szCs w:val="18"/>
              </w:rPr>
              <w:t>北京凤凰财鑫股权投资中心（有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6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投资管理、咨询</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150,001.00</w:t>
            </w:r>
          </w:p>
        </w:tc>
        <w:tc>
          <w:tcPr>
            <w:tcW w:w="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w:t>
            </w:r>
          </w:p>
        </w:tc>
        <w:tc>
          <w:tcPr>
            <w:tcW w:w="10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7.42</w:t>
            </w:r>
          </w:p>
        </w:tc>
      </w:tr>
      <w:tr>
        <w:trPr>
          <w:trHeight w:val="581" w:hRule="exact"/>
        </w:trPr>
        <w:tc>
          <w:tcPr>
            <w:tcW w:w="2703" w:type="dxa"/>
            <w:tcBorders>
              <w:top w:val="dotted" w:sz="4" w:space="0" w:color="000000"/>
              <w:left w:val="nil" w:sz="6" w:space="0" w:color="auto"/>
              <w:bottom w:val="single" w:sz="12" w:space="0" w:color="000000"/>
              <w:right w:val="dotted" w:sz="4" w:space="0" w:color="000000"/>
            </w:tcBorders>
          </w:tcPr>
          <w:p>
            <w:pPr>
              <w:pStyle w:val="TableParagraph"/>
              <w:spacing w:line="242" w:lineRule="auto" w:before="22"/>
              <w:ind w:left="122" w:right="101"/>
              <w:jc w:val="left"/>
              <w:rPr>
                <w:rFonts w:ascii="宋体" w:hAnsi="宋体" w:cs="宋体" w:eastAsia="宋体" w:hint="default"/>
                <w:sz w:val="18"/>
                <w:szCs w:val="18"/>
              </w:rPr>
            </w:pPr>
            <w:r>
              <w:rPr>
                <w:rFonts w:ascii="宋体" w:hAnsi="宋体" w:cs="宋体" w:eastAsia="宋体" w:hint="default"/>
                <w:spacing w:val="-4"/>
                <w:sz w:val="18"/>
                <w:szCs w:val="18"/>
              </w:rPr>
              <w:t>北京凤凰财智创新投资中心（有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6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投资管理、咨询</w:t>
            </w:r>
          </w:p>
        </w:tc>
        <w:tc>
          <w:tcPr>
            <w:tcW w:w="1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120,001.00</w:t>
            </w:r>
          </w:p>
        </w:tc>
        <w:tc>
          <w:tcPr>
            <w:tcW w:w="9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3.49</w:t>
            </w:r>
          </w:p>
        </w:tc>
        <w:tc>
          <w:tcPr>
            <w:tcW w:w="10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3.49</w:t>
            </w:r>
          </w:p>
        </w:tc>
      </w:tr>
    </w:tbl>
    <w:p>
      <w:pPr>
        <w:pStyle w:val="BodyText"/>
        <w:spacing w:line="240" w:lineRule="auto" w:before="4"/>
        <w:ind w:left="1340" w:right="0"/>
        <w:jc w:val="left"/>
      </w:pPr>
      <w:r>
        <w:rPr/>
        <w:t>本公司的实际控制人为杜力及其一致行动人张巍。</w:t>
      </w:r>
    </w:p>
    <w:p>
      <w:pPr>
        <w:pStyle w:val="Heading4"/>
        <w:spacing w:line="240" w:lineRule="auto" w:before="107"/>
        <w:ind w:left="1340" w:right="0"/>
        <w:jc w:val="left"/>
        <w:rPr>
          <w:b w:val="0"/>
          <w:bCs w:val="0"/>
        </w:rPr>
      </w:pPr>
      <w:r>
        <w:rPr/>
        <w:t>（二）本公司的子公司情况详见附注八（一）在子公司中的权益</w:t>
      </w:r>
      <w:r>
        <w:rPr>
          <w:b w:val="0"/>
          <w:bCs w:val="0"/>
        </w:rPr>
      </w:r>
    </w:p>
    <w:p>
      <w:pPr>
        <w:spacing w:line="338" w:lineRule="auto" w:before="83"/>
        <w:ind w:left="133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（三）本公司的合营和联营企业情况</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本公司重要的合营或联营企业详见附注八（二）在合营安排或联营企业中的权益。</w:t>
      </w:r>
    </w:p>
    <w:p>
      <w:pPr>
        <w:pStyle w:val="Heading4"/>
        <w:spacing w:line="240" w:lineRule="auto" w:before="21"/>
        <w:ind w:left="1340" w:right="0"/>
        <w:jc w:val="left"/>
        <w:rPr>
          <w:b w:val="0"/>
          <w:bCs w:val="0"/>
        </w:rPr>
      </w:pPr>
      <w:r>
        <w:rPr/>
        <w:t>（四）其他关联方情况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889" w:type="dxa"/>
        <w:tblLayout w:type="fixed"/>
        <w:tblCellMar>
          <w:top w:w="0" w:type="dxa"/>
          <w:left w:w="0" w:type="dxa"/>
          <w:bottom w:w="0" w:type="dxa"/>
          <w:right w:w="0" w:type="dxa"/>
        </w:tblCellMar>
        <w:tblLook w:val="01E0"/>
      </w:tblPr>
      <w:tblGrid>
        <w:gridCol w:w="3217"/>
        <w:gridCol w:w="5111"/>
      </w:tblGrid>
      <w:tr>
        <w:trPr>
          <w:trHeight w:val="427" w:hRule="exact"/>
        </w:trPr>
        <w:tc>
          <w:tcPr>
            <w:tcW w:w="32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51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3"/>
              <w:ind w:left="1649" w:right="0"/>
              <w:jc w:val="left"/>
              <w:rPr>
                <w:rFonts w:ascii="宋体" w:hAnsi="宋体" w:cs="宋体" w:eastAsia="宋体" w:hint="default"/>
                <w:sz w:val="18"/>
                <w:szCs w:val="18"/>
              </w:rPr>
            </w:pPr>
            <w:r>
              <w:rPr>
                <w:rFonts w:ascii="宋体" w:hAnsi="宋体" w:cs="宋体" w:eastAsia="宋体" w:hint="default"/>
                <w:sz w:val="18"/>
                <w:szCs w:val="18"/>
              </w:rPr>
              <w:t>关联方与本公司的关系</w:t>
            </w:r>
          </w:p>
        </w:tc>
      </w:tr>
      <w:tr>
        <w:trPr>
          <w:trHeight w:val="416"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杜力</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本公司董事长、实际控制人</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张巍</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本公司副董事长、总经理、实际控制人的一致行动人</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赵岑</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本公司董事、董事会秘书、财务总监</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李英明</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15"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刘世明</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李娥</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张李平</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周春生</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16"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徐强国</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本公司独立董事</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叶强</w:t>
            </w:r>
          </w:p>
        </w:tc>
        <w:tc>
          <w:tcPr>
            <w:tcW w:w="5111" w:type="dxa"/>
            <w:tcBorders>
              <w:top w:val="dotted" w:sz="4" w:space="0" w:color="000000"/>
              <w:left w:val="dotted" w:sz="4" w:space="0" w:color="000000"/>
              <w:bottom w:val="nil" w:sz="6" w:space="0" w:color="auto"/>
              <w:right w:val="nil" w:sz="6" w:space="0" w:color="auto"/>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本公司监事会主席</w:t>
            </w:r>
          </w:p>
        </w:tc>
      </w:tr>
    </w:tbl>
    <w:p>
      <w:pPr>
        <w:spacing w:after="0" w:line="240" w:lineRule="auto"/>
        <w:jc w:val="left"/>
        <w:rPr>
          <w:rFonts w:ascii="宋体" w:hAnsi="宋体" w:cs="宋体" w:eastAsia="宋体" w:hint="default"/>
          <w:sz w:val="18"/>
          <w:szCs w:val="18"/>
        </w:rPr>
        <w:sectPr>
          <w:headerReference w:type="default" r:id="rId72"/>
          <w:footerReference w:type="default" r:id="rId73"/>
          <w:pgSz w:w="11910" w:h="16840"/>
          <w:pgMar w:header="877" w:footer="979" w:top="1100" w:bottom="1160" w:left="880" w:right="0"/>
          <w:pgNumType w:start="243"/>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2"/>
          <w:szCs w:val="22"/>
        </w:rPr>
      </w:pPr>
    </w:p>
    <w:p>
      <w:pPr>
        <w:tabs>
          <w:tab w:pos="5774" w:val="left" w:leader="none"/>
        </w:tabs>
        <w:spacing w:before="44"/>
        <w:ind w:left="2067" w:right="0" w:firstLine="0"/>
        <w:jc w:val="left"/>
        <w:rPr>
          <w:rFonts w:ascii="宋体" w:hAnsi="宋体" w:cs="宋体" w:eastAsia="宋体" w:hint="default"/>
          <w:sz w:val="18"/>
          <w:szCs w:val="18"/>
        </w:rPr>
      </w:pPr>
      <w:r>
        <w:rPr/>
        <w:pict>
          <v:group style="position:absolute;margin-left:49.799999pt;margin-top:-2.528257pt;width:456.5pt;height:642.7pt;mso-position-horizontal-relative:page;mso-position-vertical-relative:paragraph;z-index:-1326784" coordorigin="996,-51" coordsize="9130,12854">
            <v:group style="position:absolute;left:1798;top:-36;width:3198;height:2" coordorigin="1798,-36" coordsize="3198,2">
              <v:shape style="position:absolute;left:1798;top:-36;width:3198;height:2" coordorigin="1798,-36" coordsize="3198,0" path="m1798,-36l4995,-36e" filled="false" stroked="true" strokeweight="1.44pt" strokecolor="#000000">
                <v:path arrowok="t"/>
              </v:shape>
            </v:group>
            <v:group style="position:absolute;left:4995;top:-13;width:10;height:2" coordorigin="4995,-13" coordsize="10,2">
              <v:shape style="position:absolute;left:4995;top:-13;width:10;height:2" coordorigin="4995,-13" coordsize="10,0" path="m4995,-13l5005,-13e" filled="false" stroked="true" strokeweight=".84pt" strokecolor="#000000">
                <v:path arrowok="t"/>
                <v:stroke dashstyle="dash"/>
              </v:shape>
            </v:group>
            <v:group style="position:absolute;left:4995;top:-36;width:29;height:2" coordorigin="4995,-36" coordsize="29,2">
              <v:shape style="position:absolute;left:4995;top:-36;width:29;height:2" coordorigin="4995,-36" coordsize="29,0" path="m4995,-36l5024,-36e" filled="false" stroked="true" strokeweight="1.44pt" strokecolor="#000000">
                <v:path arrowok="t"/>
              </v:shape>
            </v:group>
            <v:group style="position:absolute;left:5024;top:-36;width:5087;height:2" coordorigin="5024,-36" coordsize="5087,2">
              <v:shape style="position:absolute;left:5024;top:-36;width:5087;height:2" coordorigin="5024,-36" coordsize="5087,0" path="m5024,-36l10111,-36e" filled="false" stroked="true" strokeweight="1.44pt" strokecolor="#000000">
                <v:path arrowok="t"/>
              </v:shape>
            </v:group>
            <v:group style="position:absolute;left:5000;top:-5;width:2;height:392" coordorigin="5000,-5" coordsize="2,392">
              <v:shape style="position:absolute;left:5000;top:-5;width:2;height:392" coordorigin="5000,-5" coordsize="0,392" path="m5000,-5l5000,386e" filled="false" stroked="true" strokeweight=".48pt" strokecolor="#000000">
                <v:path arrowok="t"/>
                <v:stroke dashstyle="dash"/>
              </v:shape>
            </v:group>
            <v:group style="position:absolute;left:1798;top:391;width:3198;height:2" coordorigin="1798,391" coordsize="3198,2">
              <v:shape style="position:absolute;left:1798;top:391;width:3198;height:2" coordorigin="1798,391" coordsize="3198,0" path="m1798,391l4995,391e" filled="false" stroked="true" strokeweight=".48pt" strokecolor="#000000">
                <v:path arrowok="t"/>
                <v:stroke dashstyle="dash"/>
              </v:shape>
            </v:group>
            <v:group style="position:absolute;left:5000;top:386;width:2;height:24" coordorigin="5000,386" coordsize="2,24">
              <v:shape style="position:absolute;left:5000;top:386;width:2;height:24" coordorigin="5000,386" coordsize="0,24" path="m5000,386l5000,410e" filled="false" stroked="true" strokeweight=".48pt" strokecolor="#000000">
                <v:path arrowok="t"/>
                <v:stroke dashstyle="dash"/>
              </v:shape>
            </v:group>
            <v:group style="position:absolute;left:5005;top:391;width:5106;height:2" coordorigin="5005,391" coordsize="5106,2">
              <v:shape style="position:absolute;left:5005;top:391;width:5106;height:2" coordorigin="5005,391" coordsize="5106,0" path="m5005,391l10111,391e" filled="false" stroked="true" strokeweight=".48pt" strokecolor="#000000">
                <v:path arrowok="t"/>
                <v:stroke dashstyle="dash"/>
              </v:shape>
            </v:group>
            <v:group style="position:absolute;left:5000;top:410;width:2;height:394" coordorigin="5000,410" coordsize="2,394">
              <v:shape style="position:absolute;left:5000;top:410;width:2;height:394" coordorigin="5000,410" coordsize="0,394" path="m5000,410l5000,804e" filled="false" stroked="true" strokeweight=".48pt" strokecolor="#000000">
                <v:path arrowok="t"/>
                <v:stroke dashstyle="dash"/>
              </v:shape>
            </v:group>
            <v:group style="position:absolute;left:1798;top:809;width:3198;height:2" coordorigin="1798,809" coordsize="3198,2">
              <v:shape style="position:absolute;left:1798;top:809;width:3198;height:2" coordorigin="1798,809" coordsize="3198,0" path="m1798,809l4995,809e" filled="false" stroked="true" strokeweight=".48pt" strokecolor="#000000">
                <v:path arrowok="t"/>
                <v:stroke dashstyle="dash"/>
              </v:shape>
            </v:group>
            <v:group style="position:absolute;left:5000;top:804;width:2;height:24" coordorigin="5000,804" coordsize="2,24">
              <v:shape style="position:absolute;left:5000;top:804;width:2;height:24" coordorigin="5000,804" coordsize="0,24" path="m5000,804l5000,828e" filled="false" stroked="true" strokeweight=".48pt" strokecolor="#000000">
                <v:path arrowok="t"/>
                <v:stroke dashstyle="dash"/>
              </v:shape>
            </v:group>
            <v:group style="position:absolute;left:5005;top:809;width:5106;height:2" coordorigin="5005,809" coordsize="5106,2">
              <v:shape style="position:absolute;left:5005;top:809;width:5106;height:2" coordorigin="5005,809" coordsize="5106,0" path="m5005,809l10111,809e" filled="false" stroked="true" strokeweight=".48pt" strokecolor="#000000">
                <v:path arrowok="t"/>
                <v:stroke dashstyle="dash"/>
              </v:shape>
            </v:group>
            <v:group style="position:absolute;left:5000;top:828;width:2;height:392" coordorigin="5000,828" coordsize="2,392">
              <v:shape style="position:absolute;left:5000;top:828;width:2;height:392" coordorigin="5000,828" coordsize="0,392" path="m5000,828l5000,1219e" filled="false" stroked="true" strokeweight=".48pt" strokecolor="#000000">
                <v:path arrowok="t"/>
                <v:stroke dashstyle="dash"/>
              </v:shape>
            </v:group>
            <v:group style="position:absolute;left:1798;top:1224;width:3198;height:2" coordorigin="1798,1224" coordsize="3198,2">
              <v:shape style="position:absolute;left:1798;top:1224;width:3198;height:2" coordorigin="1798,1224" coordsize="3198,0" path="m1798,1224l4995,1224e" filled="false" stroked="true" strokeweight=".48pt" strokecolor="#000000">
                <v:path arrowok="t"/>
                <v:stroke dashstyle="dash"/>
              </v:shape>
            </v:group>
            <v:group style="position:absolute;left:5000;top:1219;width:2;height:24" coordorigin="5000,1219" coordsize="2,24">
              <v:shape style="position:absolute;left:5000;top:1219;width:2;height:24" coordorigin="5000,1219" coordsize="0,24" path="m5000,1219l5000,1243e" filled="false" stroked="true" strokeweight=".48pt" strokecolor="#000000">
                <v:path arrowok="t"/>
                <v:stroke dashstyle="dash"/>
              </v:shape>
            </v:group>
            <v:group style="position:absolute;left:5005;top:1224;width:5106;height:2" coordorigin="5005,1224" coordsize="5106,2">
              <v:shape style="position:absolute;left:5005;top:1224;width:5106;height:2" coordorigin="5005,1224" coordsize="5106,0" path="m5005,1224l10111,1224e" filled="false" stroked="true" strokeweight=".48pt" strokecolor="#000000">
                <v:path arrowok="t"/>
                <v:stroke dashstyle="dash"/>
              </v:shape>
            </v:group>
            <v:group style="position:absolute;left:5000;top:1243;width:2;height:394" coordorigin="5000,1243" coordsize="2,394">
              <v:shape style="position:absolute;left:5000;top:1243;width:2;height:394" coordorigin="5000,1243" coordsize="0,394" path="m5000,1243l5000,1637e" filled="false" stroked="true" strokeweight=".48pt" strokecolor="#000000">
                <v:path arrowok="t"/>
                <v:stroke dashstyle="dash"/>
              </v:shape>
            </v:group>
            <v:group style="position:absolute;left:1798;top:1641;width:3198;height:2" coordorigin="1798,1641" coordsize="3198,2">
              <v:shape style="position:absolute;left:1798;top:1641;width:3198;height:2" coordorigin="1798,1641" coordsize="3198,0" path="m1798,1641l4995,1641e" filled="false" stroked="true" strokeweight=".48pt" strokecolor="#000000">
                <v:path arrowok="t"/>
                <v:stroke dashstyle="dash"/>
              </v:shape>
            </v:group>
            <v:group style="position:absolute;left:5000;top:1637;width:2;height:24" coordorigin="5000,1637" coordsize="2,24">
              <v:shape style="position:absolute;left:5000;top:1637;width:2;height:24" coordorigin="5000,1637" coordsize="0,24" path="m5000,1637l5000,1661e" filled="false" stroked="true" strokeweight=".48pt" strokecolor="#000000">
                <v:path arrowok="t"/>
                <v:stroke dashstyle="dash"/>
              </v:shape>
            </v:group>
            <v:group style="position:absolute;left:5005;top:1641;width:5106;height:2" coordorigin="5005,1641" coordsize="5106,2">
              <v:shape style="position:absolute;left:5005;top:1641;width:5106;height:2" coordorigin="5005,1641" coordsize="5106,0" path="m5005,1641l10111,1641e" filled="false" stroked="true" strokeweight=".48pt" strokecolor="#000000">
                <v:path arrowok="t"/>
                <v:stroke dashstyle="dash"/>
              </v:shape>
            </v:group>
            <v:group style="position:absolute;left:5000;top:1661;width:2;height:394" coordorigin="5000,1661" coordsize="2,394">
              <v:shape style="position:absolute;left:5000;top:1661;width:2;height:394" coordorigin="5000,1661" coordsize="0,394" path="m5000,1661l5000,2054e" filled="false" stroked="true" strokeweight=".48pt" strokecolor="#000000">
                <v:path arrowok="t"/>
                <v:stroke dashstyle="dash"/>
              </v:shape>
            </v:group>
            <v:group style="position:absolute;left:1798;top:2059;width:3198;height:2" coordorigin="1798,2059" coordsize="3198,2">
              <v:shape style="position:absolute;left:1798;top:2059;width:3198;height:2" coordorigin="1798,2059" coordsize="3198,0" path="m1798,2059l4995,2059e" filled="false" stroked="true" strokeweight=".48pt" strokecolor="#000000">
                <v:path arrowok="t"/>
                <v:stroke dashstyle="dash"/>
              </v:shape>
            </v:group>
            <v:group style="position:absolute;left:5000;top:2054;width:2;height:24" coordorigin="5000,2054" coordsize="2,24">
              <v:shape style="position:absolute;left:5000;top:2054;width:2;height:24" coordorigin="5000,2054" coordsize="0,24" path="m5000,2054l5000,2078e" filled="false" stroked="true" strokeweight=".48pt" strokecolor="#000000">
                <v:path arrowok="t"/>
                <v:stroke dashstyle="dash"/>
              </v:shape>
            </v:group>
            <v:group style="position:absolute;left:5005;top:2059;width:5106;height:2" coordorigin="5005,2059" coordsize="5106,2">
              <v:shape style="position:absolute;left:5005;top:2059;width:5106;height:2" coordorigin="5005,2059" coordsize="5106,0" path="m5005,2059l10111,2059e" filled="false" stroked="true" strokeweight=".48pt" strokecolor="#000000">
                <v:path arrowok="t"/>
                <v:stroke dashstyle="dash"/>
              </v:shape>
            </v:group>
            <v:group style="position:absolute;left:5000;top:2078;width:2;height:394" coordorigin="5000,2078" coordsize="2,394">
              <v:shape style="position:absolute;left:5000;top:2078;width:2;height:394" coordorigin="5000,2078" coordsize="0,394" path="m5000,2078l5000,2472e" filled="false" stroked="true" strokeweight=".48pt" strokecolor="#000000">
                <v:path arrowok="t"/>
                <v:stroke dashstyle="dash"/>
              </v:shape>
            </v:group>
            <v:group style="position:absolute;left:1798;top:2477;width:3198;height:2" coordorigin="1798,2477" coordsize="3198,2">
              <v:shape style="position:absolute;left:1798;top:2477;width:3198;height:2" coordorigin="1798,2477" coordsize="3198,0" path="m1798,2477l4995,2477e" filled="false" stroked="true" strokeweight=".48pt" strokecolor="#000000">
                <v:path arrowok="t"/>
                <v:stroke dashstyle="dash"/>
              </v:shape>
            </v:group>
            <v:group style="position:absolute;left:5000;top:2472;width:2;height:24" coordorigin="5000,2472" coordsize="2,24">
              <v:shape style="position:absolute;left:5000;top:2472;width:2;height:24" coordorigin="5000,2472" coordsize="0,24" path="m5000,2472l5000,2496e" filled="false" stroked="true" strokeweight=".48pt" strokecolor="#000000">
                <v:path arrowok="t"/>
                <v:stroke dashstyle="dash"/>
              </v:shape>
            </v:group>
            <v:group style="position:absolute;left:5005;top:2477;width:5106;height:2" coordorigin="5005,2477" coordsize="5106,2">
              <v:shape style="position:absolute;left:5005;top:2477;width:5106;height:2" coordorigin="5005,2477" coordsize="5106,0" path="m5005,2477l10111,2477e" filled="false" stroked="true" strokeweight=".48pt" strokecolor="#000000">
                <v:path arrowok="t"/>
                <v:stroke dashstyle="dash"/>
              </v:shape>
            </v:group>
            <v:group style="position:absolute;left:5000;top:2496;width:2;height:392" coordorigin="5000,2496" coordsize="2,392">
              <v:shape style="position:absolute;left:5000;top:2496;width:2;height:392" coordorigin="5000,2496" coordsize="0,392" path="m5000,2496l5000,2888e" filled="false" stroked="true" strokeweight=".48pt" strokecolor="#000000">
                <v:path arrowok="t"/>
                <v:stroke dashstyle="dash"/>
              </v:shape>
            </v:group>
            <v:group style="position:absolute;left:1798;top:2892;width:3198;height:2" coordorigin="1798,2892" coordsize="3198,2">
              <v:shape style="position:absolute;left:1798;top:2892;width:3198;height:2" coordorigin="1798,2892" coordsize="3198,0" path="m1798,2892l4995,2892e" filled="false" stroked="true" strokeweight=".48pt" strokecolor="#000000">
                <v:path arrowok="t"/>
                <v:stroke dashstyle="dash"/>
              </v:shape>
            </v:group>
            <v:group style="position:absolute;left:5000;top:2888;width:2;height:24" coordorigin="5000,2888" coordsize="2,24">
              <v:shape style="position:absolute;left:5000;top:2888;width:2;height:24" coordorigin="5000,2888" coordsize="0,24" path="m5000,2888l5000,2912e" filled="false" stroked="true" strokeweight=".48pt" strokecolor="#000000">
                <v:path arrowok="t"/>
                <v:stroke dashstyle="dash"/>
              </v:shape>
            </v:group>
            <v:group style="position:absolute;left:5005;top:2892;width:5106;height:2" coordorigin="5005,2892" coordsize="5106,2">
              <v:shape style="position:absolute;left:5005;top:2892;width:5106;height:2" coordorigin="5005,2892" coordsize="5106,0" path="m5005,2892l10111,2892e" filled="false" stroked="true" strokeweight=".48pt" strokecolor="#000000">
                <v:path arrowok="t"/>
                <v:stroke dashstyle="dash"/>
              </v:shape>
            </v:group>
            <v:group style="position:absolute;left:5000;top:2912;width:2;height:394" coordorigin="5000,2912" coordsize="2,394">
              <v:shape style="position:absolute;left:5000;top:2912;width:2;height:394" coordorigin="5000,2912" coordsize="0,394" path="m5000,2912l5000,3305e" filled="false" stroked="true" strokeweight=".48pt" strokecolor="#000000">
                <v:path arrowok="t"/>
                <v:stroke dashstyle="dash"/>
              </v:shape>
            </v:group>
            <v:group style="position:absolute;left:1798;top:3310;width:3198;height:2" coordorigin="1798,3310" coordsize="3198,2">
              <v:shape style="position:absolute;left:1798;top:3310;width:3198;height:2" coordorigin="1798,3310" coordsize="3198,0" path="m1798,3310l4995,3310e" filled="false" stroked="true" strokeweight=".48pt" strokecolor="#000000">
                <v:path arrowok="t"/>
                <v:stroke dashstyle="dash"/>
              </v:shape>
            </v:group>
            <v:group style="position:absolute;left:5000;top:3305;width:2;height:24" coordorigin="5000,3305" coordsize="2,24">
              <v:shape style="position:absolute;left:5000;top:3305;width:2;height:24" coordorigin="5000,3305" coordsize="0,24" path="m5000,3305l5000,3329e" filled="false" stroked="true" strokeweight=".48pt" strokecolor="#000000">
                <v:path arrowok="t"/>
                <v:stroke dashstyle="dash"/>
              </v:shape>
            </v:group>
            <v:group style="position:absolute;left:5005;top:3310;width:5106;height:2" coordorigin="5005,3310" coordsize="5106,2">
              <v:shape style="position:absolute;left:5005;top:3310;width:5106;height:2" coordorigin="5005,3310" coordsize="5106,0" path="m5005,3310l10111,3310e" filled="false" stroked="true" strokeweight=".48pt" strokecolor="#000000">
                <v:path arrowok="t"/>
                <v:stroke dashstyle="dash"/>
              </v:shape>
            </v:group>
            <v:group style="position:absolute;left:5000;top:3329;width:2;height:394" coordorigin="5000,3329" coordsize="2,394">
              <v:shape style="position:absolute;left:5000;top:3329;width:2;height:394" coordorigin="5000,3329" coordsize="0,394" path="m5000,3329l5000,3723e" filled="false" stroked="true" strokeweight=".48pt" strokecolor="#000000">
                <v:path arrowok="t"/>
                <v:stroke dashstyle="dash"/>
              </v:shape>
            </v:group>
            <v:group style="position:absolute;left:1798;top:3728;width:3198;height:2" coordorigin="1798,3728" coordsize="3198,2">
              <v:shape style="position:absolute;left:1798;top:3728;width:3198;height:2" coordorigin="1798,3728" coordsize="3198,0" path="m1798,3728l4995,3728e" filled="false" stroked="true" strokeweight=".48pt" strokecolor="#000000">
                <v:path arrowok="t"/>
                <v:stroke dashstyle="dash"/>
              </v:shape>
            </v:group>
            <v:group style="position:absolute;left:5000;top:3723;width:2;height:24" coordorigin="5000,3723" coordsize="2,24">
              <v:shape style="position:absolute;left:5000;top:3723;width:2;height:24" coordorigin="5000,3723" coordsize="0,24" path="m5000,3723l5000,3747e" filled="false" stroked="true" strokeweight=".48pt" strokecolor="#000000">
                <v:path arrowok="t"/>
                <v:stroke dashstyle="dash"/>
              </v:shape>
            </v:group>
            <v:group style="position:absolute;left:5005;top:3728;width:5106;height:2" coordorigin="5005,3728" coordsize="5106,2">
              <v:shape style="position:absolute;left:5005;top:3728;width:5106;height:2" coordorigin="5005,3728" coordsize="5106,0" path="m5005,3728l10111,3728e" filled="false" stroked="true" strokeweight=".48pt" strokecolor="#000000">
                <v:path arrowok="t"/>
                <v:stroke dashstyle="dash"/>
              </v:shape>
            </v:group>
            <v:group style="position:absolute;left:5000;top:3747;width:2;height:394" coordorigin="5000,3747" coordsize="2,394">
              <v:shape style="position:absolute;left:5000;top:3747;width:2;height:394" coordorigin="5000,3747" coordsize="0,394" path="m5000,3747l5000,4140e" filled="false" stroked="true" strokeweight=".48pt" strokecolor="#000000">
                <v:path arrowok="t"/>
                <v:stroke dashstyle="dash"/>
              </v:shape>
            </v:group>
            <v:group style="position:absolute;left:1798;top:4145;width:3198;height:2" coordorigin="1798,4145" coordsize="3198,2">
              <v:shape style="position:absolute;left:1798;top:4145;width:3198;height:2" coordorigin="1798,4145" coordsize="3198,0" path="m1798,4145l4995,4145e" filled="false" stroked="true" strokeweight=".48pt" strokecolor="#000000">
                <v:path arrowok="t"/>
                <v:stroke dashstyle="dash"/>
              </v:shape>
            </v:group>
            <v:group style="position:absolute;left:5000;top:4140;width:2;height:24" coordorigin="5000,4140" coordsize="2,24">
              <v:shape style="position:absolute;left:5000;top:4140;width:2;height:24" coordorigin="5000,4140" coordsize="0,24" path="m5000,4140l5000,4164e" filled="false" stroked="true" strokeweight=".48pt" strokecolor="#000000">
                <v:path arrowok="t"/>
                <v:stroke dashstyle="dash"/>
              </v:shape>
            </v:group>
            <v:group style="position:absolute;left:5005;top:4145;width:5106;height:2" coordorigin="5005,4145" coordsize="5106,2">
              <v:shape style="position:absolute;left:5005;top:4145;width:5106;height:2" coordorigin="5005,4145" coordsize="5106,0" path="m5005,4145l10111,4145e" filled="false" stroked="true" strokeweight=".48pt" strokecolor="#000000">
                <v:path arrowok="t"/>
                <v:stroke dashstyle="dash"/>
              </v:shape>
            </v:group>
            <v:group style="position:absolute;left:5000;top:4164;width:2;height:392" coordorigin="5000,4164" coordsize="2,392">
              <v:shape style="position:absolute;left:5000;top:4164;width:2;height:392" coordorigin="5000,4164" coordsize="0,392" path="m5000,4164l5000,4556e" filled="false" stroked="true" strokeweight=".48pt" strokecolor="#000000">
                <v:path arrowok="t"/>
                <v:stroke dashstyle="dash"/>
              </v:shape>
            </v:group>
            <v:group style="position:absolute;left:1798;top:4560;width:3198;height:2" coordorigin="1798,4560" coordsize="3198,2">
              <v:shape style="position:absolute;left:1798;top:4560;width:3198;height:2" coordorigin="1798,4560" coordsize="3198,0" path="m1798,4560l4995,4560e" filled="false" stroked="true" strokeweight=".48pt" strokecolor="#000000">
                <v:path arrowok="t"/>
                <v:stroke dashstyle="dash"/>
              </v:shape>
            </v:group>
            <v:group style="position:absolute;left:5000;top:4556;width:2;height:24" coordorigin="5000,4556" coordsize="2,24">
              <v:shape style="position:absolute;left:5000;top:4556;width:2;height:24" coordorigin="5000,4556" coordsize="0,24" path="m5000,4556l5000,4580e" filled="false" stroked="true" strokeweight=".48pt" strokecolor="#000000">
                <v:path arrowok="t"/>
                <v:stroke dashstyle="dash"/>
              </v:shape>
            </v:group>
            <v:group style="position:absolute;left:5005;top:4560;width:5106;height:2" coordorigin="5005,4560" coordsize="5106,2">
              <v:shape style="position:absolute;left:5005;top:4560;width:5106;height:2" coordorigin="5005,4560" coordsize="5106,0" path="m5005,4560l10111,4560e" filled="false" stroked="true" strokeweight=".48pt" strokecolor="#000000">
                <v:path arrowok="t"/>
                <v:stroke dashstyle="dash"/>
              </v:shape>
            </v:group>
            <v:group style="position:absolute;left:5000;top:4580;width:2;height:394" coordorigin="5000,4580" coordsize="2,394">
              <v:shape style="position:absolute;left:5000;top:4580;width:2;height:394" coordorigin="5000,4580" coordsize="0,394" path="m5000,4580l5000,4973e" filled="false" stroked="true" strokeweight=".48pt" strokecolor="#000000">
                <v:path arrowok="t"/>
                <v:stroke dashstyle="dash"/>
              </v:shape>
            </v:group>
            <v:group style="position:absolute;left:1798;top:4978;width:3198;height:2" coordorigin="1798,4978" coordsize="3198,2">
              <v:shape style="position:absolute;left:1798;top:4978;width:3198;height:2" coordorigin="1798,4978" coordsize="3198,0" path="m1798,4978l4995,4978e" filled="false" stroked="true" strokeweight=".48pt" strokecolor="#000000">
                <v:path arrowok="t"/>
                <v:stroke dashstyle="dash"/>
              </v:shape>
            </v:group>
            <v:group style="position:absolute;left:5000;top:4973;width:2;height:24" coordorigin="5000,4973" coordsize="2,24">
              <v:shape style="position:absolute;left:5000;top:4973;width:2;height:24" coordorigin="5000,4973" coordsize="0,24" path="m5000,4973l5000,4997e" filled="false" stroked="true" strokeweight=".48pt" strokecolor="#000000">
                <v:path arrowok="t"/>
                <v:stroke dashstyle="dash"/>
              </v:shape>
            </v:group>
            <v:group style="position:absolute;left:5005;top:4978;width:5106;height:2" coordorigin="5005,4978" coordsize="5106,2">
              <v:shape style="position:absolute;left:5005;top:4978;width:5106;height:2" coordorigin="5005,4978" coordsize="5106,0" path="m5005,4978l10111,4978e" filled="false" stroked="true" strokeweight=".48pt" strokecolor="#000000">
                <v:path arrowok="t"/>
                <v:stroke dashstyle="dash"/>
              </v:shape>
            </v:group>
            <v:group style="position:absolute;left:5000;top:4997;width:2;height:394" coordorigin="5000,4997" coordsize="2,394">
              <v:shape style="position:absolute;left:5000;top:4997;width:2;height:394" coordorigin="5000,4997" coordsize="0,394" path="m5000,4997l5000,5391e" filled="false" stroked="true" strokeweight=".48pt" strokecolor="#000000">
                <v:path arrowok="t"/>
                <v:stroke dashstyle="dash"/>
              </v:shape>
            </v:group>
            <v:group style="position:absolute;left:1798;top:5396;width:3198;height:2" coordorigin="1798,5396" coordsize="3198,2">
              <v:shape style="position:absolute;left:1798;top:5396;width:3198;height:2" coordorigin="1798,5396" coordsize="3198,0" path="m1798,5396l4995,5396e" filled="false" stroked="true" strokeweight=".48pt" strokecolor="#000000">
                <v:path arrowok="t"/>
                <v:stroke dashstyle="dash"/>
              </v:shape>
            </v:group>
            <v:group style="position:absolute;left:5000;top:5391;width:2;height:24" coordorigin="5000,5391" coordsize="2,24">
              <v:shape style="position:absolute;left:5000;top:5391;width:2;height:24" coordorigin="5000,5391" coordsize="0,24" path="m5000,5391l5000,5415e" filled="false" stroked="true" strokeweight=".48pt" strokecolor="#000000">
                <v:path arrowok="t"/>
                <v:stroke dashstyle="dash"/>
              </v:shape>
            </v:group>
            <v:group style="position:absolute;left:5005;top:5396;width:5106;height:2" coordorigin="5005,5396" coordsize="5106,2">
              <v:shape style="position:absolute;left:5005;top:5396;width:5106;height:2" coordorigin="5005,5396" coordsize="5106,0" path="m5005,5396l10111,5396e" filled="false" stroked="true" strokeweight=".48pt" strokecolor="#000000">
                <v:path arrowok="t"/>
                <v:stroke dashstyle="dash"/>
              </v:shape>
            </v:group>
            <v:group style="position:absolute;left:5000;top:5415;width:2;height:394" coordorigin="5000,5415" coordsize="2,394">
              <v:shape style="position:absolute;left:5000;top:5415;width:2;height:394" coordorigin="5000,5415" coordsize="0,394" path="m5000,5415l5000,5808e" filled="false" stroked="true" strokeweight=".48pt" strokecolor="#000000">
                <v:path arrowok="t"/>
                <v:stroke dashstyle="dash"/>
              </v:shape>
            </v:group>
            <v:group style="position:absolute;left:1798;top:5813;width:3198;height:2" coordorigin="1798,5813" coordsize="3198,2">
              <v:shape style="position:absolute;left:1798;top:5813;width:3198;height:2" coordorigin="1798,5813" coordsize="3198,0" path="m1798,5813l4995,5813e" filled="false" stroked="true" strokeweight=".48pt" strokecolor="#000000">
                <v:path arrowok="t"/>
                <v:stroke dashstyle="dash"/>
              </v:shape>
            </v:group>
            <v:group style="position:absolute;left:5000;top:5808;width:2;height:24" coordorigin="5000,5808" coordsize="2,24">
              <v:shape style="position:absolute;left:5000;top:5808;width:2;height:24" coordorigin="5000,5808" coordsize="0,24" path="m5000,5808l5000,5832e" filled="false" stroked="true" strokeweight=".48pt" strokecolor="#000000">
                <v:path arrowok="t"/>
                <v:stroke dashstyle="dash"/>
              </v:shape>
            </v:group>
            <v:group style="position:absolute;left:5005;top:5813;width:5106;height:2" coordorigin="5005,5813" coordsize="5106,2">
              <v:shape style="position:absolute;left:5005;top:5813;width:5106;height:2" coordorigin="5005,5813" coordsize="5106,0" path="m5005,5813l10111,5813e" filled="false" stroked="true" strokeweight=".48pt" strokecolor="#000000">
                <v:path arrowok="t"/>
                <v:stroke dashstyle="dash"/>
              </v:shape>
            </v:group>
            <v:group style="position:absolute;left:5000;top:5832;width:2;height:392" coordorigin="5000,5832" coordsize="2,392">
              <v:shape style="position:absolute;left:5000;top:5832;width:2;height:392" coordorigin="5000,5832" coordsize="0,392" path="m5000,5832l5000,6224e" filled="false" stroked="true" strokeweight=".48pt" strokecolor="#000000">
                <v:path arrowok="t"/>
                <v:stroke dashstyle="dash"/>
              </v:shape>
            </v:group>
            <v:group style="position:absolute;left:1798;top:6229;width:3198;height:2" coordorigin="1798,6229" coordsize="3198,2">
              <v:shape style="position:absolute;left:1798;top:6229;width:3198;height:2" coordorigin="1798,6229" coordsize="3198,0" path="m1798,6229l4995,6229e" filled="false" stroked="true" strokeweight=".48pt" strokecolor="#000000">
                <v:path arrowok="t"/>
                <v:stroke dashstyle="dash"/>
              </v:shape>
            </v:group>
            <v:group style="position:absolute;left:5000;top:6224;width:2;height:24" coordorigin="5000,6224" coordsize="2,24">
              <v:shape style="position:absolute;left:5000;top:6224;width:2;height:24" coordorigin="5000,6224" coordsize="0,24" path="m5000,6224l5000,6248e" filled="false" stroked="true" strokeweight=".48pt" strokecolor="#000000">
                <v:path arrowok="t"/>
                <v:stroke dashstyle="dash"/>
              </v:shape>
            </v:group>
            <v:group style="position:absolute;left:5005;top:6229;width:5106;height:2" coordorigin="5005,6229" coordsize="5106,2">
              <v:shape style="position:absolute;left:5005;top:6229;width:5106;height:2" coordorigin="5005,6229" coordsize="5106,0" path="m5005,6229l10111,6229e" filled="false" stroked="true" strokeweight=".48pt" strokecolor="#000000">
                <v:path arrowok="t"/>
                <v:stroke dashstyle="dash"/>
              </v:shape>
            </v:group>
            <v:group style="position:absolute;left:5000;top:6248;width:2;height:394" coordorigin="5000,6248" coordsize="2,394">
              <v:shape style="position:absolute;left:5000;top:6248;width:2;height:394" coordorigin="5000,6248" coordsize="0,394" path="m5000,6248l5000,6642e" filled="false" stroked="true" strokeweight=".48pt" strokecolor="#000000">
                <v:path arrowok="t"/>
                <v:stroke dashstyle="dash"/>
              </v:shape>
            </v:group>
            <v:group style="position:absolute;left:1798;top:6646;width:3198;height:2" coordorigin="1798,6646" coordsize="3198,2">
              <v:shape style="position:absolute;left:1798;top:6646;width:3198;height:2" coordorigin="1798,6646" coordsize="3198,0" path="m1798,6646l4995,6646e" filled="false" stroked="true" strokeweight=".48pt" strokecolor="#000000">
                <v:path arrowok="t"/>
                <v:stroke dashstyle="dash"/>
              </v:shape>
            </v:group>
            <v:group style="position:absolute;left:5000;top:6642;width:2;height:24" coordorigin="5000,6642" coordsize="2,24">
              <v:shape style="position:absolute;left:5000;top:6642;width:2;height:24" coordorigin="5000,6642" coordsize="0,24" path="m5000,6642l5000,6666e" filled="false" stroked="true" strokeweight=".48pt" strokecolor="#000000">
                <v:path arrowok="t"/>
                <v:stroke dashstyle="dash"/>
              </v:shape>
            </v:group>
            <v:group style="position:absolute;left:5005;top:6646;width:5106;height:2" coordorigin="5005,6646" coordsize="5106,2">
              <v:shape style="position:absolute;left:5005;top:6646;width:5106;height:2" coordorigin="5005,6646" coordsize="5106,0" path="m5005,6646l10111,6646e" filled="false" stroked="true" strokeweight=".48pt" strokecolor="#000000">
                <v:path arrowok="t"/>
                <v:stroke dashstyle="dash"/>
              </v:shape>
            </v:group>
            <v:group style="position:absolute;left:5000;top:6666;width:2;height:394" coordorigin="5000,6666" coordsize="2,394">
              <v:shape style="position:absolute;left:5000;top:6666;width:2;height:394" coordorigin="5000,6666" coordsize="0,394" path="m5000,6666l5000,7059e" filled="false" stroked="true" strokeweight=".48pt" strokecolor="#000000">
                <v:path arrowok="t"/>
                <v:stroke dashstyle="dash"/>
              </v:shape>
            </v:group>
            <v:group style="position:absolute;left:1798;top:7064;width:3198;height:2" coordorigin="1798,7064" coordsize="3198,2">
              <v:shape style="position:absolute;left:1798;top:7064;width:3198;height:2" coordorigin="1798,7064" coordsize="3198,0" path="m1798,7064l4995,7064e" filled="false" stroked="true" strokeweight=".48pt" strokecolor="#000000">
                <v:path arrowok="t"/>
                <v:stroke dashstyle="dash"/>
              </v:shape>
            </v:group>
            <v:group style="position:absolute;left:5000;top:7059;width:2;height:24" coordorigin="5000,7059" coordsize="2,24">
              <v:shape style="position:absolute;left:5000;top:7059;width:2;height:24" coordorigin="5000,7059" coordsize="0,24" path="m5000,7059l5000,7083e" filled="false" stroked="true" strokeweight=".48pt" strokecolor="#000000">
                <v:path arrowok="t"/>
                <v:stroke dashstyle="dash"/>
              </v:shape>
            </v:group>
            <v:group style="position:absolute;left:5005;top:7064;width:5106;height:2" coordorigin="5005,7064" coordsize="5106,2">
              <v:shape style="position:absolute;left:5005;top:7064;width:5106;height:2" coordorigin="5005,7064" coordsize="5106,0" path="m5005,7064l10111,7064e" filled="false" stroked="true" strokeweight=".48pt" strokecolor="#000000">
                <v:path arrowok="t"/>
                <v:stroke dashstyle="dash"/>
              </v:shape>
            </v:group>
            <v:group style="position:absolute;left:5000;top:7083;width:2;height:394" coordorigin="5000,7083" coordsize="2,394">
              <v:shape style="position:absolute;left:5000;top:7083;width:2;height:394" coordorigin="5000,7083" coordsize="0,394" path="m5000,7083l5000,7477e" filled="false" stroked="true" strokeweight=".48pt" strokecolor="#000000">
                <v:path arrowok="t"/>
                <v:stroke dashstyle="dash"/>
              </v:shape>
            </v:group>
            <v:group style="position:absolute;left:1798;top:7482;width:3198;height:2" coordorigin="1798,7482" coordsize="3198,2">
              <v:shape style="position:absolute;left:1798;top:7482;width:3198;height:2" coordorigin="1798,7482" coordsize="3198,0" path="m1798,7482l4995,7482e" filled="false" stroked="true" strokeweight=".48pt" strokecolor="#000000">
                <v:path arrowok="t"/>
                <v:stroke dashstyle="dash"/>
              </v:shape>
            </v:group>
            <v:group style="position:absolute;left:5000;top:7477;width:2;height:24" coordorigin="5000,7477" coordsize="2,24">
              <v:shape style="position:absolute;left:5000;top:7477;width:2;height:24" coordorigin="5000,7477" coordsize="0,24" path="m5000,7477l5000,7501e" filled="false" stroked="true" strokeweight=".48pt" strokecolor="#000000">
                <v:path arrowok="t"/>
                <v:stroke dashstyle="dash"/>
              </v:shape>
            </v:group>
            <v:group style="position:absolute;left:5005;top:7482;width:5106;height:2" coordorigin="5005,7482" coordsize="5106,2">
              <v:shape style="position:absolute;left:5005;top:7482;width:5106;height:2" coordorigin="5005,7482" coordsize="5106,0" path="m5005,7482l10111,7482e" filled="false" stroked="true" strokeweight=".48pt" strokecolor="#000000">
                <v:path arrowok="t"/>
                <v:stroke dashstyle="dash"/>
              </v:shape>
            </v:group>
            <v:group style="position:absolute;left:5000;top:7501;width:2;height:392" coordorigin="5000,7501" coordsize="2,392">
              <v:shape style="position:absolute;left:5000;top:7501;width:2;height:392" coordorigin="5000,7501" coordsize="0,392" path="m5000,7501l5000,7892e" filled="false" stroked="true" strokeweight=".48pt" strokecolor="#000000">
                <v:path arrowok="t"/>
                <v:stroke dashstyle="dash"/>
              </v:shape>
            </v:group>
            <v:group style="position:absolute;left:1798;top:7897;width:3198;height:2" coordorigin="1798,7897" coordsize="3198,2">
              <v:shape style="position:absolute;left:1798;top:7897;width:3198;height:2" coordorigin="1798,7897" coordsize="3198,0" path="m1798,7897l4995,7897e" filled="false" stroked="true" strokeweight=".48pt" strokecolor="#000000">
                <v:path arrowok="t"/>
                <v:stroke dashstyle="dash"/>
              </v:shape>
            </v:group>
            <v:group style="position:absolute;left:5000;top:7892;width:2;height:24" coordorigin="5000,7892" coordsize="2,24">
              <v:shape style="position:absolute;left:5000;top:7892;width:2;height:24" coordorigin="5000,7892" coordsize="0,24" path="m5000,7892l5000,7916e" filled="false" stroked="true" strokeweight=".48pt" strokecolor="#000000">
                <v:path arrowok="t"/>
                <v:stroke dashstyle="dash"/>
              </v:shape>
            </v:group>
            <v:group style="position:absolute;left:5005;top:7897;width:5106;height:2" coordorigin="5005,7897" coordsize="5106,2">
              <v:shape style="position:absolute;left:5005;top:7897;width:5106;height:2" coordorigin="5005,7897" coordsize="5106,0" path="m5005,7897l10111,7897e" filled="false" stroked="true" strokeweight=".48pt" strokecolor="#000000">
                <v:path arrowok="t"/>
                <v:stroke dashstyle="dash"/>
              </v:shape>
            </v:group>
            <v:group style="position:absolute;left:5000;top:7916;width:2;height:394" coordorigin="5000,7916" coordsize="2,394">
              <v:shape style="position:absolute;left:5000;top:7916;width:2;height:394" coordorigin="5000,7916" coordsize="0,394" path="m5000,7916l5000,8310e" filled="false" stroked="true" strokeweight=".48pt" strokecolor="#000000">
                <v:path arrowok="t"/>
                <v:stroke dashstyle="dash"/>
              </v:shape>
            </v:group>
            <v:group style="position:absolute;left:1798;top:8314;width:3198;height:2" coordorigin="1798,8314" coordsize="3198,2">
              <v:shape style="position:absolute;left:1798;top:8314;width:3198;height:2" coordorigin="1798,8314" coordsize="3198,0" path="m1798,8314l4995,8314e" filled="false" stroked="true" strokeweight=".48pt" strokecolor="#000000">
                <v:path arrowok="t"/>
                <v:stroke dashstyle="dash"/>
              </v:shape>
            </v:group>
            <v:group style="position:absolute;left:5000;top:8310;width:2;height:24" coordorigin="5000,8310" coordsize="2,24">
              <v:shape style="position:absolute;left:5000;top:8310;width:2;height:24" coordorigin="5000,8310" coordsize="0,24" path="m5000,8310l5000,8334e" filled="false" stroked="true" strokeweight=".48pt" strokecolor="#000000">
                <v:path arrowok="t"/>
                <v:stroke dashstyle="dash"/>
              </v:shape>
            </v:group>
            <v:group style="position:absolute;left:5005;top:8314;width:5106;height:2" coordorigin="5005,8314" coordsize="5106,2">
              <v:shape style="position:absolute;left:5005;top:8314;width:5106;height:2" coordorigin="5005,8314" coordsize="5106,0" path="m5005,8314l10111,8314e" filled="false" stroked="true" strokeweight=".48pt" strokecolor="#000000">
                <v:path arrowok="t"/>
                <v:stroke dashstyle="dash"/>
              </v:shape>
            </v:group>
            <v:group style="position:absolute;left:5000;top:8334;width:2;height:394" coordorigin="5000,8334" coordsize="2,394">
              <v:shape style="position:absolute;left:5000;top:8334;width:2;height:394" coordorigin="5000,8334" coordsize="0,394" path="m5000,8334l5000,8727e" filled="false" stroked="true" strokeweight=".48pt" strokecolor="#000000">
                <v:path arrowok="t"/>
                <v:stroke dashstyle="dash"/>
              </v:shape>
            </v:group>
            <v:group style="position:absolute;left:1798;top:8732;width:3198;height:2" coordorigin="1798,8732" coordsize="3198,2">
              <v:shape style="position:absolute;left:1798;top:8732;width:3198;height:2" coordorigin="1798,8732" coordsize="3198,0" path="m1798,8732l4995,8732e" filled="false" stroked="true" strokeweight=".48pt" strokecolor="#000000">
                <v:path arrowok="t"/>
                <v:stroke dashstyle="dash"/>
              </v:shape>
            </v:group>
            <v:group style="position:absolute;left:5000;top:8727;width:2;height:24" coordorigin="5000,8727" coordsize="2,24">
              <v:shape style="position:absolute;left:5000;top:8727;width:2;height:24" coordorigin="5000,8727" coordsize="0,24" path="m5000,8727l5000,8751e" filled="false" stroked="true" strokeweight=".48pt" strokecolor="#000000">
                <v:path arrowok="t"/>
                <v:stroke dashstyle="dash"/>
              </v:shape>
            </v:group>
            <v:group style="position:absolute;left:5005;top:8732;width:5106;height:2" coordorigin="5005,8732" coordsize="5106,2">
              <v:shape style="position:absolute;left:5005;top:8732;width:5106;height:2" coordorigin="5005,8732" coordsize="5106,0" path="m5005,8732l10111,8732e" filled="false" stroked="true" strokeweight=".48pt" strokecolor="#000000">
                <v:path arrowok="t"/>
                <v:stroke dashstyle="dash"/>
              </v:shape>
            </v:group>
            <v:group style="position:absolute;left:5000;top:8751;width:2;height:394" coordorigin="5000,8751" coordsize="2,394">
              <v:shape style="position:absolute;left:5000;top:8751;width:2;height:394" coordorigin="5000,8751" coordsize="0,394" path="m5000,8751l5000,9145e" filled="false" stroked="true" strokeweight=".48pt" strokecolor="#000000">
                <v:path arrowok="t"/>
                <v:stroke dashstyle="dash"/>
              </v:shape>
            </v:group>
            <v:group style="position:absolute;left:1798;top:9150;width:3198;height:2" coordorigin="1798,9150" coordsize="3198,2">
              <v:shape style="position:absolute;left:1798;top:9150;width:3198;height:2" coordorigin="1798,9150" coordsize="3198,0" path="m1798,9150l4995,9150e" filled="false" stroked="true" strokeweight=".48pt" strokecolor="#000000">
                <v:path arrowok="t"/>
                <v:stroke dashstyle="dash"/>
              </v:shape>
            </v:group>
            <v:group style="position:absolute;left:5000;top:9145;width:2;height:24" coordorigin="5000,9145" coordsize="2,24">
              <v:shape style="position:absolute;left:5000;top:9145;width:2;height:24" coordorigin="5000,9145" coordsize="0,24" path="m5000,9145l5000,9169e" filled="false" stroked="true" strokeweight=".48pt" strokecolor="#000000">
                <v:path arrowok="t"/>
                <v:stroke dashstyle="dash"/>
              </v:shape>
            </v:group>
            <v:group style="position:absolute;left:5005;top:9150;width:5106;height:2" coordorigin="5005,9150" coordsize="5106,2">
              <v:shape style="position:absolute;left:5005;top:9150;width:5106;height:2" coordorigin="5005,9150" coordsize="5106,0" path="m5005,9150l10111,9150e" filled="false" stroked="true" strokeweight=".48pt" strokecolor="#000000">
                <v:path arrowok="t"/>
                <v:stroke dashstyle="dash"/>
              </v:shape>
            </v:group>
            <v:group style="position:absolute;left:5000;top:9169;width:2;height:392" coordorigin="5000,9169" coordsize="2,392">
              <v:shape style="position:absolute;left:5000;top:9169;width:2;height:392" coordorigin="5000,9169" coordsize="0,392" path="m5000,9169l5000,9561e" filled="false" stroked="true" strokeweight=".48pt" strokecolor="#000000">
                <v:path arrowok="t"/>
                <v:stroke dashstyle="dash"/>
              </v:shape>
            </v:group>
            <v:group style="position:absolute;left:1798;top:9565;width:3198;height:2" coordorigin="1798,9565" coordsize="3198,2">
              <v:shape style="position:absolute;left:1798;top:9565;width:3198;height:2" coordorigin="1798,9565" coordsize="3198,0" path="m1798,9565l4995,9565e" filled="false" stroked="true" strokeweight=".48pt" strokecolor="#000000">
                <v:path arrowok="t"/>
                <v:stroke dashstyle="dash"/>
              </v:shape>
            </v:group>
            <v:group style="position:absolute;left:5000;top:9561;width:2;height:24" coordorigin="5000,9561" coordsize="2,24">
              <v:shape style="position:absolute;left:5000;top:9561;width:2;height:24" coordorigin="5000,9561" coordsize="0,24" path="m5000,9561l5000,9585e" filled="false" stroked="true" strokeweight=".48pt" strokecolor="#000000">
                <v:path arrowok="t"/>
                <v:stroke dashstyle="dash"/>
              </v:shape>
            </v:group>
            <v:group style="position:absolute;left:5005;top:9565;width:5106;height:2" coordorigin="5005,9565" coordsize="5106,2">
              <v:shape style="position:absolute;left:5005;top:9565;width:5106;height:2" coordorigin="5005,9565" coordsize="5106,0" path="m5005,9565l10111,9565e" filled="false" stroked="true" strokeweight=".48pt" strokecolor="#000000">
                <v:path arrowok="t"/>
                <v:stroke dashstyle="dash"/>
              </v:shape>
            </v:group>
            <v:group style="position:absolute;left:5000;top:9585;width:2;height:394" coordorigin="5000,9585" coordsize="2,394">
              <v:shape style="position:absolute;left:5000;top:9585;width:2;height:394" coordorigin="5000,9585" coordsize="0,394" path="m5000,9585l5000,9978e" filled="false" stroked="true" strokeweight=".48pt" strokecolor="#000000">
                <v:path arrowok="t"/>
                <v:stroke dashstyle="dash"/>
              </v:shape>
            </v:group>
            <v:group style="position:absolute;left:1798;top:9983;width:3198;height:2" coordorigin="1798,9983" coordsize="3198,2">
              <v:shape style="position:absolute;left:1798;top:9983;width:3198;height:2" coordorigin="1798,9983" coordsize="3198,0" path="m1798,9983l4995,9983e" filled="false" stroked="true" strokeweight=".48pt" strokecolor="#000000">
                <v:path arrowok="t"/>
                <v:stroke dashstyle="dash"/>
              </v:shape>
            </v:group>
            <v:group style="position:absolute;left:5000;top:9978;width:2;height:24" coordorigin="5000,9978" coordsize="2,24">
              <v:shape style="position:absolute;left:5000;top:9978;width:2;height:24" coordorigin="5000,9978" coordsize="0,24" path="m5000,9978l5000,10002e" filled="false" stroked="true" strokeweight=".48pt" strokecolor="#000000">
                <v:path arrowok="t"/>
                <v:stroke dashstyle="dash"/>
              </v:shape>
            </v:group>
            <v:group style="position:absolute;left:5005;top:9983;width:5106;height:2" coordorigin="5005,9983" coordsize="5106,2">
              <v:shape style="position:absolute;left:5005;top:9983;width:5106;height:2" coordorigin="5005,9983" coordsize="5106,0" path="m5005,9983l10111,9983e" filled="false" stroked="true" strokeweight=".48pt" strokecolor="#000000">
                <v:path arrowok="t"/>
                <v:stroke dashstyle="dash"/>
              </v:shape>
            </v:group>
            <v:group style="position:absolute;left:5000;top:10002;width:2;height:706" coordorigin="5000,10002" coordsize="2,706">
              <v:shape style="position:absolute;left:5000;top:10002;width:2;height:706" coordorigin="5000,10002" coordsize="0,706" path="m5000,10002l5000,10708e" filled="false" stroked="true" strokeweight=".48pt" strokecolor="#000000">
                <v:path arrowok="t"/>
                <v:stroke dashstyle="dash"/>
              </v:shape>
            </v:group>
            <v:group style="position:absolute;left:1798;top:10713;width:3198;height:2" coordorigin="1798,10713" coordsize="3198,2">
              <v:shape style="position:absolute;left:1798;top:10713;width:3198;height:2" coordorigin="1798,10713" coordsize="3198,0" path="m1798,10713l4995,10713e" filled="false" stroked="true" strokeweight=".48pt" strokecolor="#000000">
                <v:path arrowok="t"/>
                <v:stroke dashstyle="dash"/>
              </v:shape>
            </v:group>
            <v:group style="position:absolute;left:5000;top:10708;width:2;height:24" coordorigin="5000,10708" coordsize="2,24">
              <v:shape style="position:absolute;left:5000;top:10708;width:2;height:24" coordorigin="5000,10708" coordsize="0,24" path="m5000,10708l5000,10732e" filled="false" stroked="true" strokeweight=".48pt" strokecolor="#000000">
                <v:path arrowok="t"/>
                <v:stroke dashstyle="dash"/>
              </v:shape>
            </v:group>
            <v:group style="position:absolute;left:5005;top:10713;width:5106;height:2" coordorigin="5005,10713" coordsize="5106,2">
              <v:shape style="position:absolute;left:5005;top:10713;width:5106;height:2" coordorigin="5005,10713" coordsize="5106,0" path="m5005,10713l10111,10713e" filled="false" stroked="true" strokeweight=".48pt" strokecolor="#000000">
                <v:path arrowok="t"/>
                <v:stroke dashstyle="dash"/>
              </v:shape>
            </v:group>
            <v:group style="position:absolute;left:5000;top:10732;width:2;height:394" coordorigin="5000,10732" coordsize="2,394">
              <v:shape style="position:absolute;left:5000;top:10732;width:2;height:394" coordorigin="5000,10732" coordsize="0,394" path="m5000,10732l5000,11125e" filled="false" stroked="true" strokeweight=".48pt" strokecolor="#000000">
                <v:path arrowok="t"/>
                <v:stroke dashstyle="dash"/>
              </v:shape>
            </v:group>
            <v:group style="position:absolute;left:1798;top:11130;width:3198;height:2" coordorigin="1798,11130" coordsize="3198,2">
              <v:shape style="position:absolute;left:1798;top:11130;width:3198;height:2" coordorigin="1798,11130" coordsize="3198,0" path="m1798,11130l4995,11130e" filled="false" stroked="true" strokeweight=".48pt" strokecolor="#000000">
                <v:path arrowok="t"/>
                <v:stroke dashstyle="dash"/>
              </v:shape>
            </v:group>
            <v:group style="position:absolute;left:5000;top:11125;width:2;height:24" coordorigin="5000,11125" coordsize="2,24">
              <v:shape style="position:absolute;left:5000;top:11125;width:2;height:24" coordorigin="5000,11125" coordsize="0,24" path="m5000,11125l5000,11149e" filled="false" stroked="true" strokeweight=".48pt" strokecolor="#000000">
                <v:path arrowok="t"/>
                <v:stroke dashstyle="dash"/>
              </v:shape>
            </v:group>
            <v:group style="position:absolute;left:5005;top:11130;width:5106;height:2" coordorigin="5005,11130" coordsize="5106,2">
              <v:shape style="position:absolute;left:5005;top:11130;width:5106;height:2" coordorigin="5005,11130" coordsize="5106,0" path="m5005,11130l10111,11130e" filled="false" stroked="true" strokeweight=".48pt" strokecolor="#000000">
                <v:path arrowok="t"/>
                <v:stroke dashstyle="dash"/>
              </v:shape>
            </v:group>
            <v:group style="position:absolute;left:5000;top:11149;width:2;height:392" coordorigin="5000,11149" coordsize="2,392">
              <v:shape style="position:absolute;left:5000;top:11149;width:2;height:392" coordorigin="5000,11149" coordsize="0,392" path="m5000,11149l5000,11541e" filled="false" stroked="true" strokeweight=".48pt" strokecolor="#000000">
                <v:path arrowok="t"/>
                <v:stroke dashstyle="dash"/>
              </v:shape>
            </v:group>
            <v:group style="position:absolute;left:1798;top:11545;width:3198;height:2" coordorigin="1798,11545" coordsize="3198,2">
              <v:shape style="position:absolute;left:1798;top:11545;width:3198;height:2" coordorigin="1798,11545" coordsize="3198,0" path="m1798,11545l4995,11545e" filled="false" stroked="true" strokeweight=".48pt" strokecolor="#000000">
                <v:path arrowok="t"/>
                <v:stroke dashstyle="dash"/>
              </v:shape>
            </v:group>
            <v:group style="position:absolute;left:5000;top:11541;width:2;height:24" coordorigin="5000,11541" coordsize="2,24">
              <v:shape style="position:absolute;left:5000;top:11541;width:2;height:24" coordorigin="5000,11541" coordsize="0,24" path="m5000,11541l5000,11565e" filled="false" stroked="true" strokeweight=".48pt" strokecolor="#000000">
                <v:path arrowok="t"/>
                <v:stroke dashstyle="dash"/>
              </v:shape>
            </v:group>
            <v:group style="position:absolute;left:5005;top:11545;width:5106;height:2" coordorigin="5005,11545" coordsize="5106,2">
              <v:shape style="position:absolute;left:5005;top:11545;width:5106;height:2" coordorigin="5005,11545" coordsize="5106,0" path="m5005,11545l10111,11545e" filled="false" stroked="true" strokeweight=".48pt" strokecolor="#000000">
                <v:path arrowok="t"/>
                <v:stroke dashstyle="dash"/>
              </v:shape>
            </v:group>
            <v:group style="position:absolute;left:5000;top:11565;width:2;height:394" coordorigin="5000,11565" coordsize="2,394">
              <v:shape style="position:absolute;left:5000;top:11565;width:2;height:394" coordorigin="5000,11565" coordsize="0,394" path="m5000,11565l5000,11958e" filled="false" stroked="true" strokeweight=".48pt" strokecolor="#000000">
                <v:path arrowok="t"/>
                <v:stroke dashstyle="dash"/>
              </v:shape>
            </v:group>
            <v:group style="position:absolute;left:1798;top:11963;width:3198;height:2" coordorigin="1798,11963" coordsize="3198,2">
              <v:shape style="position:absolute;left:1798;top:11963;width:3198;height:2" coordorigin="1798,11963" coordsize="3198,0" path="m1798,11963l4995,11963e" filled="false" stroked="true" strokeweight=".48pt" strokecolor="#000000">
                <v:path arrowok="t"/>
                <v:stroke dashstyle="dash"/>
              </v:shape>
            </v:group>
            <v:group style="position:absolute;left:5000;top:11958;width:2;height:24" coordorigin="5000,11958" coordsize="2,24">
              <v:shape style="position:absolute;left:5000;top:11958;width:2;height:24" coordorigin="5000,11958" coordsize="0,24" path="m5000,11958l5000,11982e" filled="false" stroked="true" strokeweight=".48pt" strokecolor="#000000">
                <v:path arrowok="t"/>
                <v:stroke dashstyle="dash"/>
              </v:shape>
            </v:group>
            <v:group style="position:absolute;left:5005;top:11963;width:5106;height:2" coordorigin="5005,11963" coordsize="5106,2">
              <v:shape style="position:absolute;left:5005;top:11963;width:5106;height:2" coordorigin="5005,11963" coordsize="5106,0" path="m5005,11963l10111,11963e" filled="false" stroked="true" strokeweight=".48pt" strokecolor="#000000">
                <v:path arrowok="t"/>
                <v:stroke dashstyle="dash"/>
              </v:shape>
            </v:group>
            <v:group style="position:absolute;left:5000;top:11982;width:2;height:394" coordorigin="5000,11982" coordsize="2,394">
              <v:shape style="position:absolute;left:5000;top:11982;width:2;height:394" coordorigin="5000,11982" coordsize="0,394" path="m5000,11982l5000,12376e" filled="false" stroked="true" strokeweight=".48pt" strokecolor="#000000">
                <v:path arrowok="t"/>
                <v:stroke dashstyle="dash"/>
              </v:shape>
            </v:group>
            <v:group style="position:absolute;left:1798;top:12381;width:3198;height:2" coordorigin="1798,12381" coordsize="3198,2">
              <v:shape style="position:absolute;left:1798;top:12381;width:3198;height:2" coordorigin="1798,12381" coordsize="3198,0" path="m1798,12381l4995,12381e" filled="false" stroked="true" strokeweight=".48pt" strokecolor="#000000">
                <v:path arrowok="t"/>
                <v:stroke dashstyle="dash"/>
              </v:shape>
            </v:group>
            <v:group style="position:absolute;left:5000;top:12376;width:2;height:24" coordorigin="5000,12376" coordsize="2,24">
              <v:shape style="position:absolute;left:5000;top:12376;width:2;height:24" coordorigin="5000,12376" coordsize="0,24" path="m5000,12376l5000,12400e" filled="false" stroked="true" strokeweight=".48pt" strokecolor="#000000">
                <v:path arrowok="t"/>
                <v:stroke dashstyle="dash"/>
              </v:shape>
            </v:group>
            <v:group style="position:absolute;left:5005;top:12381;width:5106;height:2" coordorigin="5005,12381" coordsize="5106,2">
              <v:shape style="position:absolute;left:5005;top:12381;width:5106;height:2" coordorigin="5005,12381" coordsize="5106,0" path="m5005,12381l10111,12381e" filled="false" stroked="true" strokeweight=".48pt" strokecolor="#000000">
                <v:path arrowok="t"/>
                <v:stroke dashstyle="dash"/>
              </v:shape>
            </v:group>
            <v:group style="position:absolute;left:1784;top:12799;width:3212;height:2" coordorigin="1784,12799" coordsize="3212,2">
              <v:shape style="position:absolute;left:1784;top:12799;width:3212;height:2" coordorigin="1784,12799" coordsize="3212,0" path="m1784,12799l4995,12799e" filled="false" stroked="true" strokeweight=".48pt" strokecolor="#000000">
                <v:path arrowok="t"/>
                <v:stroke dashstyle="dash"/>
              </v:shape>
            </v:group>
            <v:group style="position:absolute;left:5000;top:12400;width:2;height:394" coordorigin="5000,12400" coordsize="2,394">
              <v:shape style="position:absolute;left:5000;top:12400;width:2;height:394" coordorigin="5000,12400" coordsize="0,394" path="m5000,12400l5000,12794e" filled="false" stroked="true" strokeweight=".48pt" strokecolor="#000000">
                <v:path arrowok="t"/>
                <v:stroke dashstyle="dash"/>
              </v:shape>
            </v:group>
            <v:group style="position:absolute;left:4995;top:12799;width:10;height:2" coordorigin="4995,12799" coordsize="10,2">
              <v:shape style="position:absolute;left:4995;top:12799;width:10;height:2" coordorigin="4995,12799" coordsize="10,0" path="m4995,12799l5005,12799e" filled="false" stroked="true" strokeweight=".48pt" strokecolor="#000000">
                <v:path arrowok="t"/>
                <v:stroke dashstyle="dash"/>
              </v:shape>
            </v:group>
            <v:group style="position:absolute;left:1001;top:794;width:1021;height:2" coordorigin="1001,794" coordsize="1021,2">
              <v:shape style="position:absolute;left:1001;top:794;width:1021;height:2" coordorigin="1001,794" coordsize="1021,0" path="m1001,794l2022,794e" filled="false" stroked="true" strokeweight=".48pt" strokecolor="#000000">
                <v:path arrowok="t"/>
                <v:stroke dashstyle="dash"/>
              </v:shape>
            </v:group>
            <w10:wrap type="none"/>
          </v:group>
        </w:pict>
      </w:r>
      <w:r>
        <w:rPr>
          <w:rFonts w:ascii="宋体" w:hAnsi="宋体" w:cs="宋体" w:eastAsia="宋体" w:hint="default"/>
          <w:sz w:val="18"/>
          <w:szCs w:val="18"/>
        </w:rPr>
        <w:t>关联方名称</w:t>
        <w:tab/>
        <w:t>关联方与本公司的关系</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刘琛</w:t>
        <w:tab/>
        <w:t>本公司监事</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方胜玲</w:t>
        <w:tab/>
        <w:t>本公司监事</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Lin,</w:t>
      </w:r>
      <w:r>
        <w:rPr>
          <w:rFonts w:ascii="宋体" w:hAnsi="宋体" w:cs="宋体" w:eastAsia="宋体" w:hint="default"/>
          <w:spacing w:val="-1"/>
          <w:sz w:val="18"/>
          <w:szCs w:val="18"/>
        </w:rPr>
        <w:t> </w:t>
      </w:r>
      <w:r>
        <w:rPr>
          <w:rFonts w:ascii="宋体" w:hAnsi="宋体" w:cs="宋体" w:eastAsia="宋体" w:hint="default"/>
          <w:sz w:val="18"/>
          <w:szCs w:val="18"/>
        </w:rPr>
        <w:t>Chienher</w:t>
      </w:r>
      <w:r>
        <w:rPr>
          <w:rFonts w:ascii="宋体" w:hAnsi="宋体" w:cs="宋体" w:eastAsia="宋体" w:hint="default"/>
          <w:sz w:val="18"/>
          <w:szCs w:val="18"/>
        </w:rPr>
        <w:t>（林建何）</w:t>
        <w:tab/>
        <w:t>本公司副总经理</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雪松国际信托股份有限公司</w:t>
        <w:tab/>
        <w:t>本公司</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西藏迅杰新科科技有限公司</w:t>
        <w:tab/>
        <w:t>本公司</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江西赣粤高速公路股份有限公司</w:t>
        <w:tab/>
        <w:t>本公司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以上股东，截至期末该情形已消除</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北京凤凰财富资产管理有限公司</w:t>
        <w:tab/>
        <w:t>本公司实际控制人控制或担任董事、高级管理人员的企业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北京凤凰财富控股集团有限公司</w:t>
        <w:tab/>
        <w:t>本公司实际控制人控制或担任董事、高级管理人员的企业</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北京凤凰财富投资管理有限公司</w:t>
        <w:tab/>
        <w:t>本公司实际控制人控制或担任董事、高级管理人员的企业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北京凤凰财鑫投资管理有限公司</w:t>
        <w:tab/>
        <w:t>本公司实际控制人控制或担任董事、高级管理人员的企业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北京凤凰财富创新投资有限公司</w:t>
        <w:tab/>
        <w:t>本公司实际控制人控制或担任董事、高级管理人员的企业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北京凤凰财富投资咨询有限公司</w:t>
        <w:tab/>
        <w:t>本公司实际控制人控制或担任董事、高级管理人员的企业</w:t>
      </w:r>
    </w:p>
    <w:p>
      <w:pPr>
        <w:spacing w:line="240" w:lineRule="auto" w:before="4"/>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北京凤凰财富成长投资中心（有限合伙）本公司实际控制人担任执行事务合伙人委派代表的企业</w:t>
      </w:r>
    </w:p>
    <w:p>
      <w:pPr>
        <w:spacing w:line="240" w:lineRule="auto" w:before="7"/>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北京凤凰祥瑞互联投资基金（有限合伙）本公司实际控制人担任执行事务合伙人委派代表的企业</w:t>
      </w:r>
    </w:p>
    <w:p>
      <w:pPr>
        <w:spacing w:line="240" w:lineRule="auto" w:before="7"/>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深圳前海宏业远大投资中心（有限合伙）本公司实际控制人担任执行事务合伙人委派代表的企业</w:t>
      </w:r>
    </w:p>
    <w:p>
      <w:pPr>
        <w:spacing w:line="240" w:lineRule="auto" w:before="7"/>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深圳前海金服鼎盛投资中心（有限合伙）本公司实际控制人担任执行事务合伙人委派代表的企业</w:t>
      </w:r>
    </w:p>
    <w:p>
      <w:pPr>
        <w:spacing w:line="240" w:lineRule="auto" w:before="4"/>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深圳前海金服佳华投资中心（有限合伙）本公司实际控制人担任执行事务合伙人委派代表的企业</w:t>
      </w:r>
    </w:p>
    <w:p>
      <w:pPr>
        <w:spacing w:line="240" w:lineRule="auto" w:before="7"/>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北京凤凰鼎丰创业投资中心（有限合伙）本公司实际控制人担任执行事务合伙人委派代表的企业</w:t>
      </w:r>
    </w:p>
    <w:p>
      <w:pPr>
        <w:spacing w:line="240" w:lineRule="auto" w:before="7"/>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北京凤凰鼎耀创新投资中心（有限合伙）本公司实际控制人担任执行事务合伙人委派代表的企业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北京凤凰金服投资有限公司</w:t>
        <w:tab/>
        <w:t>本公司实际控制人控制或担任董事的企业</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深圳华意实业投资有限公司</w:t>
        <w:tab/>
        <w:t>本公司实际控制人控制或担任董事的企业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北京凤凰鼎耀投资管理有限公司</w:t>
        <w:tab/>
        <w:t>本公司实际控制人控制或担任董事的企业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深圳乐丰投资管理有限公司</w:t>
        <w:tab/>
        <w:t>本公司实际控制人控制或担任董事的企业</w:t>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979" w:top="1100" w:bottom="1160" w:left="880" w:right="0"/>
        </w:sectPr>
      </w:pPr>
    </w:p>
    <w:p>
      <w:pPr>
        <w:spacing w:line="314" w:lineRule="auto" w:before="44"/>
        <w:ind w:left="932" w:right="-2" w:firstLine="0"/>
        <w:jc w:val="left"/>
        <w:rPr>
          <w:rFonts w:ascii="宋体" w:hAnsi="宋体" w:cs="宋体" w:eastAsia="宋体" w:hint="default"/>
          <w:sz w:val="18"/>
          <w:szCs w:val="18"/>
        </w:rPr>
      </w:pPr>
      <w:r>
        <w:rPr>
          <w:rFonts w:ascii="宋体" w:hAnsi="宋体" w:cs="宋体" w:eastAsia="宋体" w:hint="default"/>
          <w:spacing w:val="6"/>
          <w:sz w:val="18"/>
          <w:szCs w:val="18"/>
        </w:rPr>
        <w:t>宁波梅山保税港区励锐投资管理有限公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8" w:right="0" w:firstLine="0"/>
        <w:jc w:val="left"/>
        <w:rPr>
          <w:rFonts w:ascii="宋体" w:hAnsi="宋体" w:cs="宋体" w:eastAsia="宋体" w:hint="default"/>
          <w:sz w:val="18"/>
          <w:szCs w:val="18"/>
        </w:rPr>
      </w:pPr>
      <w:r>
        <w:rPr>
          <w:rFonts w:ascii="宋体" w:hAnsi="宋体" w:cs="宋体" w:eastAsia="宋体" w:hint="default"/>
          <w:sz w:val="18"/>
          <w:szCs w:val="18"/>
        </w:rPr>
        <w:t>本公司实际控制人控制或担任董事的企业</w:t>
      </w:r>
    </w:p>
    <w:p>
      <w:pPr>
        <w:spacing w:after="0"/>
        <w:jc w:val="left"/>
        <w:rPr>
          <w:rFonts w:ascii="宋体" w:hAnsi="宋体" w:cs="宋体" w:eastAsia="宋体" w:hint="default"/>
          <w:sz w:val="18"/>
          <w:szCs w:val="18"/>
        </w:rPr>
        <w:sectPr>
          <w:type w:val="continuous"/>
          <w:pgSz w:w="11910" w:h="16840"/>
          <w:pgMar w:top="1060" w:bottom="1160" w:left="880" w:right="0"/>
          <w:cols w:num="2" w:equalWidth="0">
            <w:col w:w="4113" w:space="40"/>
            <w:col w:w="6877"/>
          </w:cols>
        </w:sectPr>
      </w:pPr>
    </w:p>
    <w:p>
      <w:pPr>
        <w:tabs>
          <w:tab w:pos="4134" w:val="left" w:leader="none"/>
        </w:tabs>
        <w:spacing w:before="126"/>
        <w:ind w:left="932" w:right="0" w:firstLine="0"/>
        <w:jc w:val="left"/>
        <w:rPr>
          <w:rFonts w:ascii="宋体" w:hAnsi="宋体" w:cs="宋体" w:eastAsia="宋体" w:hint="default"/>
          <w:sz w:val="18"/>
          <w:szCs w:val="18"/>
        </w:rPr>
      </w:pPr>
      <w:r>
        <w:rPr>
          <w:rFonts w:ascii="宋体" w:hAnsi="宋体" w:cs="宋体" w:eastAsia="宋体" w:hint="default"/>
          <w:sz w:val="18"/>
          <w:szCs w:val="18"/>
        </w:rPr>
        <w:t>北京悟空保科技集团有限公司</w:t>
        <w:tab/>
        <w:t>本公司实际控制人担任董事的企业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北京左江科技股份有限公司</w:t>
        <w:tab/>
        <w:t>本公司实际控制人担任董事的企业</w:t>
      </w:r>
    </w:p>
    <w:p>
      <w:pPr>
        <w:spacing w:line="240" w:lineRule="auto" w:before="7"/>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上海程欧信息咨询合伙企业（有限合伙）本公司实际控制人担任执行事务合伙人的企业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海南阿凡题科技有限公司</w:t>
        <w:tab/>
        <w:t>本公司董事担任董事的企业</w:t>
      </w:r>
    </w:p>
    <w:p>
      <w:pPr>
        <w:spacing w:line="240" w:lineRule="auto" w:before="5"/>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香港弊服科技有限公司</w:t>
        <w:tab/>
        <w:t>本公司董事担任董事的企业</w:t>
      </w:r>
    </w:p>
    <w:p>
      <w:pPr>
        <w:spacing w:after="0"/>
        <w:jc w:val="left"/>
        <w:rPr>
          <w:rFonts w:ascii="宋体" w:hAnsi="宋体" w:cs="宋体" w:eastAsia="宋体" w:hint="default"/>
          <w:sz w:val="18"/>
          <w:szCs w:val="18"/>
        </w:rPr>
        <w:sectPr>
          <w:type w:val="continuous"/>
          <w:pgSz w:w="11910" w:h="16840"/>
          <w:pgMar w:top="1060" w:bottom="116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tabs>
          <w:tab w:pos="5774" w:val="left" w:leader="none"/>
        </w:tabs>
        <w:spacing w:before="44"/>
        <w:ind w:left="2067" w:right="0" w:firstLine="0"/>
        <w:jc w:val="left"/>
        <w:rPr>
          <w:rFonts w:ascii="宋体" w:hAnsi="宋体" w:cs="宋体" w:eastAsia="宋体" w:hint="default"/>
          <w:sz w:val="18"/>
          <w:szCs w:val="18"/>
        </w:rPr>
      </w:pPr>
      <w:r>
        <w:rPr/>
        <w:pict>
          <v:group style="position:absolute;margin-left:49.799999pt;margin-top:-2.528257pt;width:456.5pt;height:642.7pt;mso-position-horizontal-relative:page;mso-position-vertical-relative:paragraph;z-index:-1326760" coordorigin="996,-51" coordsize="9130,12854">
            <v:group style="position:absolute;left:1798;top:-36;width:3198;height:2" coordorigin="1798,-36" coordsize="3198,2">
              <v:shape style="position:absolute;left:1798;top:-36;width:3198;height:2" coordorigin="1798,-36" coordsize="3198,0" path="m1798,-36l4995,-36e" filled="false" stroked="true" strokeweight="1.44pt" strokecolor="#000000">
                <v:path arrowok="t"/>
              </v:shape>
            </v:group>
            <v:group style="position:absolute;left:4995;top:-13;width:10;height:2" coordorigin="4995,-13" coordsize="10,2">
              <v:shape style="position:absolute;left:4995;top:-13;width:10;height:2" coordorigin="4995,-13" coordsize="10,0" path="m4995,-13l5005,-13e" filled="false" stroked="true" strokeweight=".84pt" strokecolor="#000000">
                <v:path arrowok="t"/>
                <v:stroke dashstyle="dash"/>
              </v:shape>
            </v:group>
            <v:group style="position:absolute;left:4995;top:-36;width:29;height:2" coordorigin="4995,-36" coordsize="29,2">
              <v:shape style="position:absolute;left:4995;top:-36;width:29;height:2" coordorigin="4995,-36" coordsize="29,0" path="m4995,-36l5024,-36e" filled="false" stroked="true" strokeweight="1.44pt" strokecolor="#000000">
                <v:path arrowok="t"/>
              </v:shape>
            </v:group>
            <v:group style="position:absolute;left:5024;top:-36;width:5087;height:2" coordorigin="5024,-36" coordsize="5087,2">
              <v:shape style="position:absolute;left:5024;top:-36;width:5087;height:2" coordorigin="5024,-36" coordsize="5087,0" path="m5024,-36l10111,-36e" filled="false" stroked="true" strokeweight="1.44pt" strokecolor="#000000">
                <v:path arrowok="t"/>
              </v:shape>
            </v:group>
            <v:group style="position:absolute;left:5000;top:-5;width:2;height:392" coordorigin="5000,-5" coordsize="2,392">
              <v:shape style="position:absolute;left:5000;top:-5;width:2;height:392" coordorigin="5000,-5" coordsize="0,392" path="m5000,-5l5000,386e" filled="false" stroked="true" strokeweight=".48pt" strokecolor="#000000">
                <v:path arrowok="t"/>
                <v:stroke dashstyle="dash"/>
              </v:shape>
            </v:group>
            <v:group style="position:absolute;left:1798;top:391;width:3198;height:2" coordorigin="1798,391" coordsize="3198,2">
              <v:shape style="position:absolute;left:1798;top:391;width:3198;height:2" coordorigin="1798,391" coordsize="3198,0" path="m1798,391l4995,391e" filled="false" stroked="true" strokeweight=".48pt" strokecolor="#000000">
                <v:path arrowok="t"/>
                <v:stroke dashstyle="dash"/>
              </v:shape>
            </v:group>
            <v:group style="position:absolute;left:5000;top:386;width:2;height:24" coordorigin="5000,386" coordsize="2,24">
              <v:shape style="position:absolute;left:5000;top:386;width:2;height:24" coordorigin="5000,386" coordsize="0,24" path="m5000,386l5000,410e" filled="false" stroked="true" strokeweight=".48pt" strokecolor="#000000">
                <v:path arrowok="t"/>
                <v:stroke dashstyle="dash"/>
              </v:shape>
            </v:group>
            <v:group style="position:absolute;left:5005;top:391;width:5106;height:2" coordorigin="5005,391" coordsize="5106,2">
              <v:shape style="position:absolute;left:5005;top:391;width:5106;height:2" coordorigin="5005,391" coordsize="5106,0" path="m5005,391l10111,391e" filled="false" stroked="true" strokeweight=".48pt" strokecolor="#000000">
                <v:path arrowok="t"/>
                <v:stroke dashstyle="dash"/>
              </v:shape>
            </v:group>
            <v:group style="position:absolute;left:5000;top:410;width:2;height:394" coordorigin="5000,410" coordsize="2,394">
              <v:shape style="position:absolute;left:5000;top:410;width:2;height:394" coordorigin="5000,410" coordsize="0,394" path="m5000,410l5000,804e" filled="false" stroked="true" strokeweight=".48pt" strokecolor="#000000">
                <v:path arrowok="t"/>
                <v:stroke dashstyle="dash"/>
              </v:shape>
            </v:group>
            <v:group style="position:absolute;left:1798;top:809;width:3198;height:2" coordorigin="1798,809" coordsize="3198,2">
              <v:shape style="position:absolute;left:1798;top:809;width:3198;height:2" coordorigin="1798,809" coordsize="3198,0" path="m1798,809l4995,809e" filled="false" stroked="true" strokeweight=".48pt" strokecolor="#000000">
                <v:path arrowok="t"/>
                <v:stroke dashstyle="dash"/>
              </v:shape>
            </v:group>
            <v:group style="position:absolute;left:5000;top:804;width:2;height:24" coordorigin="5000,804" coordsize="2,24">
              <v:shape style="position:absolute;left:5000;top:804;width:2;height:24" coordorigin="5000,804" coordsize="0,24" path="m5000,804l5000,828e" filled="false" stroked="true" strokeweight=".48pt" strokecolor="#000000">
                <v:path arrowok="t"/>
                <v:stroke dashstyle="dash"/>
              </v:shape>
            </v:group>
            <v:group style="position:absolute;left:5005;top:809;width:5106;height:2" coordorigin="5005,809" coordsize="5106,2">
              <v:shape style="position:absolute;left:5005;top:809;width:5106;height:2" coordorigin="5005,809" coordsize="5106,0" path="m5005,809l10111,809e" filled="false" stroked="true" strokeweight=".48pt" strokecolor="#000000">
                <v:path arrowok="t"/>
                <v:stroke dashstyle="dash"/>
              </v:shape>
            </v:group>
            <v:group style="position:absolute;left:5000;top:828;width:2;height:392" coordorigin="5000,828" coordsize="2,392">
              <v:shape style="position:absolute;left:5000;top:828;width:2;height:392" coordorigin="5000,828" coordsize="0,392" path="m5000,828l5000,1219e" filled="false" stroked="true" strokeweight=".48pt" strokecolor="#000000">
                <v:path arrowok="t"/>
                <v:stroke dashstyle="dash"/>
              </v:shape>
            </v:group>
            <v:group style="position:absolute;left:1798;top:1224;width:3198;height:2" coordorigin="1798,1224" coordsize="3198,2">
              <v:shape style="position:absolute;left:1798;top:1224;width:3198;height:2" coordorigin="1798,1224" coordsize="3198,0" path="m1798,1224l4995,1224e" filled="false" stroked="true" strokeweight=".48pt" strokecolor="#000000">
                <v:path arrowok="t"/>
                <v:stroke dashstyle="dash"/>
              </v:shape>
            </v:group>
            <v:group style="position:absolute;left:5000;top:1219;width:2;height:24" coordorigin="5000,1219" coordsize="2,24">
              <v:shape style="position:absolute;left:5000;top:1219;width:2;height:24" coordorigin="5000,1219" coordsize="0,24" path="m5000,1219l5000,1243e" filled="false" stroked="true" strokeweight=".48pt" strokecolor="#000000">
                <v:path arrowok="t"/>
                <v:stroke dashstyle="dash"/>
              </v:shape>
            </v:group>
            <v:group style="position:absolute;left:5005;top:1224;width:5106;height:2" coordorigin="5005,1224" coordsize="5106,2">
              <v:shape style="position:absolute;left:5005;top:1224;width:5106;height:2" coordorigin="5005,1224" coordsize="5106,0" path="m5005,1224l10111,1224e" filled="false" stroked="true" strokeweight=".48pt" strokecolor="#000000">
                <v:path arrowok="t"/>
                <v:stroke dashstyle="dash"/>
              </v:shape>
            </v:group>
            <v:group style="position:absolute;left:5000;top:1243;width:2;height:394" coordorigin="5000,1243" coordsize="2,394">
              <v:shape style="position:absolute;left:5000;top:1243;width:2;height:394" coordorigin="5000,1243" coordsize="0,394" path="m5000,1243l5000,1637e" filled="false" stroked="true" strokeweight=".48pt" strokecolor="#000000">
                <v:path arrowok="t"/>
                <v:stroke dashstyle="dash"/>
              </v:shape>
            </v:group>
            <v:group style="position:absolute;left:1798;top:1641;width:3198;height:2" coordorigin="1798,1641" coordsize="3198,2">
              <v:shape style="position:absolute;left:1798;top:1641;width:3198;height:2" coordorigin="1798,1641" coordsize="3198,0" path="m1798,1641l4995,1641e" filled="false" stroked="true" strokeweight=".48pt" strokecolor="#000000">
                <v:path arrowok="t"/>
                <v:stroke dashstyle="dash"/>
              </v:shape>
            </v:group>
            <v:group style="position:absolute;left:5000;top:1637;width:2;height:24" coordorigin="5000,1637" coordsize="2,24">
              <v:shape style="position:absolute;left:5000;top:1637;width:2;height:24" coordorigin="5000,1637" coordsize="0,24" path="m5000,1637l5000,1661e" filled="false" stroked="true" strokeweight=".48pt" strokecolor="#000000">
                <v:path arrowok="t"/>
                <v:stroke dashstyle="dash"/>
              </v:shape>
            </v:group>
            <v:group style="position:absolute;left:5005;top:1641;width:5106;height:2" coordorigin="5005,1641" coordsize="5106,2">
              <v:shape style="position:absolute;left:5005;top:1641;width:5106;height:2" coordorigin="5005,1641" coordsize="5106,0" path="m5005,1641l10111,1641e" filled="false" stroked="true" strokeweight=".48pt" strokecolor="#000000">
                <v:path arrowok="t"/>
                <v:stroke dashstyle="dash"/>
              </v:shape>
            </v:group>
            <v:group style="position:absolute;left:5000;top:1661;width:2;height:394" coordorigin="5000,1661" coordsize="2,394">
              <v:shape style="position:absolute;left:5000;top:1661;width:2;height:394" coordorigin="5000,1661" coordsize="0,394" path="m5000,1661l5000,2054e" filled="false" stroked="true" strokeweight=".48pt" strokecolor="#000000">
                <v:path arrowok="t"/>
                <v:stroke dashstyle="dash"/>
              </v:shape>
            </v:group>
            <v:group style="position:absolute;left:1798;top:2059;width:3198;height:2" coordorigin="1798,2059" coordsize="3198,2">
              <v:shape style="position:absolute;left:1798;top:2059;width:3198;height:2" coordorigin="1798,2059" coordsize="3198,0" path="m1798,2059l4995,2059e" filled="false" stroked="true" strokeweight=".48pt" strokecolor="#000000">
                <v:path arrowok="t"/>
                <v:stroke dashstyle="dash"/>
              </v:shape>
            </v:group>
            <v:group style="position:absolute;left:5000;top:2054;width:2;height:24" coordorigin="5000,2054" coordsize="2,24">
              <v:shape style="position:absolute;left:5000;top:2054;width:2;height:24" coordorigin="5000,2054" coordsize="0,24" path="m5000,2054l5000,2078e" filled="false" stroked="true" strokeweight=".48pt" strokecolor="#000000">
                <v:path arrowok="t"/>
                <v:stroke dashstyle="dash"/>
              </v:shape>
            </v:group>
            <v:group style="position:absolute;left:5005;top:2059;width:5106;height:2" coordorigin="5005,2059" coordsize="5106,2">
              <v:shape style="position:absolute;left:5005;top:2059;width:5106;height:2" coordorigin="5005,2059" coordsize="5106,0" path="m5005,2059l10111,2059e" filled="false" stroked="true" strokeweight=".48pt" strokecolor="#000000">
                <v:path arrowok="t"/>
                <v:stroke dashstyle="dash"/>
              </v:shape>
            </v:group>
            <v:group style="position:absolute;left:5000;top:2078;width:2;height:394" coordorigin="5000,2078" coordsize="2,394">
              <v:shape style="position:absolute;left:5000;top:2078;width:2;height:394" coordorigin="5000,2078" coordsize="0,394" path="m5000,2078l5000,2472e" filled="false" stroked="true" strokeweight=".48pt" strokecolor="#000000">
                <v:path arrowok="t"/>
                <v:stroke dashstyle="dash"/>
              </v:shape>
            </v:group>
            <v:group style="position:absolute;left:1798;top:2477;width:3198;height:2" coordorigin="1798,2477" coordsize="3198,2">
              <v:shape style="position:absolute;left:1798;top:2477;width:3198;height:2" coordorigin="1798,2477" coordsize="3198,0" path="m1798,2477l4995,2477e" filled="false" stroked="true" strokeweight=".48pt" strokecolor="#000000">
                <v:path arrowok="t"/>
                <v:stroke dashstyle="dash"/>
              </v:shape>
            </v:group>
            <v:group style="position:absolute;left:5000;top:2472;width:2;height:24" coordorigin="5000,2472" coordsize="2,24">
              <v:shape style="position:absolute;left:5000;top:2472;width:2;height:24" coordorigin="5000,2472" coordsize="0,24" path="m5000,2472l5000,2496e" filled="false" stroked="true" strokeweight=".48pt" strokecolor="#000000">
                <v:path arrowok="t"/>
                <v:stroke dashstyle="dash"/>
              </v:shape>
            </v:group>
            <v:group style="position:absolute;left:5005;top:2477;width:5106;height:2" coordorigin="5005,2477" coordsize="5106,2">
              <v:shape style="position:absolute;left:5005;top:2477;width:5106;height:2" coordorigin="5005,2477" coordsize="5106,0" path="m5005,2477l10111,2477e" filled="false" stroked="true" strokeweight=".48pt" strokecolor="#000000">
                <v:path arrowok="t"/>
                <v:stroke dashstyle="dash"/>
              </v:shape>
            </v:group>
            <v:group style="position:absolute;left:5000;top:2496;width:2;height:392" coordorigin="5000,2496" coordsize="2,392">
              <v:shape style="position:absolute;left:5000;top:2496;width:2;height:392" coordorigin="5000,2496" coordsize="0,392" path="m5000,2496l5000,2888e" filled="false" stroked="true" strokeweight=".48pt" strokecolor="#000000">
                <v:path arrowok="t"/>
                <v:stroke dashstyle="dash"/>
              </v:shape>
            </v:group>
            <v:group style="position:absolute;left:1798;top:2892;width:3198;height:2" coordorigin="1798,2892" coordsize="3198,2">
              <v:shape style="position:absolute;left:1798;top:2892;width:3198;height:2" coordorigin="1798,2892" coordsize="3198,0" path="m1798,2892l4995,2892e" filled="false" stroked="true" strokeweight=".48pt" strokecolor="#000000">
                <v:path arrowok="t"/>
                <v:stroke dashstyle="dash"/>
              </v:shape>
            </v:group>
            <v:group style="position:absolute;left:5000;top:2888;width:2;height:24" coordorigin="5000,2888" coordsize="2,24">
              <v:shape style="position:absolute;left:5000;top:2888;width:2;height:24" coordorigin="5000,2888" coordsize="0,24" path="m5000,2888l5000,2912e" filled="false" stroked="true" strokeweight=".48pt" strokecolor="#000000">
                <v:path arrowok="t"/>
                <v:stroke dashstyle="dash"/>
              </v:shape>
            </v:group>
            <v:group style="position:absolute;left:5005;top:2892;width:5106;height:2" coordorigin="5005,2892" coordsize="5106,2">
              <v:shape style="position:absolute;left:5005;top:2892;width:5106;height:2" coordorigin="5005,2892" coordsize="5106,0" path="m5005,2892l10111,2892e" filled="false" stroked="true" strokeweight=".48pt" strokecolor="#000000">
                <v:path arrowok="t"/>
                <v:stroke dashstyle="dash"/>
              </v:shape>
            </v:group>
            <v:group style="position:absolute;left:5000;top:2912;width:2;height:394" coordorigin="5000,2912" coordsize="2,394">
              <v:shape style="position:absolute;left:5000;top:2912;width:2;height:394" coordorigin="5000,2912" coordsize="0,394" path="m5000,2912l5000,3305e" filled="false" stroked="true" strokeweight=".48pt" strokecolor="#000000">
                <v:path arrowok="t"/>
                <v:stroke dashstyle="dash"/>
              </v:shape>
            </v:group>
            <v:group style="position:absolute;left:1798;top:3310;width:3198;height:2" coordorigin="1798,3310" coordsize="3198,2">
              <v:shape style="position:absolute;left:1798;top:3310;width:3198;height:2" coordorigin="1798,3310" coordsize="3198,0" path="m1798,3310l4995,3310e" filled="false" stroked="true" strokeweight=".48pt" strokecolor="#000000">
                <v:path arrowok="t"/>
                <v:stroke dashstyle="dash"/>
              </v:shape>
            </v:group>
            <v:group style="position:absolute;left:5000;top:3305;width:2;height:24" coordorigin="5000,3305" coordsize="2,24">
              <v:shape style="position:absolute;left:5000;top:3305;width:2;height:24" coordorigin="5000,3305" coordsize="0,24" path="m5000,3305l5000,3329e" filled="false" stroked="true" strokeweight=".48pt" strokecolor="#000000">
                <v:path arrowok="t"/>
                <v:stroke dashstyle="dash"/>
              </v:shape>
            </v:group>
            <v:group style="position:absolute;left:5005;top:3310;width:5106;height:2" coordorigin="5005,3310" coordsize="5106,2">
              <v:shape style="position:absolute;left:5005;top:3310;width:5106;height:2" coordorigin="5005,3310" coordsize="5106,0" path="m5005,3310l10111,3310e" filled="false" stroked="true" strokeweight=".48pt" strokecolor="#000000">
                <v:path arrowok="t"/>
                <v:stroke dashstyle="dash"/>
              </v:shape>
            </v:group>
            <v:group style="position:absolute;left:5000;top:3329;width:2;height:394" coordorigin="5000,3329" coordsize="2,394">
              <v:shape style="position:absolute;left:5000;top:3329;width:2;height:394" coordorigin="5000,3329" coordsize="0,394" path="m5000,3329l5000,3723e" filled="false" stroked="true" strokeweight=".48pt" strokecolor="#000000">
                <v:path arrowok="t"/>
                <v:stroke dashstyle="dash"/>
              </v:shape>
            </v:group>
            <v:group style="position:absolute;left:1798;top:3728;width:3198;height:2" coordorigin="1798,3728" coordsize="3198,2">
              <v:shape style="position:absolute;left:1798;top:3728;width:3198;height:2" coordorigin="1798,3728" coordsize="3198,0" path="m1798,3728l4995,3728e" filled="false" stroked="true" strokeweight=".48pt" strokecolor="#000000">
                <v:path arrowok="t"/>
                <v:stroke dashstyle="dash"/>
              </v:shape>
            </v:group>
            <v:group style="position:absolute;left:5000;top:3723;width:2;height:24" coordorigin="5000,3723" coordsize="2,24">
              <v:shape style="position:absolute;left:5000;top:3723;width:2;height:24" coordorigin="5000,3723" coordsize="0,24" path="m5000,3723l5000,3747e" filled="false" stroked="true" strokeweight=".48pt" strokecolor="#000000">
                <v:path arrowok="t"/>
                <v:stroke dashstyle="dash"/>
              </v:shape>
            </v:group>
            <v:group style="position:absolute;left:5005;top:3728;width:5106;height:2" coordorigin="5005,3728" coordsize="5106,2">
              <v:shape style="position:absolute;left:5005;top:3728;width:5106;height:2" coordorigin="5005,3728" coordsize="5106,0" path="m5005,3728l10111,3728e" filled="false" stroked="true" strokeweight=".48pt" strokecolor="#000000">
                <v:path arrowok="t"/>
                <v:stroke dashstyle="dash"/>
              </v:shape>
            </v:group>
            <v:group style="position:absolute;left:5000;top:3747;width:2;height:394" coordorigin="5000,3747" coordsize="2,394">
              <v:shape style="position:absolute;left:5000;top:3747;width:2;height:394" coordorigin="5000,3747" coordsize="0,394" path="m5000,3747l5000,4140e" filled="false" stroked="true" strokeweight=".48pt" strokecolor="#000000">
                <v:path arrowok="t"/>
                <v:stroke dashstyle="dash"/>
              </v:shape>
            </v:group>
            <v:group style="position:absolute;left:1798;top:4145;width:3198;height:2" coordorigin="1798,4145" coordsize="3198,2">
              <v:shape style="position:absolute;left:1798;top:4145;width:3198;height:2" coordorigin="1798,4145" coordsize="3198,0" path="m1798,4145l4995,4145e" filled="false" stroked="true" strokeweight=".48pt" strokecolor="#000000">
                <v:path arrowok="t"/>
                <v:stroke dashstyle="dash"/>
              </v:shape>
            </v:group>
            <v:group style="position:absolute;left:5000;top:4140;width:2;height:24" coordorigin="5000,4140" coordsize="2,24">
              <v:shape style="position:absolute;left:5000;top:4140;width:2;height:24" coordorigin="5000,4140" coordsize="0,24" path="m5000,4140l5000,4164e" filled="false" stroked="true" strokeweight=".48pt" strokecolor="#000000">
                <v:path arrowok="t"/>
                <v:stroke dashstyle="dash"/>
              </v:shape>
            </v:group>
            <v:group style="position:absolute;left:5005;top:4145;width:5106;height:2" coordorigin="5005,4145" coordsize="5106,2">
              <v:shape style="position:absolute;left:5005;top:4145;width:5106;height:2" coordorigin="5005,4145" coordsize="5106,0" path="m5005,4145l10111,4145e" filled="false" stroked="true" strokeweight=".48pt" strokecolor="#000000">
                <v:path arrowok="t"/>
                <v:stroke dashstyle="dash"/>
              </v:shape>
            </v:group>
            <v:group style="position:absolute;left:5000;top:4164;width:2;height:392" coordorigin="5000,4164" coordsize="2,392">
              <v:shape style="position:absolute;left:5000;top:4164;width:2;height:392" coordorigin="5000,4164" coordsize="0,392" path="m5000,4164l5000,4556e" filled="false" stroked="true" strokeweight=".48pt" strokecolor="#000000">
                <v:path arrowok="t"/>
                <v:stroke dashstyle="dash"/>
              </v:shape>
            </v:group>
            <v:group style="position:absolute;left:1798;top:4560;width:3198;height:2" coordorigin="1798,4560" coordsize="3198,2">
              <v:shape style="position:absolute;left:1798;top:4560;width:3198;height:2" coordorigin="1798,4560" coordsize="3198,0" path="m1798,4560l4995,4560e" filled="false" stroked="true" strokeweight=".48pt" strokecolor="#000000">
                <v:path arrowok="t"/>
                <v:stroke dashstyle="dash"/>
              </v:shape>
            </v:group>
            <v:group style="position:absolute;left:5000;top:4556;width:2;height:24" coordorigin="5000,4556" coordsize="2,24">
              <v:shape style="position:absolute;left:5000;top:4556;width:2;height:24" coordorigin="5000,4556" coordsize="0,24" path="m5000,4556l5000,4580e" filled="false" stroked="true" strokeweight=".48pt" strokecolor="#000000">
                <v:path arrowok="t"/>
                <v:stroke dashstyle="dash"/>
              </v:shape>
            </v:group>
            <v:group style="position:absolute;left:5005;top:4560;width:5106;height:2" coordorigin="5005,4560" coordsize="5106,2">
              <v:shape style="position:absolute;left:5005;top:4560;width:5106;height:2" coordorigin="5005,4560" coordsize="5106,0" path="m5005,4560l10111,4560e" filled="false" stroked="true" strokeweight=".48pt" strokecolor="#000000">
                <v:path arrowok="t"/>
                <v:stroke dashstyle="dash"/>
              </v:shape>
            </v:group>
            <v:group style="position:absolute;left:5000;top:4580;width:2;height:394" coordorigin="5000,4580" coordsize="2,394">
              <v:shape style="position:absolute;left:5000;top:4580;width:2;height:394" coordorigin="5000,4580" coordsize="0,394" path="m5000,4580l5000,4973e" filled="false" stroked="true" strokeweight=".48pt" strokecolor="#000000">
                <v:path arrowok="t"/>
                <v:stroke dashstyle="dash"/>
              </v:shape>
            </v:group>
            <v:group style="position:absolute;left:1798;top:4978;width:3198;height:2" coordorigin="1798,4978" coordsize="3198,2">
              <v:shape style="position:absolute;left:1798;top:4978;width:3198;height:2" coordorigin="1798,4978" coordsize="3198,0" path="m1798,4978l4995,4978e" filled="false" stroked="true" strokeweight=".48pt" strokecolor="#000000">
                <v:path arrowok="t"/>
                <v:stroke dashstyle="dash"/>
              </v:shape>
            </v:group>
            <v:group style="position:absolute;left:5000;top:4973;width:2;height:24" coordorigin="5000,4973" coordsize="2,24">
              <v:shape style="position:absolute;left:5000;top:4973;width:2;height:24" coordorigin="5000,4973" coordsize="0,24" path="m5000,4973l5000,4997e" filled="false" stroked="true" strokeweight=".48pt" strokecolor="#000000">
                <v:path arrowok="t"/>
                <v:stroke dashstyle="dash"/>
              </v:shape>
            </v:group>
            <v:group style="position:absolute;left:5005;top:4978;width:5106;height:2" coordorigin="5005,4978" coordsize="5106,2">
              <v:shape style="position:absolute;left:5005;top:4978;width:5106;height:2" coordorigin="5005,4978" coordsize="5106,0" path="m5005,4978l10111,4978e" filled="false" stroked="true" strokeweight=".48pt" strokecolor="#000000">
                <v:path arrowok="t"/>
                <v:stroke dashstyle="dash"/>
              </v:shape>
            </v:group>
            <v:group style="position:absolute;left:5000;top:4997;width:2;height:394" coordorigin="5000,4997" coordsize="2,394">
              <v:shape style="position:absolute;left:5000;top:4997;width:2;height:394" coordorigin="5000,4997" coordsize="0,394" path="m5000,4997l5000,5391e" filled="false" stroked="true" strokeweight=".48pt" strokecolor="#000000">
                <v:path arrowok="t"/>
                <v:stroke dashstyle="dash"/>
              </v:shape>
            </v:group>
            <v:group style="position:absolute;left:1798;top:5396;width:3198;height:2" coordorigin="1798,5396" coordsize="3198,2">
              <v:shape style="position:absolute;left:1798;top:5396;width:3198;height:2" coordorigin="1798,5396" coordsize="3198,0" path="m1798,5396l4995,5396e" filled="false" stroked="true" strokeweight=".48pt" strokecolor="#000000">
                <v:path arrowok="t"/>
                <v:stroke dashstyle="dash"/>
              </v:shape>
            </v:group>
            <v:group style="position:absolute;left:5000;top:5391;width:2;height:24" coordorigin="5000,5391" coordsize="2,24">
              <v:shape style="position:absolute;left:5000;top:5391;width:2;height:24" coordorigin="5000,5391" coordsize="0,24" path="m5000,5391l5000,5415e" filled="false" stroked="true" strokeweight=".48pt" strokecolor="#000000">
                <v:path arrowok="t"/>
                <v:stroke dashstyle="dash"/>
              </v:shape>
            </v:group>
            <v:group style="position:absolute;left:5005;top:5396;width:5106;height:2" coordorigin="5005,5396" coordsize="5106,2">
              <v:shape style="position:absolute;left:5005;top:5396;width:5106;height:2" coordorigin="5005,5396" coordsize="5106,0" path="m5005,5396l10111,5396e" filled="false" stroked="true" strokeweight=".48pt" strokecolor="#000000">
                <v:path arrowok="t"/>
                <v:stroke dashstyle="dash"/>
              </v:shape>
            </v:group>
            <v:group style="position:absolute;left:5000;top:5415;width:2;height:394" coordorigin="5000,5415" coordsize="2,394">
              <v:shape style="position:absolute;left:5000;top:5415;width:2;height:394" coordorigin="5000,5415" coordsize="0,394" path="m5000,5415l5000,5808e" filled="false" stroked="true" strokeweight=".48pt" strokecolor="#000000">
                <v:path arrowok="t"/>
                <v:stroke dashstyle="dash"/>
              </v:shape>
            </v:group>
            <v:group style="position:absolute;left:1798;top:5813;width:3198;height:2" coordorigin="1798,5813" coordsize="3198,2">
              <v:shape style="position:absolute;left:1798;top:5813;width:3198;height:2" coordorigin="1798,5813" coordsize="3198,0" path="m1798,5813l4995,5813e" filled="false" stroked="true" strokeweight=".48pt" strokecolor="#000000">
                <v:path arrowok="t"/>
                <v:stroke dashstyle="dash"/>
              </v:shape>
            </v:group>
            <v:group style="position:absolute;left:5000;top:5808;width:2;height:24" coordorigin="5000,5808" coordsize="2,24">
              <v:shape style="position:absolute;left:5000;top:5808;width:2;height:24" coordorigin="5000,5808" coordsize="0,24" path="m5000,5808l5000,5832e" filled="false" stroked="true" strokeweight=".48pt" strokecolor="#000000">
                <v:path arrowok="t"/>
                <v:stroke dashstyle="dash"/>
              </v:shape>
            </v:group>
            <v:group style="position:absolute;left:5005;top:5813;width:5106;height:2" coordorigin="5005,5813" coordsize="5106,2">
              <v:shape style="position:absolute;left:5005;top:5813;width:5106;height:2" coordorigin="5005,5813" coordsize="5106,0" path="m5005,5813l10111,5813e" filled="false" stroked="true" strokeweight=".48pt" strokecolor="#000000">
                <v:path arrowok="t"/>
                <v:stroke dashstyle="dash"/>
              </v:shape>
            </v:group>
            <v:group style="position:absolute;left:5000;top:5832;width:2;height:392" coordorigin="5000,5832" coordsize="2,392">
              <v:shape style="position:absolute;left:5000;top:5832;width:2;height:392" coordorigin="5000,5832" coordsize="0,392" path="m5000,5832l5000,6224e" filled="false" stroked="true" strokeweight=".48pt" strokecolor="#000000">
                <v:path arrowok="t"/>
                <v:stroke dashstyle="dash"/>
              </v:shape>
            </v:group>
            <v:group style="position:absolute;left:1798;top:6229;width:3198;height:2" coordorigin="1798,6229" coordsize="3198,2">
              <v:shape style="position:absolute;left:1798;top:6229;width:3198;height:2" coordorigin="1798,6229" coordsize="3198,0" path="m1798,6229l4995,6229e" filled="false" stroked="true" strokeweight=".48pt" strokecolor="#000000">
                <v:path arrowok="t"/>
                <v:stroke dashstyle="dash"/>
              </v:shape>
            </v:group>
            <v:group style="position:absolute;left:5000;top:6224;width:2;height:24" coordorigin="5000,6224" coordsize="2,24">
              <v:shape style="position:absolute;left:5000;top:6224;width:2;height:24" coordorigin="5000,6224" coordsize="0,24" path="m5000,6224l5000,6248e" filled="false" stroked="true" strokeweight=".48pt" strokecolor="#000000">
                <v:path arrowok="t"/>
                <v:stroke dashstyle="dash"/>
              </v:shape>
            </v:group>
            <v:group style="position:absolute;left:5005;top:6229;width:5106;height:2" coordorigin="5005,6229" coordsize="5106,2">
              <v:shape style="position:absolute;left:5005;top:6229;width:5106;height:2" coordorigin="5005,6229" coordsize="5106,0" path="m5005,6229l10111,6229e" filled="false" stroked="true" strokeweight=".48pt" strokecolor="#000000">
                <v:path arrowok="t"/>
                <v:stroke dashstyle="dash"/>
              </v:shape>
            </v:group>
            <v:group style="position:absolute;left:5000;top:6248;width:2;height:394" coordorigin="5000,6248" coordsize="2,394">
              <v:shape style="position:absolute;left:5000;top:6248;width:2;height:394" coordorigin="5000,6248" coordsize="0,394" path="m5000,6248l5000,6642e" filled="false" stroked="true" strokeweight=".48pt" strokecolor="#000000">
                <v:path arrowok="t"/>
                <v:stroke dashstyle="dash"/>
              </v:shape>
            </v:group>
            <v:group style="position:absolute;left:1798;top:6646;width:3198;height:2" coordorigin="1798,6646" coordsize="3198,2">
              <v:shape style="position:absolute;left:1798;top:6646;width:3198;height:2" coordorigin="1798,6646" coordsize="3198,0" path="m1798,6646l4995,6646e" filled="false" stroked="true" strokeweight=".48pt" strokecolor="#000000">
                <v:path arrowok="t"/>
                <v:stroke dashstyle="dash"/>
              </v:shape>
            </v:group>
            <v:group style="position:absolute;left:5000;top:6642;width:2;height:24" coordorigin="5000,6642" coordsize="2,24">
              <v:shape style="position:absolute;left:5000;top:6642;width:2;height:24" coordorigin="5000,6642" coordsize="0,24" path="m5000,6642l5000,6666e" filled="false" stroked="true" strokeweight=".48pt" strokecolor="#000000">
                <v:path arrowok="t"/>
                <v:stroke dashstyle="dash"/>
              </v:shape>
            </v:group>
            <v:group style="position:absolute;left:5005;top:6646;width:5106;height:2" coordorigin="5005,6646" coordsize="5106,2">
              <v:shape style="position:absolute;left:5005;top:6646;width:5106;height:2" coordorigin="5005,6646" coordsize="5106,0" path="m5005,6646l10111,6646e" filled="false" stroked="true" strokeweight=".48pt" strokecolor="#000000">
                <v:path arrowok="t"/>
                <v:stroke dashstyle="dash"/>
              </v:shape>
            </v:group>
            <v:group style="position:absolute;left:5000;top:6666;width:2;height:394" coordorigin="5000,6666" coordsize="2,394">
              <v:shape style="position:absolute;left:5000;top:6666;width:2;height:394" coordorigin="5000,6666" coordsize="0,394" path="m5000,6666l5000,7059e" filled="false" stroked="true" strokeweight=".48pt" strokecolor="#000000">
                <v:path arrowok="t"/>
                <v:stroke dashstyle="dash"/>
              </v:shape>
            </v:group>
            <v:group style="position:absolute;left:1798;top:7064;width:3198;height:2" coordorigin="1798,7064" coordsize="3198,2">
              <v:shape style="position:absolute;left:1798;top:7064;width:3198;height:2" coordorigin="1798,7064" coordsize="3198,0" path="m1798,7064l4995,7064e" filled="false" stroked="true" strokeweight=".48pt" strokecolor="#000000">
                <v:path arrowok="t"/>
                <v:stroke dashstyle="dash"/>
              </v:shape>
            </v:group>
            <v:group style="position:absolute;left:5000;top:7059;width:2;height:24" coordorigin="5000,7059" coordsize="2,24">
              <v:shape style="position:absolute;left:5000;top:7059;width:2;height:24" coordorigin="5000,7059" coordsize="0,24" path="m5000,7059l5000,7083e" filled="false" stroked="true" strokeweight=".48pt" strokecolor="#000000">
                <v:path arrowok="t"/>
                <v:stroke dashstyle="dash"/>
              </v:shape>
            </v:group>
            <v:group style="position:absolute;left:5005;top:7064;width:5106;height:2" coordorigin="5005,7064" coordsize="5106,2">
              <v:shape style="position:absolute;left:5005;top:7064;width:5106;height:2" coordorigin="5005,7064" coordsize="5106,0" path="m5005,7064l10111,7064e" filled="false" stroked="true" strokeweight=".48pt" strokecolor="#000000">
                <v:path arrowok="t"/>
                <v:stroke dashstyle="dash"/>
              </v:shape>
            </v:group>
            <v:group style="position:absolute;left:5000;top:7083;width:2;height:394" coordorigin="5000,7083" coordsize="2,394">
              <v:shape style="position:absolute;left:5000;top:7083;width:2;height:394" coordorigin="5000,7083" coordsize="0,394" path="m5000,7083l5000,7477e" filled="false" stroked="true" strokeweight=".48pt" strokecolor="#000000">
                <v:path arrowok="t"/>
                <v:stroke dashstyle="dash"/>
              </v:shape>
            </v:group>
            <v:group style="position:absolute;left:1798;top:7482;width:3198;height:2" coordorigin="1798,7482" coordsize="3198,2">
              <v:shape style="position:absolute;left:1798;top:7482;width:3198;height:2" coordorigin="1798,7482" coordsize="3198,0" path="m1798,7482l4995,7482e" filled="false" stroked="true" strokeweight=".48pt" strokecolor="#000000">
                <v:path arrowok="t"/>
                <v:stroke dashstyle="dash"/>
              </v:shape>
            </v:group>
            <v:group style="position:absolute;left:5000;top:7477;width:2;height:24" coordorigin="5000,7477" coordsize="2,24">
              <v:shape style="position:absolute;left:5000;top:7477;width:2;height:24" coordorigin="5000,7477" coordsize="0,24" path="m5000,7477l5000,7501e" filled="false" stroked="true" strokeweight=".48pt" strokecolor="#000000">
                <v:path arrowok="t"/>
                <v:stroke dashstyle="dash"/>
              </v:shape>
            </v:group>
            <v:group style="position:absolute;left:5005;top:7482;width:5106;height:2" coordorigin="5005,7482" coordsize="5106,2">
              <v:shape style="position:absolute;left:5005;top:7482;width:5106;height:2" coordorigin="5005,7482" coordsize="5106,0" path="m5005,7482l10111,7482e" filled="false" stroked="true" strokeweight=".48pt" strokecolor="#000000">
                <v:path arrowok="t"/>
                <v:stroke dashstyle="dash"/>
              </v:shape>
            </v:group>
            <v:group style="position:absolute;left:5000;top:7501;width:2;height:392" coordorigin="5000,7501" coordsize="2,392">
              <v:shape style="position:absolute;left:5000;top:7501;width:2;height:392" coordorigin="5000,7501" coordsize="0,392" path="m5000,7501l5000,7892e" filled="false" stroked="true" strokeweight=".48pt" strokecolor="#000000">
                <v:path arrowok="t"/>
                <v:stroke dashstyle="dash"/>
              </v:shape>
            </v:group>
            <v:group style="position:absolute;left:1798;top:7897;width:3198;height:2" coordorigin="1798,7897" coordsize="3198,2">
              <v:shape style="position:absolute;left:1798;top:7897;width:3198;height:2" coordorigin="1798,7897" coordsize="3198,0" path="m1798,7897l4995,7897e" filled="false" stroked="true" strokeweight=".48pt" strokecolor="#000000">
                <v:path arrowok="t"/>
                <v:stroke dashstyle="dash"/>
              </v:shape>
            </v:group>
            <v:group style="position:absolute;left:5000;top:7892;width:2;height:24" coordorigin="5000,7892" coordsize="2,24">
              <v:shape style="position:absolute;left:5000;top:7892;width:2;height:24" coordorigin="5000,7892" coordsize="0,24" path="m5000,7892l5000,7916e" filled="false" stroked="true" strokeweight=".48pt" strokecolor="#000000">
                <v:path arrowok="t"/>
                <v:stroke dashstyle="dash"/>
              </v:shape>
            </v:group>
            <v:group style="position:absolute;left:5005;top:7897;width:5106;height:2" coordorigin="5005,7897" coordsize="5106,2">
              <v:shape style="position:absolute;left:5005;top:7897;width:5106;height:2" coordorigin="5005,7897" coordsize="5106,0" path="m5005,7897l10111,7897e" filled="false" stroked="true" strokeweight=".48pt" strokecolor="#000000">
                <v:path arrowok="t"/>
                <v:stroke dashstyle="dash"/>
              </v:shape>
            </v:group>
            <v:group style="position:absolute;left:5000;top:7916;width:2;height:394" coordorigin="5000,7916" coordsize="2,394">
              <v:shape style="position:absolute;left:5000;top:7916;width:2;height:394" coordorigin="5000,7916" coordsize="0,394" path="m5000,7916l5000,8310e" filled="false" stroked="true" strokeweight=".48pt" strokecolor="#000000">
                <v:path arrowok="t"/>
                <v:stroke dashstyle="dash"/>
              </v:shape>
            </v:group>
            <v:group style="position:absolute;left:1798;top:8314;width:3198;height:2" coordorigin="1798,8314" coordsize="3198,2">
              <v:shape style="position:absolute;left:1798;top:8314;width:3198;height:2" coordorigin="1798,8314" coordsize="3198,0" path="m1798,8314l4995,8314e" filled="false" stroked="true" strokeweight=".48pt" strokecolor="#000000">
                <v:path arrowok="t"/>
                <v:stroke dashstyle="dash"/>
              </v:shape>
            </v:group>
            <v:group style="position:absolute;left:5000;top:8310;width:2;height:24" coordorigin="5000,8310" coordsize="2,24">
              <v:shape style="position:absolute;left:5000;top:8310;width:2;height:24" coordorigin="5000,8310" coordsize="0,24" path="m5000,8310l5000,8334e" filled="false" stroked="true" strokeweight=".48pt" strokecolor="#000000">
                <v:path arrowok="t"/>
                <v:stroke dashstyle="dash"/>
              </v:shape>
            </v:group>
            <v:group style="position:absolute;left:5005;top:8314;width:5106;height:2" coordorigin="5005,8314" coordsize="5106,2">
              <v:shape style="position:absolute;left:5005;top:8314;width:5106;height:2" coordorigin="5005,8314" coordsize="5106,0" path="m5005,8314l10111,8314e" filled="false" stroked="true" strokeweight=".48pt" strokecolor="#000000">
                <v:path arrowok="t"/>
                <v:stroke dashstyle="dash"/>
              </v:shape>
            </v:group>
            <v:group style="position:absolute;left:5000;top:8334;width:2;height:394" coordorigin="5000,8334" coordsize="2,394">
              <v:shape style="position:absolute;left:5000;top:8334;width:2;height:394" coordorigin="5000,8334" coordsize="0,394" path="m5000,8334l5000,8727e" filled="false" stroked="true" strokeweight=".48pt" strokecolor="#000000">
                <v:path arrowok="t"/>
                <v:stroke dashstyle="dash"/>
              </v:shape>
            </v:group>
            <v:group style="position:absolute;left:1798;top:8732;width:3198;height:2" coordorigin="1798,8732" coordsize="3198,2">
              <v:shape style="position:absolute;left:1798;top:8732;width:3198;height:2" coordorigin="1798,8732" coordsize="3198,0" path="m1798,8732l4995,8732e" filled="false" stroked="true" strokeweight=".48pt" strokecolor="#000000">
                <v:path arrowok="t"/>
                <v:stroke dashstyle="dash"/>
              </v:shape>
            </v:group>
            <v:group style="position:absolute;left:5000;top:8727;width:2;height:24" coordorigin="5000,8727" coordsize="2,24">
              <v:shape style="position:absolute;left:5000;top:8727;width:2;height:24" coordorigin="5000,8727" coordsize="0,24" path="m5000,8727l5000,8751e" filled="false" stroked="true" strokeweight=".48pt" strokecolor="#000000">
                <v:path arrowok="t"/>
                <v:stroke dashstyle="dash"/>
              </v:shape>
            </v:group>
            <v:group style="position:absolute;left:5005;top:8732;width:5106;height:2" coordorigin="5005,8732" coordsize="5106,2">
              <v:shape style="position:absolute;left:5005;top:8732;width:5106;height:2" coordorigin="5005,8732" coordsize="5106,0" path="m5005,8732l10111,8732e" filled="false" stroked="true" strokeweight=".48pt" strokecolor="#000000">
                <v:path arrowok="t"/>
                <v:stroke dashstyle="dash"/>
              </v:shape>
            </v:group>
            <v:group style="position:absolute;left:5000;top:8751;width:2;height:394" coordorigin="5000,8751" coordsize="2,394">
              <v:shape style="position:absolute;left:5000;top:8751;width:2;height:394" coordorigin="5000,8751" coordsize="0,394" path="m5000,8751l5000,9145e" filled="false" stroked="true" strokeweight=".48pt" strokecolor="#000000">
                <v:path arrowok="t"/>
                <v:stroke dashstyle="dash"/>
              </v:shape>
            </v:group>
            <v:group style="position:absolute;left:1798;top:9150;width:3198;height:2" coordorigin="1798,9150" coordsize="3198,2">
              <v:shape style="position:absolute;left:1798;top:9150;width:3198;height:2" coordorigin="1798,9150" coordsize="3198,0" path="m1798,9150l4995,9150e" filled="false" stroked="true" strokeweight=".48pt" strokecolor="#000000">
                <v:path arrowok="t"/>
                <v:stroke dashstyle="dash"/>
              </v:shape>
            </v:group>
            <v:group style="position:absolute;left:5000;top:9145;width:2;height:24" coordorigin="5000,9145" coordsize="2,24">
              <v:shape style="position:absolute;left:5000;top:9145;width:2;height:24" coordorigin="5000,9145" coordsize="0,24" path="m5000,9145l5000,9169e" filled="false" stroked="true" strokeweight=".48pt" strokecolor="#000000">
                <v:path arrowok="t"/>
                <v:stroke dashstyle="dash"/>
              </v:shape>
            </v:group>
            <v:group style="position:absolute;left:5005;top:9150;width:5106;height:2" coordorigin="5005,9150" coordsize="5106,2">
              <v:shape style="position:absolute;left:5005;top:9150;width:5106;height:2" coordorigin="5005,9150" coordsize="5106,0" path="m5005,9150l10111,9150e" filled="false" stroked="true" strokeweight=".48pt" strokecolor="#000000">
                <v:path arrowok="t"/>
                <v:stroke dashstyle="dash"/>
              </v:shape>
            </v:group>
            <v:group style="position:absolute;left:5000;top:9169;width:2;height:392" coordorigin="5000,9169" coordsize="2,392">
              <v:shape style="position:absolute;left:5000;top:9169;width:2;height:392" coordorigin="5000,9169" coordsize="0,392" path="m5000,9169l5000,9561e" filled="false" stroked="true" strokeweight=".48pt" strokecolor="#000000">
                <v:path arrowok="t"/>
                <v:stroke dashstyle="dash"/>
              </v:shape>
            </v:group>
            <v:group style="position:absolute;left:1798;top:9565;width:3198;height:2" coordorigin="1798,9565" coordsize="3198,2">
              <v:shape style="position:absolute;left:1798;top:9565;width:3198;height:2" coordorigin="1798,9565" coordsize="3198,0" path="m1798,9565l4995,9565e" filled="false" stroked="true" strokeweight=".48pt" strokecolor="#000000">
                <v:path arrowok="t"/>
                <v:stroke dashstyle="dash"/>
              </v:shape>
            </v:group>
            <v:group style="position:absolute;left:5000;top:9561;width:2;height:24" coordorigin="5000,9561" coordsize="2,24">
              <v:shape style="position:absolute;left:5000;top:9561;width:2;height:24" coordorigin="5000,9561" coordsize="0,24" path="m5000,9561l5000,9585e" filled="false" stroked="true" strokeweight=".48pt" strokecolor="#000000">
                <v:path arrowok="t"/>
                <v:stroke dashstyle="dash"/>
              </v:shape>
            </v:group>
            <v:group style="position:absolute;left:5005;top:9565;width:5106;height:2" coordorigin="5005,9565" coordsize="5106,2">
              <v:shape style="position:absolute;left:5005;top:9565;width:5106;height:2" coordorigin="5005,9565" coordsize="5106,0" path="m5005,9565l10111,9565e" filled="false" stroked="true" strokeweight=".48pt" strokecolor="#000000">
                <v:path arrowok="t"/>
                <v:stroke dashstyle="dash"/>
              </v:shape>
            </v:group>
            <v:group style="position:absolute;left:5000;top:9585;width:2;height:394" coordorigin="5000,9585" coordsize="2,394">
              <v:shape style="position:absolute;left:5000;top:9585;width:2;height:394" coordorigin="5000,9585" coordsize="0,394" path="m5000,9585l5000,9978e" filled="false" stroked="true" strokeweight=".48pt" strokecolor="#000000">
                <v:path arrowok="t"/>
                <v:stroke dashstyle="dash"/>
              </v:shape>
            </v:group>
            <v:group style="position:absolute;left:1798;top:9983;width:3198;height:2" coordorigin="1798,9983" coordsize="3198,2">
              <v:shape style="position:absolute;left:1798;top:9983;width:3198;height:2" coordorigin="1798,9983" coordsize="3198,0" path="m1798,9983l4995,9983e" filled="false" stroked="true" strokeweight=".48pt" strokecolor="#000000">
                <v:path arrowok="t"/>
                <v:stroke dashstyle="dash"/>
              </v:shape>
            </v:group>
            <v:group style="position:absolute;left:5000;top:9978;width:2;height:24" coordorigin="5000,9978" coordsize="2,24">
              <v:shape style="position:absolute;left:5000;top:9978;width:2;height:24" coordorigin="5000,9978" coordsize="0,24" path="m5000,9978l5000,10002e" filled="false" stroked="true" strokeweight=".48pt" strokecolor="#000000">
                <v:path arrowok="t"/>
                <v:stroke dashstyle="dash"/>
              </v:shape>
            </v:group>
            <v:group style="position:absolute;left:5005;top:9983;width:5106;height:2" coordorigin="5005,9983" coordsize="5106,2">
              <v:shape style="position:absolute;left:5005;top:9983;width:5106;height:2" coordorigin="5005,9983" coordsize="5106,0" path="m5005,9983l10111,9983e" filled="false" stroked="true" strokeweight=".48pt" strokecolor="#000000">
                <v:path arrowok="t"/>
                <v:stroke dashstyle="dash"/>
              </v:shape>
            </v:group>
            <v:group style="position:absolute;left:5000;top:10002;width:2;height:394" coordorigin="5000,10002" coordsize="2,394">
              <v:shape style="position:absolute;left:5000;top:10002;width:2;height:394" coordorigin="5000,10002" coordsize="0,394" path="m5000,10002l5000,10396e" filled="false" stroked="true" strokeweight=".48pt" strokecolor="#000000">
                <v:path arrowok="t"/>
                <v:stroke dashstyle="dash"/>
              </v:shape>
            </v:group>
            <v:group style="position:absolute;left:1798;top:10401;width:3198;height:2" coordorigin="1798,10401" coordsize="3198,2">
              <v:shape style="position:absolute;left:1798;top:10401;width:3198;height:2" coordorigin="1798,10401" coordsize="3198,0" path="m1798,10401l4995,10401e" filled="false" stroked="true" strokeweight=".48pt" strokecolor="#000000">
                <v:path arrowok="t"/>
                <v:stroke dashstyle="dash"/>
              </v:shape>
            </v:group>
            <v:group style="position:absolute;left:5000;top:10396;width:2;height:24" coordorigin="5000,10396" coordsize="2,24">
              <v:shape style="position:absolute;left:5000;top:10396;width:2;height:24" coordorigin="5000,10396" coordsize="0,24" path="m5000,10396l5000,10420e" filled="false" stroked="true" strokeweight=".48pt" strokecolor="#000000">
                <v:path arrowok="t"/>
                <v:stroke dashstyle="dash"/>
              </v:shape>
            </v:group>
            <v:group style="position:absolute;left:5005;top:10401;width:5106;height:2" coordorigin="5005,10401" coordsize="5106,2">
              <v:shape style="position:absolute;left:5005;top:10401;width:5106;height:2" coordorigin="5005,10401" coordsize="5106,0" path="m5005,10401l10111,10401e" filled="false" stroked="true" strokeweight=".48pt" strokecolor="#000000">
                <v:path arrowok="t"/>
                <v:stroke dashstyle="dash"/>
              </v:shape>
            </v:group>
            <v:group style="position:absolute;left:5000;top:10420;width:2;height:706" coordorigin="5000,10420" coordsize="2,706">
              <v:shape style="position:absolute;left:5000;top:10420;width:2;height:706" coordorigin="5000,10420" coordsize="0,706" path="m5000,10420l5000,11125e" filled="false" stroked="true" strokeweight=".48pt" strokecolor="#000000">
                <v:path arrowok="t"/>
                <v:stroke dashstyle="dash"/>
              </v:shape>
            </v:group>
            <v:group style="position:absolute;left:1798;top:11130;width:3198;height:2" coordorigin="1798,11130" coordsize="3198,2">
              <v:shape style="position:absolute;left:1798;top:11130;width:3198;height:2" coordorigin="1798,11130" coordsize="3198,0" path="m1798,11130l4995,11130e" filled="false" stroked="true" strokeweight=".48pt" strokecolor="#000000">
                <v:path arrowok="t"/>
                <v:stroke dashstyle="dash"/>
              </v:shape>
            </v:group>
            <v:group style="position:absolute;left:5000;top:11125;width:2;height:24" coordorigin="5000,11125" coordsize="2,24">
              <v:shape style="position:absolute;left:5000;top:11125;width:2;height:24" coordorigin="5000,11125" coordsize="0,24" path="m5000,11125l5000,11149e" filled="false" stroked="true" strokeweight=".48pt" strokecolor="#000000">
                <v:path arrowok="t"/>
                <v:stroke dashstyle="dash"/>
              </v:shape>
            </v:group>
            <v:group style="position:absolute;left:5005;top:11130;width:5106;height:2" coordorigin="5005,11130" coordsize="5106,2">
              <v:shape style="position:absolute;left:5005;top:11130;width:5106;height:2" coordorigin="5005,11130" coordsize="5106,0" path="m5005,11130l10111,11130e" filled="false" stroked="true" strokeweight=".48pt" strokecolor="#000000">
                <v:path arrowok="t"/>
                <v:stroke dashstyle="dash"/>
              </v:shape>
            </v:group>
            <v:group style="position:absolute;left:5000;top:11149;width:2;height:392" coordorigin="5000,11149" coordsize="2,392">
              <v:shape style="position:absolute;left:5000;top:11149;width:2;height:392" coordorigin="5000,11149" coordsize="0,392" path="m5000,11149l5000,11541e" filled="false" stroked="true" strokeweight=".48pt" strokecolor="#000000">
                <v:path arrowok="t"/>
                <v:stroke dashstyle="dash"/>
              </v:shape>
            </v:group>
            <v:group style="position:absolute;left:1798;top:11545;width:3198;height:2" coordorigin="1798,11545" coordsize="3198,2">
              <v:shape style="position:absolute;left:1798;top:11545;width:3198;height:2" coordorigin="1798,11545" coordsize="3198,0" path="m1798,11545l4995,11545e" filled="false" stroked="true" strokeweight=".48pt" strokecolor="#000000">
                <v:path arrowok="t"/>
                <v:stroke dashstyle="dash"/>
              </v:shape>
            </v:group>
            <v:group style="position:absolute;left:5000;top:11541;width:2;height:24" coordorigin="5000,11541" coordsize="2,24">
              <v:shape style="position:absolute;left:5000;top:11541;width:2;height:24" coordorigin="5000,11541" coordsize="0,24" path="m5000,11541l5000,11565e" filled="false" stroked="true" strokeweight=".48pt" strokecolor="#000000">
                <v:path arrowok="t"/>
                <v:stroke dashstyle="dash"/>
              </v:shape>
            </v:group>
            <v:group style="position:absolute;left:5005;top:11545;width:5106;height:2" coordorigin="5005,11545" coordsize="5106,2">
              <v:shape style="position:absolute;left:5005;top:11545;width:5106;height:2" coordorigin="5005,11545" coordsize="5106,0" path="m5005,11545l10111,11545e" filled="false" stroked="true" strokeweight=".48pt" strokecolor="#000000">
                <v:path arrowok="t"/>
                <v:stroke dashstyle="dash"/>
              </v:shape>
            </v:group>
            <v:group style="position:absolute;left:5000;top:11565;width:2;height:394" coordorigin="5000,11565" coordsize="2,394">
              <v:shape style="position:absolute;left:5000;top:11565;width:2;height:394" coordorigin="5000,11565" coordsize="0,394" path="m5000,11565l5000,11958e" filled="false" stroked="true" strokeweight=".48pt" strokecolor="#000000">
                <v:path arrowok="t"/>
                <v:stroke dashstyle="dash"/>
              </v:shape>
            </v:group>
            <v:group style="position:absolute;left:1798;top:11963;width:3198;height:2" coordorigin="1798,11963" coordsize="3198,2">
              <v:shape style="position:absolute;left:1798;top:11963;width:3198;height:2" coordorigin="1798,11963" coordsize="3198,0" path="m1798,11963l4995,11963e" filled="false" stroked="true" strokeweight=".48pt" strokecolor="#000000">
                <v:path arrowok="t"/>
                <v:stroke dashstyle="dash"/>
              </v:shape>
            </v:group>
            <v:group style="position:absolute;left:5000;top:11958;width:2;height:24" coordorigin="5000,11958" coordsize="2,24">
              <v:shape style="position:absolute;left:5000;top:11958;width:2;height:24" coordorigin="5000,11958" coordsize="0,24" path="m5000,11958l5000,11982e" filled="false" stroked="true" strokeweight=".48pt" strokecolor="#000000">
                <v:path arrowok="t"/>
                <v:stroke dashstyle="dash"/>
              </v:shape>
            </v:group>
            <v:group style="position:absolute;left:5005;top:11963;width:5106;height:2" coordorigin="5005,11963" coordsize="5106,2">
              <v:shape style="position:absolute;left:5005;top:11963;width:5106;height:2" coordorigin="5005,11963" coordsize="5106,0" path="m5005,11963l10111,11963e" filled="false" stroked="true" strokeweight=".48pt" strokecolor="#000000">
                <v:path arrowok="t"/>
                <v:stroke dashstyle="dash"/>
              </v:shape>
            </v:group>
            <v:group style="position:absolute;left:5000;top:11982;width:2;height:394" coordorigin="5000,11982" coordsize="2,394">
              <v:shape style="position:absolute;left:5000;top:11982;width:2;height:394" coordorigin="5000,11982" coordsize="0,394" path="m5000,11982l5000,12376e" filled="false" stroked="true" strokeweight=".48pt" strokecolor="#000000">
                <v:path arrowok="t"/>
                <v:stroke dashstyle="dash"/>
              </v:shape>
            </v:group>
            <v:group style="position:absolute;left:1798;top:12381;width:3198;height:2" coordorigin="1798,12381" coordsize="3198,2">
              <v:shape style="position:absolute;left:1798;top:12381;width:3198;height:2" coordorigin="1798,12381" coordsize="3198,0" path="m1798,12381l4995,12381e" filled="false" stroked="true" strokeweight=".48pt" strokecolor="#000000">
                <v:path arrowok="t"/>
                <v:stroke dashstyle="dash"/>
              </v:shape>
            </v:group>
            <v:group style="position:absolute;left:5000;top:12376;width:2;height:24" coordorigin="5000,12376" coordsize="2,24">
              <v:shape style="position:absolute;left:5000;top:12376;width:2;height:24" coordorigin="5000,12376" coordsize="0,24" path="m5000,12376l5000,12400e" filled="false" stroked="true" strokeweight=".48pt" strokecolor="#000000">
                <v:path arrowok="t"/>
                <v:stroke dashstyle="dash"/>
              </v:shape>
            </v:group>
            <v:group style="position:absolute;left:5005;top:12381;width:5106;height:2" coordorigin="5005,12381" coordsize="5106,2">
              <v:shape style="position:absolute;left:5005;top:12381;width:5106;height:2" coordorigin="5005,12381" coordsize="5106,0" path="m5005,12381l10111,12381e" filled="false" stroked="true" strokeweight=".48pt" strokecolor="#000000">
                <v:path arrowok="t"/>
                <v:stroke dashstyle="dash"/>
              </v:shape>
            </v:group>
            <v:group style="position:absolute;left:1784;top:12799;width:3212;height:2" coordorigin="1784,12799" coordsize="3212,2">
              <v:shape style="position:absolute;left:1784;top:12799;width:3212;height:2" coordorigin="1784,12799" coordsize="3212,0" path="m1784,12799l4995,12799e" filled="false" stroked="true" strokeweight=".48pt" strokecolor="#000000">
                <v:path arrowok="t"/>
                <v:stroke dashstyle="dash"/>
              </v:shape>
            </v:group>
            <v:group style="position:absolute;left:5000;top:12400;width:2;height:394" coordorigin="5000,12400" coordsize="2,394">
              <v:shape style="position:absolute;left:5000;top:12400;width:2;height:394" coordorigin="5000,12400" coordsize="0,394" path="m5000,12400l5000,12794e" filled="false" stroked="true" strokeweight=".48pt" strokecolor="#000000">
                <v:path arrowok="t"/>
                <v:stroke dashstyle="dash"/>
              </v:shape>
            </v:group>
            <v:group style="position:absolute;left:4995;top:12799;width:10;height:2" coordorigin="4995,12799" coordsize="10,2">
              <v:shape style="position:absolute;left:4995;top:12799;width:10;height:2" coordorigin="4995,12799" coordsize="10,0" path="m4995,12799l5005,12799e" filled="false" stroked="true" strokeweight=".48pt" strokecolor="#000000">
                <v:path arrowok="t"/>
                <v:stroke dashstyle="dash"/>
              </v:shape>
            </v:group>
            <v:group style="position:absolute;left:1001;top:794;width:1021;height:2" coordorigin="1001,794" coordsize="1021,2">
              <v:shape style="position:absolute;left:1001;top:794;width:1021;height:2" coordorigin="1001,794" coordsize="1021,0" path="m1001,794l2022,794e" filled="false" stroked="true" strokeweight=".48pt" strokecolor="#000000">
                <v:path arrowok="t"/>
                <v:stroke dashstyle="dash"/>
              </v:shape>
            </v:group>
            <w10:wrap type="none"/>
          </v:group>
        </w:pict>
      </w:r>
      <w:r>
        <w:rPr>
          <w:rFonts w:ascii="宋体" w:hAnsi="宋体" w:cs="宋体" w:eastAsia="宋体" w:hint="default"/>
          <w:sz w:val="18"/>
          <w:szCs w:val="18"/>
        </w:rPr>
        <w:t>关联方名称</w:t>
        <w:tab/>
        <w:t>关联方与本公司的关系</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广东华声电器实业有限公司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扬州华声电子实业有限公司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广东兴顺律师事务所</w:t>
        <w:tab/>
        <w:t>本公司董事控制或担任董事、高级管理人员的企业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深圳市金汉源资产管理有限公司</w:t>
        <w:tab/>
        <w:t>本公司董事控制或担任董事的企业</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南大傲拓科技江苏股份有限公司</w:t>
        <w:tab/>
        <w:t>本公司董事控制或担任董事的企业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北亚资源控股有限公司</w:t>
        <w:tab/>
        <w:t>本公司董事控制或担任董事的企业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中国智能交通系统（控股）有限公司</w:t>
        <w:tab/>
        <w:t>本公司董事控制或担任董事的企业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北京即利网信息服务有限公司</w:t>
        <w:tab/>
        <w:t>本公司董事控制或担任董事的企业</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北京海风联盈富投资管理有限公司</w:t>
        <w:tab/>
        <w:t>本公司董事控制或担任董事的企业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pacing w:val="-1"/>
          <w:sz w:val="18"/>
          <w:szCs w:val="18"/>
        </w:rPr>
        <w:t>海风联投资顾问</w:t>
      </w:r>
      <w:r>
        <w:rPr>
          <w:rFonts w:ascii="宋体" w:hAnsi="宋体" w:cs="宋体" w:eastAsia="宋体" w:hint="default"/>
          <w:spacing w:val="-1"/>
          <w:sz w:val="18"/>
          <w:szCs w:val="18"/>
        </w:rPr>
        <w:t>(</w:t>
      </w:r>
      <w:r>
        <w:rPr>
          <w:rFonts w:ascii="宋体" w:hAnsi="宋体" w:cs="宋体" w:eastAsia="宋体" w:hint="default"/>
          <w:spacing w:val="-1"/>
          <w:sz w:val="18"/>
          <w:szCs w:val="18"/>
        </w:rPr>
        <w:t>北京</w:t>
      </w:r>
      <w:r>
        <w:rPr>
          <w:rFonts w:ascii="宋体" w:hAnsi="宋体" w:cs="宋体" w:eastAsia="宋体" w:hint="default"/>
          <w:spacing w:val="-1"/>
          <w:sz w:val="18"/>
          <w:szCs w:val="18"/>
        </w:rPr>
        <w:t>)</w:t>
      </w:r>
      <w:r>
        <w:rPr>
          <w:rFonts w:ascii="宋体" w:hAnsi="宋体" w:cs="宋体" w:eastAsia="宋体" w:hint="default"/>
          <w:spacing w:val="-1"/>
          <w:sz w:val="18"/>
          <w:szCs w:val="18"/>
        </w:rPr>
        <w:t>有限责任公司</w:t>
        <w:tab/>
      </w:r>
      <w:r>
        <w:rPr>
          <w:rFonts w:ascii="宋体" w:hAnsi="宋体" w:cs="宋体" w:eastAsia="宋体" w:hint="default"/>
          <w:sz w:val="18"/>
          <w:szCs w:val="18"/>
        </w:rPr>
        <w:t>本公司董事控制或担任董事的企业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传化智联股份有限公司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中弘控股股份有限公司</w:t>
        <w:tab/>
        <w:t>本公司董事担任董事的企业</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北京宏朗万得投资管理有限公司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深圳市集创云天新能源有限公司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珠海红塔仁恒包装股份有限公司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清大国华环境集团股份有限公司</w:t>
        <w:tab/>
        <w:t>本公司董事担任董事的企业</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山西联合镁业有限公司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中冀投资股份有限公司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深圳市集创云天新材料有限公司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昆吾九鼎投资控股股份有限公司</w:t>
        <w:tab/>
        <w:t>本公司董事担任董事的企业</w:t>
      </w:r>
    </w:p>
    <w:p>
      <w:pPr>
        <w:spacing w:line="240" w:lineRule="auto" w:before="4"/>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光华天成投资股份有限公司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浙江仙通橡塑股份有限公司</w:t>
        <w:tab/>
        <w:t>本公司董事担任董事的企业</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乐歌人体工学科技股份有限公司</w:t>
        <w:tab/>
        <w:t>本公司董事担任董事的企业</w:t>
      </w:r>
    </w:p>
    <w:p>
      <w:pPr>
        <w:spacing w:line="240" w:lineRule="auto" w:before="7"/>
        <w:rPr>
          <w:rFonts w:ascii="宋体" w:hAnsi="宋体" w:cs="宋体" w:eastAsia="宋体" w:hint="default"/>
          <w:sz w:val="10"/>
          <w:szCs w:val="10"/>
        </w:rPr>
      </w:pPr>
    </w:p>
    <w:p>
      <w:pPr>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江苏诺泰澳赛诺生物制药股份有限公司</w:t>
      </w:r>
      <w:r>
        <w:rPr>
          <w:rFonts w:ascii="宋体" w:hAnsi="宋体" w:cs="宋体" w:eastAsia="宋体" w:hint="default"/>
          <w:spacing w:val="52"/>
          <w:sz w:val="18"/>
          <w:szCs w:val="18"/>
        </w:rPr>
        <w:t> </w:t>
      </w:r>
      <w:r>
        <w:rPr>
          <w:rFonts w:ascii="宋体" w:hAnsi="宋体" w:cs="宋体" w:eastAsia="宋体" w:hint="default"/>
          <w:sz w:val="18"/>
          <w:szCs w:val="18"/>
        </w:rPr>
        <w:t>本公司董事担任董事的企业</w:t>
      </w:r>
    </w:p>
    <w:p>
      <w:pPr>
        <w:spacing w:line="240" w:lineRule="auto" w:before="4"/>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979" w:top="1100" w:bottom="1160" w:left="880" w:right="0"/>
        </w:sectPr>
      </w:pPr>
    </w:p>
    <w:p>
      <w:pPr>
        <w:spacing w:line="240" w:lineRule="auto" w:before="4"/>
        <w:rPr>
          <w:rFonts w:ascii="宋体" w:hAnsi="宋体" w:cs="宋体" w:eastAsia="宋体" w:hint="default"/>
          <w:sz w:val="15"/>
          <w:szCs w:val="15"/>
        </w:rPr>
      </w:pPr>
    </w:p>
    <w:p>
      <w:pPr>
        <w:spacing w:before="0"/>
        <w:ind w:left="932" w:right="-20" w:firstLine="0"/>
        <w:jc w:val="left"/>
        <w:rPr>
          <w:rFonts w:ascii="宋体" w:hAnsi="宋体" w:cs="宋体" w:eastAsia="宋体" w:hint="default"/>
          <w:sz w:val="18"/>
          <w:szCs w:val="18"/>
        </w:rPr>
      </w:pPr>
      <w:r>
        <w:rPr>
          <w:rFonts w:ascii="宋体" w:hAnsi="宋体" w:cs="宋体" w:eastAsia="宋体" w:hint="default"/>
          <w:sz w:val="18"/>
          <w:szCs w:val="18"/>
        </w:rPr>
        <w:t>威联印刷厂</w:t>
      </w:r>
    </w:p>
    <w:p>
      <w:pPr>
        <w:spacing w:line="316" w:lineRule="auto" w:before="44"/>
        <w:ind w:left="932" w:right="1152"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本公司监事之关系密切的家庭成员控制或担任董事、高级管理人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员的企业</w:t>
      </w:r>
    </w:p>
    <w:p>
      <w:pPr>
        <w:spacing w:after="0" w:line="316" w:lineRule="auto"/>
        <w:jc w:val="left"/>
        <w:rPr>
          <w:rFonts w:ascii="宋体" w:hAnsi="宋体" w:cs="宋体" w:eastAsia="宋体" w:hint="default"/>
          <w:sz w:val="18"/>
          <w:szCs w:val="18"/>
        </w:rPr>
        <w:sectPr>
          <w:type w:val="continuous"/>
          <w:pgSz w:w="11910" w:h="16840"/>
          <w:pgMar w:top="1060" w:bottom="1160" w:left="880" w:right="0"/>
          <w:cols w:num="2" w:equalWidth="0">
            <w:col w:w="1833" w:space="1369"/>
            <w:col w:w="7828"/>
          </w:cols>
        </w:sectPr>
      </w:pPr>
    </w:p>
    <w:p>
      <w:pPr>
        <w:tabs>
          <w:tab w:pos="4134" w:val="left" w:leader="none"/>
        </w:tabs>
        <w:spacing w:before="124"/>
        <w:ind w:left="932" w:right="0" w:firstLine="0"/>
        <w:jc w:val="left"/>
        <w:rPr>
          <w:rFonts w:ascii="宋体" w:hAnsi="宋体" w:cs="宋体" w:eastAsia="宋体" w:hint="default"/>
          <w:sz w:val="18"/>
          <w:szCs w:val="18"/>
        </w:rPr>
      </w:pPr>
      <w:r>
        <w:rPr>
          <w:rFonts w:ascii="宋体" w:hAnsi="宋体" w:cs="宋体" w:eastAsia="宋体" w:hint="default"/>
          <w:sz w:val="18"/>
          <w:szCs w:val="18"/>
        </w:rPr>
        <w:t>趣分期（赣州）信息技术有限公司</w:t>
        <w:tab/>
        <w:t>根据实质重于形式原则认定的关联方</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厦门趣店科技有限公司</w:t>
        <w:tab/>
        <w:t>根据实质重于形式原则认定的关联方</w:t>
      </w:r>
    </w:p>
    <w:p>
      <w:pPr>
        <w:spacing w:line="240" w:lineRule="auto" w:before="7"/>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北京快乐时代科技发展有限公司</w:t>
        <w:tab/>
        <w:t>根据实质重于形式原则认定的关联方</w:t>
      </w:r>
    </w:p>
    <w:p>
      <w:pPr>
        <w:spacing w:line="240" w:lineRule="auto" w:before="5"/>
        <w:rPr>
          <w:rFonts w:ascii="宋体" w:hAnsi="宋体" w:cs="宋体" w:eastAsia="宋体" w:hint="default"/>
          <w:sz w:val="10"/>
          <w:szCs w:val="10"/>
        </w:rPr>
      </w:pPr>
    </w:p>
    <w:p>
      <w:pPr>
        <w:tabs>
          <w:tab w:pos="4134" w:val="left" w:leader="none"/>
        </w:tabs>
        <w:spacing w:before="44"/>
        <w:ind w:left="932" w:right="0" w:firstLine="0"/>
        <w:jc w:val="left"/>
        <w:rPr>
          <w:rFonts w:ascii="宋体" w:hAnsi="宋体" w:cs="宋体" w:eastAsia="宋体" w:hint="default"/>
          <w:sz w:val="18"/>
          <w:szCs w:val="18"/>
        </w:rPr>
      </w:pPr>
      <w:r>
        <w:rPr>
          <w:rFonts w:ascii="宋体" w:hAnsi="宋体" w:cs="宋体" w:eastAsia="宋体" w:hint="default"/>
          <w:sz w:val="18"/>
          <w:szCs w:val="18"/>
        </w:rPr>
        <w:t>乐山市商业银行股份有限公司</w:t>
        <w:tab/>
        <w:t>本公司董事担任董事的企业，截至期末该情形已消除</w:t>
      </w:r>
    </w:p>
    <w:p>
      <w:pPr>
        <w:spacing w:after="0"/>
        <w:jc w:val="left"/>
        <w:rPr>
          <w:rFonts w:ascii="宋体" w:hAnsi="宋体" w:cs="宋体" w:eastAsia="宋体" w:hint="default"/>
          <w:sz w:val="18"/>
          <w:szCs w:val="18"/>
        </w:rPr>
        <w:sectPr>
          <w:type w:val="continuous"/>
          <w:pgSz w:w="11910" w:h="16840"/>
          <w:pgMar w:top="1060" w:bottom="116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217"/>
        <w:gridCol w:w="5111"/>
      </w:tblGrid>
      <w:tr>
        <w:trPr>
          <w:trHeight w:val="427" w:hRule="exact"/>
        </w:trPr>
        <w:tc>
          <w:tcPr>
            <w:tcW w:w="321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51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left="1649" w:right="0"/>
              <w:jc w:val="left"/>
              <w:rPr>
                <w:rFonts w:ascii="宋体" w:hAnsi="宋体" w:cs="宋体" w:eastAsia="宋体" w:hint="default"/>
                <w:sz w:val="18"/>
                <w:szCs w:val="18"/>
              </w:rPr>
            </w:pPr>
            <w:r>
              <w:rPr>
                <w:rFonts w:ascii="宋体" w:hAnsi="宋体" w:cs="宋体" w:eastAsia="宋体" w:hint="default"/>
                <w:sz w:val="18"/>
                <w:szCs w:val="18"/>
              </w:rPr>
              <w:t>关联方与本公司的关系</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浙江圣达生物药业股份有限公司</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本公司董事担任董事的企业，截至期末该情形已消除</w:t>
            </w:r>
          </w:p>
        </w:tc>
      </w:tr>
      <w:tr>
        <w:trPr>
          <w:trHeight w:val="415"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香飘飘食品股份有限公司</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本公司董事担任董事的企业，截至期末该情形已消除</w:t>
            </w:r>
          </w:p>
        </w:tc>
      </w:tr>
      <w:tr>
        <w:trPr>
          <w:trHeight w:val="418" w:hRule="exact"/>
        </w:trPr>
        <w:tc>
          <w:tcPr>
            <w:tcW w:w="321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众安在线财产保险股份有限公司</w:t>
            </w:r>
          </w:p>
        </w:tc>
        <w:tc>
          <w:tcPr>
            <w:tcW w:w="51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本公司实际控制人担任董事的企业，截至期末该情形已消除</w:t>
            </w:r>
          </w:p>
        </w:tc>
      </w:tr>
      <w:tr>
        <w:trPr>
          <w:trHeight w:val="739" w:hRule="exact"/>
        </w:trPr>
        <w:tc>
          <w:tcPr>
            <w:tcW w:w="321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广州达意隆包装机械股份有限公司</w:t>
            </w:r>
          </w:p>
        </w:tc>
        <w:tc>
          <w:tcPr>
            <w:tcW w:w="5111" w:type="dxa"/>
            <w:tcBorders>
              <w:top w:val="dotted" w:sz="4" w:space="0" w:color="000000"/>
              <w:left w:val="dotted" w:sz="4" w:space="0" w:color="000000"/>
              <w:bottom w:val="single" w:sz="12" w:space="0" w:color="000000"/>
              <w:right w:val="nil" w:sz="6" w:space="0" w:color="auto"/>
            </w:tcBorders>
          </w:tcPr>
          <w:p>
            <w:pPr>
              <w:pStyle w:val="TableParagraph"/>
              <w:spacing w:line="314" w:lineRule="auto" w:before="65"/>
              <w:ind w:left="9" w:right="17"/>
              <w:jc w:val="left"/>
              <w:rPr>
                <w:rFonts w:ascii="宋体" w:hAnsi="宋体" w:cs="宋体" w:eastAsia="宋体" w:hint="default"/>
                <w:sz w:val="18"/>
                <w:szCs w:val="18"/>
              </w:rPr>
            </w:pPr>
            <w:r>
              <w:rPr>
                <w:rFonts w:ascii="宋体" w:hAnsi="宋体" w:cs="宋体" w:eastAsia="宋体" w:hint="default"/>
                <w:sz w:val="18"/>
                <w:szCs w:val="18"/>
              </w:rPr>
              <w:t>本公司实际控制人曾经控制或担任董事的企业，该情形消除时间</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距离本期期初不足</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tc>
      </w:tr>
    </w:tbl>
    <w:p>
      <w:pPr>
        <w:spacing w:line="240" w:lineRule="auto" w:before="5"/>
        <w:rPr>
          <w:rFonts w:ascii="宋体" w:hAnsi="宋体" w:cs="宋体" w:eastAsia="宋体" w:hint="default"/>
          <w:sz w:val="28"/>
          <w:szCs w:val="28"/>
        </w:rPr>
      </w:pPr>
    </w:p>
    <w:p>
      <w:pPr>
        <w:pStyle w:val="Heading4"/>
        <w:spacing w:line="335" w:lineRule="exact"/>
        <w:ind w:right="1786"/>
        <w:jc w:val="left"/>
        <w:rPr>
          <w:b w:val="0"/>
          <w:bCs w:val="0"/>
        </w:rPr>
      </w:pPr>
      <w:r>
        <w:rPr/>
        <w:t>（五）关联方交易</w:t>
      </w:r>
      <w:r>
        <w:rPr>
          <w:b w:val="0"/>
          <w:bCs w:val="0"/>
        </w:rPr>
      </w:r>
    </w:p>
    <w:p>
      <w:pPr>
        <w:pStyle w:val="Heading4"/>
        <w:spacing w:line="240" w:lineRule="auto" w:before="83"/>
        <w:ind w:right="1786"/>
        <w:jc w:val="left"/>
        <w:rPr>
          <w:b w:val="0"/>
          <w:bCs w:val="0"/>
        </w:rPr>
      </w:pPr>
      <w:r>
        <w:rPr>
          <w:rFonts w:ascii="Trebuchet MS" w:hAnsi="Trebuchet MS" w:cs="Trebuchet MS" w:eastAsia="Trebuchet MS" w:hint="default"/>
        </w:rPr>
        <w:t>1. </w:t>
      </w:r>
      <w:r>
        <w:rPr>
          <w:rFonts w:ascii="Trebuchet MS" w:hAnsi="Trebuchet MS" w:cs="Trebuchet MS" w:eastAsia="Trebuchet MS" w:hint="default"/>
          <w:spacing w:val="3"/>
        </w:rPr>
        <w:t> </w:t>
      </w:r>
      <w:r>
        <w:rPr/>
        <w:t>购买商品、接受劳务的关联交易</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775"/>
        <w:gridCol w:w="1877"/>
        <w:gridCol w:w="2004"/>
        <w:gridCol w:w="1887"/>
      </w:tblGrid>
      <w:tr>
        <w:trPr>
          <w:trHeight w:val="360" w:hRule="exact"/>
        </w:trPr>
        <w:tc>
          <w:tcPr>
            <w:tcW w:w="27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9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0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4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7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珠海凡泰极客科技有限责任公司</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661,568.88</w:t>
            </w:r>
          </w:p>
        </w:tc>
        <w:tc>
          <w:tcPr>
            <w:tcW w:w="1887"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7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7" w:type="dxa"/>
            <w:tcBorders>
              <w:top w:val="dotted" w:sz="4" w:space="0" w:color="000000"/>
              <w:left w:val="dotted" w:sz="4" w:space="0" w:color="000000"/>
              <w:bottom w:val="single" w:sz="12" w:space="0" w:color="000000"/>
              <w:right w:val="dotted" w:sz="4" w:space="0" w:color="000000"/>
            </w:tcBorders>
          </w:tcPr>
          <w:p>
            <w:pPr/>
          </w:p>
        </w:tc>
        <w:tc>
          <w:tcPr>
            <w:tcW w:w="20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661,568.88</w:t>
            </w:r>
          </w:p>
        </w:tc>
        <w:tc>
          <w:tcPr>
            <w:tcW w:w="188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rebuchet MS" w:hAnsi="Trebuchet MS" w:cs="Trebuchet MS" w:eastAsia="Trebuchet MS" w:hint="default"/>
        </w:rPr>
        <w:t>2. </w:t>
      </w:r>
      <w:r>
        <w:rPr>
          <w:rFonts w:ascii="Trebuchet MS" w:hAnsi="Trebuchet MS" w:cs="Trebuchet MS" w:eastAsia="Trebuchet MS" w:hint="default"/>
          <w:spacing w:val="3"/>
        </w:rPr>
        <w:t> </w:t>
      </w:r>
      <w:r>
        <w:rPr/>
        <w:t>销售商品、提供劳务的关联交易</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2775"/>
        <w:gridCol w:w="1877"/>
        <w:gridCol w:w="2004"/>
        <w:gridCol w:w="1887"/>
      </w:tblGrid>
      <w:tr>
        <w:trPr>
          <w:trHeight w:val="360" w:hRule="exact"/>
        </w:trPr>
        <w:tc>
          <w:tcPr>
            <w:tcW w:w="27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39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0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5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left="4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7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江信基金管理有限公司</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手续费及佣金</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606,139.38</w:t>
            </w:r>
          </w:p>
        </w:tc>
        <w:tc>
          <w:tcPr>
            <w:tcW w:w="18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1,259,811.45</w:t>
            </w:r>
          </w:p>
        </w:tc>
      </w:tr>
      <w:tr>
        <w:trPr>
          <w:trHeight w:val="350" w:hRule="exact"/>
        </w:trPr>
        <w:tc>
          <w:tcPr>
            <w:tcW w:w="27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北京快乐时代科技发展有限公司</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手续费及佣金</w:t>
            </w:r>
          </w:p>
        </w:tc>
        <w:tc>
          <w:tcPr>
            <w:tcW w:w="2004" w:type="dxa"/>
            <w:tcBorders>
              <w:top w:val="dotted" w:sz="4" w:space="0" w:color="000000"/>
              <w:left w:val="dotted" w:sz="4" w:space="0" w:color="000000"/>
              <w:bottom w:val="dotted" w:sz="4" w:space="0" w:color="000000"/>
              <w:right w:val="dotted" w:sz="4" w:space="0" w:color="000000"/>
            </w:tcBorders>
          </w:tcPr>
          <w:p>
            <w:pPr/>
          </w:p>
        </w:tc>
        <w:tc>
          <w:tcPr>
            <w:tcW w:w="18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1,202,424.53</w:t>
            </w:r>
          </w:p>
        </w:tc>
      </w:tr>
      <w:tr>
        <w:trPr>
          <w:trHeight w:val="557" w:hRule="exact"/>
        </w:trPr>
        <w:tc>
          <w:tcPr>
            <w:tcW w:w="2775"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4"/>
              <w:jc w:val="left"/>
              <w:rPr>
                <w:rFonts w:ascii="宋体" w:hAnsi="宋体" w:cs="宋体" w:eastAsia="宋体" w:hint="default"/>
                <w:sz w:val="18"/>
                <w:szCs w:val="18"/>
              </w:rPr>
            </w:pPr>
            <w:r>
              <w:rPr>
                <w:rFonts w:ascii="宋体" w:hAnsi="宋体" w:cs="宋体" w:eastAsia="宋体" w:hint="default"/>
                <w:sz w:val="18"/>
                <w:szCs w:val="18"/>
              </w:rPr>
              <w:t>雪松国际信托股份有限公司（中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江国际信托股份有限公司）</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手续费及佣金</w:t>
            </w:r>
          </w:p>
        </w:tc>
        <w:tc>
          <w:tcPr>
            <w:tcW w:w="20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577,982.88</w:t>
            </w:r>
          </w:p>
        </w:tc>
        <w:tc>
          <w:tcPr>
            <w:tcW w:w="18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178,548.54</w:t>
            </w:r>
          </w:p>
        </w:tc>
      </w:tr>
      <w:tr>
        <w:trPr>
          <w:trHeight w:val="413" w:hRule="exact"/>
        </w:trPr>
        <w:tc>
          <w:tcPr>
            <w:tcW w:w="27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7" w:type="dxa"/>
            <w:tcBorders>
              <w:top w:val="dotted" w:sz="4" w:space="0" w:color="000000"/>
              <w:left w:val="dotted" w:sz="4" w:space="0" w:color="000000"/>
              <w:bottom w:val="single" w:sz="12" w:space="0" w:color="000000"/>
              <w:right w:val="dotted" w:sz="4" w:space="0" w:color="000000"/>
            </w:tcBorders>
          </w:tcPr>
          <w:p>
            <w:pPr/>
          </w:p>
        </w:tc>
        <w:tc>
          <w:tcPr>
            <w:tcW w:w="20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1,184,122.26</w:t>
            </w:r>
          </w:p>
        </w:tc>
        <w:tc>
          <w:tcPr>
            <w:tcW w:w="188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2,640,784.52</w:t>
            </w:r>
          </w:p>
        </w:tc>
      </w:tr>
    </w:tbl>
    <w:p>
      <w:pPr>
        <w:spacing w:line="240" w:lineRule="auto" w:before="17"/>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rebuchet MS" w:hAnsi="Trebuchet MS" w:cs="Trebuchet MS" w:eastAsia="Trebuchet MS" w:hint="default"/>
          <w:w w:val="105"/>
        </w:rPr>
        <w:t>3.</w:t>
      </w:r>
      <w:r>
        <w:rPr>
          <w:rFonts w:ascii="Trebuchet MS" w:hAnsi="Trebuchet MS" w:cs="Trebuchet MS" w:eastAsia="Trebuchet MS" w:hint="default"/>
          <w:spacing w:val="-16"/>
          <w:w w:val="105"/>
        </w:rPr>
        <w:t> </w:t>
      </w:r>
      <w:r>
        <w:rPr>
          <w:w w:val="105"/>
        </w:rPr>
        <w:t>关联托管情况</w:t>
      </w:r>
      <w:r>
        <w:rPr>
          <w:b w:val="0"/>
          <w:bCs w:val="0"/>
          <w:w w:val="105"/>
        </w:rPr>
      </w:r>
    </w:p>
    <w:p>
      <w:pPr>
        <w:pStyle w:val="BodyText"/>
        <w:spacing w:line="240" w:lineRule="auto" w:before="150"/>
        <w:ind w:left="529" w:right="1786"/>
        <w:jc w:val="left"/>
      </w:pPr>
      <w:r>
        <w:rPr/>
        <w:t>（</w:t>
      </w:r>
      <w:r>
        <w:rPr>
          <w:rFonts w:ascii="Times New Roman" w:hAnsi="Times New Roman" w:cs="Times New Roman" w:eastAsia="Times New Roman" w:hint="default"/>
        </w:rPr>
        <w:t>1</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p>
    <w:p>
      <w:pPr>
        <w:spacing w:line="240" w:lineRule="auto" w:before="9"/>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318"/>
        <w:gridCol w:w="1301"/>
        <w:gridCol w:w="1010"/>
        <w:gridCol w:w="1013"/>
        <w:gridCol w:w="1010"/>
        <w:gridCol w:w="1306"/>
        <w:gridCol w:w="1585"/>
      </w:tblGrid>
      <w:tr>
        <w:trPr>
          <w:trHeight w:val="569" w:hRule="exact"/>
        </w:trPr>
        <w:tc>
          <w:tcPr>
            <w:tcW w:w="13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委托方名称</w:t>
            </w:r>
          </w:p>
        </w:tc>
        <w:tc>
          <w:tcPr>
            <w:tcW w:w="130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受托方名称</w:t>
            </w:r>
          </w:p>
        </w:tc>
        <w:tc>
          <w:tcPr>
            <w:tcW w:w="1010"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319" w:right="139" w:hanging="180"/>
              <w:jc w:val="left"/>
              <w:rPr>
                <w:rFonts w:ascii="宋体" w:hAnsi="宋体" w:cs="宋体" w:eastAsia="宋体" w:hint="default"/>
                <w:sz w:val="18"/>
                <w:szCs w:val="18"/>
              </w:rPr>
            </w:pPr>
            <w:r>
              <w:rPr>
                <w:rFonts w:ascii="宋体" w:hAnsi="宋体" w:cs="宋体" w:eastAsia="宋体" w:hint="default"/>
                <w:sz w:val="18"/>
                <w:szCs w:val="18"/>
              </w:rPr>
              <w:t>受托资产 类型</w:t>
            </w:r>
          </w:p>
        </w:tc>
        <w:tc>
          <w:tcPr>
            <w:tcW w:w="1013"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410" w:right="142" w:hanging="272"/>
              <w:jc w:val="left"/>
              <w:rPr>
                <w:rFonts w:ascii="宋体" w:hAnsi="宋体" w:cs="宋体" w:eastAsia="宋体" w:hint="default"/>
                <w:sz w:val="18"/>
                <w:szCs w:val="18"/>
              </w:rPr>
            </w:pPr>
            <w:r>
              <w:rPr>
                <w:rFonts w:ascii="宋体" w:hAnsi="宋体" w:cs="宋体" w:eastAsia="宋体" w:hint="default"/>
                <w:sz w:val="18"/>
                <w:szCs w:val="18"/>
              </w:rPr>
              <w:t>受托起始 日</w:t>
            </w:r>
          </w:p>
        </w:tc>
        <w:tc>
          <w:tcPr>
            <w:tcW w:w="1010"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407" w:right="139" w:hanging="269"/>
              <w:jc w:val="left"/>
              <w:rPr>
                <w:rFonts w:ascii="宋体" w:hAnsi="宋体" w:cs="宋体" w:eastAsia="宋体" w:hint="default"/>
                <w:sz w:val="18"/>
                <w:szCs w:val="18"/>
              </w:rPr>
            </w:pPr>
            <w:r>
              <w:rPr>
                <w:rFonts w:ascii="宋体" w:hAnsi="宋体" w:cs="宋体" w:eastAsia="宋体" w:hint="default"/>
                <w:sz w:val="18"/>
                <w:szCs w:val="18"/>
              </w:rPr>
              <w:t>受托终止 日</w:t>
            </w:r>
          </w:p>
        </w:tc>
        <w:tc>
          <w:tcPr>
            <w:tcW w:w="1306"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468" w:right="107" w:hanging="360"/>
              <w:jc w:val="left"/>
              <w:rPr>
                <w:rFonts w:ascii="宋体" w:hAnsi="宋体" w:cs="宋体" w:eastAsia="宋体" w:hint="default"/>
                <w:sz w:val="18"/>
                <w:szCs w:val="18"/>
              </w:rPr>
            </w:pPr>
            <w:r>
              <w:rPr>
                <w:rFonts w:ascii="宋体" w:hAnsi="宋体" w:cs="宋体" w:eastAsia="宋体" w:hint="default"/>
                <w:sz w:val="18"/>
                <w:szCs w:val="18"/>
              </w:rPr>
              <w:t>托管收益定价 依据</w:t>
            </w:r>
          </w:p>
        </w:tc>
        <w:tc>
          <w:tcPr>
            <w:tcW w:w="1585"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607" w:right="161" w:hanging="452"/>
              <w:jc w:val="left"/>
              <w:rPr>
                <w:rFonts w:ascii="宋体" w:hAnsi="宋体" w:cs="宋体" w:eastAsia="宋体" w:hint="default"/>
                <w:sz w:val="18"/>
                <w:szCs w:val="18"/>
              </w:rPr>
            </w:pPr>
            <w:r>
              <w:rPr>
                <w:rFonts w:ascii="宋体" w:hAnsi="宋体" w:cs="宋体" w:eastAsia="宋体" w:hint="default"/>
                <w:sz w:val="18"/>
                <w:szCs w:val="18"/>
              </w:rPr>
              <w:t>本期确认的托管 收益</w:t>
            </w:r>
          </w:p>
        </w:tc>
      </w:tr>
      <w:tr>
        <w:trPr>
          <w:trHeight w:val="276" w:hRule="exact"/>
        </w:trPr>
        <w:tc>
          <w:tcPr>
            <w:tcW w:w="1318" w:type="dxa"/>
            <w:tcBorders>
              <w:top w:val="dotted" w:sz="4" w:space="0" w:color="000000"/>
              <w:left w:val="nil" w:sz="6" w:space="0" w:color="auto"/>
              <w:bottom w:val="nil" w:sz="6" w:space="0" w:color="auto"/>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雪松国际信托</w:t>
            </w:r>
          </w:p>
        </w:tc>
        <w:tc>
          <w:tcPr>
            <w:tcW w:w="1301" w:type="dxa"/>
            <w:tcBorders>
              <w:top w:val="dotted" w:sz="4" w:space="0" w:color="000000"/>
              <w:left w:val="dotted" w:sz="4" w:space="0" w:color="000000"/>
              <w:bottom w:val="nil" w:sz="6" w:space="0" w:color="auto"/>
              <w:right w:val="dotted" w:sz="4" w:space="0" w:color="000000"/>
            </w:tcBorders>
          </w:tcPr>
          <w:p>
            <w:pPr/>
          </w:p>
        </w:tc>
        <w:tc>
          <w:tcPr>
            <w:tcW w:w="1010"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8"/>
                <w:sz w:val="18"/>
                <w:szCs w:val="18"/>
              </w:rPr>
              <w:t>国盛资管</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13" w:type="dxa"/>
            <w:tcBorders>
              <w:top w:val="dotted" w:sz="4" w:space="0" w:color="000000"/>
              <w:left w:val="dotted" w:sz="4" w:space="0" w:color="000000"/>
              <w:bottom w:val="nil" w:sz="6" w:space="0" w:color="auto"/>
              <w:right w:val="dotted" w:sz="4" w:space="0" w:color="000000"/>
            </w:tcBorders>
          </w:tcPr>
          <w:p>
            <w:pPr/>
          </w:p>
        </w:tc>
        <w:tc>
          <w:tcPr>
            <w:tcW w:w="1010" w:type="dxa"/>
            <w:tcBorders>
              <w:top w:val="dotted" w:sz="4" w:space="0" w:color="000000"/>
              <w:left w:val="dotted" w:sz="4" w:space="0" w:color="000000"/>
              <w:bottom w:val="nil" w:sz="6" w:space="0" w:color="auto"/>
              <w:right w:val="dotted" w:sz="4" w:space="0" w:color="000000"/>
            </w:tcBorders>
          </w:tcPr>
          <w:p>
            <w:pPr/>
          </w:p>
        </w:tc>
        <w:tc>
          <w:tcPr>
            <w:tcW w:w="1306"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2"/>
                <w:sz w:val="18"/>
                <w:szCs w:val="18"/>
              </w:rPr>
              <w:t>《国盛资管金</w:t>
            </w:r>
            <w:r>
              <w:rPr>
                <w:rFonts w:ascii="宋体" w:hAnsi="宋体" w:cs="宋体" w:eastAsia="宋体" w:hint="default"/>
                <w:sz w:val="18"/>
                <w:szCs w:val="18"/>
              </w:rPr>
            </w:r>
          </w:p>
        </w:tc>
        <w:tc>
          <w:tcPr>
            <w:tcW w:w="1585" w:type="dxa"/>
            <w:tcBorders>
              <w:top w:val="dotted" w:sz="4" w:space="0" w:color="000000"/>
              <w:left w:val="dotted" w:sz="4" w:space="0" w:color="000000"/>
              <w:bottom w:val="nil" w:sz="6" w:space="0" w:color="auto"/>
              <w:right w:val="nil" w:sz="6" w:space="0" w:color="auto"/>
            </w:tcBorders>
          </w:tcPr>
          <w:p>
            <w:pPr/>
          </w:p>
        </w:tc>
      </w:tr>
      <w:tr>
        <w:trPr>
          <w:trHeight w:val="700" w:hRule="exact"/>
        </w:trPr>
        <w:tc>
          <w:tcPr>
            <w:tcW w:w="1318" w:type="dxa"/>
            <w:tcBorders>
              <w:top w:val="nil" w:sz="6" w:space="0" w:color="auto"/>
              <w:left w:val="nil" w:sz="6" w:space="0" w:color="auto"/>
              <w:bottom w:val="nil" w:sz="6" w:space="0" w:color="auto"/>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p>
            <w:pPr>
              <w:pStyle w:val="TableParagraph"/>
              <w:spacing w:line="232" w:lineRule="exact" w:before="23"/>
              <w:ind w:left="122" w:right="99"/>
              <w:jc w:val="left"/>
              <w:rPr>
                <w:rFonts w:ascii="宋体" w:hAnsi="宋体" w:cs="宋体" w:eastAsia="宋体" w:hint="default"/>
                <w:sz w:val="18"/>
                <w:szCs w:val="18"/>
              </w:rPr>
            </w:pPr>
            <w:r>
              <w:rPr>
                <w:rFonts w:ascii="宋体" w:hAnsi="宋体" w:cs="宋体" w:eastAsia="宋体" w:hint="default"/>
                <w:sz w:val="18"/>
                <w:szCs w:val="18"/>
              </w:rPr>
              <w:t>（中江国际信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托股份有限公</w:t>
            </w:r>
          </w:p>
        </w:tc>
        <w:tc>
          <w:tcPr>
            <w:tcW w:w="1301" w:type="dxa"/>
            <w:tcBorders>
              <w:top w:val="nil" w:sz="6" w:space="0" w:color="auto"/>
              <w:left w:val="dotted" w:sz="4" w:space="0" w:color="000000"/>
              <w:bottom w:val="nil" w:sz="6" w:space="0" w:color="auto"/>
              <w:right w:val="dotted" w:sz="4" w:space="0" w:color="000000"/>
            </w:tcBorders>
          </w:tcPr>
          <w:p>
            <w:pPr>
              <w:pStyle w:val="TableParagraph"/>
              <w:spacing w:line="232" w:lineRule="exact" w:before="112"/>
              <w:ind w:left="100" w:right="100"/>
              <w:jc w:val="left"/>
              <w:rPr>
                <w:rFonts w:ascii="宋体" w:hAnsi="宋体" w:cs="宋体" w:eastAsia="宋体" w:hint="default"/>
                <w:sz w:val="18"/>
                <w:szCs w:val="18"/>
              </w:rPr>
            </w:pPr>
            <w:r>
              <w:rPr>
                <w:rFonts w:ascii="宋体" w:hAnsi="宋体" w:cs="宋体" w:eastAsia="宋体" w:hint="default"/>
                <w:sz w:val="18"/>
                <w:szCs w:val="18"/>
              </w:rPr>
              <w:t>国盛证券资产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管理有限公司</w:t>
            </w:r>
          </w:p>
        </w:tc>
        <w:tc>
          <w:tcPr>
            <w:tcW w:w="1010"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金狮</w:t>
            </w:r>
            <w:r>
              <w:rPr>
                <w:rFonts w:ascii="宋体" w:hAnsi="宋体" w:cs="宋体" w:eastAsia="宋体" w:hint="default"/>
                <w:spacing w:val="36"/>
                <w:sz w:val="18"/>
                <w:szCs w:val="18"/>
              </w:rPr>
              <w:t> </w:t>
            </w:r>
            <w:r>
              <w:rPr>
                <w:rFonts w:ascii="宋体" w:hAnsi="宋体" w:cs="宋体" w:eastAsia="宋体" w:hint="default"/>
                <w:sz w:val="18"/>
                <w:szCs w:val="18"/>
              </w:rPr>
              <w:t>839</w:t>
            </w:r>
          </w:p>
          <w:p>
            <w:pPr>
              <w:pStyle w:val="TableParagraph"/>
              <w:spacing w:line="232" w:lineRule="exact" w:before="23"/>
              <w:ind w:left="103" w:right="79"/>
              <w:jc w:val="left"/>
              <w:rPr>
                <w:rFonts w:ascii="宋体" w:hAnsi="宋体" w:cs="宋体" w:eastAsia="宋体" w:hint="default"/>
                <w:sz w:val="18"/>
                <w:szCs w:val="18"/>
              </w:rPr>
            </w:pPr>
            <w:r>
              <w:rPr>
                <w:rFonts w:ascii="宋体" w:hAnsi="宋体" w:cs="宋体" w:eastAsia="宋体" w:hint="default"/>
                <w:spacing w:val="18"/>
                <w:sz w:val="18"/>
                <w:szCs w:val="18"/>
              </w:rPr>
              <w:t>号定向资</w:t>
            </w:r>
            <w:r>
              <w:rPr>
                <w:rFonts w:ascii="宋体" w:hAnsi="宋体" w:cs="宋体" w:eastAsia="宋体" w:hint="default"/>
                <w:spacing w:val="-66"/>
                <w:sz w:val="18"/>
                <w:szCs w:val="18"/>
              </w:rPr>
              <w:t> </w:t>
            </w:r>
            <w:r>
              <w:rPr>
                <w:rFonts w:ascii="宋体" w:hAnsi="宋体" w:cs="宋体" w:eastAsia="宋体" w:hint="default"/>
                <w:spacing w:val="18"/>
                <w:sz w:val="18"/>
                <w:szCs w:val="18"/>
              </w:rPr>
              <w:t>产管理计</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13" w:type="dxa"/>
            <w:tcBorders>
              <w:top w:val="nil" w:sz="6" w:space="0" w:color="auto"/>
              <w:left w:val="dotted" w:sz="4" w:space="0" w:color="000000"/>
              <w:bottom w:val="nil" w:sz="6" w:space="0" w:color="auto"/>
              <w:right w:val="dotted"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10" w:type="dxa"/>
            <w:tcBorders>
              <w:top w:val="nil" w:sz="6" w:space="0" w:color="auto"/>
              <w:left w:val="dotted" w:sz="4" w:space="0" w:color="000000"/>
              <w:bottom w:val="nil" w:sz="6" w:space="0" w:color="auto"/>
              <w:right w:val="dotted" w:sz="4"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306"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狮</w:t>
            </w:r>
            <w:r>
              <w:rPr>
                <w:rFonts w:ascii="宋体" w:hAnsi="宋体" w:cs="宋体" w:eastAsia="宋体" w:hint="default"/>
                <w:spacing w:val="-41"/>
                <w:sz w:val="18"/>
                <w:szCs w:val="18"/>
              </w:rPr>
              <w:t> </w:t>
            </w:r>
            <w:r>
              <w:rPr>
                <w:rFonts w:ascii="宋体" w:hAnsi="宋体" w:cs="宋体" w:eastAsia="宋体" w:hint="default"/>
                <w:sz w:val="18"/>
                <w:szCs w:val="18"/>
              </w:rPr>
              <w:t>839</w:t>
            </w:r>
            <w:r>
              <w:rPr>
                <w:rFonts w:ascii="宋体" w:hAnsi="宋体" w:cs="宋体" w:eastAsia="宋体" w:hint="default"/>
                <w:spacing w:val="-40"/>
                <w:sz w:val="18"/>
                <w:szCs w:val="18"/>
              </w:rPr>
              <w:t> </w:t>
            </w:r>
            <w:r>
              <w:rPr>
                <w:rFonts w:ascii="宋体" w:hAnsi="宋体" w:cs="宋体" w:eastAsia="宋体" w:hint="default"/>
                <w:sz w:val="18"/>
                <w:szCs w:val="18"/>
              </w:rPr>
              <w:t>号定向</w:t>
            </w:r>
          </w:p>
          <w:p>
            <w:pPr>
              <w:pStyle w:val="TableParagraph"/>
              <w:spacing w:line="232" w:lineRule="exact" w:before="23"/>
              <w:ind w:left="103" w:right="50"/>
              <w:jc w:val="left"/>
              <w:rPr>
                <w:rFonts w:ascii="宋体" w:hAnsi="宋体" w:cs="宋体" w:eastAsia="宋体" w:hint="default"/>
                <w:sz w:val="18"/>
                <w:szCs w:val="18"/>
              </w:rPr>
            </w:pPr>
            <w:r>
              <w:rPr>
                <w:rFonts w:ascii="宋体" w:hAnsi="宋体" w:cs="宋体" w:eastAsia="宋体" w:hint="default"/>
                <w:spacing w:val="2"/>
                <w:sz w:val="18"/>
                <w:szCs w:val="18"/>
              </w:rPr>
              <w:t>资产管理计划 </w:t>
            </w:r>
            <w:r>
              <w:rPr>
                <w:rFonts w:ascii="宋体" w:hAnsi="宋体" w:cs="宋体" w:eastAsia="宋体" w:hint="default"/>
                <w:spacing w:val="38"/>
                <w:sz w:val="18"/>
                <w:szCs w:val="18"/>
              </w:rPr>
              <w:t>资产管理合</w:t>
            </w:r>
            <w:r>
              <w:rPr>
                <w:rFonts w:ascii="宋体" w:hAnsi="宋体" w:cs="宋体" w:eastAsia="宋体" w:hint="default"/>
                <w:spacing w:val="-42"/>
                <w:sz w:val="18"/>
                <w:szCs w:val="18"/>
              </w:rPr>
              <w:t> </w:t>
            </w:r>
            <w:r>
              <w:rPr>
                <w:rFonts w:ascii="宋体" w:hAnsi="宋体" w:cs="宋体" w:eastAsia="宋体" w:hint="default"/>
                <w:sz w:val="18"/>
                <w:szCs w:val="18"/>
              </w:rPr>
            </w:r>
          </w:p>
        </w:tc>
        <w:tc>
          <w:tcPr>
            <w:tcW w:w="1585" w:type="dxa"/>
            <w:tcBorders>
              <w:top w:val="nil" w:sz="6" w:space="0" w:color="auto"/>
              <w:left w:val="dotted"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944,376.86</w:t>
            </w:r>
          </w:p>
        </w:tc>
      </w:tr>
      <w:tr>
        <w:trPr>
          <w:trHeight w:val="282" w:hRule="exact"/>
        </w:trPr>
        <w:tc>
          <w:tcPr>
            <w:tcW w:w="1318" w:type="dxa"/>
            <w:tcBorders>
              <w:top w:val="nil" w:sz="6" w:space="0" w:color="auto"/>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01" w:type="dxa"/>
            <w:tcBorders>
              <w:top w:val="nil" w:sz="6" w:space="0" w:color="auto"/>
              <w:left w:val="dotted" w:sz="4" w:space="0" w:color="000000"/>
              <w:bottom w:val="dotted" w:sz="4" w:space="0" w:color="000000"/>
              <w:right w:val="dotted" w:sz="4" w:space="0" w:color="000000"/>
            </w:tcBorders>
          </w:tcPr>
          <w:p>
            <w:pPr/>
          </w:p>
        </w:tc>
        <w:tc>
          <w:tcPr>
            <w:tcW w:w="1010" w:type="dxa"/>
            <w:tcBorders>
              <w:top w:val="nil" w:sz="6" w:space="0" w:color="auto"/>
              <w:left w:val="dotted" w:sz="4" w:space="0" w:color="000000"/>
              <w:bottom w:val="dotted" w:sz="4" w:space="0" w:color="000000"/>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013" w:type="dxa"/>
            <w:tcBorders>
              <w:top w:val="nil" w:sz="6" w:space="0" w:color="auto"/>
              <w:left w:val="dotted" w:sz="4" w:space="0" w:color="000000"/>
              <w:bottom w:val="dotted" w:sz="4" w:space="0" w:color="000000"/>
              <w:right w:val="dotted" w:sz="4" w:space="0" w:color="000000"/>
            </w:tcBorders>
          </w:tcPr>
          <w:p>
            <w:pPr/>
          </w:p>
        </w:tc>
        <w:tc>
          <w:tcPr>
            <w:tcW w:w="1010" w:type="dxa"/>
            <w:tcBorders>
              <w:top w:val="nil" w:sz="6" w:space="0" w:color="auto"/>
              <w:left w:val="dotted" w:sz="4" w:space="0" w:color="000000"/>
              <w:bottom w:val="dotted" w:sz="4" w:space="0" w:color="000000"/>
              <w:right w:val="dotted" w:sz="4" w:space="0" w:color="000000"/>
            </w:tcBorders>
          </w:tcPr>
          <w:p>
            <w:pPr/>
          </w:p>
        </w:tc>
        <w:tc>
          <w:tcPr>
            <w:tcW w:w="1306" w:type="dxa"/>
            <w:tcBorders>
              <w:top w:val="nil" w:sz="6" w:space="0" w:color="auto"/>
              <w:left w:val="dotted" w:sz="4" w:space="0" w:color="000000"/>
              <w:bottom w:val="dotted" w:sz="4" w:space="0" w:color="000000"/>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w:t>
            </w:r>
          </w:p>
        </w:tc>
        <w:tc>
          <w:tcPr>
            <w:tcW w:w="1585" w:type="dxa"/>
            <w:tcBorders>
              <w:top w:val="nil" w:sz="6" w:space="0" w:color="auto"/>
              <w:left w:val="dotted" w:sz="4" w:space="0" w:color="000000"/>
              <w:bottom w:val="dotted" w:sz="4" w:space="0" w:color="000000"/>
              <w:right w:val="nil" w:sz="6" w:space="0" w:color="auto"/>
            </w:tcBorders>
          </w:tcPr>
          <w:p>
            <w:pPr/>
          </w:p>
        </w:tc>
      </w:tr>
      <w:tr>
        <w:trPr>
          <w:trHeight w:val="360" w:hRule="exact"/>
        </w:trPr>
        <w:tc>
          <w:tcPr>
            <w:tcW w:w="13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dotted" w:sz="4" w:space="0" w:color="000000"/>
              <w:left w:val="dotted" w:sz="4" w:space="0" w:color="000000"/>
              <w:bottom w:val="single" w:sz="12" w:space="0" w:color="000000"/>
              <w:right w:val="dotted" w:sz="4" w:space="0" w:color="000000"/>
            </w:tcBorders>
          </w:tcPr>
          <w:p>
            <w:pPr/>
          </w:p>
        </w:tc>
        <w:tc>
          <w:tcPr>
            <w:tcW w:w="1010" w:type="dxa"/>
            <w:tcBorders>
              <w:top w:val="dotted" w:sz="4" w:space="0" w:color="000000"/>
              <w:left w:val="dotted" w:sz="4" w:space="0" w:color="000000"/>
              <w:bottom w:val="single" w:sz="12" w:space="0" w:color="000000"/>
              <w:right w:val="dotted" w:sz="4" w:space="0" w:color="000000"/>
            </w:tcBorders>
          </w:tcPr>
          <w:p>
            <w:pPr/>
          </w:p>
        </w:tc>
        <w:tc>
          <w:tcPr>
            <w:tcW w:w="1013" w:type="dxa"/>
            <w:tcBorders>
              <w:top w:val="dotted" w:sz="4" w:space="0" w:color="000000"/>
              <w:left w:val="dotted" w:sz="4" w:space="0" w:color="000000"/>
              <w:bottom w:val="single" w:sz="12" w:space="0" w:color="000000"/>
              <w:right w:val="dotted" w:sz="4" w:space="0" w:color="000000"/>
            </w:tcBorders>
          </w:tcPr>
          <w:p>
            <w:pPr/>
          </w:p>
        </w:tc>
        <w:tc>
          <w:tcPr>
            <w:tcW w:w="1010" w:type="dxa"/>
            <w:tcBorders>
              <w:top w:val="dotted" w:sz="4" w:space="0" w:color="000000"/>
              <w:left w:val="dotted" w:sz="4" w:space="0" w:color="000000"/>
              <w:bottom w:val="single" w:sz="12" w:space="0" w:color="000000"/>
              <w:right w:val="dotted" w:sz="4" w:space="0" w:color="000000"/>
            </w:tcBorders>
          </w:tcPr>
          <w:p>
            <w:pPr/>
          </w:p>
        </w:tc>
        <w:tc>
          <w:tcPr>
            <w:tcW w:w="1306" w:type="dxa"/>
            <w:tcBorders>
              <w:top w:val="dotted" w:sz="4" w:space="0" w:color="000000"/>
              <w:left w:val="dotted" w:sz="4" w:space="0" w:color="000000"/>
              <w:bottom w:val="single" w:sz="12" w:space="0" w:color="000000"/>
              <w:right w:val="dotted" w:sz="4" w:space="0" w:color="000000"/>
            </w:tcBorders>
          </w:tcPr>
          <w:p>
            <w:pPr/>
          </w:p>
        </w:tc>
        <w:tc>
          <w:tcPr>
            <w:tcW w:w="15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944,376.86</w:t>
            </w:r>
          </w:p>
        </w:tc>
      </w:tr>
    </w:tbl>
    <w:p>
      <w:pPr>
        <w:spacing w:line="240" w:lineRule="auto" w:before="0"/>
        <w:rPr>
          <w:rFonts w:ascii="宋体" w:hAnsi="宋体" w:cs="宋体" w:eastAsia="宋体" w:hint="default"/>
          <w:sz w:val="20"/>
          <w:szCs w:val="20"/>
        </w:rPr>
      </w:pPr>
    </w:p>
    <w:p>
      <w:pPr>
        <w:spacing w:line="338" w:lineRule="auto" w:before="124"/>
        <w:ind w:left="558" w:right="8085"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4.</w:t>
      </w:r>
      <w:r>
        <w:rPr>
          <w:rFonts w:ascii="Trebuchet MS" w:hAnsi="Trebuchet MS" w:cs="Trebuchet MS" w:eastAsia="Trebuchet MS" w:hint="default"/>
          <w:b/>
          <w:bCs/>
          <w:spacing w:val="59"/>
          <w:sz w:val="21"/>
          <w:szCs w:val="21"/>
        </w:rPr>
        <w:t> </w:t>
      </w:r>
      <w:r>
        <w:rPr>
          <w:rFonts w:ascii="Microsoft JhengHei" w:hAnsi="Microsoft JhengHei" w:cs="Microsoft JhengHei" w:eastAsia="Microsoft JhengHei" w:hint="default"/>
          <w:b/>
          <w:bCs/>
          <w:sz w:val="21"/>
          <w:szCs w:val="21"/>
        </w:rPr>
        <w:t>关联租赁情况</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本期无此事项</w:t>
      </w:r>
    </w:p>
    <w:p>
      <w:pPr>
        <w:pStyle w:val="Heading4"/>
        <w:spacing w:line="240" w:lineRule="auto" w:before="21"/>
        <w:ind w:left="558" w:right="1786"/>
        <w:jc w:val="left"/>
        <w:rPr>
          <w:b w:val="0"/>
          <w:bCs w:val="0"/>
        </w:rPr>
      </w:pPr>
      <w:r>
        <w:rPr>
          <w:rFonts w:ascii="Trebuchet MS" w:hAnsi="Trebuchet MS" w:cs="Trebuchet MS" w:eastAsia="Trebuchet MS" w:hint="default"/>
          <w:w w:val="105"/>
        </w:rPr>
        <w:t>5.</w:t>
      </w:r>
      <w:r>
        <w:rPr>
          <w:rFonts w:ascii="Trebuchet MS" w:hAnsi="Trebuchet MS" w:cs="Trebuchet MS" w:eastAsia="Trebuchet MS" w:hint="default"/>
          <w:spacing w:val="-16"/>
          <w:w w:val="105"/>
        </w:rPr>
        <w:t> </w:t>
      </w:r>
      <w:r>
        <w:rPr>
          <w:w w:val="105"/>
        </w:rPr>
        <w:t>关联担保情况</w:t>
      </w:r>
      <w:r>
        <w:rPr>
          <w:b w:val="0"/>
          <w:bCs w:val="0"/>
          <w:w w:val="105"/>
        </w:rPr>
      </w:r>
    </w:p>
    <w:p>
      <w:pPr>
        <w:spacing w:after="0" w:line="240" w:lineRule="auto"/>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before="36"/>
        <w:ind w:left="558" w:right="1786"/>
        <w:jc w:val="left"/>
      </w:pPr>
      <w:r>
        <w:rPr/>
        <w:t>本期无此事项</w:t>
      </w:r>
    </w:p>
    <w:p>
      <w:pPr>
        <w:spacing w:line="338" w:lineRule="auto" w:before="107"/>
        <w:ind w:left="558" w:right="7874"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6.</w:t>
      </w:r>
      <w:r>
        <w:rPr>
          <w:rFonts w:ascii="Trebuchet MS" w:hAnsi="Trebuchet MS" w:cs="Trebuchet MS" w:eastAsia="Trebuchet MS" w:hint="default"/>
          <w:b/>
          <w:bCs/>
          <w:spacing w:val="60"/>
          <w:sz w:val="21"/>
          <w:szCs w:val="21"/>
        </w:rPr>
        <w:t> </w:t>
      </w:r>
      <w:r>
        <w:rPr>
          <w:rFonts w:ascii="Microsoft JhengHei" w:hAnsi="Microsoft JhengHei" w:cs="Microsoft JhengHei" w:eastAsia="Microsoft JhengHei" w:hint="default"/>
          <w:b/>
          <w:bCs/>
          <w:sz w:val="21"/>
          <w:szCs w:val="21"/>
        </w:rPr>
        <w:t>关联方资金拆借</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本期无此事项</w:t>
      </w:r>
    </w:p>
    <w:p>
      <w:pPr>
        <w:spacing w:line="336" w:lineRule="auto" w:before="21"/>
        <w:ind w:left="558" w:right="5890" w:firstLine="0"/>
        <w:jc w:val="left"/>
        <w:rPr>
          <w:rFonts w:ascii="宋体" w:hAnsi="宋体" w:cs="宋体" w:eastAsia="宋体" w:hint="default"/>
          <w:sz w:val="21"/>
          <w:szCs w:val="21"/>
        </w:rPr>
      </w:pPr>
      <w:r>
        <w:rPr>
          <w:rFonts w:ascii="Trebuchet MS" w:hAnsi="Trebuchet MS" w:cs="Trebuchet MS" w:eastAsia="Trebuchet MS" w:hint="default"/>
          <w:b/>
          <w:bCs/>
          <w:sz w:val="21"/>
          <w:szCs w:val="21"/>
        </w:rPr>
        <w:t>7.</w:t>
      </w:r>
      <w:r>
        <w:rPr>
          <w:rFonts w:ascii="Trebuchet MS" w:hAnsi="Trebuchet MS" w:cs="Trebuchet MS" w:eastAsia="Trebuchet MS" w:hint="default"/>
          <w:b/>
          <w:bCs/>
          <w:spacing w:val="2"/>
          <w:sz w:val="21"/>
          <w:szCs w:val="21"/>
        </w:rPr>
        <w:t> </w:t>
      </w:r>
      <w:r>
        <w:rPr>
          <w:rFonts w:ascii="Microsoft JhengHei" w:hAnsi="Microsoft JhengHei" w:cs="Microsoft JhengHei" w:eastAsia="Microsoft JhengHei" w:hint="default"/>
          <w:b/>
          <w:bCs/>
          <w:sz w:val="21"/>
          <w:szCs w:val="21"/>
        </w:rPr>
        <w:t>关联方资产转让、债务重组情况</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本期无此事项</w:t>
      </w:r>
    </w:p>
    <w:p>
      <w:pPr>
        <w:pStyle w:val="Heading4"/>
        <w:spacing w:line="240" w:lineRule="auto" w:before="23"/>
        <w:ind w:right="1786"/>
        <w:jc w:val="left"/>
        <w:rPr>
          <w:b w:val="0"/>
          <w:bCs w:val="0"/>
        </w:rPr>
      </w:pPr>
      <w:r>
        <w:rPr>
          <w:rFonts w:ascii="Trebuchet MS" w:hAnsi="Trebuchet MS" w:cs="Trebuchet MS" w:eastAsia="Trebuchet MS" w:hint="default"/>
        </w:rPr>
        <w:t>8.</w:t>
      </w:r>
      <w:r>
        <w:rPr>
          <w:rFonts w:ascii="Trebuchet MS" w:hAnsi="Trebuchet MS" w:cs="Trebuchet MS" w:eastAsia="Trebuchet MS" w:hint="default"/>
          <w:spacing w:val="62"/>
        </w:rPr>
        <w:t> </w:t>
      </w:r>
      <w:r>
        <w:rPr/>
        <w:t>关键管理人员薪酬</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3286"/>
        <w:gridCol w:w="2700"/>
        <w:gridCol w:w="2557"/>
      </w:tblGrid>
      <w:tr>
        <w:trPr>
          <w:trHeight w:val="361" w:hRule="exact"/>
        </w:trPr>
        <w:tc>
          <w:tcPr>
            <w:tcW w:w="328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2"/>
              <w:ind w:left="8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2"/>
              <w:ind w:left="8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328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4"/>
              <w:ind w:left="1555" w:right="0"/>
              <w:jc w:val="left"/>
              <w:rPr>
                <w:rFonts w:ascii="Times New Roman" w:hAnsi="Times New Roman" w:cs="Times New Roman" w:eastAsia="Times New Roman" w:hint="default"/>
                <w:sz w:val="18"/>
                <w:szCs w:val="18"/>
              </w:rPr>
            </w:pPr>
            <w:r>
              <w:rPr>
                <w:rFonts w:ascii="Times New Roman"/>
                <w:sz w:val="18"/>
              </w:rPr>
              <w:t>11,719,153.57</w:t>
            </w:r>
          </w:p>
        </w:tc>
        <w:tc>
          <w:tcPr>
            <w:tcW w:w="25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4"/>
              <w:ind w:left="1414" w:right="0"/>
              <w:jc w:val="left"/>
              <w:rPr>
                <w:rFonts w:ascii="Times New Roman" w:hAnsi="Times New Roman" w:cs="Times New Roman" w:eastAsia="Times New Roman" w:hint="default"/>
                <w:sz w:val="18"/>
                <w:szCs w:val="18"/>
              </w:rPr>
            </w:pPr>
            <w:r>
              <w:rPr>
                <w:rFonts w:ascii="Times New Roman"/>
                <w:sz w:val="18"/>
              </w:rPr>
              <w:t>11,303,318.92</w:t>
            </w:r>
          </w:p>
        </w:tc>
      </w:tr>
    </w:tbl>
    <w:p>
      <w:pPr>
        <w:spacing w:line="355" w:lineRule="auto" w:before="8"/>
        <w:ind w:left="138" w:right="1792" w:firstLine="0"/>
        <w:jc w:val="both"/>
        <w:rPr>
          <w:rFonts w:ascii="宋体" w:hAnsi="宋体" w:cs="宋体" w:eastAsia="宋体" w:hint="default"/>
          <w:sz w:val="18"/>
          <w:szCs w:val="18"/>
        </w:rPr>
      </w:pPr>
      <w:r>
        <w:rPr>
          <w:rFonts w:ascii="宋体" w:hAnsi="宋体" w:cs="宋体" w:eastAsia="宋体" w:hint="default"/>
          <w:spacing w:val="-2"/>
          <w:sz w:val="18"/>
          <w:szCs w:val="18"/>
        </w:rPr>
        <w:t>注</w:t>
      </w:r>
      <w:r>
        <w:rPr>
          <w:rFonts w:ascii="宋体" w:hAnsi="宋体" w:cs="宋体" w:eastAsia="宋体" w:hint="default"/>
          <w:spacing w:val="-2"/>
          <w:sz w:val="18"/>
          <w:szCs w:val="18"/>
        </w:rPr>
        <w:t>:</w:t>
      </w:r>
      <w:r>
        <w:rPr>
          <w:rFonts w:ascii="宋体" w:hAnsi="宋体" w:cs="宋体" w:eastAsia="宋体" w:hint="default"/>
          <w:spacing w:val="-2"/>
          <w:sz w:val="18"/>
          <w:szCs w:val="18"/>
        </w:rPr>
        <w:t>本期将关键管理人员薪酬口径做出调整，并调整上期金额。关键管理人员是指有权力及责任直接或间接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地计划、指令和控制本集团的活动的人员，包括董事、监事和高级管理人员，薪酬包括基本工资、奖金、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津贴、补贴、职工福利费和各项保险费、公积金、年金以及以其他形式从公司获得的报酬。</w:t>
      </w:r>
    </w:p>
    <w:p>
      <w:pPr>
        <w:spacing w:line="240" w:lineRule="auto" w:before="0"/>
        <w:rPr>
          <w:rFonts w:ascii="宋体" w:hAnsi="宋体" w:cs="宋体" w:eastAsia="宋体" w:hint="default"/>
          <w:sz w:val="18"/>
          <w:szCs w:val="18"/>
        </w:rPr>
      </w:pPr>
    </w:p>
    <w:p>
      <w:pPr>
        <w:pStyle w:val="Heading4"/>
        <w:spacing w:line="240" w:lineRule="auto" w:before="152"/>
        <w:ind w:right="1786"/>
        <w:jc w:val="left"/>
        <w:rPr>
          <w:b w:val="0"/>
          <w:bCs w:val="0"/>
        </w:rPr>
      </w:pPr>
      <w:r>
        <w:rPr>
          <w:rFonts w:ascii="Trebuchet MS" w:hAnsi="Trebuchet MS" w:cs="Trebuchet MS" w:eastAsia="Trebuchet MS" w:hint="default"/>
          <w:w w:val="105"/>
        </w:rPr>
        <w:t>9.</w:t>
      </w:r>
      <w:r>
        <w:rPr>
          <w:rFonts w:ascii="Trebuchet MS" w:hAnsi="Trebuchet MS" w:cs="Trebuchet MS" w:eastAsia="Trebuchet MS" w:hint="default"/>
          <w:spacing w:val="-16"/>
          <w:w w:val="105"/>
        </w:rPr>
        <w:t> </w:t>
      </w:r>
      <w:r>
        <w:rPr>
          <w:w w:val="105"/>
        </w:rPr>
        <w:t>其他关联交易</w:t>
      </w:r>
      <w:r>
        <w:rPr>
          <w:b w:val="0"/>
          <w:bCs w:val="0"/>
          <w:w w:val="105"/>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253" w:type="dxa"/>
        <w:tblLayout w:type="fixed"/>
        <w:tblCellMar>
          <w:top w:w="0" w:type="dxa"/>
          <w:left w:w="0" w:type="dxa"/>
          <w:bottom w:w="0" w:type="dxa"/>
          <w:right w:w="0" w:type="dxa"/>
        </w:tblCellMar>
        <w:tblLook w:val="01E0"/>
      </w:tblPr>
      <w:tblGrid>
        <w:gridCol w:w="1976"/>
        <w:gridCol w:w="1944"/>
        <w:gridCol w:w="1738"/>
        <w:gridCol w:w="2607"/>
      </w:tblGrid>
      <w:tr>
        <w:trPr>
          <w:trHeight w:val="360" w:hRule="exact"/>
        </w:trPr>
        <w:tc>
          <w:tcPr>
            <w:tcW w:w="19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2"/>
              <w:ind w:left="633" w:right="0"/>
              <w:jc w:val="left"/>
              <w:rPr>
                <w:rFonts w:ascii="宋体" w:hAnsi="宋体" w:cs="宋体" w:eastAsia="宋体" w:hint="default"/>
                <w:sz w:val="18"/>
                <w:szCs w:val="18"/>
              </w:rPr>
            </w:pPr>
            <w:r>
              <w:rPr>
                <w:rFonts w:ascii="宋体" w:hAnsi="宋体" w:cs="宋体" w:eastAsia="宋体" w:hint="default"/>
                <w:sz w:val="18"/>
                <w:szCs w:val="18"/>
              </w:rPr>
              <w:t>交易类型</w:t>
            </w:r>
          </w:p>
        </w:tc>
        <w:tc>
          <w:tcPr>
            <w:tcW w:w="19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2"/>
              <w:ind w:left="516"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7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2"/>
              <w:ind w:left="41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2"/>
              <w:ind w:left="8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2" w:hRule="exact"/>
        </w:trPr>
        <w:tc>
          <w:tcPr>
            <w:tcW w:w="1976" w:type="dxa"/>
            <w:tcBorders>
              <w:top w:val="dotted" w:sz="4" w:space="0" w:color="000000"/>
              <w:left w:val="nil" w:sz="6" w:space="0" w:color="auto"/>
              <w:bottom w:val="dotted" w:sz="4" w:space="0" w:color="000000"/>
              <w:right w:val="dotted" w:sz="4" w:space="0" w:color="000000"/>
            </w:tcBorders>
          </w:tcPr>
          <w:p>
            <w:pPr>
              <w:pStyle w:val="TableParagraph"/>
              <w:spacing w:line="238" w:lineRule="exact" w:before="42"/>
              <w:ind w:left="119" w:right="98"/>
              <w:jc w:val="left"/>
              <w:rPr>
                <w:rFonts w:ascii="宋体" w:hAnsi="宋体" w:cs="宋体" w:eastAsia="宋体" w:hint="default"/>
                <w:sz w:val="18"/>
                <w:szCs w:val="18"/>
              </w:rPr>
            </w:pPr>
            <w:r>
              <w:rPr>
                <w:rFonts w:ascii="宋体" w:hAnsi="宋体" w:cs="宋体" w:eastAsia="宋体" w:hint="default"/>
                <w:spacing w:val="7"/>
                <w:sz w:val="18"/>
                <w:szCs w:val="18"/>
              </w:rPr>
              <w:t>单一信托</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趣店四期收 </w:t>
            </w:r>
            <w:r>
              <w:rPr>
                <w:rFonts w:ascii="宋体" w:hAnsi="宋体" w:cs="宋体" w:eastAsia="宋体" w:hint="default"/>
                <w:sz w:val="18"/>
                <w:szCs w:val="18"/>
              </w:rPr>
              <w:t>益差额补足保证</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2" w:lineRule="auto" w:before="23"/>
              <w:ind w:left="103" w:right="100"/>
              <w:jc w:val="left"/>
              <w:rPr>
                <w:rFonts w:ascii="宋体" w:hAnsi="宋体" w:cs="宋体" w:eastAsia="宋体" w:hint="default"/>
                <w:sz w:val="18"/>
                <w:szCs w:val="18"/>
              </w:rPr>
            </w:pPr>
            <w:r>
              <w:rPr>
                <w:rFonts w:ascii="宋体" w:hAnsi="宋体" w:cs="宋体" w:eastAsia="宋体" w:hint="default"/>
                <w:spacing w:val="11"/>
                <w:sz w:val="18"/>
                <w:szCs w:val="18"/>
              </w:rPr>
              <w:t>北京快乐时代科技发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展有限公司</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29,712,328.74</w:t>
            </w:r>
          </w:p>
        </w:tc>
        <w:tc>
          <w:tcPr>
            <w:tcW w:w="26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45,000,000.02</w:t>
            </w:r>
          </w:p>
        </w:tc>
      </w:tr>
      <w:tr>
        <w:trPr>
          <w:trHeight w:val="569" w:hRule="exact"/>
        </w:trPr>
        <w:tc>
          <w:tcPr>
            <w:tcW w:w="1976" w:type="dxa"/>
            <w:tcBorders>
              <w:top w:val="dotted" w:sz="4" w:space="0" w:color="000000"/>
              <w:left w:val="nil" w:sz="6" w:space="0" w:color="auto"/>
              <w:bottom w:val="dotted" w:sz="4" w:space="0" w:color="000000"/>
              <w:right w:val="dotted" w:sz="4" w:space="0" w:color="000000"/>
            </w:tcBorders>
          </w:tcPr>
          <w:p>
            <w:pPr>
              <w:pStyle w:val="TableParagraph"/>
              <w:spacing w:line="240" w:lineRule="exact" w:before="38"/>
              <w:ind w:left="119" w:right="98"/>
              <w:jc w:val="left"/>
              <w:rPr>
                <w:rFonts w:ascii="宋体" w:hAnsi="宋体" w:cs="宋体" w:eastAsia="宋体" w:hint="default"/>
                <w:sz w:val="18"/>
                <w:szCs w:val="18"/>
              </w:rPr>
            </w:pPr>
            <w:r>
              <w:rPr>
                <w:rFonts w:ascii="宋体" w:hAnsi="宋体" w:cs="宋体" w:eastAsia="宋体" w:hint="default"/>
                <w:spacing w:val="7"/>
                <w:sz w:val="18"/>
                <w:szCs w:val="18"/>
              </w:rPr>
              <w:t>单一信托</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趣店八期收 </w:t>
            </w:r>
            <w:r>
              <w:rPr>
                <w:rFonts w:ascii="宋体" w:hAnsi="宋体" w:cs="宋体" w:eastAsia="宋体" w:hint="default"/>
                <w:sz w:val="18"/>
                <w:szCs w:val="18"/>
              </w:rPr>
              <w:t>益差额补足保证</w:t>
            </w:r>
          </w:p>
        </w:tc>
        <w:tc>
          <w:tcPr>
            <w:tcW w:w="1944" w:type="dxa"/>
            <w:tcBorders>
              <w:top w:val="dotted" w:sz="4" w:space="0" w:color="000000"/>
              <w:left w:val="dotted" w:sz="4" w:space="0" w:color="000000"/>
              <w:bottom w:val="dotted" w:sz="4" w:space="0" w:color="000000"/>
              <w:right w:val="dotted" w:sz="4" w:space="0" w:color="000000"/>
            </w:tcBorders>
          </w:tcPr>
          <w:p>
            <w:pPr>
              <w:pStyle w:val="TableParagraph"/>
              <w:spacing w:line="244" w:lineRule="auto" w:before="20"/>
              <w:ind w:left="103" w:right="100"/>
              <w:jc w:val="left"/>
              <w:rPr>
                <w:rFonts w:ascii="宋体" w:hAnsi="宋体" w:cs="宋体" w:eastAsia="宋体" w:hint="default"/>
                <w:sz w:val="18"/>
                <w:szCs w:val="18"/>
              </w:rPr>
            </w:pPr>
            <w:r>
              <w:rPr>
                <w:rFonts w:ascii="宋体" w:hAnsi="宋体" w:cs="宋体" w:eastAsia="宋体" w:hint="default"/>
                <w:spacing w:val="11"/>
                <w:sz w:val="18"/>
                <w:szCs w:val="18"/>
              </w:rPr>
              <w:t>北京快乐时代科技发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展有限公司</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34,169,178.07</w:t>
            </w:r>
          </w:p>
        </w:tc>
        <w:tc>
          <w:tcPr>
            <w:tcW w:w="26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53,876,712.34</w:t>
            </w:r>
          </w:p>
        </w:tc>
      </w:tr>
      <w:tr>
        <w:trPr>
          <w:trHeight w:val="297" w:hRule="exact"/>
        </w:trPr>
        <w:tc>
          <w:tcPr>
            <w:tcW w:w="1976" w:type="dxa"/>
            <w:tcBorders>
              <w:top w:val="dotted" w:sz="4" w:space="0" w:color="000000"/>
              <w:left w:val="nil" w:sz="6" w:space="0" w:color="auto"/>
              <w:bottom w:val="nil" w:sz="6" w:space="0" w:color="auto"/>
              <w:right w:val="dotted"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pacing w:val="13"/>
                <w:sz w:val="18"/>
                <w:szCs w:val="18"/>
              </w:rPr>
              <w:t>单一信托</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盛信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944" w:type="dxa"/>
            <w:tcBorders>
              <w:top w:val="dotted" w:sz="4" w:space="0" w:color="000000"/>
              <w:left w:val="dotted" w:sz="4" w:space="0" w:color="000000"/>
              <w:bottom w:val="nil" w:sz="6" w:space="0" w:color="auto"/>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8"/>
                <w:sz w:val="18"/>
                <w:szCs w:val="18"/>
              </w:rPr>
              <w:t>趣分期（赣州）信息技</w:t>
            </w:r>
          </w:p>
        </w:tc>
        <w:tc>
          <w:tcPr>
            <w:tcW w:w="1738" w:type="dxa"/>
            <w:tcBorders>
              <w:top w:val="dotted" w:sz="4" w:space="0" w:color="000000"/>
              <w:left w:val="dotted" w:sz="4" w:space="0" w:color="000000"/>
              <w:bottom w:val="nil" w:sz="6" w:space="0" w:color="auto"/>
              <w:right w:val="dotted" w:sz="4" w:space="0" w:color="000000"/>
            </w:tcBorders>
          </w:tcPr>
          <w:p>
            <w:pPr/>
          </w:p>
        </w:tc>
        <w:tc>
          <w:tcPr>
            <w:tcW w:w="2607" w:type="dxa"/>
            <w:tcBorders>
              <w:top w:val="dotted" w:sz="4" w:space="0" w:color="000000"/>
              <w:left w:val="dotted" w:sz="4" w:space="0" w:color="000000"/>
              <w:bottom w:val="nil" w:sz="6" w:space="0" w:color="auto"/>
              <w:right w:val="nil" w:sz="6" w:space="0" w:color="auto"/>
            </w:tcBorders>
          </w:tcPr>
          <w:p>
            <w:pPr/>
          </w:p>
        </w:tc>
      </w:tr>
      <w:tr>
        <w:trPr>
          <w:trHeight w:val="240" w:hRule="exact"/>
        </w:trPr>
        <w:tc>
          <w:tcPr>
            <w:tcW w:w="1976" w:type="dxa"/>
            <w:tcBorders>
              <w:top w:val="nil" w:sz="6" w:space="0" w:color="auto"/>
              <w:left w:val="nil" w:sz="6" w:space="0" w:color="auto"/>
              <w:bottom w:val="nil" w:sz="6" w:space="0" w:color="auto"/>
              <w:right w:val="dotted"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hAnsi="宋体" w:cs="宋体" w:eastAsia="宋体" w:hint="default"/>
                <w:sz w:val="18"/>
                <w:szCs w:val="18"/>
              </w:rPr>
              <w:t>收益差额补足保证</w:t>
            </w:r>
          </w:p>
        </w:tc>
        <w:tc>
          <w:tcPr>
            <w:tcW w:w="1944" w:type="dxa"/>
            <w:tcBorders>
              <w:top w:val="nil" w:sz="6" w:space="0" w:color="auto"/>
              <w:left w:val="dotted" w:sz="4" w:space="0" w:color="000000"/>
              <w:bottom w:val="nil" w:sz="6" w:space="0" w:color="auto"/>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术有限公司、厦门趣店</w:t>
            </w:r>
          </w:p>
        </w:tc>
        <w:tc>
          <w:tcPr>
            <w:tcW w:w="1738" w:type="dxa"/>
            <w:tcBorders>
              <w:top w:val="nil" w:sz="6" w:space="0" w:color="auto"/>
              <w:left w:val="dotted" w:sz="4" w:space="0" w:color="000000"/>
              <w:bottom w:val="nil" w:sz="6" w:space="0" w:color="auto"/>
              <w:right w:val="dotted"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25,680,821.93</w:t>
            </w:r>
          </w:p>
        </w:tc>
        <w:tc>
          <w:tcPr>
            <w:tcW w:w="2607" w:type="dxa"/>
            <w:tcBorders>
              <w:top w:val="nil" w:sz="6" w:space="0" w:color="auto"/>
              <w:left w:val="dotted" w:sz="4" w:space="0" w:color="000000"/>
              <w:bottom w:val="nil" w:sz="6" w:space="0" w:color="auto"/>
              <w:right w:val="nil" w:sz="6" w:space="0" w:color="auto"/>
            </w:tcBorders>
          </w:tcPr>
          <w:p>
            <w:pPr>
              <w:pStyle w:val="TableParagraph"/>
              <w:spacing w:line="240" w:lineRule="auto" w:before="13"/>
              <w:ind w:right="106"/>
              <w:jc w:val="right"/>
              <w:rPr>
                <w:rFonts w:ascii="Times New Roman" w:hAnsi="Times New Roman" w:cs="Times New Roman" w:eastAsia="Times New Roman" w:hint="default"/>
                <w:sz w:val="18"/>
                <w:szCs w:val="18"/>
              </w:rPr>
            </w:pPr>
            <w:r>
              <w:rPr>
                <w:rFonts w:ascii="Times New Roman"/>
                <w:spacing w:val="-1"/>
                <w:sz w:val="18"/>
              </w:rPr>
              <w:t>20,354,794.53</w:t>
            </w:r>
          </w:p>
        </w:tc>
      </w:tr>
      <w:tr>
        <w:trPr>
          <w:trHeight w:val="275" w:hRule="exact"/>
        </w:trPr>
        <w:tc>
          <w:tcPr>
            <w:tcW w:w="1976" w:type="dxa"/>
            <w:tcBorders>
              <w:top w:val="nil" w:sz="6" w:space="0" w:color="auto"/>
              <w:left w:val="nil" w:sz="6" w:space="0" w:color="auto"/>
              <w:bottom w:val="dotted" w:sz="4" w:space="0" w:color="000000"/>
              <w:right w:val="dotted" w:sz="4" w:space="0" w:color="000000"/>
            </w:tcBorders>
          </w:tcPr>
          <w:p>
            <w:pPr/>
          </w:p>
        </w:tc>
        <w:tc>
          <w:tcPr>
            <w:tcW w:w="1944" w:type="dxa"/>
            <w:tcBorders>
              <w:top w:val="nil" w:sz="6" w:space="0" w:color="auto"/>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738" w:type="dxa"/>
            <w:tcBorders>
              <w:top w:val="nil" w:sz="6" w:space="0" w:color="auto"/>
              <w:left w:val="dotted" w:sz="4" w:space="0" w:color="000000"/>
              <w:bottom w:val="dotted" w:sz="4" w:space="0" w:color="000000"/>
              <w:right w:val="dotted" w:sz="4" w:space="0" w:color="000000"/>
            </w:tcBorders>
          </w:tcPr>
          <w:p>
            <w:pPr/>
          </w:p>
        </w:tc>
        <w:tc>
          <w:tcPr>
            <w:tcW w:w="2607" w:type="dxa"/>
            <w:tcBorders>
              <w:top w:val="nil" w:sz="6" w:space="0" w:color="auto"/>
              <w:left w:val="dotted" w:sz="4" w:space="0" w:color="000000"/>
              <w:bottom w:val="dotted" w:sz="4" w:space="0" w:color="000000"/>
              <w:right w:val="nil" w:sz="6" w:space="0" w:color="auto"/>
            </w:tcBorders>
          </w:tcPr>
          <w:p>
            <w:pPr/>
          </w:p>
        </w:tc>
      </w:tr>
      <w:tr>
        <w:trPr>
          <w:trHeight w:val="413" w:hRule="exact"/>
        </w:trPr>
        <w:tc>
          <w:tcPr>
            <w:tcW w:w="19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4" w:type="dxa"/>
            <w:tcBorders>
              <w:top w:val="dotted" w:sz="4" w:space="0" w:color="000000"/>
              <w:left w:val="dotted" w:sz="4" w:space="0" w:color="000000"/>
              <w:bottom w:val="single" w:sz="12" w:space="0" w:color="000000"/>
              <w:right w:val="dotted" w:sz="4" w:space="0" w:color="000000"/>
            </w:tcBorders>
          </w:tcPr>
          <w:p>
            <w:pPr/>
          </w:p>
        </w:tc>
        <w:tc>
          <w:tcPr>
            <w:tcW w:w="17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89,562,328.74</w:t>
            </w:r>
          </w:p>
        </w:tc>
        <w:tc>
          <w:tcPr>
            <w:tcW w:w="26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119,231,506.89</w:t>
            </w:r>
          </w:p>
        </w:tc>
      </w:tr>
    </w:tbl>
    <w:p>
      <w:pPr>
        <w:spacing w:line="240" w:lineRule="auto" w:before="14"/>
        <w:rPr>
          <w:rFonts w:ascii="Microsoft JhengHei" w:hAnsi="Microsoft JhengHei" w:cs="Microsoft JhengHei" w:eastAsia="Microsoft JhengHei" w:hint="default"/>
          <w:b/>
          <w:bCs/>
          <w:sz w:val="23"/>
          <w:szCs w:val="23"/>
        </w:rPr>
      </w:pPr>
    </w:p>
    <w:p>
      <w:pPr>
        <w:pStyle w:val="Heading4"/>
        <w:spacing w:line="335" w:lineRule="exact"/>
        <w:ind w:right="1786"/>
        <w:jc w:val="left"/>
        <w:rPr>
          <w:b w:val="0"/>
          <w:bCs w:val="0"/>
        </w:rPr>
      </w:pPr>
      <w:r>
        <w:rPr>
          <w:rFonts w:ascii="Trebuchet MS" w:hAnsi="Trebuchet MS" w:cs="Trebuchet MS" w:eastAsia="Trebuchet MS" w:hint="default"/>
        </w:rPr>
        <w:t>10.</w:t>
      </w:r>
      <w:r>
        <w:rPr/>
        <w:t>关联方应收应付款项</w:t>
      </w:r>
      <w:r>
        <w:rPr>
          <w:b w:val="0"/>
          <w:bCs w:val="0"/>
        </w:rPr>
      </w:r>
    </w:p>
    <w:p>
      <w:pPr>
        <w:pStyle w:val="BodyText"/>
        <w:spacing w:line="240" w:lineRule="auto" w:before="150"/>
        <w:ind w:left="558" w:right="1786"/>
        <w:jc w:val="left"/>
      </w:pPr>
      <w:r>
        <w:rPr/>
        <w:t>（</w:t>
      </w:r>
      <w:r>
        <w:rPr>
          <w:rFonts w:ascii="Times New Roman" w:hAnsi="Times New Roman" w:cs="Times New Roman" w:eastAsia="Times New Roman" w:hint="default"/>
        </w:rPr>
        <w:t>1</w:t>
      </w:r>
      <w:r>
        <w:rPr/>
        <w:t>）本公司应收关联方款项</w:t>
      </w:r>
    </w:p>
    <w:p>
      <w:pPr>
        <w:spacing w:line="240" w:lineRule="auto" w:before="1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258"/>
        <w:gridCol w:w="2081"/>
        <w:gridCol w:w="1301"/>
        <w:gridCol w:w="1301"/>
        <w:gridCol w:w="1301"/>
        <w:gridCol w:w="1301"/>
      </w:tblGrid>
      <w:tr>
        <w:trPr>
          <w:trHeight w:val="413" w:hRule="exact"/>
        </w:trPr>
        <w:tc>
          <w:tcPr>
            <w:tcW w:w="1258"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81" w:type="dxa"/>
            <w:vMerge w:val="restart"/>
            <w:tcBorders>
              <w:top w:val="single" w:sz="12" w:space="0" w:color="000000"/>
              <w:left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0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0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258" w:type="dxa"/>
            <w:vMerge/>
            <w:tcBorders>
              <w:left w:val="nil" w:sz="6" w:space="0" w:color="auto"/>
              <w:bottom w:val="dotted" w:sz="4" w:space="0" w:color="000000"/>
              <w:right w:val="dotted" w:sz="4" w:space="0" w:color="000000"/>
            </w:tcBorders>
          </w:tcPr>
          <w:p>
            <w:pPr/>
          </w:p>
        </w:tc>
        <w:tc>
          <w:tcPr>
            <w:tcW w:w="2081" w:type="dxa"/>
            <w:vMerge/>
            <w:tcBorders>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2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81"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dotted" w:sz="4" w:space="0" w:color="000000"/>
            </w:tcBorders>
          </w:tcPr>
          <w:p>
            <w:pPr/>
          </w:p>
        </w:tc>
        <w:tc>
          <w:tcPr>
            <w:tcW w:w="1301"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1258" w:type="dxa"/>
            <w:tcBorders>
              <w:top w:val="dotted" w:sz="4" w:space="0" w:color="000000"/>
              <w:left w:val="nil" w:sz="6" w:space="0" w:color="auto"/>
              <w:bottom w:val="single" w:sz="12" w:space="0" w:color="000000"/>
              <w:right w:val="dotted" w:sz="4" w:space="0" w:color="000000"/>
            </w:tcBorders>
          </w:tcPr>
          <w:p>
            <w:pPr/>
          </w:p>
        </w:tc>
        <w:tc>
          <w:tcPr>
            <w:tcW w:w="20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国盛国际集团有限公司</w:t>
            </w:r>
          </w:p>
        </w:tc>
        <w:tc>
          <w:tcPr>
            <w:tcW w:w="1301" w:type="dxa"/>
            <w:tcBorders>
              <w:top w:val="dotted" w:sz="4" w:space="0" w:color="000000"/>
              <w:left w:val="dotted" w:sz="4" w:space="0" w:color="000000"/>
              <w:bottom w:val="single" w:sz="12" w:space="0" w:color="000000"/>
              <w:right w:val="dotted" w:sz="4" w:space="0" w:color="000000"/>
            </w:tcBorders>
          </w:tcPr>
          <w:p>
            <w:pPr/>
          </w:p>
        </w:tc>
        <w:tc>
          <w:tcPr>
            <w:tcW w:w="1301" w:type="dxa"/>
            <w:tcBorders>
              <w:top w:val="dotted" w:sz="4" w:space="0" w:color="000000"/>
              <w:left w:val="dotted" w:sz="4" w:space="0" w:color="000000"/>
              <w:bottom w:val="single" w:sz="12" w:space="0" w:color="000000"/>
              <w:right w:val="dotted" w:sz="4" w:space="0" w:color="000000"/>
            </w:tcBorders>
          </w:tcPr>
          <w:p>
            <w:pPr/>
          </w:p>
        </w:tc>
        <w:tc>
          <w:tcPr>
            <w:tcW w:w="13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4,262,922.96</w:t>
            </w:r>
          </w:p>
        </w:tc>
        <w:tc>
          <w:tcPr>
            <w:tcW w:w="130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pStyle w:val="BodyText"/>
        <w:spacing w:line="240" w:lineRule="auto" w:before="36"/>
        <w:ind w:left="558" w:right="1786"/>
        <w:jc w:val="left"/>
      </w:pPr>
      <w:r>
        <w:rPr/>
        <w:t>（</w:t>
      </w:r>
      <w:r>
        <w:rPr>
          <w:rFonts w:ascii="Times New Roman" w:hAnsi="Times New Roman" w:cs="Times New Roman" w:eastAsia="Times New Roman" w:hint="default"/>
        </w:rPr>
        <w:t>2</w:t>
      </w:r>
      <w:r>
        <w:rPr/>
        <w:t>）本公司应付关联方款项</w:t>
      </w:r>
    </w:p>
    <w:p>
      <w:pPr>
        <w:spacing w:line="240" w:lineRule="auto" w:before="1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258"/>
        <w:gridCol w:w="2977"/>
        <w:gridCol w:w="2153"/>
        <w:gridCol w:w="2156"/>
      </w:tblGrid>
      <w:tr>
        <w:trPr>
          <w:trHeight w:val="413" w:hRule="exact"/>
        </w:trPr>
        <w:tc>
          <w:tcPr>
            <w:tcW w:w="125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29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2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right="228"/>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2977"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2156"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1258" w:type="dxa"/>
            <w:tcBorders>
              <w:top w:val="dotted" w:sz="4" w:space="0" w:color="000000"/>
              <w:left w:val="nil" w:sz="6" w:space="0" w:color="auto"/>
              <w:bottom w:val="single" w:sz="12" w:space="0" w:color="000000"/>
              <w:right w:val="dotted" w:sz="4" w:space="0" w:color="000000"/>
            </w:tcBorders>
          </w:tcPr>
          <w:p>
            <w:pPr/>
          </w:p>
        </w:tc>
        <w:tc>
          <w:tcPr>
            <w:tcW w:w="29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国盛国际集团有限公司</w:t>
            </w:r>
          </w:p>
        </w:tc>
        <w:tc>
          <w:tcPr>
            <w:tcW w:w="2153" w:type="dxa"/>
            <w:tcBorders>
              <w:top w:val="dotted" w:sz="4" w:space="0" w:color="000000"/>
              <w:left w:val="dotted" w:sz="4" w:space="0" w:color="000000"/>
              <w:bottom w:val="single" w:sz="12" w:space="0" w:color="000000"/>
              <w:right w:val="dotted" w:sz="4" w:space="0" w:color="000000"/>
            </w:tcBorders>
          </w:tcPr>
          <w:p>
            <w:pPr/>
          </w:p>
        </w:tc>
        <w:tc>
          <w:tcPr>
            <w:tcW w:w="21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left="917" w:right="0"/>
              <w:jc w:val="left"/>
              <w:rPr>
                <w:rFonts w:ascii="Times New Roman" w:hAnsi="Times New Roman" w:cs="Times New Roman" w:eastAsia="Times New Roman" w:hint="default"/>
                <w:sz w:val="18"/>
                <w:szCs w:val="18"/>
              </w:rPr>
            </w:pPr>
            <w:r>
              <w:rPr>
                <w:rFonts w:ascii="Times New Roman"/>
                <w:sz w:val="18"/>
              </w:rPr>
              <w:t>3,431,617.57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tabs>
          <w:tab w:pos="977" w:val="left" w:leader="none"/>
        </w:tabs>
        <w:spacing w:line="335" w:lineRule="exact"/>
        <w:ind w:left="558" w:right="1786" w:hanging="420"/>
        <w:jc w:val="left"/>
        <w:rPr>
          <w:b w:val="0"/>
          <w:bCs w:val="0"/>
        </w:rPr>
      </w:pPr>
      <w:r>
        <w:rPr/>
        <w:t>十二、</w:t>
        <w:tab/>
        <w:t>股份支付</w:t>
      </w:r>
      <w:r>
        <w:rPr>
          <w:b w:val="0"/>
          <w:bCs w:val="0"/>
        </w:rPr>
      </w:r>
    </w:p>
    <w:p>
      <w:pPr>
        <w:pStyle w:val="BodyText"/>
        <w:spacing w:line="240" w:lineRule="auto" w:before="147"/>
        <w:ind w:left="558" w:right="1786"/>
        <w:jc w:val="left"/>
      </w:pPr>
      <w:r>
        <w:rPr/>
        <w:t>本期无此事项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4"/>
        <w:spacing w:line="240" w:lineRule="auto"/>
        <w:ind w:left="138" w:right="0"/>
        <w:jc w:val="both"/>
        <w:rPr>
          <w:b w:val="0"/>
          <w:bCs w:val="0"/>
        </w:rPr>
      </w:pPr>
      <w:r>
        <w:rPr/>
        <w:t>十三、   </w:t>
      </w:r>
      <w:r>
        <w:rPr>
          <w:spacing w:val="8"/>
        </w:rPr>
        <w:t> </w:t>
      </w:r>
      <w:r>
        <w:rPr/>
        <w:t>承诺及或有事项</w:t>
      </w:r>
      <w:r>
        <w:rPr>
          <w:b w:val="0"/>
          <w:bCs w:val="0"/>
        </w:rPr>
      </w:r>
    </w:p>
    <w:p>
      <w:pPr>
        <w:pStyle w:val="Heading4"/>
        <w:tabs>
          <w:tab w:pos="1397" w:val="left" w:leader="none"/>
        </w:tabs>
        <w:spacing w:line="240" w:lineRule="auto" w:before="83"/>
        <w:ind w:right="1786"/>
        <w:jc w:val="left"/>
        <w:rPr>
          <w:b w:val="0"/>
          <w:bCs w:val="0"/>
        </w:rPr>
      </w:pPr>
      <w:r>
        <w:rPr/>
        <w:t>（一）</w:t>
        <w:tab/>
        <w:t>重要承诺事项</w:t>
      </w:r>
      <w:r>
        <w:rPr>
          <w:b w:val="0"/>
          <w:bCs w:val="0"/>
        </w:rPr>
      </w:r>
    </w:p>
    <w:p>
      <w:pPr>
        <w:pStyle w:val="BodyText"/>
        <w:spacing w:line="240" w:lineRule="auto" w:before="150"/>
        <w:ind w:left="558" w:right="1578"/>
        <w:jc w:val="left"/>
      </w:pPr>
      <w:r>
        <w:rPr/>
        <w:t>子公司香港投资于</w:t>
      </w:r>
      <w:r>
        <w:rPr>
          <w:spacing w:val="-50"/>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月签署无约束力意向书，自愿锁定所持趣店股份</w:t>
      </w:r>
      <w:r>
        <w:rPr>
          <w:spacing w:val="-50"/>
        </w:rPr>
        <w:t> </w:t>
      </w:r>
      <w:r>
        <w:rPr>
          <w:rFonts w:ascii="Times New Roman" w:hAnsi="Times New Roman" w:cs="Times New Roman" w:eastAsia="Times New Roman" w:hint="default"/>
        </w:rPr>
        <w:t>360 </w:t>
      </w:r>
      <w:r>
        <w:rPr>
          <w:spacing w:val="-3"/>
        </w:rPr>
        <w:t>天。</w:t>
      </w:r>
      <w:r>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9"/>
          <w:szCs w:val="19"/>
        </w:rPr>
      </w:pPr>
    </w:p>
    <w:p>
      <w:pPr>
        <w:pStyle w:val="Heading4"/>
        <w:tabs>
          <w:tab w:pos="1397" w:val="left" w:leader="none"/>
        </w:tabs>
        <w:spacing w:line="240" w:lineRule="auto"/>
        <w:ind w:right="1786"/>
        <w:jc w:val="left"/>
        <w:rPr>
          <w:b w:val="0"/>
          <w:bCs w:val="0"/>
        </w:rPr>
      </w:pPr>
      <w:r>
        <w:rPr/>
        <w:t>（二）</w:t>
        <w:tab/>
        <w:t>资产负债表日存在的重要或有事项</w:t>
      </w:r>
      <w:r>
        <w:rPr>
          <w:b w:val="0"/>
          <w:bCs w:val="0"/>
        </w:rPr>
      </w:r>
    </w:p>
    <w:p>
      <w:pPr>
        <w:pStyle w:val="BodyText"/>
        <w:spacing w:line="357" w:lineRule="auto" w:before="152"/>
        <w:ind w:left="138" w:right="1788" w:firstLine="419"/>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14"/>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4"/>
        </w:rPr>
        <w:t> </w:t>
      </w:r>
      <w:r>
        <w:rPr/>
        <w:t>日，公司客户祁海燕以委托代理理财亏损为由向宝鸡市金台区人民</w:t>
      </w:r>
      <w:r>
        <w:rPr>
          <w:w w:val="100"/>
        </w:rPr>
        <w:t> </w:t>
      </w:r>
      <w:r>
        <w:rPr>
          <w:spacing w:val="-9"/>
          <w:w w:val="100"/>
        </w:rPr>
        <w:t>法院提起诉讼，状告公司、公司宝鸡行政中心证券营业部、张文学（宝鸡营业部原负责人），</w:t>
      </w:r>
      <w:r>
        <w:rPr>
          <w:spacing w:val="-91"/>
          <w:w w:val="100"/>
        </w:rPr>
        <w:t> </w:t>
      </w:r>
      <w:r>
        <w:rPr>
          <w:spacing w:val="-91"/>
          <w:w w:val="100"/>
        </w:rPr>
      </w:r>
      <w:r>
        <w:rPr/>
        <w:t>要求被告赔偿理财亏损</w:t>
      </w:r>
      <w:r>
        <w:rPr>
          <w:spacing w:val="-42"/>
        </w:rPr>
        <w:t> </w:t>
      </w:r>
      <w:r>
        <w:rPr>
          <w:rFonts w:ascii="宋体" w:hAnsi="宋体" w:cs="宋体" w:eastAsia="宋体" w:hint="default"/>
        </w:rPr>
        <w:t>495</w:t>
      </w:r>
      <w:r>
        <w:rPr>
          <w:rFonts w:ascii="宋体" w:hAnsi="宋体" w:cs="宋体" w:eastAsia="宋体" w:hint="default"/>
          <w:spacing w:val="-43"/>
        </w:rPr>
        <w:t> </w:t>
      </w:r>
      <w:r>
        <w:rPr>
          <w:spacing w:val="-8"/>
        </w:rPr>
        <w:t>万元、赔偿其利息损失、退还佣金</w:t>
      </w:r>
      <w:r>
        <w:rPr>
          <w:spacing w:val="-43"/>
        </w:rPr>
        <w:t> </w:t>
      </w:r>
      <w:r>
        <w:rPr>
          <w:rFonts w:ascii="宋体" w:hAnsi="宋体" w:cs="宋体" w:eastAsia="宋体" w:hint="default"/>
        </w:rPr>
        <w:t>58</w:t>
      </w:r>
      <w:r>
        <w:rPr>
          <w:rFonts w:ascii="宋体" w:hAnsi="宋体" w:cs="宋体" w:eastAsia="宋体" w:hint="default"/>
          <w:spacing w:val="-43"/>
        </w:rPr>
        <w:t> </w:t>
      </w:r>
      <w:r>
        <w:rPr>
          <w:spacing w:val="-9"/>
        </w:rPr>
        <w:t>万元、承担诉讼费用。</w:t>
      </w:r>
      <w:r>
        <w:rPr>
          <w:rFonts w:ascii="宋体" w:hAnsi="宋体" w:cs="宋体" w:eastAsia="宋体" w:hint="default"/>
          <w:spacing w:val="-9"/>
        </w:rPr>
        <w:t>2018</w:t>
      </w:r>
    </w:p>
    <w:p>
      <w:pPr>
        <w:pStyle w:val="BodyText"/>
        <w:spacing w:line="240" w:lineRule="auto" w:before="30"/>
        <w:ind w:left="138" w:right="0"/>
        <w:jc w:val="both"/>
      </w:pPr>
      <w:r>
        <w:rPr>
          <w:w w:val="100"/>
        </w:rPr>
        <w:t>年</w:t>
      </w:r>
      <w:r>
        <w:rPr>
          <w:spacing w:val="-53"/>
        </w:rPr>
        <w:t> </w:t>
      </w:r>
      <w:r>
        <w:rPr>
          <w:rFonts w:ascii="宋体" w:hAnsi="宋体" w:cs="宋体" w:eastAsia="宋体" w:hint="default"/>
          <w:w w:val="100"/>
        </w:rPr>
        <w:t>11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11</w:t>
      </w:r>
      <w:r>
        <w:rPr>
          <w:rFonts w:ascii="宋体" w:hAnsi="宋体" w:cs="宋体" w:eastAsia="宋体" w:hint="default"/>
          <w:spacing w:val="-55"/>
        </w:rPr>
        <w:t> </w:t>
      </w:r>
      <w:r>
        <w:rPr>
          <w:w w:val="100"/>
        </w:rPr>
        <w:t>日</w:t>
      </w:r>
      <w:r>
        <w:rPr>
          <w:spacing w:val="-3"/>
          <w:w w:val="100"/>
        </w:rPr>
        <w:t>陕</w:t>
      </w:r>
      <w:r>
        <w:rPr>
          <w:w w:val="100"/>
        </w:rPr>
        <w:t>西</w:t>
      </w:r>
      <w:r>
        <w:rPr>
          <w:spacing w:val="-3"/>
          <w:w w:val="100"/>
        </w:rPr>
        <w:t>省</w:t>
      </w:r>
      <w:r>
        <w:rPr>
          <w:w w:val="100"/>
        </w:rPr>
        <w:t>宝</w:t>
      </w:r>
      <w:r>
        <w:rPr>
          <w:spacing w:val="-3"/>
          <w:w w:val="100"/>
        </w:rPr>
        <w:t>鸡</w:t>
      </w:r>
      <w:r>
        <w:rPr>
          <w:w w:val="100"/>
        </w:rPr>
        <w:t>市金</w:t>
      </w:r>
      <w:r>
        <w:rPr>
          <w:spacing w:val="-3"/>
          <w:w w:val="100"/>
        </w:rPr>
        <w:t>台</w:t>
      </w:r>
      <w:r>
        <w:rPr>
          <w:w w:val="100"/>
        </w:rPr>
        <w:t>区</w:t>
      </w:r>
      <w:r>
        <w:rPr>
          <w:spacing w:val="-3"/>
          <w:w w:val="100"/>
        </w:rPr>
        <w:t>人</w:t>
      </w:r>
      <w:r>
        <w:rPr>
          <w:w w:val="100"/>
        </w:rPr>
        <w:t>民</w:t>
      </w:r>
      <w:r>
        <w:rPr>
          <w:spacing w:val="-3"/>
          <w:w w:val="100"/>
        </w:rPr>
        <w:t>法</w:t>
      </w:r>
      <w:r>
        <w:rPr>
          <w:w w:val="100"/>
        </w:rPr>
        <w:t>院</w:t>
      </w:r>
      <w:r>
        <w:rPr>
          <w:spacing w:val="-3"/>
          <w:w w:val="100"/>
        </w:rPr>
        <w:t>一</w:t>
      </w:r>
      <w:r>
        <w:rPr>
          <w:w w:val="100"/>
        </w:rPr>
        <w:t>审</w:t>
      </w:r>
      <w:r>
        <w:rPr>
          <w:spacing w:val="-3"/>
          <w:w w:val="100"/>
        </w:rPr>
        <w:t>判</w:t>
      </w:r>
      <w:r>
        <w:rPr>
          <w:spacing w:val="-29"/>
          <w:w w:val="100"/>
        </w:rPr>
        <w:t>决</w:t>
      </w:r>
      <w:r>
        <w:rPr>
          <w:spacing w:val="-106"/>
          <w:w w:val="100"/>
        </w:rPr>
        <w:t>（</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陕</w:t>
      </w:r>
      <w:r>
        <w:rPr>
          <w:spacing w:val="-29"/>
          <w:w w:val="100"/>
        </w:rPr>
        <w:t>）</w:t>
      </w:r>
      <w:r>
        <w:rPr>
          <w:rFonts w:ascii="宋体" w:hAnsi="宋体" w:cs="宋体" w:eastAsia="宋体" w:hint="default"/>
          <w:w w:val="100"/>
        </w:rPr>
        <w:t>0</w:t>
      </w:r>
      <w:r>
        <w:rPr>
          <w:rFonts w:ascii="宋体" w:hAnsi="宋体" w:cs="宋体" w:eastAsia="宋体" w:hint="default"/>
          <w:spacing w:val="-3"/>
          <w:w w:val="100"/>
        </w:rPr>
        <w:t>3</w:t>
      </w:r>
      <w:r>
        <w:rPr>
          <w:rFonts w:ascii="宋体" w:hAnsi="宋体" w:cs="宋体" w:eastAsia="宋体" w:hint="default"/>
          <w:w w:val="100"/>
        </w:rPr>
        <w:t>03</w:t>
      </w:r>
      <w:r>
        <w:rPr>
          <w:rFonts w:ascii="宋体" w:hAnsi="宋体" w:cs="宋体" w:eastAsia="宋体" w:hint="default"/>
          <w:spacing w:val="-53"/>
        </w:rPr>
        <w:t> </w:t>
      </w:r>
      <w:r>
        <w:rPr>
          <w:spacing w:val="-3"/>
          <w:w w:val="100"/>
        </w:rPr>
        <w:t>民</w:t>
      </w:r>
      <w:r>
        <w:rPr>
          <w:w w:val="100"/>
        </w:rPr>
        <w:t>初</w:t>
      </w:r>
      <w:r>
        <w:rPr>
          <w:spacing w:val="-53"/>
        </w:rPr>
        <w:t> </w:t>
      </w:r>
      <w:r>
        <w:rPr>
          <w:rFonts w:ascii="宋体" w:hAnsi="宋体" w:cs="宋体" w:eastAsia="宋体" w:hint="default"/>
          <w:spacing w:val="-3"/>
          <w:w w:val="100"/>
        </w:rPr>
        <w:t>1</w:t>
      </w:r>
      <w:r>
        <w:rPr>
          <w:rFonts w:ascii="宋体" w:hAnsi="宋体" w:cs="宋体" w:eastAsia="宋体" w:hint="default"/>
          <w:w w:val="100"/>
        </w:rPr>
        <w:t>028</w:t>
      </w:r>
      <w:r>
        <w:rPr>
          <w:rFonts w:ascii="宋体" w:hAnsi="宋体" w:cs="宋体" w:eastAsia="宋体" w:hint="default"/>
          <w:spacing w:val="-52"/>
        </w:rPr>
        <w:t> </w:t>
      </w:r>
      <w:r>
        <w:rPr>
          <w:spacing w:val="-3"/>
          <w:w w:val="100"/>
        </w:rPr>
        <w:t>号</w:t>
      </w:r>
      <w:r>
        <w:rPr>
          <w:spacing w:val="-106"/>
          <w:w w:val="100"/>
        </w:rPr>
        <w:t>）</w:t>
      </w:r>
      <w:r>
        <w:rPr>
          <w:spacing w:val="-32"/>
          <w:w w:val="100"/>
        </w:rPr>
        <w:t>，</w:t>
      </w:r>
      <w:r>
        <w:rPr>
          <w:spacing w:val="-3"/>
          <w:w w:val="100"/>
        </w:rPr>
        <w:t>驳</w:t>
      </w:r>
      <w:r>
        <w:rPr>
          <w:w w:val="100"/>
        </w:rPr>
        <w:t>回</w:t>
      </w:r>
    </w:p>
    <w:p>
      <w:pPr>
        <w:pStyle w:val="BodyText"/>
        <w:spacing w:line="240" w:lineRule="auto" w:before="133"/>
        <w:ind w:left="138" w:right="0"/>
        <w:jc w:val="both"/>
        <w:rPr>
          <w:rFonts w:ascii="宋体" w:hAnsi="宋体" w:cs="宋体" w:eastAsia="宋体" w:hint="default"/>
        </w:rPr>
      </w:pPr>
      <w:r>
        <w:rPr/>
        <w:t>祁海燕对本公司及宝鸡营业部的诉讼请求。祁海燕与张文学均不服一审判决，分别于</w:t>
      </w:r>
      <w:r>
        <w:rPr>
          <w:spacing w:val="14"/>
        </w:rPr>
        <w:t> </w:t>
      </w:r>
      <w:r>
        <w:rPr>
          <w:rFonts w:ascii="宋体" w:hAnsi="宋体" w:cs="宋体" w:eastAsia="宋体" w:hint="default"/>
        </w:rPr>
        <w:t>2018</w:t>
      </w:r>
    </w:p>
    <w:p>
      <w:pPr>
        <w:pStyle w:val="BodyText"/>
        <w:spacing w:line="355" w:lineRule="auto" w:before="133"/>
        <w:ind w:left="138" w:right="1789"/>
        <w:jc w:val="both"/>
      </w:pPr>
      <w:r>
        <w:rPr/>
        <w:t>年</w:t>
      </w:r>
      <w:r>
        <w:rPr>
          <w:spacing w:val="-49"/>
        </w:rPr>
        <w:t> </w:t>
      </w:r>
      <w:r>
        <w:rPr>
          <w:rFonts w:ascii="宋体" w:hAnsi="宋体" w:cs="宋体" w:eastAsia="宋体" w:hint="default"/>
        </w:rPr>
        <w:t>11</w:t>
      </w:r>
      <w:r>
        <w:rPr>
          <w:rFonts w:ascii="宋体" w:hAnsi="宋体" w:cs="宋体" w:eastAsia="宋体" w:hint="default"/>
          <w:spacing w:val="-51"/>
        </w:rPr>
        <w:t> </w:t>
      </w:r>
      <w:r>
        <w:rPr/>
        <w:t>月</w:t>
      </w:r>
      <w:r>
        <w:rPr>
          <w:spacing w:val="-49"/>
        </w:rPr>
        <w:t> </w:t>
      </w:r>
      <w:r>
        <w:rPr>
          <w:rFonts w:ascii="宋体" w:hAnsi="宋体" w:cs="宋体" w:eastAsia="宋体" w:hint="default"/>
        </w:rPr>
        <w:t>14</w:t>
      </w:r>
      <w:r>
        <w:rPr>
          <w:rFonts w:ascii="宋体" w:hAnsi="宋体" w:cs="宋体" w:eastAsia="宋体" w:hint="default"/>
          <w:spacing w:val="-51"/>
        </w:rPr>
        <w:t> </w:t>
      </w:r>
      <w:r>
        <w:rPr>
          <w:spacing w:val="-6"/>
        </w:rPr>
        <w:t>日、</w:t>
      </w:r>
      <w:r>
        <w:rPr>
          <w:rFonts w:ascii="宋体" w:hAnsi="宋体" w:cs="宋体" w:eastAsia="宋体" w:hint="default"/>
          <w:spacing w:val="-6"/>
        </w:rPr>
        <w:t>2018</w:t>
      </w:r>
      <w:r>
        <w:rPr>
          <w:rFonts w:ascii="宋体" w:hAnsi="宋体" w:cs="宋体" w:eastAsia="宋体" w:hint="default"/>
          <w:spacing w:val="-49"/>
        </w:rPr>
        <w:t> </w:t>
      </w:r>
      <w:r>
        <w:rPr/>
        <w:t>年</w:t>
      </w:r>
      <w:r>
        <w:rPr>
          <w:spacing w:val="-50"/>
        </w:rPr>
        <w:t> </w:t>
      </w:r>
      <w:r>
        <w:rPr>
          <w:rFonts w:ascii="宋体" w:hAnsi="宋体" w:cs="宋体" w:eastAsia="宋体" w:hint="default"/>
        </w:rPr>
        <w:t>11</w:t>
      </w:r>
      <w:r>
        <w:rPr>
          <w:rFonts w:ascii="宋体" w:hAnsi="宋体" w:cs="宋体" w:eastAsia="宋体" w:hint="default"/>
          <w:spacing w:val="-51"/>
        </w:rPr>
        <w:t> </w:t>
      </w:r>
      <w:r>
        <w:rPr/>
        <w:t>月</w:t>
      </w:r>
      <w:r>
        <w:rPr>
          <w:spacing w:val="-49"/>
        </w:rPr>
        <w:t> </w:t>
      </w:r>
      <w:r>
        <w:rPr>
          <w:rFonts w:ascii="宋体" w:hAnsi="宋体" w:cs="宋体" w:eastAsia="宋体" w:hint="default"/>
        </w:rPr>
        <w:t>20</w:t>
      </w:r>
      <w:r>
        <w:rPr>
          <w:rFonts w:ascii="宋体" w:hAnsi="宋体" w:cs="宋体" w:eastAsia="宋体" w:hint="default"/>
          <w:spacing w:val="-51"/>
        </w:rPr>
        <w:t> </w:t>
      </w:r>
      <w:r>
        <w:rPr>
          <w:spacing w:val="-5"/>
        </w:rPr>
        <w:t>日提起上诉，</w:t>
      </w:r>
      <w:r>
        <w:rPr>
          <w:rFonts w:ascii="宋体" w:hAnsi="宋体" w:cs="宋体" w:eastAsia="宋体" w:hint="default"/>
          <w:spacing w:val="-5"/>
        </w:rPr>
        <w:t>2019</w:t>
      </w:r>
      <w:r>
        <w:rPr>
          <w:rFonts w:ascii="宋体" w:hAnsi="宋体" w:cs="宋体" w:eastAsia="宋体" w:hint="default"/>
          <w:spacing w:val="-51"/>
        </w:rPr>
        <w:t> </w:t>
      </w:r>
      <w:r>
        <w:rPr/>
        <w:t>年</w:t>
      </w:r>
      <w:r>
        <w:rPr>
          <w:spacing w:val="-49"/>
        </w:rPr>
        <w:t> </w:t>
      </w:r>
      <w:r>
        <w:rPr>
          <w:rFonts w:ascii="宋体" w:hAnsi="宋体" w:cs="宋体" w:eastAsia="宋体" w:hint="default"/>
        </w:rPr>
        <w:t>11</w:t>
      </w:r>
      <w:r>
        <w:rPr>
          <w:rFonts w:ascii="宋体" w:hAnsi="宋体" w:cs="宋体" w:eastAsia="宋体" w:hint="default"/>
          <w:spacing w:val="-51"/>
        </w:rPr>
        <w:t> </w:t>
      </w:r>
      <w:r>
        <w:rPr/>
        <w:t>月</w:t>
      </w:r>
      <w:r>
        <w:rPr>
          <w:spacing w:val="-49"/>
        </w:rPr>
        <w:t> </w:t>
      </w:r>
      <w:r>
        <w:rPr>
          <w:rFonts w:ascii="宋体" w:hAnsi="宋体" w:cs="宋体" w:eastAsia="宋体" w:hint="default"/>
        </w:rPr>
        <w:t>4</w:t>
      </w:r>
      <w:r>
        <w:rPr>
          <w:rFonts w:ascii="宋体" w:hAnsi="宋体" w:cs="宋体" w:eastAsia="宋体" w:hint="default"/>
          <w:spacing w:val="-51"/>
        </w:rPr>
        <w:t> </w:t>
      </w:r>
      <w:r>
        <w:rPr>
          <w:spacing w:val="-4"/>
        </w:rPr>
        <w:t>日，陕西省宝鸡市中级人民法</w:t>
      </w:r>
      <w:r>
        <w:rPr>
          <w:w w:val="100"/>
        </w:rPr>
        <w:t> </w:t>
      </w:r>
      <w:r>
        <w:rPr>
          <w:spacing w:val="-4"/>
        </w:rPr>
        <w:t>院以原审法院判决认定事实不清为由撤销一审判决，并发回原审法院重审。截至目前二审尚</w:t>
      </w:r>
      <w:r>
        <w:rPr>
          <w:spacing w:val="-41"/>
        </w:rPr>
        <w:t> </w:t>
      </w:r>
      <w:r>
        <w:rPr>
          <w:spacing w:val="-41"/>
        </w:rPr>
      </w:r>
      <w:r>
        <w:rPr/>
        <w:t>未判决。</w:t>
      </w:r>
    </w:p>
    <w:p>
      <w:pPr>
        <w:pStyle w:val="BodyText"/>
        <w:spacing w:line="355" w:lineRule="auto" w:before="75"/>
        <w:ind w:left="138" w:right="1788" w:firstLine="419"/>
        <w:jc w:val="both"/>
      </w:pPr>
      <w:r>
        <w:rPr>
          <w:rFonts w:ascii="宋体" w:hAnsi="宋体" w:cs="宋体" w:eastAsia="宋体" w:hint="default"/>
          <w:spacing w:val="-12"/>
          <w:w w:val="100"/>
        </w:rPr>
        <w:t>2</w:t>
      </w:r>
      <w:r>
        <w:rPr>
          <w:spacing w:val="-12"/>
          <w:w w:val="100"/>
        </w:rPr>
        <w:t>、国盛资管神鹰</w:t>
      </w:r>
      <w:r>
        <w:rPr>
          <w:spacing w:val="-48"/>
          <w:w w:val="100"/>
        </w:rPr>
        <w:t> </w:t>
      </w:r>
      <w:r>
        <w:rPr>
          <w:rFonts w:ascii="宋体" w:hAnsi="宋体" w:cs="宋体" w:eastAsia="宋体" w:hint="default"/>
          <w:w w:val="100"/>
        </w:rPr>
        <w:t>38</w:t>
      </w:r>
      <w:r>
        <w:rPr>
          <w:rFonts w:ascii="宋体" w:hAnsi="宋体" w:cs="宋体" w:eastAsia="宋体" w:hint="default"/>
          <w:spacing w:val="-46"/>
          <w:w w:val="100"/>
        </w:rPr>
        <w:t> </w:t>
      </w:r>
      <w:r>
        <w:rPr>
          <w:spacing w:val="-2"/>
          <w:w w:val="100"/>
        </w:rPr>
        <w:t>号东方金钰集合资产管理计划投资者浙旅盛景资本投资有限公司因</w:t>
      </w:r>
      <w:r>
        <w:rPr>
          <w:w w:val="100"/>
        </w:rPr>
        <w:t> </w:t>
      </w:r>
      <w:r>
        <w:rPr>
          <w:spacing w:val="-4"/>
          <w:w w:val="100"/>
        </w:rPr>
        <w:t>国盛证券资产管理有限公司未履行管理人应尽的适当性义务向法院提起诉讼，国盛证券资产</w:t>
      </w:r>
      <w:r>
        <w:rPr>
          <w:spacing w:val="-89"/>
          <w:w w:val="100"/>
        </w:rPr>
        <w:t> </w:t>
      </w:r>
      <w:r>
        <w:rPr>
          <w:spacing w:val="-89"/>
          <w:w w:val="100"/>
        </w:rPr>
      </w:r>
      <w:r>
        <w:rPr/>
        <w:t>管理有限公司公司于</w:t>
      </w:r>
      <w:r>
        <w:rPr>
          <w:spacing w:val="-45"/>
        </w:rPr>
        <w:t> </w:t>
      </w:r>
      <w:r>
        <w:rPr>
          <w:rFonts w:ascii="宋体" w:hAnsi="宋体" w:cs="宋体" w:eastAsia="宋体" w:hint="default"/>
        </w:rPr>
        <w:t>2020</w:t>
      </w:r>
      <w:r>
        <w:rPr>
          <w:rFonts w:ascii="宋体" w:hAnsi="宋体" w:cs="宋体" w:eastAsia="宋体" w:hint="default"/>
          <w:spacing w:val="-47"/>
        </w:rPr>
        <w:t> </w:t>
      </w:r>
      <w:r>
        <w:rPr/>
        <w:t>年</w:t>
      </w:r>
      <w:r>
        <w:rPr>
          <w:spacing w:val="-45"/>
        </w:rPr>
        <w:t> </w:t>
      </w:r>
      <w:r>
        <w:rPr>
          <w:rFonts w:ascii="宋体" w:hAnsi="宋体" w:cs="宋体" w:eastAsia="宋体" w:hint="default"/>
        </w:rPr>
        <w:t>2</w:t>
      </w:r>
      <w:r>
        <w:rPr>
          <w:rFonts w:ascii="宋体" w:hAnsi="宋体" w:cs="宋体" w:eastAsia="宋体" w:hint="default"/>
          <w:spacing w:val="-47"/>
        </w:rPr>
        <w:t> </w:t>
      </w:r>
      <w:r>
        <w:rPr/>
        <w:t>月</w:t>
      </w:r>
      <w:r>
        <w:rPr>
          <w:spacing w:val="-45"/>
        </w:rPr>
        <w:t> </w:t>
      </w:r>
      <w:r>
        <w:rPr>
          <w:rFonts w:ascii="宋体" w:hAnsi="宋体" w:cs="宋体" w:eastAsia="宋体" w:hint="default"/>
        </w:rPr>
        <w:t>27</w:t>
      </w:r>
      <w:r>
        <w:rPr>
          <w:rFonts w:ascii="宋体" w:hAnsi="宋体" w:cs="宋体" w:eastAsia="宋体" w:hint="default"/>
          <w:spacing w:val="-47"/>
        </w:rPr>
        <w:t> </w:t>
      </w:r>
      <w:r>
        <w:rPr>
          <w:spacing w:val="-6"/>
        </w:rPr>
        <w:t>日收到本案起诉状、传票及应诉通知书等，案件尚未开</w:t>
      </w:r>
      <w:r>
        <w:rPr>
          <w:spacing w:val="-102"/>
        </w:rPr>
        <w:t> </w:t>
      </w:r>
      <w:r>
        <w:rPr>
          <w:spacing w:val="-102"/>
        </w:rPr>
      </w:r>
      <w:r>
        <w:rPr/>
        <w:t>庭审理。</w:t>
      </w:r>
    </w:p>
    <w:p>
      <w:pPr>
        <w:pStyle w:val="BodyText"/>
        <w:spacing w:line="357" w:lineRule="auto" w:before="75"/>
        <w:ind w:left="138" w:right="1788" w:firstLine="419"/>
        <w:jc w:val="both"/>
      </w:pPr>
      <w:r>
        <w:rPr>
          <w:rFonts w:ascii="宋体" w:hAnsi="宋体" w:cs="宋体" w:eastAsia="宋体" w:hint="default"/>
          <w:spacing w:val="-6"/>
          <w:w w:val="100"/>
        </w:rPr>
        <w:t>3</w:t>
      </w:r>
      <w:r>
        <w:rPr>
          <w:spacing w:val="-6"/>
          <w:w w:val="100"/>
        </w:rPr>
        <w:t>、侯马市民鑫经贸有限公司为国盛资管神鹰</w:t>
      </w:r>
      <w:r>
        <w:rPr>
          <w:spacing w:val="-46"/>
          <w:w w:val="100"/>
        </w:rPr>
        <w:t> </w:t>
      </w:r>
      <w:r>
        <w:rPr>
          <w:rFonts w:ascii="宋体" w:hAnsi="宋体" w:cs="宋体" w:eastAsia="宋体" w:hint="default"/>
          <w:spacing w:val="-2"/>
          <w:w w:val="100"/>
        </w:rPr>
        <w:t>38</w:t>
      </w:r>
      <w:r>
        <w:rPr>
          <w:rFonts w:ascii="宋体" w:hAnsi="宋体" w:cs="宋体" w:eastAsia="宋体" w:hint="default"/>
          <w:spacing w:val="-45"/>
          <w:w w:val="100"/>
        </w:rPr>
        <w:t> </w:t>
      </w:r>
      <w:r>
        <w:rPr>
          <w:spacing w:val="-2"/>
          <w:w w:val="100"/>
        </w:rPr>
        <w:t>号东方金钰集合资产管理计划收益权受</w:t>
      </w:r>
      <w:r>
        <w:rPr>
          <w:w w:val="100"/>
        </w:rPr>
        <w:t> </w:t>
      </w:r>
      <w:r>
        <w:rPr>
          <w:spacing w:val="-4"/>
          <w:w w:val="100"/>
        </w:rPr>
        <w:t>让方（转让方分别为郭永强、纪建国、李学玲），认为被告国盛资管等人存在民事违约、严</w:t>
      </w:r>
      <w:r>
        <w:rPr>
          <w:spacing w:val="-85"/>
          <w:w w:val="100"/>
        </w:rPr>
        <w:t> </w:t>
      </w:r>
      <w:r>
        <w:rPr>
          <w:spacing w:val="-85"/>
          <w:w w:val="100"/>
        </w:rPr>
      </w:r>
      <w:r>
        <w:rPr>
          <w:spacing w:val="-4"/>
        </w:rPr>
        <w:t>重显失公平，有违公序良俗，以格式合同方式、霸王条款方式、强买强卖方式，侵害债权人</w:t>
      </w:r>
      <w:r>
        <w:rPr>
          <w:spacing w:val="-46"/>
        </w:rPr>
        <w:t> </w:t>
      </w:r>
      <w:r>
        <w:rPr>
          <w:spacing w:val="-46"/>
        </w:rPr>
      </w:r>
      <w:r>
        <w:rPr/>
        <w:t>利益，向人民法院提起诉讼，涉诉案件共</w:t>
      </w:r>
      <w:r>
        <w:rPr>
          <w:spacing w:val="-53"/>
        </w:rPr>
        <w:t> </w:t>
      </w:r>
      <w:r>
        <w:rPr>
          <w:rFonts w:ascii="宋体" w:hAnsi="宋体" w:cs="宋体" w:eastAsia="宋体" w:hint="default"/>
        </w:rPr>
        <w:t>3</w:t>
      </w:r>
      <w:r>
        <w:rPr>
          <w:rFonts w:ascii="宋体" w:hAnsi="宋体" w:cs="宋体" w:eastAsia="宋体" w:hint="default"/>
          <w:spacing w:val="-50"/>
        </w:rPr>
        <w:t> </w:t>
      </w:r>
      <w:r>
        <w:rPr/>
        <w:t>个，国盛证券资产管理有限公司于</w:t>
      </w:r>
      <w:r>
        <w:rPr>
          <w:spacing w:val="-50"/>
        </w:rPr>
        <w:t> </w:t>
      </w:r>
      <w:r>
        <w:rPr>
          <w:rFonts w:ascii="宋体" w:hAnsi="宋体" w:cs="宋体" w:eastAsia="宋体" w:hint="default"/>
        </w:rPr>
        <w:t>2020</w:t>
      </w:r>
      <w:r>
        <w:rPr>
          <w:rFonts w:ascii="宋体" w:hAnsi="宋体" w:cs="宋体" w:eastAsia="宋体" w:hint="default"/>
          <w:spacing w:val="-53"/>
        </w:rPr>
        <w:t> </w:t>
      </w:r>
      <w:r>
        <w:rPr/>
        <w:t>年</w:t>
      </w:r>
      <w:r>
        <w:rPr>
          <w:spacing w:val="-50"/>
        </w:rPr>
        <w:t> </w:t>
      </w:r>
      <w:r>
        <w:rPr>
          <w:rFonts w:ascii="宋体" w:hAnsi="宋体" w:cs="宋体" w:eastAsia="宋体" w:hint="default"/>
        </w:rPr>
        <w:t>3</w:t>
      </w:r>
      <w:r>
        <w:rPr>
          <w:rFonts w:ascii="宋体" w:hAnsi="宋体" w:cs="宋体" w:eastAsia="宋体" w:hint="default"/>
          <w:spacing w:val="-53"/>
        </w:rPr>
        <w:t> </w:t>
      </w:r>
      <w:r>
        <w:rPr/>
        <w:t>月</w:t>
      </w:r>
    </w:p>
    <w:p>
      <w:pPr>
        <w:pStyle w:val="BodyText"/>
        <w:spacing w:line="240" w:lineRule="auto" w:before="28"/>
        <w:ind w:left="138" w:right="0"/>
        <w:jc w:val="both"/>
      </w:pPr>
      <w:r>
        <w:rPr>
          <w:rFonts w:ascii="宋体" w:hAnsi="宋体" w:cs="宋体" w:eastAsia="宋体" w:hint="default"/>
        </w:rPr>
        <w:t>20</w:t>
      </w:r>
      <w:r>
        <w:rPr>
          <w:rFonts w:ascii="宋体" w:hAnsi="宋体" w:cs="宋体" w:eastAsia="宋体" w:hint="default"/>
          <w:spacing w:val="-2"/>
        </w:rPr>
        <w:t> </w:t>
      </w:r>
      <w:r>
        <w:rPr>
          <w:spacing w:val="-2"/>
        </w:rPr>
        <w:t>日收到本案起诉状、传票及应诉通知书等，案件尚未开庭审理。</w:t>
      </w:r>
    </w:p>
    <w:p>
      <w:pPr>
        <w:pStyle w:val="BodyText"/>
        <w:spacing w:line="357" w:lineRule="auto" w:before="176"/>
        <w:ind w:left="138" w:right="1788" w:firstLine="525"/>
        <w:jc w:val="both"/>
      </w:pP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36"/>
        </w:rPr>
        <w:t> </w:t>
      </w:r>
      <w:r>
        <w:rPr/>
        <w:t>年</w:t>
      </w:r>
      <w:r>
        <w:rPr>
          <w:spacing w:val="-33"/>
        </w:rPr>
        <w:t> </w:t>
      </w:r>
      <w:r>
        <w:rPr>
          <w:rFonts w:ascii="宋体" w:hAnsi="宋体" w:cs="宋体" w:eastAsia="宋体" w:hint="default"/>
        </w:rPr>
        <w:t>3</w:t>
      </w:r>
      <w:r>
        <w:rPr>
          <w:rFonts w:ascii="宋体" w:hAnsi="宋体" w:cs="宋体" w:eastAsia="宋体" w:hint="default"/>
          <w:spacing w:val="-33"/>
        </w:rPr>
        <w:t> </w:t>
      </w:r>
      <w:r>
        <w:rPr/>
        <w:t>月至</w:t>
      </w:r>
      <w:r>
        <w:rPr>
          <w:spacing w:val="-33"/>
        </w:rPr>
        <w:t> </w:t>
      </w:r>
      <w:r>
        <w:rPr>
          <w:rFonts w:ascii="宋体" w:hAnsi="宋体" w:cs="宋体" w:eastAsia="宋体" w:hint="default"/>
        </w:rPr>
        <w:t>2019</w:t>
      </w:r>
      <w:r>
        <w:rPr>
          <w:rFonts w:ascii="宋体" w:hAnsi="宋体" w:cs="宋体" w:eastAsia="宋体" w:hint="default"/>
          <w:spacing w:val="-36"/>
        </w:rPr>
        <w:t> </w:t>
      </w:r>
      <w:r>
        <w:rPr/>
        <w:t>年</w:t>
      </w:r>
      <w:r>
        <w:rPr>
          <w:spacing w:val="-33"/>
        </w:rPr>
        <w:t> </w:t>
      </w:r>
      <w:r>
        <w:rPr>
          <w:rFonts w:ascii="宋体" w:hAnsi="宋体" w:cs="宋体" w:eastAsia="宋体" w:hint="default"/>
        </w:rPr>
        <w:t>6</w:t>
      </w:r>
      <w:r>
        <w:rPr>
          <w:rFonts w:ascii="宋体" w:hAnsi="宋体" w:cs="宋体" w:eastAsia="宋体" w:hint="default"/>
          <w:spacing w:val="-33"/>
        </w:rPr>
        <w:t> </w:t>
      </w:r>
      <w:r>
        <w:rPr/>
        <w:t>月期间“国盛资管神鹰</w:t>
      </w:r>
      <w:r>
        <w:rPr>
          <w:spacing w:val="-33"/>
        </w:rPr>
        <w:t> </w:t>
      </w:r>
      <w:r>
        <w:rPr>
          <w:rFonts w:ascii="宋体" w:hAnsi="宋体" w:cs="宋体" w:eastAsia="宋体" w:hint="default"/>
        </w:rPr>
        <w:t>102</w:t>
      </w:r>
      <w:r>
        <w:rPr>
          <w:rFonts w:ascii="宋体" w:hAnsi="宋体" w:cs="宋体" w:eastAsia="宋体" w:hint="default"/>
          <w:spacing w:val="-36"/>
        </w:rPr>
        <w:t> </w:t>
      </w:r>
      <w:r>
        <w:rPr/>
        <w:t>号天业股份集合资产管理计</w:t>
      </w:r>
      <w:r>
        <w:rPr>
          <w:w w:val="100"/>
        </w:rPr>
        <w:t> </w:t>
      </w:r>
      <w:r>
        <w:rPr>
          <w:spacing w:val="-4"/>
        </w:rPr>
        <w:t>划”投资者先后以国盛证券资产管理有限公司未按约定履行尽职管理义务，并怠于履行管理</w:t>
      </w:r>
      <w:r>
        <w:rPr>
          <w:spacing w:val="-40"/>
        </w:rPr>
        <w:t> </w:t>
      </w:r>
      <w:r>
        <w:rPr>
          <w:spacing w:val="-40"/>
        </w:rPr>
      </w:r>
      <w:r>
        <w:rPr>
          <w:spacing w:val="-4"/>
        </w:rPr>
        <w:t>人职责提起诉讼，未经投资人同意，擅自和融资人签订了债务和解协议，未继续履行合同义</w:t>
      </w:r>
      <w:r>
        <w:rPr>
          <w:spacing w:val="-44"/>
        </w:rPr>
        <w:t> </w:t>
      </w:r>
      <w:r>
        <w:rPr>
          <w:spacing w:val="-44"/>
        </w:rPr>
      </w:r>
      <w:r>
        <w:rPr>
          <w:spacing w:val="-4"/>
        </w:rPr>
        <w:t>务等事项为由向法院提起诉讼。涉及案件</w:t>
      </w:r>
      <w:r>
        <w:rPr>
          <w:spacing w:val="-41"/>
        </w:rPr>
        <w:t> </w:t>
      </w:r>
      <w:r>
        <w:rPr>
          <w:rFonts w:ascii="宋体" w:hAnsi="宋体" w:cs="宋体" w:eastAsia="宋体" w:hint="default"/>
        </w:rPr>
        <w:t>28</w:t>
      </w:r>
      <w:r>
        <w:rPr>
          <w:rFonts w:ascii="宋体" w:hAnsi="宋体" w:cs="宋体" w:eastAsia="宋体" w:hint="default"/>
          <w:spacing w:val="-41"/>
        </w:rPr>
        <w:t> </w:t>
      </w:r>
      <w:r>
        <w:rPr>
          <w:spacing w:val="-7"/>
        </w:rPr>
        <w:t>起，其中一起案件原告当庭撤诉。</w:t>
      </w:r>
      <w:r>
        <w:rPr>
          <w:rFonts w:ascii="宋体" w:hAnsi="宋体" w:cs="宋体" w:eastAsia="宋体" w:hint="default"/>
          <w:spacing w:val="-7"/>
        </w:rPr>
        <w:t>2019</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3"/>
        </w:rPr>
        <w:t> </w:t>
      </w:r>
      <w:r>
        <w:rPr/>
        <w:t>月</w:t>
      </w:r>
    </w:p>
    <w:p>
      <w:pPr>
        <w:pStyle w:val="BodyText"/>
        <w:spacing w:line="240" w:lineRule="auto" w:before="30"/>
        <w:ind w:left="138" w:right="0"/>
        <w:jc w:val="both"/>
      </w:pPr>
      <w:r>
        <w:rPr>
          <w:rFonts w:ascii="宋体" w:hAnsi="宋体" w:cs="宋体" w:eastAsia="宋体" w:hint="default"/>
        </w:rPr>
        <w:t>24</w:t>
      </w:r>
      <w:r>
        <w:rPr>
          <w:rFonts w:ascii="宋体" w:hAnsi="宋体" w:cs="宋体" w:eastAsia="宋体" w:hint="default"/>
          <w:spacing w:val="-45"/>
        </w:rPr>
        <w:t> </w:t>
      </w:r>
      <w:r>
        <w:rPr>
          <w:spacing w:val="-4"/>
        </w:rPr>
        <w:t>日法院判决驳回原告诉讼请求；</w:t>
      </w:r>
      <w:r>
        <w:rPr>
          <w:rFonts w:ascii="宋体" w:hAnsi="宋体" w:cs="宋体" w:eastAsia="宋体" w:hint="default"/>
          <w:spacing w:val="-4"/>
        </w:rPr>
        <w:t>2020</w:t>
      </w:r>
      <w:r>
        <w:rPr>
          <w:rFonts w:ascii="宋体" w:hAnsi="宋体" w:cs="宋体" w:eastAsia="宋体" w:hint="default"/>
          <w:spacing w:val="-47"/>
        </w:rPr>
        <w:t> </w:t>
      </w:r>
      <w:r>
        <w:rPr/>
        <w:t>年</w:t>
      </w:r>
      <w:r>
        <w:rPr>
          <w:spacing w:val="-45"/>
        </w:rPr>
        <w:t> </w:t>
      </w:r>
      <w:r>
        <w:rPr>
          <w:rFonts w:ascii="宋体" w:hAnsi="宋体" w:cs="宋体" w:eastAsia="宋体" w:hint="default"/>
        </w:rPr>
        <w:t>1</w:t>
      </w:r>
      <w:r>
        <w:rPr>
          <w:rFonts w:ascii="宋体" w:hAnsi="宋体" w:cs="宋体" w:eastAsia="宋体" w:hint="default"/>
          <w:spacing w:val="-47"/>
        </w:rPr>
        <w:t> </w:t>
      </w:r>
      <w:r>
        <w:rPr/>
        <w:t>月</w:t>
      </w:r>
      <w:r>
        <w:rPr>
          <w:spacing w:val="-45"/>
        </w:rPr>
        <w:t> </w:t>
      </w:r>
      <w:r>
        <w:rPr>
          <w:rFonts w:ascii="宋体" w:hAnsi="宋体" w:cs="宋体" w:eastAsia="宋体" w:hint="default"/>
        </w:rPr>
        <w:t>15</w:t>
      </w:r>
      <w:r>
        <w:rPr>
          <w:rFonts w:ascii="宋体" w:hAnsi="宋体" w:cs="宋体" w:eastAsia="宋体" w:hint="default"/>
          <w:spacing w:val="-44"/>
        </w:rPr>
        <w:t> </w:t>
      </w:r>
      <w:r>
        <w:rPr>
          <w:spacing w:val="-4"/>
        </w:rPr>
        <w:t>日，国盛证券资产管理有限公司收到投资</w:t>
      </w:r>
    </w:p>
    <w:p>
      <w:pPr>
        <w:spacing w:after="0" w:line="240" w:lineRule="auto"/>
        <w:jc w:val="both"/>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138" w:right="0"/>
        <w:jc w:val="both"/>
      </w:pPr>
      <w:r>
        <w:rPr/>
        <w:t>者上诉状共</w:t>
      </w:r>
      <w:r>
        <w:rPr>
          <w:spacing w:val="-52"/>
        </w:rPr>
        <w:t> </w:t>
      </w:r>
      <w:r>
        <w:rPr>
          <w:rFonts w:ascii="宋体" w:hAnsi="宋体" w:cs="宋体" w:eastAsia="宋体" w:hint="default"/>
        </w:rPr>
        <w:t>12</w:t>
      </w:r>
      <w:r>
        <w:rPr>
          <w:rFonts w:ascii="宋体" w:hAnsi="宋体" w:cs="宋体" w:eastAsia="宋体" w:hint="default"/>
          <w:spacing w:val="-54"/>
        </w:rPr>
        <w:t> </w:t>
      </w:r>
      <w:r>
        <w:rPr/>
        <w:t>份。</w:t>
      </w:r>
    </w:p>
    <w:p>
      <w:pPr>
        <w:pStyle w:val="BodyText"/>
        <w:spacing w:line="240" w:lineRule="auto" w:before="176"/>
        <w:ind w:left="558" w:right="1578"/>
        <w:jc w:val="left"/>
      </w:pPr>
      <w:r>
        <w:rPr>
          <w:rFonts w:ascii="宋体" w:hAnsi="宋体" w:cs="宋体" w:eastAsia="宋体" w:hint="default"/>
          <w:spacing w:val="-4"/>
        </w:rPr>
        <w:t>5</w:t>
      </w:r>
      <w:r>
        <w:rPr>
          <w:spacing w:val="-4"/>
        </w:rPr>
        <w:t>、国盛证券资产管理有限公司、万龙飞诉金桔莱等金融借款合同纠纷案件已于 </w:t>
      </w:r>
      <w:r>
        <w:rPr>
          <w:rFonts w:ascii="宋体" w:hAnsi="宋体" w:cs="宋体" w:eastAsia="宋体" w:hint="default"/>
        </w:rPr>
        <w:t>2020</w:t>
      </w:r>
      <w:r>
        <w:rPr>
          <w:rFonts w:ascii="宋体" w:hAnsi="宋体" w:cs="宋体" w:eastAsia="宋体" w:hint="default"/>
          <w:spacing w:val="-57"/>
        </w:rPr>
        <w:t> </w:t>
      </w:r>
      <w:r>
        <w:rPr/>
        <w:t>年</w:t>
      </w:r>
    </w:p>
    <w:p>
      <w:pPr>
        <w:pStyle w:val="BodyText"/>
        <w:spacing w:line="355" w:lineRule="auto" w:before="133"/>
        <w:ind w:left="138" w:right="1788"/>
        <w:jc w:val="both"/>
      </w:pPr>
      <w:r>
        <w:rPr>
          <w:rFonts w:ascii="宋体" w:hAnsi="宋体" w:cs="宋体" w:eastAsia="宋体" w:hint="default"/>
        </w:rPr>
        <w:t>1</w:t>
      </w:r>
      <w:r>
        <w:rPr>
          <w:rFonts w:ascii="宋体" w:hAnsi="宋体" w:cs="宋体" w:eastAsia="宋体" w:hint="default"/>
          <w:spacing w:val="-51"/>
        </w:rPr>
        <w:t> </w:t>
      </w:r>
      <w:r>
        <w:rPr/>
        <w:t>月</w:t>
      </w:r>
      <w:r>
        <w:rPr>
          <w:spacing w:val="-54"/>
        </w:rPr>
        <w:t> </w:t>
      </w:r>
      <w:r>
        <w:rPr>
          <w:rFonts w:ascii="宋体" w:hAnsi="宋体" w:cs="宋体" w:eastAsia="宋体" w:hint="default"/>
        </w:rPr>
        <w:t>7</w:t>
      </w:r>
      <w:r>
        <w:rPr>
          <w:rFonts w:ascii="宋体" w:hAnsi="宋体" w:cs="宋体" w:eastAsia="宋体" w:hint="default"/>
          <w:spacing w:val="-51"/>
        </w:rPr>
        <w:t> </w:t>
      </w:r>
      <w:r>
        <w:rPr/>
        <w:t>日上午在杭州市中级人民法院开庭；</w:t>
      </w:r>
      <w:r>
        <w:rPr>
          <w:rFonts w:ascii="宋体" w:hAnsi="宋体" w:cs="宋体" w:eastAsia="宋体" w:hint="default"/>
        </w:rPr>
        <w:t>2020</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17</w:t>
      </w:r>
      <w:r>
        <w:rPr>
          <w:rFonts w:ascii="宋体" w:hAnsi="宋体" w:cs="宋体" w:eastAsia="宋体" w:hint="default"/>
          <w:spacing w:val="-51"/>
        </w:rPr>
        <w:t> </w:t>
      </w:r>
      <w:r>
        <w:rPr/>
        <w:t>日，国盛证券资产管理有限公司</w:t>
      </w:r>
      <w:r>
        <w:rPr>
          <w:w w:val="100"/>
        </w:rPr>
        <w:t> </w:t>
      </w:r>
      <w:r>
        <w:rPr>
          <w:spacing w:val="-5"/>
        </w:rPr>
        <w:t>收到浙江省杭州市中级人民法院民事判决书；判决被告支付本金、利息、罚息。</w:t>
      </w:r>
      <w:r>
        <w:rPr>
          <w:rFonts w:ascii="宋体" w:hAnsi="宋体" w:cs="宋体" w:eastAsia="宋体" w:hint="default"/>
          <w:spacing w:val="-5"/>
        </w:rPr>
        <w:t>2020</w:t>
      </w:r>
      <w:r>
        <w:rPr>
          <w:rFonts w:ascii="宋体" w:hAnsi="宋体" w:cs="宋体" w:eastAsia="宋体" w:hint="default"/>
          <w:spacing w:val="-40"/>
        </w:rPr>
        <w:t> </w:t>
      </w:r>
      <w:r>
        <w:rPr/>
        <w:t>年</w:t>
      </w:r>
      <w:r>
        <w:rPr>
          <w:spacing w:val="-37"/>
        </w:rPr>
        <w:t> </w:t>
      </w:r>
      <w:r>
        <w:rPr>
          <w:rFonts w:ascii="宋体" w:hAnsi="宋体" w:cs="宋体" w:eastAsia="宋体" w:hint="default"/>
        </w:rPr>
        <w:t>2</w:t>
      </w:r>
      <w:r>
        <w:rPr>
          <w:rFonts w:ascii="宋体" w:hAnsi="宋体" w:cs="宋体" w:eastAsia="宋体" w:hint="default"/>
          <w:spacing w:val="-40"/>
        </w:rPr>
        <w:t> </w:t>
      </w:r>
      <w:r>
        <w:rPr/>
        <w:t>月</w:t>
      </w:r>
      <w:r>
        <w:rPr>
          <w:spacing w:val="-100"/>
        </w:rPr>
        <w:t> </w:t>
      </w:r>
      <w:r>
        <w:rPr>
          <w:rFonts w:ascii="宋体" w:hAnsi="宋体" w:cs="宋体" w:eastAsia="宋体" w:hint="default"/>
        </w:rPr>
        <w:t>24</w:t>
      </w:r>
      <w:r>
        <w:rPr>
          <w:rFonts w:ascii="宋体" w:hAnsi="宋体" w:cs="宋体" w:eastAsia="宋体" w:hint="default"/>
          <w:spacing w:val="2"/>
        </w:rPr>
        <w:t> </w:t>
      </w:r>
      <w:r>
        <w:rPr>
          <w:spacing w:val="-2"/>
        </w:rPr>
        <w:t>日，国盛证券资产管理有限公司收到秋林集团和天津嘉颐的上诉状。</w:t>
      </w:r>
    </w:p>
    <w:p>
      <w:pPr>
        <w:pStyle w:val="BodyText"/>
        <w:spacing w:line="357" w:lineRule="auto" w:before="75"/>
        <w:ind w:left="138" w:right="1788" w:firstLine="419"/>
        <w:jc w:val="both"/>
      </w:pPr>
      <w:r>
        <w:rPr>
          <w:rFonts w:ascii="宋体" w:hAnsi="宋体" w:cs="宋体" w:eastAsia="宋体" w:hint="default"/>
          <w:spacing w:val="-5"/>
          <w:w w:val="100"/>
        </w:rPr>
        <w:t>6</w:t>
      </w:r>
      <w:r>
        <w:rPr>
          <w:spacing w:val="-5"/>
          <w:w w:val="100"/>
        </w:rPr>
        <w:t>、国盛证券资产管理有限公司担任管理人的国盛资管神鹰</w:t>
      </w:r>
      <w:r>
        <w:rPr>
          <w:spacing w:val="-47"/>
          <w:w w:val="100"/>
        </w:rPr>
        <w:t> </w:t>
      </w:r>
      <w:r>
        <w:rPr>
          <w:rFonts w:ascii="宋体" w:hAnsi="宋体" w:cs="宋体" w:eastAsia="宋体" w:hint="default"/>
          <w:w w:val="100"/>
        </w:rPr>
        <w:t>38</w:t>
      </w:r>
      <w:r>
        <w:rPr>
          <w:rFonts w:ascii="宋体" w:hAnsi="宋体" w:cs="宋体" w:eastAsia="宋体" w:hint="default"/>
          <w:spacing w:val="-49"/>
          <w:w w:val="100"/>
        </w:rPr>
        <w:t> </w:t>
      </w:r>
      <w:r>
        <w:rPr>
          <w:spacing w:val="-2"/>
          <w:w w:val="100"/>
        </w:rPr>
        <w:t>号东方金钰集合资产管理</w:t>
      </w:r>
      <w:r>
        <w:rPr>
          <w:w w:val="100"/>
        </w:rPr>
        <w:t> </w:t>
      </w:r>
      <w:r>
        <w:rPr>
          <w:spacing w:val="-4"/>
        </w:rPr>
        <w:t>计划，通过光大兴陇信托有限责任公司发放信托贷款，债务人东方金钰股份有限公司未按信</w:t>
      </w:r>
      <w:r>
        <w:rPr>
          <w:spacing w:val="-41"/>
        </w:rPr>
        <w:t> </w:t>
      </w:r>
      <w:r>
        <w:rPr>
          <w:spacing w:val="-41"/>
        </w:rPr>
      </w:r>
      <w:r>
        <w:rPr>
          <w:spacing w:val="-3"/>
        </w:rPr>
        <w:t>托贷款合同约定归还贷款本息。</w:t>
      </w:r>
      <w:r>
        <w:rPr>
          <w:rFonts w:ascii="宋体" w:hAnsi="宋体" w:cs="宋体" w:eastAsia="宋体" w:hint="default"/>
          <w:spacing w:val="-3"/>
        </w:rPr>
        <w:t>2019</w:t>
      </w:r>
      <w:r>
        <w:rPr>
          <w:rFonts w:ascii="宋体" w:hAnsi="宋体" w:cs="宋体" w:eastAsia="宋体" w:hint="default"/>
          <w:spacing w:val="-52"/>
        </w:rPr>
        <w:t> </w:t>
      </w:r>
      <w:r>
        <w:rPr/>
        <w:t>年</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23</w:t>
      </w:r>
      <w:r>
        <w:rPr>
          <w:rFonts w:ascii="宋体" w:hAnsi="宋体" w:cs="宋体" w:eastAsia="宋体" w:hint="default"/>
          <w:spacing w:val="-50"/>
        </w:rPr>
        <w:t> </w:t>
      </w:r>
      <w:r>
        <w:rPr/>
        <w:t>日国盛证券资产管理有限公司收到深圳市中</w:t>
      </w:r>
    </w:p>
    <w:p>
      <w:pPr>
        <w:pStyle w:val="BodyText"/>
        <w:spacing w:line="240" w:lineRule="auto" w:before="30"/>
        <w:ind w:left="138" w:right="0"/>
        <w:jc w:val="both"/>
      </w:pPr>
      <w:r>
        <w:rPr>
          <w:spacing w:val="-3"/>
        </w:rPr>
        <w:t>级人民法院发送的查封、冻结财产通知书，</w:t>
      </w:r>
      <w:r>
        <w:rPr>
          <w:rFonts w:ascii="宋体" w:hAnsi="宋体" w:cs="宋体" w:eastAsia="宋体" w:hint="default"/>
          <w:spacing w:val="-3"/>
        </w:rPr>
        <w:t>2019</w:t>
      </w:r>
      <w:r>
        <w:rPr>
          <w:rFonts w:ascii="宋体" w:hAnsi="宋体" w:cs="宋体" w:eastAsia="宋体" w:hint="default"/>
          <w:spacing w:val="-50"/>
        </w:rPr>
        <w:t> </w:t>
      </w:r>
      <w:r>
        <w:rPr/>
        <w:t>年</w:t>
      </w:r>
      <w:r>
        <w:rPr>
          <w:spacing w:val="-50"/>
        </w:rPr>
        <w:t> </w:t>
      </w:r>
      <w:r>
        <w:rPr>
          <w:rFonts w:ascii="宋体" w:hAnsi="宋体" w:cs="宋体" w:eastAsia="宋体" w:hint="default"/>
        </w:rPr>
        <w:t>8</w:t>
      </w:r>
      <w:r>
        <w:rPr>
          <w:rFonts w:ascii="宋体" w:hAnsi="宋体" w:cs="宋体" w:eastAsia="宋体" w:hint="default"/>
          <w:spacing w:val="-48"/>
        </w:rPr>
        <w:t> </w:t>
      </w:r>
      <w:r>
        <w:rPr/>
        <w:t>月</w:t>
      </w:r>
      <w:r>
        <w:rPr>
          <w:spacing w:val="-48"/>
        </w:rPr>
        <w:t> </w:t>
      </w:r>
      <w:r>
        <w:rPr>
          <w:rFonts w:ascii="宋体" w:hAnsi="宋体" w:cs="宋体" w:eastAsia="宋体" w:hint="default"/>
        </w:rPr>
        <w:t>26</w:t>
      </w:r>
      <w:r>
        <w:rPr>
          <w:rFonts w:ascii="宋体" w:hAnsi="宋体" w:cs="宋体" w:eastAsia="宋体" w:hint="default"/>
          <w:spacing w:val="-48"/>
        </w:rPr>
        <w:t> </w:t>
      </w:r>
      <w:r>
        <w:rPr/>
        <w:t>日广东省深圳市中级人民法院作</w:t>
      </w:r>
    </w:p>
    <w:p>
      <w:pPr>
        <w:pStyle w:val="BodyText"/>
        <w:spacing w:line="355" w:lineRule="auto" w:before="133"/>
        <w:ind w:left="138" w:right="1789"/>
        <w:jc w:val="both"/>
      </w:pPr>
      <w:r>
        <w:rPr>
          <w:spacing w:val="-3"/>
        </w:rPr>
        <w:t>出查证结果通知书，东方金钰无可执行财产。</w:t>
      </w:r>
      <w:r>
        <w:rPr>
          <w:rFonts w:ascii="宋体" w:hAnsi="宋体" w:cs="宋体" w:eastAsia="宋体" w:hint="default"/>
          <w:spacing w:val="-3"/>
        </w:rPr>
        <w:t>2020</w:t>
      </w:r>
      <w:r>
        <w:rPr>
          <w:rFonts w:ascii="宋体" w:hAnsi="宋体" w:cs="宋体" w:eastAsia="宋体" w:hint="default"/>
          <w:spacing w:val="-49"/>
        </w:rPr>
        <w:t> </w:t>
      </w:r>
      <w:r>
        <w:rPr/>
        <w:t>年</w:t>
      </w:r>
      <w:r>
        <w:rPr>
          <w:spacing w:val="-47"/>
        </w:rPr>
        <w:t> </w:t>
      </w:r>
      <w:r>
        <w:rPr>
          <w:rFonts w:ascii="宋体" w:hAnsi="宋体" w:cs="宋体" w:eastAsia="宋体" w:hint="default"/>
        </w:rPr>
        <w:t>3</w:t>
      </w:r>
      <w:r>
        <w:rPr>
          <w:rFonts w:ascii="宋体" w:hAnsi="宋体" w:cs="宋体" w:eastAsia="宋体" w:hint="default"/>
          <w:spacing w:val="-49"/>
        </w:rPr>
        <w:t> </w:t>
      </w:r>
      <w:r>
        <w:rPr/>
        <w:t>月</w:t>
      </w:r>
      <w:r>
        <w:rPr>
          <w:spacing w:val="-47"/>
        </w:rPr>
        <w:t> </w:t>
      </w:r>
      <w:r>
        <w:rPr>
          <w:rFonts w:ascii="宋体" w:hAnsi="宋体" w:cs="宋体" w:eastAsia="宋体" w:hint="default"/>
        </w:rPr>
        <w:t>11</w:t>
      </w:r>
      <w:r>
        <w:rPr>
          <w:rFonts w:ascii="宋体" w:hAnsi="宋体" w:cs="宋体" w:eastAsia="宋体" w:hint="default"/>
          <w:spacing w:val="-49"/>
        </w:rPr>
        <w:t> </w:t>
      </w:r>
      <w:r>
        <w:rPr/>
        <w:t>日因获知被申请人有可供执行</w:t>
      </w:r>
      <w:r>
        <w:rPr>
          <w:spacing w:val="-103"/>
        </w:rPr>
        <w:t> </w:t>
      </w:r>
      <w:r>
        <w:rPr>
          <w:spacing w:val="-103"/>
        </w:rPr>
      </w:r>
      <w:r>
        <w:rPr>
          <w:spacing w:val="-4"/>
        </w:rPr>
        <w:t>的财产线索，国盛证券资产管理有限公司、陈宇菲已向法院提出恢复强制执行被申请人未付</w:t>
      </w:r>
      <w:r>
        <w:rPr>
          <w:spacing w:val="-40"/>
        </w:rPr>
        <w:t> </w:t>
      </w:r>
      <w:r>
        <w:rPr>
          <w:spacing w:val="-40"/>
        </w:rPr>
      </w:r>
      <w:r>
        <w:rPr/>
        <w:t>的全部款项的申请。</w:t>
      </w:r>
    </w:p>
    <w:p>
      <w:pPr>
        <w:pStyle w:val="BodyText"/>
        <w:spacing w:line="355" w:lineRule="auto" w:before="73"/>
        <w:ind w:left="138" w:right="1789" w:firstLine="419"/>
        <w:jc w:val="both"/>
      </w:pPr>
      <w:r>
        <w:rPr>
          <w:rFonts w:ascii="宋体" w:hAnsi="宋体" w:cs="宋体" w:eastAsia="宋体" w:hint="default"/>
          <w:spacing w:val="-8"/>
        </w:rPr>
        <w:t>7</w:t>
      </w:r>
      <w:r>
        <w:rPr>
          <w:spacing w:val="-8"/>
        </w:rPr>
        <w:t>、</w:t>
      </w:r>
      <w:r>
        <w:rPr>
          <w:rFonts w:ascii="宋体" w:hAnsi="宋体" w:cs="宋体" w:eastAsia="宋体" w:hint="default"/>
          <w:spacing w:val="-8"/>
        </w:rPr>
        <w:t>2019</w:t>
      </w:r>
      <w:r>
        <w:rPr>
          <w:rFonts w:ascii="宋体" w:hAnsi="宋体" w:cs="宋体" w:eastAsia="宋体" w:hint="default"/>
          <w:spacing w:val="-48"/>
        </w:rPr>
        <w:t> </w:t>
      </w:r>
      <w:r>
        <w:rPr/>
        <w:t>年</w:t>
      </w:r>
      <w:r>
        <w:rPr>
          <w:spacing w:val="-45"/>
        </w:rPr>
        <w:t> </w:t>
      </w:r>
      <w:r>
        <w:rPr>
          <w:rFonts w:ascii="宋体" w:hAnsi="宋体" w:cs="宋体" w:eastAsia="宋体" w:hint="default"/>
        </w:rPr>
        <w:t>11</w:t>
      </w:r>
      <w:r>
        <w:rPr>
          <w:rFonts w:ascii="宋体" w:hAnsi="宋体" w:cs="宋体" w:eastAsia="宋体" w:hint="default"/>
          <w:spacing w:val="-48"/>
        </w:rPr>
        <w:t> </w:t>
      </w:r>
      <w:r>
        <w:rPr/>
        <w:t>月至</w:t>
      </w:r>
      <w:r>
        <w:rPr>
          <w:spacing w:val="-44"/>
        </w:rPr>
        <w:t> </w:t>
      </w:r>
      <w:r>
        <w:rPr>
          <w:rFonts w:ascii="宋体" w:hAnsi="宋体" w:cs="宋体" w:eastAsia="宋体" w:hint="default"/>
        </w:rPr>
        <w:t>12</w:t>
      </w:r>
      <w:r>
        <w:rPr>
          <w:rFonts w:ascii="宋体" w:hAnsi="宋体" w:cs="宋体" w:eastAsia="宋体" w:hint="default"/>
          <w:spacing w:val="-48"/>
        </w:rPr>
        <w:t> </w:t>
      </w:r>
      <w:r>
        <w:rPr/>
        <w:t>月</w:t>
      </w:r>
      <w:r>
        <w:rPr>
          <w:spacing w:val="13"/>
        </w:rPr>
        <w:t> </w:t>
      </w:r>
      <w:r>
        <w:rPr>
          <w:rFonts w:ascii="宋体" w:hAnsi="宋体" w:cs="宋体" w:eastAsia="宋体" w:hint="default"/>
        </w:rPr>
        <w:t>4</w:t>
      </w:r>
      <w:r>
        <w:rPr>
          <w:rFonts w:ascii="宋体" w:hAnsi="宋体" w:cs="宋体" w:eastAsia="宋体" w:hint="default"/>
          <w:spacing w:val="-45"/>
        </w:rPr>
        <w:t> </w:t>
      </w:r>
      <w:r>
        <w:rPr>
          <w:spacing w:val="-4"/>
        </w:rPr>
        <w:t>名公司员工对国盛证券资产管理有限公司提起劳动仲裁，国</w:t>
      </w:r>
      <w:r>
        <w:rPr>
          <w:w w:val="100"/>
        </w:rPr>
        <w:t> </w:t>
      </w:r>
      <w:r>
        <w:rPr/>
        <w:t>盛证券资产管理有限公司对裁决结果不服准备上诉。</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left="138" w:right="0"/>
        <w:jc w:val="both"/>
        <w:rPr>
          <w:b w:val="0"/>
          <w:bCs w:val="0"/>
        </w:rPr>
      </w:pPr>
      <w:r>
        <w:rPr/>
        <w:t>十四、   </w:t>
      </w:r>
      <w:r>
        <w:rPr>
          <w:spacing w:val="10"/>
        </w:rPr>
        <w:t> </w:t>
      </w:r>
      <w:r>
        <w:rPr/>
        <w:t>资产负债表日后事项</w:t>
      </w:r>
      <w:r>
        <w:rPr>
          <w:b w:val="0"/>
          <w:bCs w:val="0"/>
        </w:rPr>
      </w:r>
    </w:p>
    <w:p>
      <w:pPr>
        <w:pStyle w:val="Heading4"/>
        <w:tabs>
          <w:tab w:pos="977" w:val="left" w:leader="none"/>
        </w:tabs>
        <w:spacing w:line="295" w:lineRule="auto" w:before="83"/>
        <w:ind w:right="7336" w:hanging="3"/>
        <w:jc w:val="left"/>
        <w:rPr>
          <w:b w:val="0"/>
          <w:bCs w:val="0"/>
        </w:rPr>
      </w:pPr>
      <w:r>
        <w:rPr/>
        <w:t>（一）</w:t>
      </w:r>
      <w:r>
        <w:rPr>
          <w:spacing w:val="-18"/>
        </w:rPr>
        <w:t> </w:t>
      </w:r>
      <w:r>
        <w:rPr/>
        <w:t>重要的非调整事项</w:t>
      </w:r>
      <w:r>
        <w:rPr>
          <w:spacing w:val="-50"/>
        </w:rPr>
        <w:t> </w:t>
      </w:r>
      <w:r>
        <w:rPr>
          <w:spacing w:val="-50"/>
        </w:rPr>
      </w:r>
      <w:r>
        <w:rPr>
          <w:rFonts w:ascii="Trebuchet MS" w:hAnsi="Trebuchet MS" w:cs="Trebuchet MS" w:eastAsia="Trebuchet MS" w:hint="default"/>
        </w:rPr>
        <w:t>1.</w:t>
        <w:tab/>
      </w:r>
      <w:r>
        <w:rPr/>
        <w:t>重大经营战略调整</w:t>
      </w:r>
      <w:r>
        <w:rPr>
          <w:b w:val="0"/>
          <w:bCs w:val="0"/>
        </w:rPr>
      </w:r>
    </w:p>
    <w:p>
      <w:pPr>
        <w:pStyle w:val="BodyText"/>
        <w:spacing w:line="240" w:lineRule="auto" w:before="86"/>
        <w:ind w:left="498" w:right="1786"/>
        <w:jc w:val="left"/>
      </w:pPr>
      <w:r>
        <w:rPr/>
        <w:t>极盛科技和上海多专的业务调整事项：</w:t>
      </w:r>
    </w:p>
    <w:p>
      <w:pPr>
        <w:pStyle w:val="BodyText"/>
        <w:spacing w:line="355" w:lineRule="auto" w:before="176"/>
        <w:ind w:left="498" w:right="1785"/>
        <w:jc w:val="left"/>
      </w:pPr>
      <w:r>
        <w:rPr/>
        <w:t>根据集团</w:t>
      </w:r>
      <w:r>
        <w:rPr>
          <w:spacing w:val="-46"/>
        </w:rPr>
        <w:t> </w:t>
      </w:r>
      <w:r>
        <w:rPr>
          <w:rFonts w:ascii="宋体" w:hAnsi="宋体" w:cs="宋体" w:eastAsia="宋体" w:hint="default"/>
        </w:rPr>
        <w:t>2020</w:t>
      </w:r>
      <w:r>
        <w:rPr>
          <w:rFonts w:ascii="宋体" w:hAnsi="宋体" w:cs="宋体" w:eastAsia="宋体" w:hint="default"/>
          <w:spacing w:val="-48"/>
        </w:rPr>
        <w:t> </w:t>
      </w:r>
      <w:r>
        <w:rPr/>
        <w:t>年经营策略，</w:t>
      </w:r>
      <w:r>
        <w:rPr>
          <w:rFonts w:ascii="宋体" w:hAnsi="宋体" w:cs="宋体" w:eastAsia="宋体" w:hint="default"/>
        </w:rPr>
        <w:t>2020</w:t>
      </w:r>
      <w:r>
        <w:rPr>
          <w:rFonts w:ascii="宋体" w:hAnsi="宋体" w:cs="宋体" w:eastAsia="宋体" w:hint="default"/>
          <w:spacing w:val="-48"/>
        </w:rPr>
        <w:t> </w:t>
      </w:r>
      <w:r>
        <w:rPr/>
        <w:t>年一季度极盛科技调整其经营方向，聚焦证券信息化</w:t>
      </w:r>
      <w:r>
        <w:rPr>
          <w:w w:val="100"/>
        </w:rPr>
        <w:t> </w:t>
      </w:r>
      <w:r>
        <w:rPr>
          <w:spacing w:val="-8"/>
        </w:rPr>
        <w:t>产品业务，并按“抓利润、控成本”原则关闭其他业务，相应做出资产和人员调整安排。</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40" w:lineRule="auto" w:before="0"/>
        <w:ind w:left="558" w:right="178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z w:val="21"/>
          <w:szCs w:val="21"/>
        </w:rPr>
        <w:t>利润分配情况</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4"/>
          <w:sz w:val="21"/>
          <w:szCs w:val="21"/>
        </w:rPr>
        <w:t>不派发股利、不送红股，不以公积金转增股本。公司未分配利润将用于补充营运资金以</w:t>
      </w:r>
    </w:p>
    <w:p>
      <w:pPr>
        <w:pStyle w:val="BodyText"/>
        <w:spacing w:line="240" w:lineRule="auto" w:before="42"/>
        <w:ind w:left="138" w:right="0"/>
        <w:jc w:val="both"/>
      </w:pPr>
      <w:r>
        <w:rPr/>
        <w:t>及项目投资。</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338" w:lineRule="auto" w:before="0"/>
        <w:ind w:left="978" w:right="7785"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z w:val="21"/>
          <w:szCs w:val="21"/>
        </w:rPr>
        <w:t>销售退回</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1"/>
          <w:sz w:val="21"/>
          <w:szCs w:val="21"/>
        </w:rPr>
        <w:t>本期无此事项。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ind w:left="558" w:right="1786"/>
        <w:jc w:val="left"/>
        <w:rPr>
          <w:b w:val="0"/>
          <w:bCs w:val="0"/>
        </w:rPr>
      </w:pPr>
      <w:r>
        <w:rPr/>
        <w:t>（四）</w:t>
      </w:r>
      <w:r>
        <w:rPr>
          <w:spacing w:val="-14"/>
        </w:rPr>
        <w:t> </w:t>
      </w:r>
      <w:r>
        <w:rPr/>
        <w:t>其他资产负债表日后事项说明</w:t>
      </w:r>
      <w:r>
        <w:rPr>
          <w:b w:val="0"/>
          <w:bCs w:val="0"/>
        </w:rPr>
      </w:r>
    </w:p>
    <w:p>
      <w:pPr>
        <w:spacing w:after="0" w:line="240" w:lineRule="auto"/>
        <w:jc w:val="left"/>
        <w:sectPr>
          <w:pgSz w:w="11910" w:h="16840"/>
          <w:pgMar w:header="877" w:footer="979" w:top="1100" w:bottom="1160" w:left="16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before="36"/>
        <w:ind w:left="565" w:right="1786"/>
        <w:jc w:val="left"/>
      </w:pPr>
      <w:r>
        <w:rPr/>
        <w:t>本期无此事项。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tabs>
          <w:tab w:pos="977" w:val="left" w:leader="none"/>
        </w:tabs>
        <w:spacing w:line="240" w:lineRule="auto"/>
        <w:ind w:left="138" w:right="1786"/>
        <w:jc w:val="left"/>
        <w:rPr>
          <w:b w:val="0"/>
          <w:bCs w:val="0"/>
        </w:rPr>
      </w:pPr>
      <w:r>
        <w:rPr/>
        <w:t>十五、</w:t>
        <w:tab/>
        <w:t>其他重要事项说明</w:t>
      </w:r>
      <w:r>
        <w:rPr>
          <w:b w:val="0"/>
          <w:bCs w:val="0"/>
        </w:rPr>
      </w:r>
    </w:p>
    <w:p>
      <w:pPr>
        <w:spacing w:line="336" w:lineRule="auto" w:before="83"/>
        <w:ind w:left="558" w:right="7744" w:firstLine="4"/>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w:t>
      </w:r>
      <w:r>
        <w:rPr>
          <w:rFonts w:ascii="Microsoft JhengHei" w:hAnsi="Microsoft JhengHei" w:cs="Microsoft JhengHei" w:eastAsia="Microsoft JhengHei" w:hint="default"/>
          <w:b/>
          <w:bCs/>
          <w:spacing w:val="-23"/>
          <w:sz w:val="21"/>
          <w:szCs w:val="21"/>
        </w:rPr>
        <w:t> </w:t>
      </w:r>
      <w:r>
        <w:rPr>
          <w:rFonts w:ascii="Microsoft JhengHei" w:hAnsi="Microsoft JhengHei" w:cs="Microsoft JhengHei" w:eastAsia="Microsoft JhengHei" w:hint="default"/>
          <w:b/>
          <w:bCs/>
          <w:sz w:val="21"/>
          <w:szCs w:val="21"/>
        </w:rPr>
        <w:t>前期会计差错</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本期无此事项</w:t>
      </w:r>
    </w:p>
    <w:p>
      <w:pPr>
        <w:spacing w:line="338" w:lineRule="auto" w:before="23"/>
        <w:ind w:left="978" w:right="7994" w:hanging="41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w:t>
      </w:r>
      <w:r>
        <w:rPr>
          <w:rFonts w:ascii="Microsoft JhengHei" w:hAnsi="Microsoft JhengHei" w:cs="Microsoft JhengHei" w:eastAsia="Microsoft JhengHei" w:hint="default"/>
          <w:b/>
          <w:bCs/>
          <w:spacing w:val="-34"/>
          <w:sz w:val="21"/>
          <w:szCs w:val="21"/>
        </w:rPr>
        <w:t> </w:t>
      </w:r>
      <w:r>
        <w:rPr>
          <w:rFonts w:ascii="Microsoft JhengHei" w:hAnsi="Microsoft JhengHei" w:cs="Microsoft JhengHei" w:eastAsia="Microsoft JhengHei" w:hint="default"/>
          <w:b/>
          <w:bCs/>
          <w:sz w:val="21"/>
          <w:szCs w:val="21"/>
        </w:rPr>
        <w:t>债务重组</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1"/>
          <w:sz w:val="21"/>
          <w:szCs w:val="21"/>
        </w:rPr>
        <w:t>本期无此事项</w:t>
      </w:r>
    </w:p>
    <w:p>
      <w:pPr>
        <w:spacing w:line="338" w:lineRule="auto" w:before="21"/>
        <w:ind w:left="558" w:right="8166" w:firstLine="4"/>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w:t>
      </w:r>
      <w:r>
        <w:rPr>
          <w:rFonts w:ascii="Microsoft JhengHei" w:hAnsi="Microsoft JhengHei" w:cs="Microsoft JhengHei" w:eastAsia="Microsoft JhengHei" w:hint="default"/>
          <w:b/>
          <w:bCs/>
          <w:spacing w:val="-25"/>
          <w:sz w:val="21"/>
          <w:szCs w:val="21"/>
        </w:rPr>
        <w:t> </w:t>
      </w:r>
      <w:r>
        <w:rPr>
          <w:rFonts w:ascii="Microsoft JhengHei" w:hAnsi="Microsoft JhengHei" w:cs="Microsoft JhengHei" w:eastAsia="Microsoft JhengHei" w:hint="default"/>
          <w:b/>
          <w:bCs/>
          <w:sz w:val="21"/>
          <w:szCs w:val="21"/>
        </w:rPr>
        <w:t>资产置换</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本期无此事项</w:t>
      </w:r>
    </w:p>
    <w:p>
      <w:pPr>
        <w:spacing w:line="338" w:lineRule="auto" w:before="21"/>
        <w:ind w:left="558" w:right="8166" w:firstLine="4"/>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w:t>
      </w:r>
      <w:r>
        <w:rPr>
          <w:rFonts w:ascii="Microsoft JhengHei" w:hAnsi="Microsoft JhengHei" w:cs="Microsoft JhengHei" w:eastAsia="Microsoft JhengHei" w:hint="default"/>
          <w:b/>
          <w:bCs/>
          <w:spacing w:val="-25"/>
          <w:sz w:val="21"/>
          <w:szCs w:val="21"/>
        </w:rPr>
        <w:t> </w:t>
      </w:r>
      <w:r>
        <w:rPr>
          <w:rFonts w:ascii="Microsoft JhengHei" w:hAnsi="Microsoft JhengHei" w:cs="Microsoft JhengHei" w:eastAsia="Microsoft JhengHei" w:hint="default"/>
          <w:b/>
          <w:bCs/>
          <w:sz w:val="21"/>
          <w:szCs w:val="21"/>
        </w:rPr>
        <w:t>年金计划</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本期无此事项</w:t>
      </w:r>
    </w:p>
    <w:p>
      <w:pPr>
        <w:spacing w:line="403" w:lineRule="auto" w:before="21"/>
        <w:ind w:left="558" w:right="8166" w:firstLine="4"/>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w:t>
      </w:r>
      <w:r>
        <w:rPr>
          <w:rFonts w:ascii="Microsoft JhengHei" w:hAnsi="Microsoft JhengHei" w:cs="Microsoft JhengHei" w:eastAsia="Microsoft JhengHei" w:hint="default"/>
          <w:b/>
          <w:bCs/>
          <w:spacing w:val="-25"/>
          <w:sz w:val="21"/>
          <w:szCs w:val="21"/>
        </w:rPr>
        <w:t> </w:t>
      </w:r>
      <w:r>
        <w:rPr>
          <w:rFonts w:ascii="Microsoft JhengHei" w:hAnsi="Microsoft JhengHei" w:cs="Microsoft JhengHei" w:eastAsia="Microsoft JhengHei" w:hint="default"/>
          <w:b/>
          <w:bCs/>
          <w:sz w:val="21"/>
          <w:szCs w:val="21"/>
        </w:rPr>
        <w:t>终止经营</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本期无此事项</w:t>
      </w:r>
    </w:p>
    <w:p>
      <w:pPr>
        <w:spacing w:after="0" w:line="403" w:lineRule="auto"/>
        <w:jc w:val="left"/>
        <w:rPr>
          <w:rFonts w:ascii="宋体" w:hAnsi="宋体" w:cs="宋体" w:eastAsia="宋体" w:hint="default"/>
          <w:sz w:val="21"/>
          <w:szCs w:val="21"/>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335" w:lineRule="exact"/>
        <w:ind w:left="565" w:right="172"/>
        <w:jc w:val="left"/>
        <w:rPr>
          <w:b w:val="0"/>
          <w:bCs w:val="0"/>
        </w:rPr>
      </w:pPr>
      <w:r>
        <w:rPr/>
        <w:t>（六）</w:t>
      </w:r>
      <w:r>
        <w:rPr>
          <w:spacing w:val="-23"/>
        </w:rPr>
        <w:t> </w:t>
      </w:r>
      <w:r>
        <w:rPr>
          <w:u w:val="dotted" w:color="000000"/>
        </w:rPr>
        <w:t>分部</w:t>
      </w:r>
      <w:r>
        <w:rPr/>
        <w:t>信息</w:t>
      </w:r>
      <w:r>
        <w:rPr>
          <w:b w:val="0"/>
          <w:bCs w:val="0"/>
        </w:rPr>
      </w:r>
    </w:p>
    <w:p>
      <w:pPr>
        <w:spacing w:line="240" w:lineRule="auto" w:before="10"/>
        <w:rPr>
          <w:rFonts w:ascii="Microsoft JhengHei" w:hAnsi="Microsoft JhengHei" w:cs="Microsoft JhengHei" w:eastAsia="Microsoft JhengHei" w:hint="default"/>
          <w:b/>
          <w:bCs/>
          <w:sz w:val="10"/>
          <w:szCs w:val="10"/>
        </w:rPr>
      </w:pPr>
    </w:p>
    <w:p>
      <w:pPr>
        <w:spacing w:line="309" w:lineRule="auto" w:before="0"/>
        <w:ind w:left="560" w:right="172" w:hanging="137"/>
        <w:jc w:val="left"/>
        <w:rPr>
          <w:rFonts w:ascii="宋体" w:hAnsi="宋体" w:cs="宋体" w:eastAsia="宋体" w:hint="default"/>
          <w:sz w:val="21"/>
          <w:szCs w:val="21"/>
        </w:rPr>
      </w:pPr>
      <w:r>
        <w:rPr>
          <w:rFonts w:ascii="Trebuchet MS" w:hAnsi="Trebuchet MS" w:cs="Trebuchet MS" w:eastAsia="Trebuchet MS"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1"/>
          <w:szCs w:val="21"/>
        </w:rPr>
        <w:t>报告分部的确定依据与会计政策</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公司以内部组织结构、管理要求、内部报告制度等为依据确定经营分部。公司的经营分部是指同时满足下列条件的组成部分：</w:t>
      </w:r>
    </w:p>
    <w:p>
      <w:pPr>
        <w:pStyle w:val="BodyText"/>
        <w:spacing w:line="240" w:lineRule="auto" w:before="113"/>
        <w:ind w:left="560" w:right="172"/>
        <w:jc w:val="left"/>
      </w:pPr>
      <w:r>
        <w:rPr/>
        <w:t>（</w:t>
      </w:r>
      <w:r>
        <w:rPr>
          <w:rFonts w:ascii="宋体" w:hAnsi="宋体" w:cs="宋体" w:eastAsia="宋体" w:hint="default"/>
        </w:rPr>
        <w:t>1</w:t>
      </w:r>
      <w:r>
        <w:rPr/>
        <w:t>）该组成部分能够在日常活动中产生收入、发生费用；</w:t>
      </w:r>
    </w:p>
    <w:p>
      <w:pPr>
        <w:pStyle w:val="BodyText"/>
        <w:spacing w:line="240" w:lineRule="auto" w:before="174"/>
        <w:ind w:left="560" w:right="172"/>
        <w:jc w:val="left"/>
      </w:pPr>
      <w:r>
        <w:rPr/>
        <w:t>（</w:t>
      </w:r>
      <w:r>
        <w:rPr>
          <w:rFonts w:ascii="宋体" w:hAnsi="宋体" w:cs="宋体" w:eastAsia="宋体" w:hint="default"/>
        </w:rPr>
        <w:t>2</w:t>
      </w:r>
      <w:r>
        <w:rPr/>
        <w:t>）管理层能够定期评价该组成部分的经营成果，以决定向其配置资源、评价其业绩；</w:t>
      </w:r>
    </w:p>
    <w:p>
      <w:pPr>
        <w:pStyle w:val="BodyText"/>
        <w:spacing w:line="393" w:lineRule="auto" w:before="174"/>
        <w:ind w:left="560" w:right="172"/>
        <w:jc w:val="left"/>
      </w:pPr>
      <w:r>
        <w:rPr/>
        <w:t>（</w:t>
      </w:r>
      <w:r>
        <w:rPr>
          <w:rFonts w:ascii="宋体" w:hAnsi="宋体" w:cs="宋体" w:eastAsia="宋体" w:hint="default"/>
        </w:rPr>
        <w:t>3</w:t>
      </w:r>
      <w:r>
        <w:rPr/>
        <w:t>）能够通过分析取得该组成部分的财务状况、经营成果和现金流量等有关会计信息；</w:t>
      </w:r>
      <w:r>
        <w:rPr>
          <w:w w:val="100"/>
        </w:rPr>
        <w:t> </w:t>
      </w:r>
      <w:r>
        <w:rPr>
          <w:spacing w:val="-2"/>
        </w:rPr>
        <w:t>本公司以战略规划中业务板块为基础确定报告分部，分为证券业务板块、投资业务板块、其他板块。其中，证券业务板块是指国盛证券及其</w:t>
      </w:r>
    </w:p>
    <w:p>
      <w:pPr>
        <w:pStyle w:val="BodyText"/>
        <w:spacing w:line="393" w:lineRule="auto"/>
        <w:ind w:left="560" w:right="172" w:hanging="421"/>
        <w:jc w:val="left"/>
      </w:pPr>
      <w:r>
        <w:rPr/>
        <w:t>下属子公司所从事的业务；投资业务板块指的是集团内除证券业务板块外各主体对外股权投资及投资管理业务；</w:t>
      </w:r>
      <w:r>
        <w:rPr>
          <w:w w:val="100"/>
        </w:rPr>
        <w:t> </w:t>
      </w:r>
      <w:r>
        <w:rPr>
          <w:spacing w:val="-2"/>
        </w:rPr>
        <w:t>分部间转移价格按照实际交易价格为基础确定，间接归属于各分部的费用按照收入比例在分部之间进行分配。资产根据分部的经营以及资产</w:t>
      </w:r>
    </w:p>
    <w:p>
      <w:pPr>
        <w:pStyle w:val="BodyText"/>
        <w:spacing w:line="355" w:lineRule="auto"/>
        <w:ind w:left="140" w:right="172"/>
        <w:jc w:val="left"/>
      </w:pPr>
      <w:r>
        <w:rPr>
          <w:spacing w:val="-2"/>
        </w:rPr>
        <w:t>的所在位置进行分配，分部负债包括分部经营活动形成的可归属于该分部的负债。如果多个经营分部共同承担的负债相关的费用分配给这些经营</w:t>
      </w:r>
      <w:r>
        <w:rPr>
          <w:spacing w:val="12"/>
        </w:rPr>
        <w:t> </w:t>
      </w:r>
      <w:r>
        <w:rPr>
          <w:spacing w:val="12"/>
        </w:rPr>
      </w:r>
      <w:r>
        <w:rPr/>
        <w:t>分部，该共同承担的负债也分配给这些经营分部。</w:t>
      </w:r>
    </w:p>
    <w:p>
      <w:pPr>
        <w:spacing w:line="240" w:lineRule="auto" w:before="7"/>
        <w:rPr>
          <w:rFonts w:ascii="宋体" w:hAnsi="宋体" w:cs="宋体" w:eastAsia="宋体" w:hint="default"/>
          <w:sz w:val="10"/>
          <w:szCs w:val="10"/>
        </w:rPr>
      </w:pPr>
    </w:p>
    <w:p>
      <w:pPr>
        <w:pStyle w:val="Heading4"/>
        <w:tabs>
          <w:tab w:pos="980" w:val="left" w:leader="none"/>
        </w:tabs>
        <w:spacing w:line="335" w:lineRule="exact"/>
        <w:ind w:left="423" w:right="172"/>
        <w:jc w:val="left"/>
        <w:rPr>
          <w:b w:val="0"/>
          <w:bCs w:val="0"/>
        </w:rPr>
      </w:pPr>
      <w:r>
        <w:rPr>
          <w:rFonts w:ascii="Trebuchet MS" w:hAnsi="Trebuchet MS" w:cs="Trebuchet MS" w:eastAsia="Trebuchet MS" w:hint="default"/>
          <w:w w:val="95"/>
        </w:rPr>
        <w:t>2</w:t>
      </w:r>
      <w:r>
        <w:rPr>
          <w:w w:val="95"/>
        </w:rPr>
        <w:t>．</w:t>
        <w:tab/>
      </w:r>
      <w:r>
        <w:rPr/>
        <w:t>报告分部的财务信息</w:t>
      </w:r>
      <w:r>
        <w:rPr>
          <w:b w:val="0"/>
          <w:bCs w:val="0"/>
        </w:rPr>
      </w:r>
    </w:p>
    <w:p>
      <w:pPr>
        <w:pStyle w:val="BodyText"/>
        <w:spacing w:line="240" w:lineRule="auto" w:before="111"/>
        <w:ind w:left="0" w:right="168"/>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326"/>
        <w:gridCol w:w="2305"/>
        <w:gridCol w:w="2175"/>
        <w:gridCol w:w="2086"/>
        <w:gridCol w:w="2341"/>
        <w:gridCol w:w="2055"/>
      </w:tblGrid>
      <w:tr>
        <w:trPr>
          <w:trHeight w:val="427" w:hRule="exact"/>
        </w:trPr>
        <w:tc>
          <w:tcPr>
            <w:tcW w:w="23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3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证券业务</w:t>
            </w:r>
          </w:p>
        </w:tc>
        <w:tc>
          <w:tcPr>
            <w:tcW w:w="21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投资业务</w:t>
            </w:r>
          </w:p>
        </w:tc>
        <w:tc>
          <w:tcPr>
            <w:tcW w:w="20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71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05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1,670,104,670.90</w:t>
            </w:r>
          </w:p>
        </w:tc>
        <w:tc>
          <w:tcPr>
            <w:tcW w:w="2175" w:type="dxa"/>
            <w:tcBorders>
              <w:top w:val="dotted" w:sz="4" w:space="0" w:color="000000"/>
              <w:left w:val="dotted" w:sz="4" w:space="0" w:color="000000"/>
              <w:bottom w:val="dotted" w:sz="4" w:space="0" w:color="000000"/>
              <w:right w:val="dotted" w:sz="4" w:space="0" w:color="000000"/>
            </w:tcBorders>
          </w:tcPr>
          <w:p>
            <w:pP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95,278,797.38</w:t>
            </w:r>
          </w:p>
        </w:tc>
        <w:tc>
          <w:tcPr>
            <w:tcW w:w="23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-95,669,177.31</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1,669,714,290.97</w:t>
            </w:r>
          </w:p>
        </w:tc>
      </w:tr>
      <w:tr>
        <w:trPr>
          <w:trHeight w:val="41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1,946,850,822.46</w:t>
            </w:r>
          </w:p>
        </w:tc>
        <w:tc>
          <w:tcPr>
            <w:tcW w:w="21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28,643,893.19</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455,071,241.38</w:t>
            </w:r>
          </w:p>
        </w:tc>
        <w:tc>
          <w:tcPr>
            <w:tcW w:w="23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-143,926,490.95</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2,286,639,466.08</w:t>
            </w:r>
          </w:p>
        </w:tc>
      </w:tr>
      <w:tr>
        <w:trPr>
          <w:trHeight w:val="416"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4"/>
              <w:ind w:left="120" w:right="0"/>
              <w:jc w:val="left"/>
              <w:rPr>
                <w:rFonts w:ascii="宋体" w:hAnsi="宋体" w:cs="宋体" w:eastAsia="宋体" w:hint="default"/>
                <w:sz w:val="18"/>
                <w:szCs w:val="18"/>
              </w:rPr>
            </w:pPr>
            <w:r>
              <w:rPr>
                <w:rFonts w:ascii="宋体" w:hAnsi="宋体" w:cs="宋体" w:eastAsia="宋体" w:hint="default"/>
                <w:sz w:val="18"/>
                <w:szCs w:val="18"/>
              </w:rPr>
              <w:t>三、其他损益</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695,205,826.68</w:t>
            </w:r>
          </w:p>
        </w:tc>
        <w:tc>
          <w:tcPr>
            <w:tcW w:w="21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-48,510,711.09</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10"/>
              <w:jc w:val="right"/>
              <w:rPr>
                <w:rFonts w:ascii="Times New Roman" w:hAnsi="Times New Roman" w:cs="Times New Roman" w:eastAsia="Times New Roman" w:hint="default"/>
                <w:sz w:val="18"/>
                <w:szCs w:val="18"/>
              </w:rPr>
            </w:pPr>
            <w:r>
              <w:rPr>
                <w:rFonts w:ascii="Times New Roman"/>
                <w:spacing w:val="-1"/>
                <w:sz w:val="18"/>
              </w:rPr>
              <w:t>268,627,986.32</w:t>
            </w:r>
          </w:p>
        </w:tc>
        <w:tc>
          <w:tcPr>
            <w:tcW w:w="23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6"/>
              <w:ind w:right="7"/>
              <w:jc w:val="right"/>
              <w:rPr>
                <w:rFonts w:ascii="Times New Roman" w:hAnsi="Times New Roman" w:cs="Times New Roman" w:eastAsia="Times New Roman" w:hint="default"/>
                <w:sz w:val="18"/>
                <w:szCs w:val="18"/>
              </w:rPr>
            </w:pPr>
            <w:r>
              <w:rPr>
                <w:rFonts w:ascii="Times New Roman"/>
                <w:spacing w:val="-1"/>
                <w:sz w:val="18"/>
              </w:rPr>
              <w:t>-289,047,643.54</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pacing w:val="-1"/>
                <w:sz w:val="18"/>
              </w:rPr>
              <w:t>626,275,458.37</w:t>
            </w:r>
          </w:p>
        </w:tc>
      </w:tr>
      <w:tr>
        <w:trPr>
          <w:trHeight w:val="41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四、分部营业利润</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418,459,675.12</w:t>
            </w:r>
          </w:p>
        </w:tc>
        <w:tc>
          <w:tcPr>
            <w:tcW w:w="21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0"/>
              <w:jc w:val="right"/>
              <w:rPr>
                <w:rFonts w:ascii="Times New Roman" w:hAnsi="Times New Roman" w:cs="Times New Roman" w:eastAsia="Times New Roman" w:hint="default"/>
                <w:sz w:val="18"/>
                <w:szCs w:val="18"/>
              </w:rPr>
            </w:pPr>
            <w:r>
              <w:rPr>
                <w:rFonts w:ascii="Times New Roman"/>
                <w:spacing w:val="-1"/>
                <w:sz w:val="18"/>
              </w:rPr>
              <w:t>-77,154,604.28</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-91,164,457.68</w:t>
            </w:r>
          </w:p>
        </w:tc>
        <w:tc>
          <w:tcPr>
            <w:tcW w:w="23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-240,790,329.90</w:t>
            </w:r>
          </w:p>
        </w:tc>
        <w:tc>
          <w:tcPr>
            <w:tcW w:w="2055" w:type="dxa"/>
            <w:tcBorders>
              <w:top w:val="dotted" w:sz="4" w:space="0" w:color="000000"/>
              <w:left w:val="dotted" w:sz="4" w:space="0" w:color="000000"/>
              <w:bottom w:val="nil" w:sz="6" w:space="0" w:color="auto"/>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9,350,283.26</w:t>
            </w:r>
          </w:p>
        </w:tc>
      </w:tr>
    </w:tbl>
    <w:p>
      <w:pPr>
        <w:spacing w:after="0" w:line="240" w:lineRule="auto"/>
        <w:jc w:val="right"/>
        <w:rPr>
          <w:rFonts w:ascii="Times New Roman" w:hAnsi="Times New Roman" w:cs="Times New Roman" w:eastAsia="Times New Roman" w:hint="default"/>
          <w:sz w:val="18"/>
          <w:szCs w:val="18"/>
        </w:rPr>
        <w:sectPr>
          <w:headerReference w:type="default" r:id="rId74"/>
          <w:footerReference w:type="default" r:id="rId75"/>
          <w:pgSz w:w="16840" w:h="11910" w:orient="landscape"/>
          <w:pgMar w:header="877" w:footer="980" w:top="1100" w:bottom="1160" w:left="1300" w:right="1980"/>
          <w:pgNumType w:start="2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326"/>
        <w:gridCol w:w="2305"/>
        <w:gridCol w:w="2175"/>
        <w:gridCol w:w="2086"/>
        <w:gridCol w:w="2341"/>
        <w:gridCol w:w="2055"/>
      </w:tblGrid>
      <w:tr>
        <w:trPr>
          <w:trHeight w:val="427" w:hRule="exact"/>
        </w:trPr>
        <w:tc>
          <w:tcPr>
            <w:tcW w:w="23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7"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3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证券业务</w:t>
            </w:r>
          </w:p>
        </w:tc>
        <w:tc>
          <w:tcPr>
            <w:tcW w:w="21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投资业务</w:t>
            </w:r>
          </w:p>
        </w:tc>
        <w:tc>
          <w:tcPr>
            <w:tcW w:w="20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71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05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五、分部利润总额</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413,773,071.01</w:t>
            </w:r>
          </w:p>
        </w:tc>
        <w:tc>
          <w:tcPr>
            <w:tcW w:w="21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123,404,835.42</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-93,989,210.97</w:t>
            </w:r>
          </w:p>
        </w:tc>
        <w:tc>
          <w:tcPr>
            <w:tcW w:w="23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-240,790,329.90</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202,398,365.56</w:t>
            </w:r>
          </w:p>
        </w:tc>
      </w:tr>
      <w:tr>
        <w:trPr>
          <w:trHeight w:val="415"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六、分部资产</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29,121,715,929.56</w:t>
            </w:r>
          </w:p>
        </w:tc>
        <w:tc>
          <w:tcPr>
            <w:tcW w:w="21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1,077,335,336.94</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13,702,583,000.83</w:t>
            </w:r>
          </w:p>
        </w:tc>
        <w:tc>
          <w:tcPr>
            <w:tcW w:w="23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-10,211,761,341.27</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33,689,872,926.06</w:t>
            </w:r>
          </w:p>
        </w:tc>
      </w:tr>
      <w:tr>
        <w:trPr>
          <w:trHeight w:val="41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02" w:right="0"/>
              <w:jc w:val="left"/>
              <w:rPr>
                <w:rFonts w:ascii="宋体" w:hAnsi="宋体" w:cs="宋体" w:eastAsia="宋体" w:hint="default"/>
                <w:sz w:val="18"/>
                <w:szCs w:val="18"/>
              </w:rPr>
            </w:pPr>
            <w:r>
              <w:rPr>
                <w:rFonts w:ascii="宋体" w:hAnsi="宋体" w:cs="宋体" w:eastAsia="宋体" w:hint="default"/>
                <w:sz w:val="18"/>
                <w:szCs w:val="18"/>
              </w:rPr>
              <w:t>加：递延所得税资产</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40,728,159.07</w:t>
            </w:r>
          </w:p>
        </w:tc>
        <w:tc>
          <w:tcPr>
            <w:tcW w:w="2175" w:type="dxa"/>
            <w:tcBorders>
              <w:top w:val="dotted" w:sz="4" w:space="0" w:color="000000"/>
              <w:left w:val="dotted" w:sz="4" w:space="0" w:color="000000"/>
              <w:bottom w:val="dotted" w:sz="4" w:space="0" w:color="000000"/>
              <w:right w:val="dotted" w:sz="4" w:space="0" w:color="000000"/>
            </w:tcBorders>
          </w:tcPr>
          <w:p>
            <w:pPr/>
          </w:p>
        </w:tc>
        <w:tc>
          <w:tcPr>
            <w:tcW w:w="2086" w:type="dxa"/>
            <w:tcBorders>
              <w:top w:val="dotted" w:sz="4" w:space="0" w:color="000000"/>
              <w:left w:val="dotted" w:sz="4" w:space="0" w:color="000000"/>
              <w:bottom w:val="dotted" w:sz="4" w:space="0" w:color="000000"/>
              <w:right w:val="dotted" w:sz="4" w:space="0" w:color="000000"/>
            </w:tcBorders>
          </w:tcPr>
          <w:p>
            <w:pPr/>
          </w:p>
        </w:tc>
        <w:tc>
          <w:tcPr>
            <w:tcW w:w="2341" w:type="dxa"/>
            <w:tcBorders>
              <w:top w:val="dotted" w:sz="4" w:space="0" w:color="000000"/>
              <w:left w:val="dotted" w:sz="4" w:space="0" w:color="000000"/>
              <w:bottom w:val="dotted" w:sz="4" w:space="0" w:color="000000"/>
              <w:right w:val="dotted" w:sz="4" w:space="0" w:color="000000"/>
            </w:tcBorders>
          </w:tcPr>
          <w:p>
            <w:pP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pacing w:val="-1"/>
                <w:sz w:val="18"/>
              </w:rPr>
              <w:t>40,728,159.07</w:t>
            </w:r>
          </w:p>
        </w:tc>
      </w:tr>
      <w:tr>
        <w:trPr>
          <w:trHeight w:val="41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29,162,444,088.63</w:t>
            </w:r>
          </w:p>
        </w:tc>
        <w:tc>
          <w:tcPr>
            <w:tcW w:w="21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1,077,335,336.94</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pacing w:val="-1"/>
                <w:sz w:val="18"/>
              </w:rPr>
              <w:t>13,702,583,000.83</w:t>
            </w:r>
          </w:p>
        </w:tc>
        <w:tc>
          <w:tcPr>
            <w:tcW w:w="23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-10,211,761,341.27</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33,730,601,085.13</w:t>
            </w:r>
          </w:p>
        </w:tc>
      </w:tr>
      <w:tr>
        <w:trPr>
          <w:trHeight w:val="41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0" w:right="0"/>
              <w:jc w:val="left"/>
              <w:rPr>
                <w:rFonts w:ascii="宋体" w:hAnsi="宋体" w:cs="宋体" w:eastAsia="宋体" w:hint="default"/>
                <w:sz w:val="18"/>
                <w:szCs w:val="18"/>
              </w:rPr>
            </w:pPr>
            <w:r>
              <w:rPr>
                <w:rFonts w:ascii="宋体" w:hAnsi="宋体" w:cs="宋体" w:eastAsia="宋体" w:hint="default"/>
                <w:sz w:val="18"/>
                <w:szCs w:val="18"/>
              </w:rPr>
              <w:t>七、分部负债</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pacing w:val="-1"/>
                <w:sz w:val="18"/>
              </w:rPr>
              <w:t>19,413,863,705.63</w:t>
            </w:r>
          </w:p>
        </w:tc>
        <w:tc>
          <w:tcPr>
            <w:tcW w:w="21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pacing w:val="-1"/>
                <w:sz w:val="18"/>
              </w:rPr>
              <w:t>767,708,136.92</w:t>
            </w:r>
          </w:p>
        </w:tc>
        <w:tc>
          <w:tcPr>
            <w:tcW w:w="20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2,915,657,844.68</w:t>
            </w:r>
          </w:p>
        </w:tc>
        <w:tc>
          <w:tcPr>
            <w:tcW w:w="23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-948,510,476.23</w:t>
            </w: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22,148,719,211.00</w:t>
            </w:r>
          </w:p>
        </w:tc>
      </w:tr>
      <w:tr>
        <w:trPr>
          <w:trHeight w:val="415"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91" w:right="0"/>
              <w:jc w:val="left"/>
              <w:rPr>
                <w:rFonts w:ascii="宋体" w:hAnsi="宋体" w:cs="宋体" w:eastAsia="宋体" w:hint="default"/>
                <w:sz w:val="18"/>
                <w:szCs w:val="18"/>
              </w:rPr>
            </w:pPr>
            <w:r>
              <w:rPr>
                <w:rFonts w:ascii="宋体" w:hAnsi="宋体" w:cs="宋体" w:eastAsia="宋体" w:hint="default"/>
                <w:sz w:val="18"/>
                <w:szCs w:val="18"/>
              </w:rPr>
              <w:t>加：递延所得税负债</w:t>
            </w:r>
          </w:p>
        </w:tc>
        <w:tc>
          <w:tcPr>
            <w:tcW w:w="23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2,773,704.78</w:t>
            </w:r>
          </w:p>
        </w:tc>
        <w:tc>
          <w:tcPr>
            <w:tcW w:w="2175" w:type="dxa"/>
            <w:tcBorders>
              <w:top w:val="dotted" w:sz="4" w:space="0" w:color="000000"/>
              <w:left w:val="dotted" w:sz="4" w:space="0" w:color="000000"/>
              <w:bottom w:val="dotted" w:sz="4" w:space="0" w:color="000000"/>
              <w:right w:val="dotted" w:sz="4" w:space="0" w:color="000000"/>
            </w:tcBorders>
          </w:tcPr>
          <w:p>
            <w:pPr/>
          </w:p>
        </w:tc>
        <w:tc>
          <w:tcPr>
            <w:tcW w:w="2086" w:type="dxa"/>
            <w:tcBorders>
              <w:top w:val="dotted" w:sz="4" w:space="0" w:color="000000"/>
              <w:left w:val="dotted" w:sz="4" w:space="0" w:color="000000"/>
              <w:bottom w:val="dotted" w:sz="4" w:space="0" w:color="000000"/>
              <w:right w:val="dotted" w:sz="4" w:space="0" w:color="000000"/>
            </w:tcBorders>
          </w:tcPr>
          <w:p>
            <w:pPr/>
          </w:p>
        </w:tc>
        <w:tc>
          <w:tcPr>
            <w:tcW w:w="2341" w:type="dxa"/>
            <w:tcBorders>
              <w:top w:val="dotted" w:sz="4" w:space="0" w:color="000000"/>
              <w:left w:val="dotted" w:sz="4" w:space="0" w:color="000000"/>
              <w:bottom w:val="dotted" w:sz="4" w:space="0" w:color="000000"/>
              <w:right w:val="dotted" w:sz="4" w:space="0" w:color="000000"/>
            </w:tcBorders>
          </w:tcPr>
          <w:p>
            <w:pPr/>
          </w:p>
        </w:tc>
        <w:tc>
          <w:tcPr>
            <w:tcW w:w="20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2,773,704.78</w:t>
            </w:r>
          </w:p>
        </w:tc>
      </w:tr>
      <w:tr>
        <w:trPr>
          <w:trHeight w:val="430" w:hRule="exact"/>
        </w:trPr>
        <w:tc>
          <w:tcPr>
            <w:tcW w:w="23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30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3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1"/>
              <w:jc w:val="right"/>
              <w:rPr>
                <w:rFonts w:ascii="Times New Roman" w:hAnsi="Times New Roman" w:cs="Times New Roman" w:eastAsia="Times New Roman" w:hint="default"/>
                <w:sz w:val="18"/>
                <w:szCs w:val="18"/>
              </w:rPr>
            </w:pPr>
            <w:r>
              <w:rPr>
                <w:rFonts w:ascii="Times New Roman"/>
                <w:spacing w:val="-1"/>
                <w:sz w:val="18"/>
              </w:rPr>
              <w:t>19,416,637,410.41</w:t>
            </w:r>
          </w:p>
        </w:tc>
        <w:tc>
          <w:tcPr>
            <w:tcW w:w="21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767,708,136.92</w:t>
            </w:r>
          </w:p>
        </w:tc>
        <w:tc>
          <w:tcPr>
            <w:tcW w:w="20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2,915,657,844.68</w:t>
            </w:r>
          </w:p>
        </w:tc>
        <w:tc>
          <w:tcPr>
            <w:tcW w:w="23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-948,510,476.23</w:t>
            </w:r>
          </w:p>
        </w:tc>
        <w:tc>
          <w:tcPr>
            <w:tcW w:w="20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22,151,492,915.78</w:t>
            </w:r>
          </w:p>
        </w:tc>
      </w:tr>
    </w:tbl>
    <w:p>
      <w:pPr>
        <w:spacing w:line="232" w:lineRule="exact" w:before="33"/>
        <w:ind w:left="140" w:right="172" w:firstLine="0"/>
        <w:jc w:val="left"/>
        <w:rPr>
          <w:rFonts w:ascii="宋体" w:hAnsi="宋体" w:cs="宋体" w:eastAsia="宋体" w:hint="default"/>
          <w:sz w:val="18"/>
          <w:szCs w:val="18"/>
        </w:rPr>
      </w:pPr>
      <w:r>
        <w:rPr>
          <w:rFonts w:ascii="宋体" w:hAnsi="宋体" w:cs="宋体" w:eastAsia="宋体" w:hint="default"/>
          <w:spacing w:val="-2"/>
          <w:sz w:val="18"/>
          <w:szCs w:val="18"/>
        </w:rPr>
        <w:t>注：本表营业总成本包含报表项目的营业成本、利息支出、手续费及佣金支出、税金及附加、销售费用、研发费用、管理费用及财务费用；其他损益包括报表项目的投资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收益、公允价值变动收益、汇兑收益、其他收益、信用减值损失、资产减值损失及资产处置收益；分部利润</w:t>
      </w:r>
      <w:r>
        <w:rPr>
          <w:rFonts w:ascii="宋体" w:hAnsi="宋体" w:cs="宋体" w:eastAsia="宋体" w:hint="default"/>
          <w:sz w:val="18"/>
          <w:szCs w:val="18"/>
        </w:rPr>
        <w:t>=</w:t>
      </w:r>
      <w:r>
        <w:rPr>
          <w:rFonts w:ascii="宋体" w:hAnsi="宋体" w:cs="宋体" w:eastAsia="宋体" w:hint="default"/>
          <w:sz w:val="18"/>
          <w:szCs w:val="18"/>
        </w:rPr>
        <w:t>营业总收入</w:t>
      </w:r>
      <w:r>
        <w:rPr>
          <w:rFonts w:ascii="宋体" w:hAnsi="宋体" w:cs="宋体" w:eastAsia="宋体" w:hint="default"/>
          <w:sz w:val="18"/>
          <w:szCs w:val="18"/>
        </w:rPr>
        <w:t>-</w:t>
      </w:r>
      <w:r>
        <w:rPr>
          <w:rFonts w:ascii="宋体" w:hAnsi="宋体" w:cs="宋体" w:eastAsia="宋体" w:hint="default"/>
          <w:sz w:val="18"/>
          <w:szCs w:val="18"/>
        </w:rPr>
        <w:t>营业总成本</w:t>
      </w:r>
      <w:r>
        <w:rPr>
          <w:rFonts w:ascii="宋体" w:hAnsi="宋体" w:cs="宋体" w:eastAsia="宋体" w:hint="default"/>
          <w:sz w:val="18"/>
          <w:szCs w:val="18"/>
        </w:rPr>
        <w:t>+</w:t>
      </w:r>
      <w:r>
        <w:rPr>
          <w:rFonts w:ascii="宋体" w:hAnsi="宋体" w:cs="宋体" w:eastAsia="宋体" w:hint="default"/>
          <w:sz w:val="18"/>
          <w:szCs w:val="18"/>
        </w:rPr>
        <w:t>其他损益，即营业利润。</w:t>
      </w:r>
    </w:p>
    <w:p>
      <w:pPr>
        <w:spacing w:after="0" w:line="232" w:lineRule="exact"/>
        <w:jc w:val="left"/>
        <w:rPr>
          <w:rFonts w:ascii="宋体" w:hAnsi="宋体" w:cs="宋体" w:eastAsia="宋体" w:hint="default"/>
          <w:sz w:val="18"/>
          <w:szCs w:val="18"/>
        </w:rPr>
        <w:sectPr>
          <w:pgSz w:w="16840" w:h="11910" w:orient="landscape"/>
          <w:pgMar w:header="877" w:footer="980" w:top="1100" w:bottom="1160" w:left="1300" w:right="1980"/>
        </w:sectPr>
      </w:pPr>
    </w:p>
    <w:p>
      <w:pPr>
        <w:spacing w:line="240" w:lineRule="auto" w:before="1"/>
        <w:rPr>
          <w:rFonts w:ascii="宋体" w:hAnsi="宋体" w:cs="宋体" w:eastAsia="宋体" w:hint="default"/>
          <w:sz w:val="19"/>
          <w:szCs w:val="19"/>
        </w:rPr>
      </w:pPr>
    </w:p>
    <w:p>
      <w:pPr>
        <w:pStyle w:val="Heading4"/>
        <w:spacing w:line="335" w:lineRule="exact"/>
        <w:ind w:left="578" w:right="0"/>
        <w:jc w:val="left"/>
        <w:rPr>
          <w:b w:val="0"/>
          <w:bCs w:val="0"/>
        </w:rPr>
      </w:pPr>
      <w:r>
        <w:rPr/>
        <w:t>（七）</w:t>
      </w:r>
      <w:r>
        <w:rPr>
          <w:spacing w:val="-10"/>
        </w:rPr>
        <w:t> </w:t>
      </w:r>
      <w:r>
        <w:rPr/>
        <w:t>其他对投资者决策有影响的重要交易和事项</w:t>
      </w:r>
      <w:r>
        <w:rPr>
          <w:b w:val="0"/>
          <w:bCs w:val="0"/>
        </w:rPr>
      </w:r>
    </w:p>
    <w:p>
      <w:pPr>
        <w:spacing w:line="240" w:lineRule="auto" w:before="7"/>
        <w:rPr>
          <w:rFonts w:ascii="Microsoft JhengHei" w:hAnsi="Microsoft JhengHei" w:cs="Microsoft JhengHei" w:eastAsia="Microsoft JhengHei" w:hint="default"/>
          <w:b/>
          <w:bCs/>
          <w:sz w:val="14"/>
          <w:szCs w:val="14"/>
        </w:rPr>
      </w:pPr>
    </w:p>
    <w:p>
      <w:pPr>
        <w:pStyle w:val="BodyText"/>
        <w:spacing w:line="240" w:lineRule="auto"/>
        <w:ind w:left="573" w:right="0"/>
        <w:jc w:val="left"/>
      </w:pPr>
      <w:r>
        <w:rPr>
          <w:rFonts w:ascii="Times New Roman" w:hAnsi="Times New Roman" w:cs="Times New Roman" w:eastAsia="Times New Roman" w:hint="default"/>
        </w:rPr>
        <w:t>1. </w:t>
      </w:r>
      <w:r>
        <w:rPr/>
        <w:t>关于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年重大资产重组业绩承诺补偿事项</w:t>
      </w:r>
    </w:p>
    <w:p>
      <w:pPr>
        <w:spacing w:line="240" w:lineRule="auto" w:before="9"/>
        <w:rPr>
          <w:rFonts w:ascii="宋体" w:hAnsi="宋体" w:cs="宋体" w:eastAsia="宋体" w:hint="default"/>
          <w:sz w:val="16"/>
          <w:szCs w:val="16"/>
        </w:rPr>
      </w:pPr>
    </w:p>
    <w:p>
      <w:pPr>
        <w:pStyle w:val="BodyText"/>
        <w:spacing w:line="386" w:lineRule="auto"/>
        <w:ind w:right="1126"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2015-2016</w:t>
      </w:r>
      <w:r>
        <w:rPr>
          <w:rFonts w:ascii="Times New Roman" w:hAnsi="Times New Roman" w:cs="Times New Roman" w:eastAsia="Times New Roman" w:hint="default"/>
          <w:spacing w:val="42"/>
        </w:rPr>
        <w:t> </w:t>
      </w:r>
      <w:r>
        <w:rPr>
          <w:spacing w:val="-3"/>
        </w:rPr>
        <w:t>年公司筹划并实施以收购国盛证券为主要内容的重大资产重组，签订《业绩承诺补偿</w:t>
      </w:r>
      <w:r>
        <w:rPr>
          <w:w w:val="100"/>
        </w:rPr>
        <w:t> </w:t>
      </w:r>
      <w:r>
        <w:rPr>
          <w:spacing w:val="-27"/>
          <w:w w:val="100"/>
        </w:rPr>
        <w:t>协议》。</w:t>
      </w:r>
    </w:p>
    <w:p>
      <w:pPr>
        <w:pStyle w:val="BodyText"/>
        <w:spacing w:line="240" w:lineRule="auto" w:before="103"/>
        <w:ind w:left="57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spacing w:val="-5"/>
        </w:rPr>
        <w:t>日公司股东大会审议通过《关于进行本次重大资产重组的议案》及相关事项；</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7"/>
        </w:rPr>
        <w:t> </w:t>
      </w:r>
      <w:r>
        <w:rPr/>
        <w:t>年</w:t>
      </w:r>
    </w:p>
    <w:p>
      <w:pPr>
        <w:pStyle w:val="BodyText"/>
        <w:spacing w:line="240" w:lineRule="auto" w:before="177"/>
        <w:ind w:right="0"/>
        <w:jc w:val="left"/>
      </w:pPr>
      <w:r>
        <w:rPr>
          <w:rFonts w:ascii="Times New Roman" w:hAnsi="Times New Roman" w:cs="Times New Roman" w:eastAsia="Times New Roman" w:hint="default"/>
          <w:w w:val="100"/>
        </w:rPr>
        <w:t>1</w:t>
      </w:r>
      <w:r>
        <w:rPr>
          <w:rFonts w:ascii="Times New Roman" w:hAnsi="Times New Roman" w:cs="Times New Roman" w:eastAsia="Times New Roman" w:hint="default"/>
          <w:spacing w:val="10"/>
        </w:rPr>
        <w:t> </w:t>
      </w:r>
      <w:r>
        <w:rPr>
          <w:w w:val="100"/>
        </w:rPr>
        <w:t>月</w:t>
      </w:r>
      <w:r>
        <w:rPr>
          <w:spacing w:val="-43"/>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9"/>
        </w:rPr>
        <w:t> </w:t>
      </w:r>
      <w:r>
        <w:rPr>
          <w:spacing w:val="-3"/>
          <w:w w:val="100"/>
        </w:rPr>
        <w:t>日</w:t>
      </w:r>
      <w:r>
        <w:rPr>
          <w:w w:val="100"/>
        </w:rPr>
        <w:t>，</w:t>
      </w:r>
      <w:r>
        <w:rPr>
          <w:spacing w:val="-3"/>
          <w:w w:val="100"/>
        </w:rPr>
        <w:t>公</w:t>
      </w:r>
      <w:r>
        <w:rPr>
          <w:w w:val="100"/>
        </w:rPr>
        <w:t>司</w:t>
      </w:r>
      <w:r>
        <w:rPr>
          <w:spacing w:val="-3"/>
          <w:w w:val="100"/>
        </w:rPr>
        <w:t>与</w:t>
      </w:r>
      <w:r>
        <w:rPr>
          <w:w w:val="100"/>
        </w:rPr>
        <w:t>中</w:t>
      </w:r>
      <w:r>
        <w:rPr>
          <w:spacing w:val="-3"/>
          <w:w w:val="100"/>
        </w:rPr>
        <w:t>江信</w:t>
      </w:r>
      <w:r>
        <w:rPr>
          <w:w w:val="100"/>
        </w:rPr>
        <w:t>托（</w:t>
      </w:r>
      <w:r>
        <w:rPr>
          <w:spacing w:val="-3"/>
          <w:w w:val="100"/>
        </w:rPr>
        <w:t>后</w:t>
      </w:r>
      <w:r>
        <w:rPr>
          <w:w w:val="100"/>
        </w:rPr>
        <w:t>改</w:t>
      </w:r>
      <w:r>
        <w:rPr>
          <w:spacing w:val="-3"/>
          <w:w w:val="100"/>
        </w:rPr>
        <w:t>名</w:t>
      </w:r>
      <w:r>
        <w:rPr>
          <w:w w:val="100"/>
        </w:rPr>
        <w:t>雪</w:t>
      </w:r>
      <w:r>
        <w:rPr>
          <w:spacing w:val="-3"/>
          <w:w w:val="100"/>
        </w:rPr>
        <w:t>松</w:t>
      </w:r>
      <w:r>
        <w:rPr>
          <w:w w:val="100"/>
        </w:rPr>
        <w:t>信</w:t>
      </w:r>
      <w:r>
        <w:rPr>
          <w:spacing w:val="-3"/>
          <w:w w:val="100"/>
        </w:rPr>
        <w:t>托</w:t>
      </w:r>
      <w:r>
        <w:rPr>
          <w:w w:val="100"/>
        </w:rPr>
        <w:t>，</w:t>
      </w:r>
      <w:r>
        <w:rPr>
          <w:spacing w:val="-3"/>
          <w:w w:val="100"/>
        </w:rPr>
        <w:t>下</w:t>
      </w:r>
      <w:r>
        <w:rPr>
          <w:w w:val="100"/>
        </w:rPr>
        <w:t>称雪</w:t>
      </w:r>
      <w:r>
        <w:rPr>
          <w:spacing w:val="-3"/>
          <w:w w:val="100"/>
        </w:rPr>
        <w:t>松</w:t>
      </w:r>
      <w:r>
        <w:rPr>
          <w:w w:val="100"/>
        </w:rPr>
        <w:t>信</w:t>
      </w:r>
      <w:r>
        <w:rPr>
          <w:spacing w:val="-3"/>
          <w:w w:val="100"/>
        </w:rPr>
        <w:t>托</w:t>
      </w:r>
      <w:r>
        <w:rPr>
          <w:spacing w:val="-106"/>
          <w:w w:val="100"/>
        </w:rPr>
        <w:t>）</w:t>
      </w:r>
      <w:r>
        <w:rPr>
          <w:spacing w:val="-3"/>
          <w:w w:val="100"/>
        </w:rPr>
        <w:t>、</w:t>
      </w:r>
      <w:r>
        <w:rPr>
          <w:w w:val="100"/>
        </w:rPr>
        <w:t>杜</w:t>
      </w:r>
      <w:r>
        <w:rPr>
          <w:spacing w:val="-3"/>
          <w:w w:val="100"/>
        </w:rPr>
        <w:t>力</w:t>
      </w:r>
      <w:r>
        <w:rPr>
          <w:w w:val="100"/>
        </w:rPr>
        <w:t>、</w:t>
      </w:r>
      <w:r>
        <w:rPr>
          <w:spacing w:val="-3"/>
          <w:w w:val="100"/>
        </w:rPr>
        <w:t>张巍</w:t>
      </w:r>
      <w:r>
        <w:rPr>
          <w:w w:val="100"/>
        </w:rPr>
        <w:t>签署</w:t>
      </w:r>
      <w:r>
        <w:rPr>
          <w:spacing w:val="-3"/>
          <w:w w:val="100"/>
        </w:rPr>
        <w:t>《</w:t>
      </w:r>
      <w:r>
        <w:rPr>
          <w:w w:val="100"/>
        </w:rPr>
        <w:t>业</w:t>
      </w:r>
      <w:r>
        <w:rPr>
          <w:spacing w:val="-3"/>
          <w:w w:val="100"/>
        </w:rPr>
        <w:t>绩</w:t>
      </w:r>
      <w:r>
        <w:rPr>
          <w:w w:val="100"/>
        </w:rPr>
        <w:t>承</w:t>
      </w:r>
      <w:r>
        <w:rPr>
          <w:spacing w:val="-3"/>
          <w:w w:val="100"/>
        </w:rPr>
        <w:t>诺</w:t>
      </w:r>
      <w:r>
        <w:rPr>
          <w:w w:val="100"/>
        </w:rPr>
        <w:t>补</w:t>
      </w:r>
      <w:r>
        <w:rPr>
          <w:spacing w:val="-3"/>
          <w:w w:val="100"/>
        </w:rPr>
        <w:t>偿</w:t>
      </w:r>
      <w:r>
        <w:rPr>
          <w:w w:val="100"/>
        </w:rPr>
        <w:t>协</w:t>
      </w:r>
      <w:r>
        <w:rPr>
          <w:spacing w:val="-3"/>
          <w:w w:val="100"/>
        </w:rPr>
        <w:t>议</w:t>
      </w:r>
      <w:r>
        <w:rPr>
          <w:spacing w:val="-108"/>
          <w:w w:val="100"/>
        </w:rPr>
        <w:t>》</w:t>
      </w:r>
      <w:r>
        <w:rPr>
          <w:w w:val="100"/>
        </w:rPr>
        <w:t>；</w:t>
      </w:r>
    </w:p>
    <w:p>
      <w:pPr>
        <w:pStyle w:val="BodyText"/>
        <w:spacing w:line="240" w:lineRule="auto" w:before="177"/>
        <w:ind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月，中国证监会核准公司向雪松信托等发行股份购买国盛证券</w:t>
      </w:r>
      <w:r>
        <w:rPr>
          <w:spacing w:val="-52"/>
        </w:rPr>
        <w:t> </w:t>
      </w:r>
      <w:r>
        <w:rPr>
          <w:rFonts w:ascii="Times New Roman" w:hAnsi="Times New Roman" w:cs="Times New Roman" w:eastAsia="Times New Roman" w:hint="default"/>
        </w:rPr>
        <w:t>100%</w:t>
      </w:r>
      <w:r>
        <w:rPr/>
        <w:t>股权并募集配套资金的方案</w:t>
      </w:r>
    </w:p>
    <w:p>
      <w:pPr>
        <w:pStyle w:val="BodyText"/>
        <w:spacing w:line="386" w:lineRule="auto" w:before="178"/>
        <w:ind w:right="1124"/>
        <w:jc w:val="left"/>
      </w:pPr>
      <w:r>
        <w:rPr>
          <w:spacing w:val="-3"/>
          <w:w w:val="100"/>
        </w:rPr>
        <w:t>（证监许可【</w:t>
      </w:r>
      <w:r>
        <w:rPr>
          <w:rFonts w:ascii="Times New Roman" w:hAnsi="Times New Roman" w:cs="Times New Roman" w:eastAsia="Times New Roman" w:hint="default"/>
          <w:spacing w:val="-3"/>
          <w:w w:val="100"/>
        </w:rPr>
        <w:t>2016</w:t>
      </w:r>
      <w:r>
        <w:rPr>
          <w:spacing w:val="-3"/>
          <w:w w:val="100"/>
        </w:rPr>
        <w:t>】</w:t>
      </w:r>
      <w:r>
        <w:rPr>
          <w:rFonts w:ascii="Times New Roman" w:hAnsi="Times New Roman" w:cs="Times New Roman" w:eastAsia="Times New Roman" w:hint="default"/>
          <w:spacing w:val="-3"/>
          <w:w w:val="100"/>
        </w:rPr>
        <w:t>657</w:t>
      </w:r>
      <w:r>
        <w:rPr>
          <w:rFonts w:ascii="Times New Roman" w:hAnsi="Times New Roman" w:cs="Times New Roman" w:eastAsia="Times New Roman" w:hint="default"/>
          <w:spacing w:val="1"/>
          <w:w w:val="100"/>
        </w:rPr>
        <w:t> </w:t>
      </w:r>
      <w:r>
        <w:rPr>
          <w:spacing w:val="-31"/>
          <w:w w:val="100"/>
        </w:rPr>
        <w:t>号）；</w:t>
      </w:r>
      <w:r>
        <w:rPr>
          <w:rFonts w:ascii="Times New Roman" w:hAnsi="Times New Roman" w:cs="Times New Roman" w:eastAsia="Times New Roman" w:hint="default"/>
          <w:spacing w:val="-31"/>
          <w:w w:val="100"/>
        </w:rPr>
        <w:t>4</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1"/>
          <w:w w:val="100"/>
        </w:rPr>
        <w:t> </w:t>
      </w:r>
      <w:r>
        <w:rPr>
          <w:spacing w:val="-3"/>
          <w:w w:val="100"/>
        </w:rPr>
        <w:t>日，重组标的资产国盛证券股权完成过户；</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spacing w:val="-2"/>
          <w:w w:val="100"/>
        </w:rPr>
        <w:t> </w:t>
      </w:r>
      <w:r>
        <w:rPr>
          <w:w w:val="100"/>
        </w:rPr>
        <w:t>月</w:t>
      </w:r>
      <w:r>
        <w:rPr>
          <w:spacing w:val="-51"/>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w w:val="100"/>
        </w:rPr>
        <w:t> </w:t>
      </w:r>
      <w:r>
        <w:rPr>
          <w:spacing w:val="-3"/>
          <w:w w:val="100"/>
        </w:rPr>
        <w:t>日，重组现金对价</w:t>
      </w:r>
      <w:r>
        <w:rPr>
          <w:w w:val="100"/>
        </w:rPr>
        <w:t> </w:t>
      </w:r>
      <w:r>
        <w:rPr/>
        <w:t>支付完毕；</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日本次重组新增股份上市交易。</w:t>
      </w:r>
    </w:p>
    <w:p>
      <w:pPr>
        <w:pStyle w:val="BodyText"/>
        <w:spacing w:line="393" w:lineRule="auto" w:before="76"/>
        <w:ind w:right="1126" w:firstLine="420"/>
        <w:jc w:val="both"/>
      </w:pPr>
      <w:r>
        <w:rPr>
          <w:spacing w:val="-6"/>
          <w:w w:val="100"/>
        </w:rPr>
        <w:t>公司与相关方签订的《业绩承诺补偿协议》（全文见公司于</w:t>
      </w:r>
      <w:r>
        <w:rPr>
          <w:spacing w:val="-35"/>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15"/>
          <w:w w:val="100"/>
        </w:rPr>
        <w:t> </w:t>
      </w:r>
      <w:r>
        <w:rPr>
          <w:w w:val="100"/>
        </w:rPr>
        <w:t>年</w:t>
      </w:r>
      <w:r>
        <w:rPr>
          <w:spacing w:val="-39"/>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7"/>
          <w:w w:val="100"/>
        </w:rPr>
        <w:t> </w:t>
      </w:r>
      <w:r>
        <w:rPr>
          <w:w w:val="100"/>
        </w:rPr>
        <w:t>月</w:t>
      </w:r>
      <w:r>
        <w:rPr>
          <w:spacing w:val="-39"/>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5"/>
          <w:w w:val="100"/>
        </w:rPr>
        <w:t> </w:t>
      </w:r>
      <w:r>
        <w:rPr>
          <w:spacing w:val="-2"/>
          <w:w w:val="100"/>
        </w:rPr>
        <w:t>日披露的《关于重大资产</w:t>
      </w:r>
      <w:r>
        <w:rPr>
          <w:w w:val="100"/>
        </w:rPr>
        <w:t> </w:t>
      </w:r>
      <w:r>
        <w:rPr>
          <w:spacing w:val="-5"/>
          <w:w w:val="100"/>
        </w:rPr>
        <w:t>重组签署</w:t>
      </w:r>
      <w:r>
        <w:rPr>
          <w:rFonts w:ascii="Times New Roman" w:hAnsi="Times New Roman" w:cs="Times New Roman" w:eastAsia="Times New Roman" w:hint="default"/>
          <w:spacing w:val="-5"/>
          <w:w w:val="100"/>
        </w:rPr>
        <w:t>&lt;</w:t>
      </w:r>
      <w:r>
        <w:rPr>
          <w:spacing w:val="-5"/>
          <w:w w:val="100"/>
        </w:rPr>
        <w:t>业绩承诺补偿协议</w:t>
      </w:r>
      <w:r>
        <w:rPr>
          <w:rFonts w:ascii="Times New Roman" w:hAnsi="Times New Roman" w:cs="Times New Roman" w:eastAsia="Times New Roman" w:hint="default"/>
          <w:spacing w:val="-5"/>
          <w:w w:val="100"/>
        </w:rPr>
        <w:t>&gt;</w:t>
      </w:r>
      <w:r>
        <w:rPr>
          <w:spacing w:val="-5"/>
          <w:w w:val="100"/>
        </w:rPr>
        <w:t>的公告》）约定：雪松信托承诺国盛证券</w:t>
      </w:r>
      <w:r>
        <w:rPr>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w w:val="100"/>
        </w:rPr>
        <w:t> </w:t>
      </w:r>
      <w:r>
        <w:rPr>
          <w:spacing w:val="-1"/>
          <w:w w:val="100"/>
        </w:rPr>
        <w:t>年度、</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spacing w:val="-1"/>
          <w:w w:val="100"/>
        </w:rPr>
        <w:t>年度、</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9"/>
          <w:w w:val="100"/>
        </w:rPr>
        <w:t> </w:t>
      </w:r>
      <w:r>
        <w:rPr>
          <w:spacing w:val="-3"/>
          <w:w w:val="100"/>
        </w:rPr>
        <w:t>年度 </w:t>
      </w:r>
      <w:r>
        <w:rPr/>
        <w:t>经审计的归属于母公司所有者的净利润分别不低于人民币</w:t>
      </w:r>
      <w:r>
        <w:rPr>
          <w:spacing w:val="-46"/>
        </w:rPr>
        <w:t> </w:t>
      </w:r>
      <w:r>
        <w:rPr>
          <w:rFonts w:ascii="Times New Roman" w:hAnsi="Times New Roman" w:cs="Times New Roman" w:eastAsia="Times New Roman" w:hint="default"/>
        </w:rPr>
        <w:t>74,000</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79,000</w:t>
      </w:r>
      <w:r>
        <w:rPr>
          <w:rFonts w:ascii="Times New Roman" w:hAnsi="Times New Roman" w:cs="Times New Roman" w:eastAsia="Times New Roman" w:hint="default"/>
          <w:spacing w:val="6"/>
        </w:rPr>
        <w:t> </w:t>
      </w:r>
      <w:r>
        <w:rPr>
          <w:spacing w:val="-4"/>
        </w:rPr>
        <w:t>万元、</w:t>
      </w:r>
      <w:r>
        <w:rPr>
          <w:rFonts w:ascii="Times New Roman" w:hAnsi="Times New Roman" w:cs="Times New Roman" w:eastAsia="Times New Roman" w:hint="default"/>
          <w:spacing w:val="-4"/>
        </w:rPr>
        <w:t>85,000</w:t>
      </w:r>
      <w:r>
        <w:rPr>
          <w:rFonts w:ascii="Times New Roman" w:hAnsi="Times New Roman" w:cs="Times New Roman" w:eastAsia="Times New Roman" w:hint="default"/>
          <w:spacing w:val="6"/>
        </w:rPr>
        <w:t> </w:t>
      </w:r>
      <w:r>
        <w:rPr>
          <w:spacing w:val="-7"/>
        </w:rPr>
        <w:t>万元，其中净</w:t>
      </w:r>
      <w:r>
        <w:rPr>
          <w:spacing w:val="-102"/>
        </w:rPr>
        <w:t> </w:t>
      </w:r>
      <w:r>
        <w:rPr>
          <w:spacing w:val="-102"/>
        </w:rPr>
      </w:r>
      <w:r>
        <w:rPr>
          <w:spacing w:val="-2"/>
        </w:rPr>
        <w:t>利润以扣除非经常性损益前后孰低值为准。如国盛证券在业绩承诺期未实际完成承诺净利润数，雪松信托</w:t>
      </w:r>
      <w:r>
        <w:rPr>
          <w:spacing w:val="-43"/>
        </w:rPr>
        <w:t> </w:t>
      </w:r>
      <w:r>
        <w:rPr>
          <w:spacing w:val="-43"/>
        </w:rPr>
      </w:r>
      <w:r>
        <w:rPr>
          <w:spacing w:val="-2"/>
        </w:rPr>
        <w:t>应按照《业绩承诺补偿协议》的约定进行业绩补偿。业绩承诺差额补偿应先以股份补偿，不足部分以现金</w:t>
      </w:r>
      <w:r>
        <w:rPr>
          <w:spacing w:val="-50"/>
        </w:rPr>
        <w:t> </w:t>
      </w:r>
      <w:r>
        <w:rPr>
          <w:spacing w:val="-50"/>
        </w:rPr>
      </w:r>
      <w:r>
        <w:rPr/>
        <w:t>补偿。在约定的业绩承诺期满后</w:t>
      </w:r>
      <w:r>
        <w:rPr>
          <w:spacing w:val="-64"/>
        </w:rPr>
        <w:t> </w:t>
      </w:r>
      <w:r>
        <w:rPr>
          <w:rFonts w:ascii="Times New Roman" w:hAnsi="Times New Roman" w:cs="Times New Roman" w:eastAsia="Times New Roman" w:hint="default"/>
        </w:rPr>
        <w:t>120</w:t>
      </w:r>
      <w:r>
        <w:rPr>
          <w:rFonts w:ascii="Times New Roman" w:hAnsi="Times New Roman" w:cs="Times New Roman" w:eastAsia="Times New Roman" w:hint="default"/>
          <w:spacing w:val="-15"/>
        </w:rPr>
        <w:t> </w:t>
      </w:r>
      <w:r>
        <w:rPr/>
        <w:t>日内，公司应聘请有资格的机构对国盛证券出具减值测试报告，如根</w:t>
      </w:r>
      <w:r>
        <w:rPr>
          <w:w w:val="100"/>
        </w:rPr>
        <w:t> </w:t>
      </w:r>
      <w:r>
        <w:rPr>
          <w:spacing w:val="-3"/>
          <w:w w:val="100"/>
        </w:rPr>
        <w:t>据减值测试报告标的资产期末减值额</w:t>
      </w:r>
      <w:r>
        <w:rPr>
          <w:rFonts w:ascii="Times New Roman" w:hAnsi="Times New Roman" w:cs="Times New Roman" w:eastAsia="Times New Roman" w:hint="default"/>
          <w:spacing w:val="-3"/>
          <w:w w:val="100"/>
        </w:rPr>
        <w:t>&gt;</w:t>
      </w:r>
      <w:r>
        <w:rPr>
          <w:spacing w:val="-3"/>
          <w:w w:val="100"/>
        </w:rPr>
        <w:t>雪松信托已补偿金额</w:t>
      </w:r>
      <w:r>
        <w:rPr>
          <w:rFonts w:ascii="Times New Roman" w:hAnsi="Times New Roman" w:cs="Times New Roman" w:eastAsia="Times New Roman" w:hint="default"/>
          <w:spacing w:val="-3"/>
          <w:w w:val="100"/>
        </w:rPr>
        <w:t>+</w:t>
      </w:r>
      <w:r>
        <w:rPr>
          <w:spacing w:val="-3"/>
          <w:w w:val="100"/>
        </w:rPr>
        <w:t>杜力、张巍已补偿金额（如有），则雪松信托</w:t>
      </w:r>
      <w:r>
        <w:rPr>
          <w:spacing w:val="-68"/>
          <w:w w:val="100"/>
        </w:rPr>
        <w:t> </w:t>
      </w:r>
      <w:r>
        <w:rPr>
          <w:spacing w:val="-68"/>
          <w:w w:val="100"/>
        </w:rPr>
      </w:r>
      <w:r>
        <w:rPr>
          <w:spacing w:val="11"/>
        </w:rPr>
        <w:t>应向公司另行以现金方式进行补偿。如雪松信托承担的上述业绩承诺补偿与减值补偿合计金额超过</w:t>
      </w:r>
      <w:r>
        <w:rPr>
          <w:spacing w:val="1"/>
        </w:rPr>
        <w:t> </w:t>
      </w:r>
      <w:r>
        <w:rPr>
          <w:spacing w:val="1"/>
        </w:rPr>
      </w:r>
      <w:r>
        <w:rPr>
          <w:rFonts w:ascii="Times New Roman" w:hAnsi="Times New Roman" w:cs="Times New Roman" w:eastAsia="Times New Roman" w:hint="default"/>
        </w:rPr>
        <w:t>401,980.56</w:t>
      </w:r>
      <w:r>
        <w:rPr>
          <w:rFonts w:ascii="Times New Roman" w:hAnsi="Times New Roman" w:cs="Times New Roman" w:eastAsia="Times New Roman" w:hint="default"/>
          <w:spacing w:val="25"/>
        </w:rPr>
        <w:t> </w:t>
      </w:r>
      <w:r>
        <w:rPr/>
        <w:t>万元，则超出部分的补偿义务由杜力、张巍以现金方式向公司承担。协议约定争议解决机关为</w:t>
      </w:r>
      <w:r>
        <w:rPr>
          <w:w w:val="100"/>
        </w:rPr>
        <w:t> </w:t>
      </w:r>
      <w:r>
        <w:rPr/>
        <w:t>南昌仲裁委员会。</w:t>
      </w:r>
    </w:p>
    <w:p>
      <w:pPr>
        <w:pStyle w:val="BodyText"/>
        <w:spacing w:line="386" w:lineRule="auto" w:before="97"/>
        <w:ind w:right="1126" w:firstLine="420"/>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2"/>
          <w:w w:val="100"/>
        </w:rPr>
        <w:t> </w:t>
      </w:r>
      <w:r>
        <w:rPr>
          <w:w w:val="100"/>
        </w:rPr>
        <w:t>年</w:t>
      </w:r>
      <w:r>
        <w:rPr>
          <w:spacing w:val="-48"/>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w w:val="100"/>
        </w:rPr>
        <w:t>月</w:t>
      </w:r>
      <w:r>
        <w:rPr>
          <w:spacing w:val="-48"/>
          <w:w w:val="100"/>
        </w:rPr>
        <w:t>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2"/>
          <w:w w:val="100"/>
        </w:rPr>
        <w:t> </w:t>
      </w:r>
      <w:r>
        <w:rPr>
          <w:spacing w:val="-7"/>
          <w:w w:val="100"/>
        </w:rPr>
        <w:t>日，立信会计师事务所（特殊普通合伙）（以下简称立信）出具《关于国盛证券有限责</w:t>
      </w:r>
      <w:r>
        <w:rPr>
          <w:w w:val="100"/>
        </w:rPr>
        <w:t> </w:t>
      </w:r>
      <w:r>
        <w:rPr>
          <w:spacing w:val="-5"/>
          <w:w w:val="100"/>
        </w:rPr>
        <w:t>任公司业绩承诺实现情况的专项审核报告》（信会师报字</w:t>
      </w:r>
      <w:r>
        <w:rPr>
          <w:rFonts w:ascii="Times New Roman" w:hAnsi="Times New Roman" w:cs="Times New Roman" w:eastAsia="Times New Roman" w:hint="default"/>
          <w:spacing w:val="-5"/>
          <w:w w:val="100"/>
        </w:rPr>
        <w:t>[2019]</w:t>
      </w:r>
      <w:r>
        <w:rPr>
          <w:spacing w:val="-5"/>
          <w:w w:val="100"/>
        </w:rPr>
        <w:t>第</w:t>
      </w:r>
      <w:r>
        <w:rPr>
          <w:spacing w:val="-1"/>
          <w:w w:val="100"/>
        </w:rPr>
        <w:t> </w:t>
      </w:r>
      <w:r>
        <w:rPr>
          <w:rFonts w:ascii="Times New Roman" w:hAnsi="Times New Roman" w:cs="Times New Roman" w:eastAsia="Times New Roman" w:hint="default"/>
          <w:spacing w:val="-1"/>
          <w:w w:val="100"/>
        </w:rPr>
        <w:t>ZA13415</w:t>
      </w:r>
      <w:r>
        <w:rPr>
          <w:rFonts w:ascii="Times New Roman" w:hAnsi="Times New Roman" w:cs="Times New Roman" w:eastAsia="Times New Roman" w:hint="default"/>
          <w:spacing w:val="50"/>
          <w:w w:val="100"/>
        </w:rPr>
        <w:t> </w:t>
      </w:r>
      <w:r>
        <w:rPr>
          <w:spacing w:val="-17"/>
          <w:w w:val="100"/>
        </w:rPr>
        <w:t>号）、《国盛金融控股集团股份</w:t>
      </w:r>
      <w:r>
        <w:rPr>
          <w:spacing w:val="-103"/>
          <w:w w:val="100"/>
        </w:rPr>
        <w:t> </w:t>
      </w:r>
      <w:r>
        <w:rPr>
          <w:spacing w:val="-103"/>
          <w:w w:val="100"/>
        </w:rPr>
      </w:r>
      <w:r>
        <w:rPr>
          <w:spacing w:val="-5"/>
          <w:w w:val="100"/>
        </w:rPr>
        <w:t>有限公司重大资产重组标的资产减值测试专项审核报告》（信会师报字</w:t>
      </w:r>
      <w:r>
        <w:rPr>
          <w:rFonts w:ascii="Times New Roman" w:hAnsi="Times New Roman" w:cs="Times New Roman" w:eastAsia="Times New Roman" w:hint="default"/>
          <w:spacing w:val="-5"/>
          <w:w w:val="100"/>
        </w:rPr>
        <w:t>[2019]</w:t>
      </w:r>
      <w:r>
        <w:rPr>
          <w:spacing w:val="-5"/>
          <w:w w:val="100"/>
        </w:rPr>
        <w:t>第</w:t>
      </w:r>
      <w:r>
        <w:rPr>
          <w:spacing w:val="-37"/>
          <w:w w:val="100"/>
        </w:rPr>
        <w:t> </w:t>
      </w:r>
      <w:r>
        <w:rPr>
          <w:rFonts w:ascii="Times New Roman" w:hAnsi="Times New Roman" w:cs="Times New Roman" w:eastAsia="Times New Roman" w:hint="default"/>
          <w:spacing w:val="-3"/>
          <w:w w:val="100"/>
        </w:rPr>
        <w:t>ZA13511</w:t>
      </w:r>
      <w:r>
        <w:rPr>
          <w:rFonts w:ascii="Times New Roman" w:hAnsi="Times New Roman" w:cs="Times New Roman" w:eastAsia="Times New Roman" w:hint="default"/>
          <w:spacing w:val="18"/>
          <w:w w:val="100"/>
        </w:rPr>
        <w:t> </w:t>
      </w:r>
      <w:r>
        <w:rPr>
          <w:spacing w:val="-16"/>
          <w:w w:val="100"/>
        </w:rPr>
        <w:t>号）。根据该两份</w:t>
      </w:r>
      <w:r>
        <w:rPr>
          <w:spacing w:val="-99"/>
          <w:w w:val="100"/>
        </w:rPr>
        <w:t> </w:t>
      </w:r>
      <w:r>
        <w:rPr>
          <w:spacing w:val="-99"/>
          <w:w w:val="100"/>
        </w:rPr>
      </w:r>
      <w:r>
        <w:rPr/>
        <w:t>专项审核报告，国盛证券</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年度实现归属于母公司所有者的净利润</w:t>
      </w:r>
      <w:r>
        <w:rPr>
          <w:spacing w:val="-38"/>
        </w:rPr>
        <w:t> </w:t>
      </w:r>
      <w:r>
        <w:rPr>
          <w:rFonts w:ascii="Times New Roman" w:hAnsi="Times New Roman" w:cs="Times New Roman" w:eastAsia="Times New Roman" w:hint="default"/>
        </w:rPr>
        <w:t>608,180,997.77</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年度实现</w:t>
      </w:r>
      <w:r>
        <w:rPr>
          <w:w w:val="100"/>
        </w:rPr>
        <w:t> </w:t>
      </w:r>
      <w:r>
        <w:rPr>
          <w:spacing w:val="16"/>
        </w:rPr>
        <w:t>归属于母公司所有者的净利润</w:t>
      </w:r>
      <w:r>
        <w:rPr>
          <w:spacing w:val="37"/>
        </w:rPr>
        <w:t> </w:t>
      </w:r>
      <w:r>
        <w:rPr>
          <w:rFonts w:ascii="Times New Roman" w:hAnsi="Times New Roman" w:cs="Times New Roman" w:eastAsia="Times New Roman" w:hint="default"/>
        </w:rPr>
        <w:t>642,818,760.81</w:t>
      </w:r>
      <w:r>
        <w:rPr>
          <w:rFonts w:ascii="Times New Roman" w:hAnsi="Times New Roman" w:cs="Times New Roman" w:eastAsia="Times New Roman" w:hint="default"/>
          <w:spacing w:val="32"/>
        </w:rPr>
        <w:t> </w:t>
      </w:r>
      <w:r>
        <w:rPr/>
        <w:t>元</w:t>
      </w:r>
      <w:r>
        <w:rPr>
          <w:spacing w:val="61"/>
        </w:rPr>
        <w:t> </w:t>
      </w:r>
      <w:r>
        <w:rPr/>
        <w:t>，</w:t>
      </w:r>
      <w:r>
        <w:rPr>
          <w:spacing w:val="-8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5"/>
        </w:rPr>
        <w:t> </w:t>
      </w:r>
      <w:r>
        <w:rPr>
          <w:spacing w:val="16"/>
        </w:rPr>
        <w:t>年度实现归属于母公司所有者的净利润</w:t>
      </w:r>
      <w:r>
        <w:rPr>
          <w:rFonts w:ascii="Times New Roman" w:hAnsi="Times New Roman" w:cs="Times New Roman" w:eastAsia="Times New Roman" w:hint="default"/>
          <w:spacing w:val="16"/>
        </w:rPr>
        <w:t>-</w:t>
      </w:r>
      <w:r>
        <w:rPr>
          <w:rFonts w:ascii="Times New Roman" w:hAnsi="Times New Roman" w:cs="Times New Roman" w:eastAsia="Times New Roman" w:hint="default"/>
          <w:spacing w:val="-50"/>
        </w:rPr>
        <w:t> </w:t>
      </w:r>
      <w:r>
        <w:rPr>
          <w:rFonts w:ascii="Times New Roman" w:hAnsi="Times New Roman" w:cs="Times New Roman" w:eastAsia="Times New Roman" w:hint="default"/>
        </w:rPr>
        <w:t>190,047,253.37 </w:t>
      </w:r>
      <w:r>
        <w:rPr>
          <w:spacing w:val="-5"/>
        </w:rPr>
        <w:t>元，</w:t>
      </w:r>
      <w:r>
        <w:rPr>
          <w:rFonts w:ascii="Times New Roman" w:hAnsi="Times New Roman" w:cs="Times New Roman" w:eastAsia="Times New Roman" w:hint="default"/>
          <w:spacing w:val="-5"/>
        </w:rPr>
        <w:t>2016-2018</w:t>
      </w:r>
      <w:r>
        <w:rPr>
          <w:rFonts w:ascii="Times New Roman" w:hAnsi="Times New Roman" w:cs="Times New Roman" w:eastAsia="Times New Roman" w:hint="default"/>
          <w:spacing w:val="3"/>
        </w:rPr>
        <w:t> </w:t>
      </w:r>
      <w:r>
        <w:rPr/>
        <w:t>年三年国盛证券累计实现归属于母公司所有者的净利润与扣除非经常性损益</w:t>
      </w:r>
    </w:p>
    <w:p>
      <w:pPr>
        <w:pStyle w:val="BodyText"/>
        <w:spacing w:line="240" w:lineRule="auto" w:before="35"/>
        <w:ind w:right="0"/>
        <w:jc w:val="left"/>
      </w:pPr>
      <w:r>
        <w:rPr/>
        <w:t>后归属于母公司所有者的净利润孰低值为</w:t>
      </w:r>
      <w:r>
        <w:rPr>
          <w:spacing w:val="-53"/>
        </w:rPr>
        <w:t> </w:t>
      </w:r>
      <w:r>
        <w:rPr>
          <w:rFonts w:ascii="Times New Roman" w:hAnsi="Times New Roman" w:cs="Times New Roman" w:eastAsia="Times New Roman" w:hint="default"/>
        </w:rPr>
        <w:t>1,060,952,505.21</w:t>
      </w:r>
      <w:r>
        <w:rPr>
          <w:rFonts w:ascii="Times New Roman" w:hAnsi="Times New Roman" w:cs="Times New Roman" w:eastAsia="Times New Roman" w:hint="default"/>
          <w:spacing w:val="-3"/>
        </w:rPr>
        <w:t> </w:t>
      </w:r>
      <w:r>
        <w:rPr/>
        <w:t>元，低于承诺业绩</w:t>
      </w:r>
      <w:r>
        <w:rPr>
          <w:spacing w:val="-56"/>
        </w:rPr>
        <w:t> </w:t>
      </w:r>
      <w:r>
        <w:rPr>
          <w:rFonts w:ascii="Times New Roman" w:hAnsi="Times New Roman" w:cs="Times New Roman" w:eastAsia="Times New Roman" w:hint="default"/>
        </w:rPr>
        <w:t>1,319,047,494.79</w:t>
      </w:r>
      <w:r>
        <w:rPr>
          <w:rFonts w:ascii="Times New Roman" w:hAnsi="Times New Roman" w:cs="Times New Roman" w:eastAsia="Times New Roman" w:hint="default"/>
          <w:spacing w:val="-1"/>
        </w:rPr>
        <w:t> </w:t>
      </w:r>
      <w:r>
        <w:rPr>
          <w:spacing w:val="-3"/>
        </w:rPr>
        <w:t>元。</w:t>
      </w:r>
      <w:r>
        <w:rPr/>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w:t>
      </w:r>
      <w:r>
        <w:rPr>
          <w:rFonts w:ascii="Times New Roman" w:hAnsi="Times New Roman" w:cs="Times New Roman" w:eastAsia="Times New Roman" w:hint="default"/>
        </w:rPr>
        <w:t>2</w:t>
      </w:r>
      <w:r>
        <w:rPr/>
        <w:t>）业绩承诺事项涉及争议</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2"/>
        </w:rPr>
        <w:t> </w:t>
      </w:r>
      <w:r>
        <w:rPr/>
        <w:t>月，雪松信托以公司违反诚实信用原则、恶意促成《业绩承诺补偿协议》约定的业绩补偿</w:t>
      </w:r>
    </w:p>
    <w:p>
      <w:pPr>
        <w:pStyle w:val="BodyText"/>
        <w:spacing w:line="240" w:lineRule="auto" w:before="177"/>
        <w:ind w:right="0"/>
        <w:jc w:val="left"/>
      </w:pPr>
      <w:r>
        <w:rPr/>
        <w:t>条件成就为由对公司、杜力、张巍等三人提起诉讼，请求法院判令三被告：向雪松信托赔偿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亿元损失；</w:t>
      </w:r>
    </w:p>
    <w:p>
      <w:pPr>
        <w:spacing w:after="0" w:line="240" w:lineRule="auto"/>
        <w:jc w:val="left"/>
        <w:sectPr>
          <w:headerReference w:type="default" r:id="rId76"/>
          <w:footerReference w:type="default" r:id="rId77"/>
          <w:pgSz w:w="11910" w:h="16840"/>
          <w:pgMar w:header="877" w:footer="979" w:top="1100" w:bottom="1160" w:left="980" w:right="0"/>
          <w:pgNumType w:start="253"/>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pPr>
      <w:r>
        <w:rPr/>
        <w:t>将国盛证券有限责任公司移交给雪松信托经营管理。</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4"/>
        </w:rPr>
        <w:t>月，公司向江西省高级人民法院（以下简称江西高院）提起反诉，请求法院判令雪松信托履</w:t>
      </w:r>
    </w:p>
    <w:p>
      <w:pPr>
        <w:pStyle w:val="BodyText"/>
        <w:spacing w:line="240" w:lineRule="auto" w:before="177"/>
        <w:ind w:right="0"/>
        <w:jc w:val="left"/>
      </w:pPr>
      <w:r>
        <w:rPr/>
        <w:t>行业绩承诺差额补偿义务。具体诉讼请求为：雪松信托以</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元的总对价向国盛金控转让</w:t>
      </w:r>
      <w:r>
        <w:rPr>
          <w:spacing w:val="-34"/>
        </w:rPr>
        <w:t> </w:t>
      </w:r>
      <w:r>
        <w:rPr>
          <w:rFonts w:ascii="Times New Roman" w:hAnsi="Times New Roman" w:cs="Times New Roman" w:eastAsia="Times New Roman" w:hint="default"/>
        </w:rPr>
        <w:t>311,734,019</w:t>
      </w:r>
      <w:r>
        <w:rPr>
          <w:rFonts w:ascii="Times New Roman" w:hAnsi="Times New Roman" w:cs="Times New Roman" w:eastAsia="Times New Roman" w:hint="default"/>
          <w:spacing w:val="18"/>
        </w:rPr>
        <w:t> </w:t>
      </w:r>
      <w:r>
        <w:rPr>
          <w:spacing w:val="-3"/>
        </w:rPr>
        <w:t>股应</w:t>
      </w:r>
      <w:r>
        <w:rPr/>
      </w:r>
    </w:p>
    <w:p>
      <w:pPr>
        <w:pStyle w:val="BodyText"/>
        <w:spacing w:line="240" w:lineRule="auto" w:before="177"/>
        <w:ind w:right="0"/>
        <w:jc w:val="left"/>
      </w:pPr>
      <w:r>
        <w:rPr>
          <w:spacing w:val="-4"/>
        </w:rPr>
        <w:t>补偿的国盛金控股份（雪松信托在国盛金控</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年度重大资产重组中获得的</w:t>
      </w:r>
      <w:r>
        <w:rPr>
          <w:spacing w:val="-49"/>
        </w:rPr>
        <w:t> </w:t>
      </w:r>
      <w:r>
        <w:rPr>
          <w:rFonts w:ascii="Times New Roman" w:hAnsi="Times New Roman" w:cs="Times New Roman" w:eastAsia="Times New Roman" w:hint="default"/>
        </w:rPr>
        <w:t>50%</w:t>
      </w:r>
      <w:r>
        <w:rPr/>
        <w:t>交易对价</w:t>
      </w:r>
      <w:r>
        <w:rPr>
          <w:spacing w:val="-46"/>
        </w:rPr>
        <w:t> </w:t>
      </w:r>
      <w:r>
        <w:rPr>
          <w:rFonts w:ascii="Times New Roman" w:hAnsi="Times New Roman" w:cs="Times New Roman" w:eastAsia="Times New Roman" w:hint="default"/>
        </w:rPr>
        <w:t>149,769,210</w:t>
      </w:r>
      <w:r>
        <w:rPr>
          <w:rFonts w:ascii="Times New Roman" w:hAnsi="Times New Roman" w:cs="Times New Roman" w:eastAsia="Times New Roman" w:hint="default"/>
          <w:spacing w:val="3"/>
        </w:rPr>
        <w:t> </w:t>
      </w:r>
      <w:r>
        <w:rPr/>
        <w:t>股</w:t>
      </w:r>
    </w:p>
    <w:p>
      <w:pPr>
        <w:pStyle w:val="BodyText"/>
        <w:spacing w:line="240" w:lineRule="auto" w:before="177"/>
        <w:ind w:right="0"/>
        <w:jc w:val="left"/>
      </w:pPr>
      <w:r>
        <w:rPr>
          <w:w w:val="100"/>
        </w:rPr>
        <w:t>国盛</w:t>
      </w:r>
      <w:r>
        <w:rPr>
          <w:spacing w:val="-3"/>
          <w:w w:val="100"/>
        </w:rPr>
        <w:t>金</w:t>
      </w:r>
      <w:r>
        <w:rPr>
          <w:w w:val="100"/>
        </w:rPr>
        <w:t>控</w:t>
      </w:r>
      <w:r>
        <w:rPr>
          <w:spacing w:val="-3"/>
          <w:w w:val="100"/>
        </w:rPr>
        <w:t>股</w:t>
      </w:r>
      <w:r>
        <w:rPr>
          <w:w w:val="100"/>
        </w:rPr>
        <w:t>份</w:t>
      </w:r>
      <w:r>
        <w:rPr>
          <w:spacing w:val="-3"/>
          <w:w w:val="100"/>
        </w:rPr>
        <w:t>在</w:t>
      </w:r>
      <w:r>
        <w:rPr>
          <w:w w:val="100"/>
        </w:rPr>
        <w:t>业</w:t>
      </w:r>
      <w:r>
        <w:rPr>
          <w:spacing w:val="-3"/>
          <w:w w:val="100"/>
        </w:rPr>
        <w:t>绩</w:t>
      </w:r>
      <w:r>
        <w:rPr>
          <w:w w:val="100"/>
        </w:rPr>
        <w:t>承</w:t>
      </w:r>
      <w:r>
        <w:rPr>
          <w:spacing w:val="-3"/>
          <w:w w:val="100"/>
        </w:rPr>
        <w:t>诺</w:t>
      </w:r>
      <w:r>
        <w:rPr>
          <w:w w:val="100"/>
        </w:rPr>
        <w:t>期内</w:t>
      </w:r>
      <w:r>
        <w:rPr>
          <w:spacing w:val="-3"/>
          <w:w w:val="100"/>
        </w:rPr>
        <w:t>经</w:t>
      </w:r>
      <w:r>
        <w:rPr>
          <w:w w:val="100"/>
        </w:rPr>
        <w:t>两</w:t>
      </w:r>
      <w:r>
        <w:rPr>
          <w:spacing w:val="-3"/>
          <w:w w:val="100"/>
        </w:rPr>
        <w:t>次</w:t>
      </w:r>
      <w:r>
        <w:rPr>
          <w:w w:val="100"/>
        </w:rPr>
        <w:t>资</w:t>
      </w:r>
      <w:r>
        <w:rPr>
          <w:spacing w:val="-3"/>
          <w:w w:val="100"/>
        </w:rPr>
        <w:t>本</w:t>
      </w:r>
      <w:r>
        <w:rPr>
          <w:w w:val="100"/>
        </w:rPr>
        <w:t>公</w:t>
      </w:r>
      <w:r>
        <w:rPr>
          <w:spacing w:val="-3"/>
          <w:w w:val="100"/>
        </w:rPr>
        <w:t>积</w:t>
      </w:r>
      <w:r>
        <w:rPr>
          <w:w w:val="100"/>
        </w:rPr>
        <w:t>金</w:t>
      </w:r>
      <w:r>
        <w:rPr>
          <w:spacing w:val="-3"/>
          <w:w w:val="100"/>
        </w:rPr>
        <w:t>转</w:t>
      </w:r>
      <w:r>
        <w:rPr>
          <w:w w:val="100"/>
        </w:rPr>
        <w:t>增股</w:t>
      </w:r>
      <w:r>
        <w:rPr>
          <w:spacing w:val="-3"/>
          <w:w w:val="100"/>
        </w:rPr>
        <w:t>本</w:t>
      </w:r>
      <w:r>
        <w:rPr>
          <w:spacing w:val="-8"/>
          <w:w w:val="100"/>
        </w:rPr>
        <w:t>，</w:t>
      </w:r>
      <w:r>
        <w:rPr>
          <w:spacing w:val="-3"/>
          <w:w w:val="100"/>
        </w:rPr>
        <w:t>现</w:t>
      </w:r>
      <w:r>
        <w:rPr>
          <w:w w:val="100"/>
        </w:rPr>
        <w:t>为</w:t>
      </w:r>
      <w:r>
        <w:rPr>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34,</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股</w:t>
      </w:r>
      <w:r>
        <w:rPr>
          <w:spacing w:val="-106"/>
          <w:w w:val="100"/>
        </w:rPr>
        <w:t>）</w:t>
      </w:r>
      <w:r>
        <w:rPr>
          <w:spacing w:val="-10"/>
          <w:w w:val="100"/>
        </w:rPr>
        <w:t>；</w:t>
      </w:r>
      <w:r>
        <w:rPr>
          <w:w w:val="100"/>
        </w:rPr>
        <w:t>雪</w:t>
      </w:r>
      <w:r>
        <w:rPr>
          <w:spacing w:val="-3"/>
          <w:w w:val="100"/>
        </w:rPr>
        <w:t>松</w:t>
      </w:r>
      <w:r>
        <w:rPr>
          <w:w w:val="100"/>
        </w:rPr>
        <w:t>信</w:t>
      </w:r>
      <w:r>
        <w:rPr>
          <w:spacing w:val="-3"/>
          <w:w w:val="100"/>
        </w:rPr>
        <w:t>托</w:t>
      </w:r>
      <w:r>
        <w:rPr>
          <w:w w:val="100"/>
        </w:rPr>
        <w:t>向</w:t>
      </w:r>
      <w:r>
        <w:rPr>
          <w:spacing w:val="-3"/>
          <w:w w:val="100"/>
        </w:rPr>
        <w:t>国</w:t>
      </w:r>
      <w:r>
        <w:rPr>
          <w:w w:val="100"/>
        </w:rPr>
        <w:t>盛</w:t>
      </w:r>
      <w:r>
        <w:rPr>
          <w:spacing w:val="-3"/>
          <w:w w:val="100"/>
        </w:rPr>
        <w:t>金控</w:t>
      </w:r>
      <w:r>
        <w:rPr>
          <w:w w:val="100"/>
        </w:rPr>
        <w:t>支</w:t>
      </w:r>
    </w:p>
    <w:p>
      <w:pPr>
        <w:pStyle w:val="BodyText"/>
        <w:spacing w:line="240" w:lineRule="auto" w:before="177"/>
        <w:ind w:right="0"/>
        <w:jc w:val="left"/>
      </w:pPr>
      <w:r>
        <w:rPr/>
        <w:t>付应补偿股份从</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spacing w:val="-3"/>
        </w:rPr>
        <w:t>日起至全部转让给国盛金控之日止获得的全部现金股利，上述现金股利暂</w:t>
      </w:r>
    </w:p>
    <w:p>
      <w:pPr>
        <w:pStyle w:val="BodyText"/>
        <w:spacing w:line="386" w:lineRule="auto" w:before="177"/>
        <w:ind w:right="0"/>
        <w:jc w:val="left"/>
      </w:pPr>
      <w:r>
        <w:rPr/>
        <w:t>计至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日，总计</w:t>
      </w:r>
      <w:r>
        <w:rPr>
          <w:spacing w:val="-50"/>
        </w:rPr>
        <w:t> </w:t>
      </w:r>
      <w:r>
        <w:rPr>
          <w:rFonts w:ascii="Times New Roman" w:hAnsi="Times New Roman" w:cs="Times New Roman" w:eastAsia="Times New Roman" w:hint="default"/>
        </w:rPr>
        <w:t>5,398,640.85 </w:t>
      </w:r>
      <w:r>
        <w:rPr/>
        <w:t>元；雪松信托向国盛金控支付现金补偿款</w:t>
      </w:r>
      <w:r>
        <w:rPr>
          <w:spacing w:val="-50"/>
        </w:rPr>
        <w:t> </w:t>
      </w:r>
      <w:r>
        <w:rPr>
          <w:rFonts w:ascii="Times New Roman" w:hAnsi="Times New Roman" w:cs="Times New Roman" w:eastAsia="Times New Roman" w:hint="default"/>
        </w:rPr>
        <w:t>1,802,533,221.58 </w:t>
      </w:r>
      <w:r>
        <w:rPr/>
        <w:t>元；</w:t>
      </w:r>
      <w:r>
        <w:rPr>
          <w:w w:val="100"/>
        </w:rPr>
        <w:t> </w:t>
      </w:r>
      <w:r>
        <w:rPr/>
        <w:t>雪松信托承担本案全部诉讼费用。</w:t>
      </w:r>
    </w:p>
    <w:p>
      <w:pPr>
        <w:pStyle w:val="BodyText"/>
        <w:spacing w:line="240" w:lineRule="auto" w:before="103"/>
        <w:ind w:left="57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4"/>
        </w:rPr>
        <w:t>日，江西高院作出（</w:t>
      </w:r>
      <w:r>
        <w:rPr>
          <w:rFonts w:ascii="Times New Roman" w:hAnsi="Times New Roman" w:cs="Times New Roman" w:eastAsia="Times New Roman" w:hint="default"/>
          <w:spacing w:val="-4"/>
        </w:rPr>
        <w:t>2018</w:t>
      </w:r>
      <w:r>
        <w:rPr>
          <w:spacing w:val="-4"/>
        </w:rPr>
        <w:t>）赣民初</w:t>
      </w:r>
      <w:r>
        <w:rPr>
          <w:spacing w:val="-47"/>
        </w:rPr>
        <w:t> </w:t>
      </w:r>
      <w:r>
        <w:rPr>
          <w:rFonts w:ascii="Times New Roman" w:hAnsi="Times New Roman" w:cs="Times New Roman" w:eastAsia="Times New Roman" w:hint="default"/>
        </w:rPr>
        <w:t>170</w:t>
      </w:r>
      <w:r>
        <w:rPr>
          <w:rFonts w:ascii="Times New Roman" w:hAnsi="Times New Roman" w:cs="Times New Roman" w:eastAsia="Times New Roman" w:hint="default"/>
          <w:spacing w:val="6"/>
        </w:rPr>
        <w:t> </w:t>
      </w:r>
      <w:r>
        <w:rPr>
          <w:spacing w:val="-3"/>
        </w:rPr>
        <w:t>号民事裁定书。江西高院经审查认为，国盛金</w:t>
      </w:r>
    </w:p>
    <w:p>
      <w:pPr>
        <w:pStyle w:val="BodyText"/>
        <w:spacing w:line="240" w:lineRule="auto" w:before="177"/>
        <w:ind w:right="0"/>
        <w:jc w:val="left"/>
      </w:pPr>
      <w:r>
        <w:rPr>
          <w:w w:val="100"/>
        </w:rPr>
        <w:t>控与</w:t>
      </w:r>
      <w:r>
        <w:rPr>
          <w:spacing w:val="-3"/>
          <w:w w:val="100"/>
        </w:rPr>
        <w:t>雪</w:t>
      </w:r>
      <w:r>
        <w:rPr>
          <w:w w:val="100"/>
        </w:rPr>
        <w:t>松</w:t>
      </w:r>
      <w:r>
        <w:rPr>
          <w:spacing w:val="-3"/>
          <w:w w:val="100"/>
        </w:rPr>
        <w:t>信</w:t>
      </w:r>
      <w:r>
        <w:rPr>
          <w:w w:val="100"/>
        </w:rPr>
        <w:t>托</w:t>
      </w:r>
      <w:r>
        <w:rPr>
          <w:spacing w:val="-38"/>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4"/>
        </w:rPr>
        <w:t> </w:t>
      </w:r>
      <w:r>
        <w:rPr>
          <w:w w:val="100"/>
        </w:rPr>
        <w:t>年</w:t>
      </w:r>
      <w:r>
        <w:rPr>
          <w:spacing w:val="-38"/>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2"/>
        </w:rPr>
        <w:t> </w:t>
      </w:r>
      <w:r>
        <w:rPr>
          <w:w w:val="100"/>
        </w:rPr>
        <w:t>月</w:t>
      </w:r>
      <w:r>
        <w:rPr>
          <w:spacing w:val="-38"/>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5"/>
        </w:rPr>
        <w:t> </w:t>
      </w:r>
      <w:r>
        <w:rPr>
          <w:w w:val="100"/>
        </w:rPr>
        <w:t>日</w:t>
      </w:r>
      <w:r>
        <w:rPr>
          <w:spacing w:val="-3"/>
          <w:w w:val="100"/>
        </w:rPr>
        <w:t>签</w:t>
      </w:r>
      <w:r>
        <w:rPr>
          <w:w w:val="100"/>
        </w:rPr>
        <w:t>署</w:t>
      </w:r>
      <w:r>
        <w:rPr>
          <w:spacing w:val="-3"/>
          <w:w w:val="100"/>
        </w:rPr>
        <w:t>的</w:t>
      </w:r>
      <w:r>
        <w:rPr>
          <w:w w:val="100"/>
        </w:rPr>
        <w:t>《</w:t>
      </w:r>
      <w:r>
        <w:rPr>
          <w:spacing w:val="-3"/>
          <w:w w:val="100"/>
        </w:rPr>
        <w:t>发</w:t>
      </w:r>
      <w:r>
        <w:rPr>
          <w:w w:val="100"/>
        </w:rPr>
        <w:t>行</w:t>
      </w:r>
      <w:r>
        <w:rPr>
          <w:spacing w:val="-3"/>
          <w:w w:val="100"/>
        </w:rPr>
        <w:t>股份</w:t>
      </w:r>
      <w:r>
        <w:rPr>
          <w:w w:val="100"/>
        </w:rPr>
        <w:t>及支</w:t>
      </w:r>
      <w:r>
        <w:rPr>
          <w:spacing w:val="-3"/>
          <w:w w:val="100"/>
        </w:rPr>
        <w:t>付</w:t>
      </w:r>
      <w:r>
        <w:rPr>
          <w:w w:val="100"/>
        </w:rPr>
        <w:t>现</w:t>
      </w:r>
      <w:r>
        <w:rPr>
          <w:spacing w:val="-3"/>
          <w:w w:val="100"/>
        </w:rPr>
        <w:t>金</w:t>
      </w:r>
      <w:r>
        <w:rPr>
          <w:w w:val="100"/>
        </w:rPr>
        <w:t>购</w:t>
      </w:r>
      <w:r>
        <w:rPr>
          <w:spacing w:val="-3"/>
          <w:w w:val="100"/>
        </w:rPr>
        <w:t>买</w:t>
      </w:r>
      <w:r>
        <w:rPr>
          <w:w w:val="100"/>
        </w:rPr>
        <w:t>资</w:t>
      </w:r>
      <w:r>
        <w:rPr>
          <w:spacing w:val="-3"/>
          <w:w w:val="100"/>
        </w:rPr>
        <w:t>产</w:t>
      </w:r>
      <w:r>
        <w:rPr>
          <w:w w:val="100"/>
        </w:rPr>
        <w:t>协</w:t>
      </w:r>
      <w:r>
        <w:rPr>
          <w:spacing w:val="-3"/>
          <w:w w:val="100"/>
        </w:rPr>
        <w:t>议</w:t>
      </w:r>
      <w:r>
        <w:rPr>
          <w:spacing w:val="-108"/>
          <w:w w:val="100"/>
        </w:rPr>
        <w:t>》</w:t>
      </w:r>
      <w:r>
        <w:rPr>
          <w:w w:val="100"/>
        </w:rPr>
        <w:t>、国</w:t>
      </w:r>
      <w:r>
        <w:rPr>
          <w:spacing w:val="-3"/>
          <w:w w:val="100"/>
        </w:rPr>
        <w:t>盛</w:t>
      </w:r>
      <w:r>
        <w:rPr>
          <w:w w:val="100"/>
        </w:rPr>
        <w:t>金</w:t>
      </w:r>
      <w:r>
        <w:rPr>
          <w:spacing w:val="-3"/>
          <w:w w:val="100"/>
        </w:rPr>
        <w:t>控</w:t>
      </w:r>
      <w:r>
        <w:rPr>
          <w:w w:val="100"/>
        </w:rPr>
        <w:t>与</w:t>
      </w:r>
      <w:r>
        <w:rPr>
          <w:spacing w:val="-3"/>
          <w:w w:val="100"/>
        </w:rPr>
        <w:t>雪</w:t>
      </w:r>
      <w:r>
        <w:rPr>
          <w:w w:val="100"/>
        </w:rPr>
        <w:t>松</w:t>
      </w:r>
      <w:r>
        <w:rPr>
          <w:spacing w:val="-3"/>
          <w:w w:val="100"/>
        </w:rPr>
        <w:t>信</w:t>
      </w:r>
      <w:r>
        <w:rPr>
          <w:w w:val="100"/>
        </w:rPr>
        <w:t>托</w:t>
      </w:r>
      <w:r>
        <w:rPr>
          <w:spacing w:val="-3"/>
          <w:w w:val="100"/>
        </w:rPr>
        <w:t>、</w:t>
      </w:r>
      <w:r>
        <w:rPr>
          <w:w w:val="100"/>
        </w:rPr>
        <w:t>杜</w:t>
      </w:r>
    </w:p>
    <w:p>
      <w:pPr>
        <w:pStyle w:val="BodyText"/>
        <w:spacing w:line="398" w:lineRule="auto" w:before="177"/>
        <w:ind w:right="1126"/>
        <w:jc w:val="both"/>
      </w:pPr>
      <w:r>
        <w:rPr/>
        <w:t>力、张巍</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日签署的《业绩承诺补偿协议》均约定了仲裁条款。因此，雪松信托与国盛金控</w:t>
      </w:r>
      <w:r>
        <w:rPr>
          <w:w w:val="100"/>
        </w:rPr>
        <w:t> </w:t>
      </w:r>
      <w:r>
        <w:rPr>
          <w:spacing w:val="-2"/>
        </w:rPr>
        <w:t>关于本案纠纷解决均签有仲裁条款，且合法有效，江西高院裁定分别驳回雪松信托的起诉和国盛金控的反</w:t>
      </w:r>
      <w:r>
        <w:rPr>
          <w:spacing w:val="-42"/>
        </w:rPr>
        <w:t> </w:t>
      </w:r>
      <w:r>
        <w:rPr>
          <w:spacing w:val="-42"/>
        </w:rPr>
      </w:r>
      <w:r>
        <w:rPr/>
        <w:t>诉。</w:t>
      </w:r>
    </w:p>
    <w:p>
      <w:pPr>
        <w:pStyle w:val="BodyText"/>
        <w:spacing w:line="240" w:lineRule="auto" w:before="95"/>
        <w:ind w:left="573" w:right="0"/>
        <w:jc w:val="left"/>
      </w:pPr>
      <w:r>
        <w:rPr>
          <w:spacing w:val="-2"/>
        </w:rPr>
        <w:t>公司已在法定期限内就江西高院作出的（</w:t>
      </w:r>
      <w:r>
        <w:rPr>
          <w:rFonts w:ascii="Times New Roman" w:hAnsi="Times New Roman" w:cs="Times New Roman" w:eastAsia="Times New Roman" w:hint="default"/>
          <w:spacing w:val="-2"/>
        </w:rPr>
        <w:t>2018</w:t>
      </w:r>
      <w:r>
        <w:rPr>
          <w:spacing w:val="-2"/>
        </w:rPr>
        <w:t>）赣民初</w:t>
      </w:r>
      <w:r>
        <w:rPr/>
        <w:t> </w:t>
      </w:r>
      <w:r>
        <w:rPr>
          <w:rFonts w:ascii="Times New Roman" w:hAnsi="Times New Roman" w:cs="Times New Roman" w:eastAsia="Times New Roman" w:hint="default"/>
          <w:spacing w:val="-1"/>
        </w:rPr>
        <w:t>170</w:t>
      </w:r>
      <w:r>
        <w:rPr>
          <w:rFonts w:ascii="Times New Roman" w:hAnsi="Times New Roman" w:cs="Times New Roman" w:eastAsia="Times New Roman" w:hint="default"/>
          <w:spacing w:val="8"/>
        </w:rPr>
        <w:t> </w:t>
      </w:r>
      <w:r>
        <w:rPr>
          <w:spacing w:val="-2"/>
        </w:rPr>
        <w:t>号民事裁定书上诉至最高人民法院（以下</w:t>
      </w:r>
    </w:p>
    <w:p>
      <w:pPr>
        <w:pStyle w:val="BodyText"/>
        <w:spacing w:line="240" w:lineRule="auto" w:before="177"/>
        <w:ind w:right="0"/>
        <w:jc w:val="left"/>
      </w:pPr>
      <w:r>
        <w:rPr>
          <w:w w:val="100"/>
        </w:rPr>
        <w:t>简称</w:t>
      </w:r>
      <w:r>
        <w:rPr>
          <w:spacing w:val="-3"/>
          <w:w w:val="100"/>
        </w:rPr>
        <w:t>最</w:t>
      </w:r>
      <w:r>
        <w:rPr>
          <w:w w:val="100"/>
        </w:rPr>
        <w:t>高</w:t>
      </w:r>
      <w:r>
        <w:rPr>
          <w:spacing w:val="-3"/>
          <w:w w:val="100"/>
        </w:rPr>
        <w:t>法</w:t>
      </w:r>
      <w:r>
        <w:rPr>
          <w:w w:val="100"/>
        </w:rPr>
        <w:t>院</w:t>
      </w:r>
      <w:r>
        <w:rPr>
          <w:spacing w:val="-108"/>
          <w:w w:val="100"/>
        </w:rPr>
        <w:t>）</w:t>
      </w:r>
      <w:r>
        <w:rPr>
          <w:spacing w:val="-8"/>
          <w:w w:val="100"/>
        </w:rPr>
        <w:t>。</w:t>
      </w:r>
      <w:r>
        <w:rPr>
          <w:spacing w:val="-3"/>
          <w:w w:val="100"/>
        </w:rPr>
        <w:t>公</w:t>
      </w:r>
      <w:r>
        <w:rPr>
          <w:w w:val="100"/>
        </w:rPr>
        <w:t>司</w:t>
      </w:r>
      <w:r>
        <w:rPr>
          <w:spacing w:val="-3"/>
          <w:w w:val="100"/>
        </w:rPr>
        <w:t>目前</w:t>
      </w:r>
      <w:r>
        <w:rPr>
          <w:w w:val="100"/>
        </w:rPr>
        <w:t>已收</w:t>
      </w:r>
      <w:r>
        <w:rPr>
          <w:spacing w:val="-3"/>
          <w:w w:val="100"/>
        </w:rPr>
        <w:t>到</w:t>
      </w:r>
      <w:r>
        <w:rPr>
          <w:w w:val="100"/>
        </w:rPr>
        <w:t>最</w:t>
      </w:r>
      <w:r>
        <w:rPr>
          <w:spacing w:val="-3"/>
          <w:w w:val="100"/>
        </w:rPr>
        <w:t>高</w:t>
      </w:r>
      <w:r>
        <w:rPr>
          <w:w w:val="100"/>
        </w:rPr>
        <w:t>法</w:t>
      </w:r>
      <w:r>
        <w:rPr>
          <w:spacing w:val="-10"/>
          <w:w w:val="100"/>
        </w:rPr>
        <w:t>院</w:t>
      </w:r>
      <w:r>
        <w:rPr>
          <w:w w:val="100"/>
        </w:rPr>
        <w:t>《</w:t>
      </w:r>
      <w:r>
        <w:rPr>
          <w:spacing w:val="-3"/>
          <w:w w:val="100"/>
        </w:rPr>
        <w:t>受</w:t>
      </w:r>
      <w:r>
        <w:rPr>
          <w:w w:val="100"/>
        </w:rPr>
        <w:t>理</w:t>
      </w:r>
      <w:r>
        <w:rPr>
          <w:spacing w:val="-3"/>
          <w:w w:val="100"/>
        </w:rPr>
        <w:t>案</w:t>
      </w:r>
      <w:r>
        <w:rPr>
          <w:w w:val="100"/>
        </w:rPr>
        <w:t>件通</w:t>
      </w:r>
      <w:r>
        <w:rPr>
          <w:spacing w:val="-3"/>
          <w:w w:val="100"/>
        </w:rPr>
        <w:t>知</w:t>
      </w:r>
      <w:r>
        <w:rPr>
          <w:w w:val="100"/>
        </w:rPr>
        <w:t>书</w:t>
      </w:r>
      <w:r>
        <w:rPr>
          <w:spacing w:val="-108"/>
          <w:w w:val="100"/>
        </w:rPr>
        <w:t>》</w:t>
      </w:r>
      <w:r>
        <w:rPr>
          <w:spacing w:val="-8"/>
          <w:w w:val="100"/>
        </w:rPr>
        <w:t>。</w:t>
      </w:r>
      <w:r>
        <w:rPr>
          <w:spacing w:val="-3"/>
          <w:w w:val="100"/>
        </w:rPr>
        <w:t>最</w:t>
      </w:r>
      <w:r>
        <w:rPr>
          <w:w w:val="100"/>
        </w:rPr>
        <w:t>高</w:t>
      </w:r>
      <w:r>
        <w:rPr>
          <w:spacing w:val="-3"/>
          <w:w w:val="100"/>
        </w:rPr>
        <w:t>法</w:t>
      </w:r>
      <w:r>
        <w:rPr>
          <w:w w:val="100"/>
        </w:rPr>
        <w:t>院于</w:t>
      </w:r>
      <w:r>
        <w:rPr>
          <w:spacing w:val="-5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020</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日</w:t>
      </w:r>
      <w:r>
        <w:rPr>
          <w:spacing w:val="-3"/>
          <w:w w:val="100"/>
        </w:rPr>
        <w:t>受</w:t>
      </w:r>
      <w:r>
        <w:rPr>
          <w:w w:val="100"/>
        </w:rPr>
        <w:t>理</w:t>
      </w:r>
      <w:r>
        <w:rPr>
          <w:spacing w:val="-3"/>
          <w:w w:val="100"/>
        </w:rPr>
        <w:t>该上</w:t>
      </w:r>
      <w:r>
        <w:rPr>
          <w:w w:val="100"/>
        </w:rPr>
        <w:t>诉</w:t>
      </w:r>
    </w:p>
    <w:p>
      <w:pPr>
        <w:pStyle w:val="BodyText"/>
        <w:spacing w:line="240" w:lineRule="auto" w:before="177"/>
        <w:ind w:right="0"/>
        <w:jc w:val="left"/>
      </w:pPr>
      <w:r>
        <w:rPr/>
        <w:t>案件，案号为（</w:t>
      </w:r>
      <w:r>
        <w:rPr>
          <w:rFonts w:ascii="Times New Roman" w:hAnsi="Times New Roman" w:cs="Times New Roman" w:eastAsia="Times New Roman" w:hint="default"/>
        </w:rPr>
        <w:t>2020</w:t>
      </w:r>
      <w:r>
        <w:rPr/>
        <w:t>）最高法民终</w:t>
      </w:r>
      <w:r>
        <w:rPr>
          <w:spacing w:val="-52"/>
        </w:rPr>
        <w:t> </w:t>
      </w:r>
      <w:r>
        <w:rPr>
          <w:rFonts w:ascii="Times New Roman" w:hAnsi="Times New Roman" w:cs="Times New Roman" w:eastAsia="Times New Roman" w:hint="default"/>
        </w:rPr>
        <w:t>358 </w:t>
      </w:r>
      <w:r>
        <w:rPr>
          <w:spacing w:val="-3"/>
        </w:rPr>
        <w:t>号。</w:t>
      </w:r>
      <w:r>
        <w:rPr/>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spacing w:val="-5"/>
        </w:rPr>
        <w:t>（</w:t>
      </w:r>
      <w:r>
        <w:rPr>
          <w:rFonts w:ascii="Times New Roman" w:hAnsi="Times New Roman" w:cs="Times New Roman" w:eastAsia="Times New Roman" w:hint="default"/>
          <w:spacing w:val="-5"/>
        </w:rPr>
        <w:t>3</w:t>
      </w:r>
      <w:r>
        <w:rPr>
          <w:spacing w:val="-5"/>
        </w:rPr>
        <w:t>）截止本报告出具日，雪松信托持有公司股份</w:t>
      </w:r>
      <w:r>
        <w:rPr>
          <w:spacing w:val="-44"/>
        </w:rPr>
        <w:t> </w:t>
      </w:r>
      <w:r>
        <w:rPr>
          <w:rFonts w:ascii="Times New Roman" w:hAnsi="Times New Roman" w:cs="Times New Roman" w:eastAsia="Times New Roman" w:hint="default"/>
        </w:rPr>
        <w:t>311,734,019</w:t>
      </w:r>
      <w:r>
        <w:rPr>
          <w:rFonts w:ascii="Times New Roman" w:hAnsi="Times New Roman" w:cs="Times New Roman" w:eastAsia="Times New Roman" w:hint="default"/>
          <w:spacing w:val="7"/>
        </w:rPr>
        <w:t> </w:t>
      </w:r>
      <w:r>
        <w:rPr>
          <w:spacing w:val="-6"/>
        </w:rPr>
        <w:t>股，累计被质押数量为</w:t>
      </w:r>
      <w:r>
        <w:rPr>
          <w:spacing w:val="-44"/>
        </w:rPr>
        <w:t> </w:t>
      </w:r>
      <w:r>
        <w:rPr>
          <w:rFonts w:ascii="Times New Roman" w:hAnsi="Times New Roman" w:cs="Times New Roman" w:eastAsia="Times New Roman" w:hint="default"/>
        </w:rPr>
        <w:t>311,734,019</w:t>
      </w:r>
      <w:r>
        <w:rPr>
          <w:rFonts w:ascii="Times New Roman" w:hAnsi="Times New Roman" w:cs="Times New Roman" w:eastAsia="Times New Roman" w:hint="default"/>
          <w:spacing w:val="6"/>
        </w:rPr>
        <w:t> </w:t>
      </w:r>
      <w:r>
        <w:rPr/>
        <w:t>股，</w:t>
      </w:r>
    </w:p>
    <w:p>
      <w:pPr>
        <w:pStyle w:val="BodyText"/>
        <w:spacing w:line="240" w:lineRule="auto" w:before="177"/>
        <w:ind w:right="0"/>
        <w:jc w:val="left"/>
      </w:pPr>
      <w:r>
        <w:rPr/>
        <w:t>质权人为中国华融资产管理股份有限公司广东省分公司，其中</w:t>
      </w:r>
      <w:r>
        <w:rPr>
          <w:spacing w:val="-40"/>
        </w:rPr>
        <w:t> </w:t>
      </w:r>
      <w:r>
        <w:rPr>
          <w:rFonts w:ascii="Times New Roman" w:hAnsi="Times New Roman" w:cs="Times New Roman" w:eastAsia="Times New Roman" w:hint="default"/>
        </w:rPr>
        <w:t>164,000,000</w:t>
      </w:r>
      <w:r>
        <w:rPr>
          <w:rFonts w:ascii="Times New Roman" w:hAnsi="Times New Roman" w:cs="Times New Roman" w:eastAsia="Times New Roman" w:hint="default"/>
          <w:spacing w:val="12"/>
        </w:rPr>
        <w:t> </w:t>
      </w:r>
      <w:r>
        <w:rPr/>
        <w:t>股质押起始日为</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p>
    <w:p>
      <w:pPr>
        <w:pStyle w:val="BodyText"/>
        <w:spacing w:line="240" w:lineRule="auto" w:before="177"/>
        <w:ind w:right="0"/>
        <w:jc w:val="left"/>
      </w:pPr>
      <w:r>
        <w:rPr>
          <w:rFonts w:ascii="Times New Roman" w:hAnsi="Times New Roman" w:cs="Times New Roman" w:eastAsia="Times New Roman" w:hint="default"/>
        </w:rPr>
        <w:t>24 </w:t>
      </w:r>
      <w:r>
        <w:rPr/>
        <w:t>日，</w:t>
      </w:r>
      <w:r>
        <w:rPr>
          <w:rFonts w:ascii="Times New Roman" w:hAnsi="Times New Roman" w:cs="Times New Roman" w:eastAsia="Times New Roman" w:hint="default"/>
        </w:rPr>
        <w:t>147,734,019</w:t>
      </w:r>
      <w:r>
        <w:rPr>
          <w:rFonts w:ascii="Times New Roman" w:hAnsi="Times New Roman" w:cs="Times New Roman" w:eastAsia="Times New Roman" w:hint="default"/>
          <w:spacing w:val="-3"/>
        </w:rPr>
        <w:t> </w:t>
      </w:r>
      <w:r>
        <w:rPr/>
        <w:t>股质押起始日为</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日，质押到期日为办理解除质押登记之日。</w:t>
      </w:r>
    </w:p>
    <w:p>
      <w:pPr>
        <w:spacing w:line="240" w:lineRule="auto" w:before="6"/>
        <w:rPr>
          <w:rFonts w:ascii="宋体" w:hAnsi="宋体" w:cs="宋体" w:eastAsia="宋体" w:hint="default"/>
          <w:sz w:val="16"/>
          <w:szCs w:val="16"/>
        </w:rPr>
      </w:pPr>
    </w:p>
    <w:p>
      <w:pPr>
        <w:pStyle w:val="BodyText"/>
        <w:spacing w:line="420" w:lineRule="auto"/>
        <w:ind w:left="573" w:right="0"/>
        <w:jc w:val="left"/>
      </w:pPr>
      <w:r>
        <w:rPr/>
        <w:t>（</w:t>
      </w:r>
      <w:r>
        <w:rPr>
          <w:rFonts w:ascii="Times New Roman" w:hAnsi="Times New Roman" w:cs="Times New Roman" w:eastAsia="Times New Roman" w:hint="default"/>
        </w:rPr>
        <w:t>4</w:t>
      </w:r>
      <w:r>
        <w:rPr/>
        <w:t>）本案代理机构北京市天同（深圳）律师事务所的有关意见</w:t>
      </w:r>
      <w:r>
        <w:rPr>
          <w:w w:val="100"/>
        </w:rPr>
        <w:t> </w:t>
      </w:r>
      <w:r>
        <w:rPr>
          <w:spacing w:val="-7"/>
          <w:w w:val="100"/>
        </w:rPr>
        <w:t>天同认为，《业绩承诺补偿协议》系国盛金控和雪松信托的真实意思表示，符合重大资产重组的交易惯</w:t>
      </w:r>
    </w:p>
    <w:p>
      <w:pPr>
        <w:pStyle w:val="BodyText"/>
        <w:spacing w:line="408" w:lineRule="auto" w:before="36"/>
        <w:ind w:right="0"/>
        <w:jc w:val="left"/>
      </w:pPr>
      <w:r>
        <w:rPr/>
        <w:t>例，已经证监会核准、备案，协议效力目前不存在争议。在人民法院尊重商事主体意思自治的大背景下，</w:t>
      </w:r>
      <w:r>
        <w:rPr>
          <w:spacing w:val="-24"/>
        </w:rPr>
        <w:t> </w:t>
      </w:r>
      <w:r>
        <w:rPr>
          <w:spacing w:val="-24"/>
        </w:rPr>
      </w:r>
      <w:r>
        <w:rPr>
          <w:spacing w:val="-2"/>
        </w:rPr>
        <w:t>我们认为人民法院应当严格依据《业绩承诺补偿协议》判令雪松信托承担业绩承诺补偿责任。结合目前的</w:t>
      </w:r>
      <w:r>
        <w:rPr>
          <w:spacing w:val="-43"/>
        </w:rPr>
        <w:t> </w:t>
      </w:r>
      <w:r>
        <w:rPr>
          <w:spacing w:val="-43"/>
        </w:rPr>
      </w:r>
      <w:r>
        <w:rPr>
          <w:spacing w:val="-2"/>
        </w:rPr>
        <w:t>证据情况，天同认为雪松信托主张国盛金控承担侵权责任缺乏依据。国盛金控依法取得国盛证券所有权并</w:t>
      </w:r>
      <w:r>
        <w:rPr>
          <w:spacing w:val="-42"/>
        </w:rPr>
        <w:t> </w:t>
      </w:r>
      <w:r>
        <w:rPr>
          <w:spacing w:val="-42"/>
        </w:rPr>
      </w:r>
      <w:r>
        <w:rPr>
          <w:spacing w:val="-2"/>
        </w:rPr>
        <w:t>合法行使股东权利、依法合规经营，通过国盛金控的努力，国盛证券在多方面取得显著进步，雪松信托要</w:t>
      </w:r>
      <w:r>
        <w:rPr>
          <w:spacing w:val="-50"/>
        </w:rPr>
        <w:t> </w:t>
      </w:r>
      <w:r>
        <w:rPr>
          <w:spacing w:val="-50"/>
        </w:rPr>
      </w:r>
      <w:r>
        <w:rPr/>
        <w:t>求法院判令国盛金控将国盛证券交由其经营、管理的诉讼请求没有法律和事实依据，不会获得支持。</w:t>
      </w:r>
    </w:p>
    <w:p>
      <w:pPr>
        <w:pStyle w:val="BodyText"/>
        <w:spacing w:line="408" w:lineRule="auto" w:before="87"/>
        <w:ind w:right="1126" w:firstLine="420"/>
        <w:jc w:val="both"/>
      </w:pPr>
      <w:r>
        <w:rPr>
          <w:spacing w:val="-2"/>
        </w:rPr>
        <w:t>此外，雪松信托持有的国盛金控股票是否被质押，仅影响雪松信托承担业绩补偿责任的方式，对国盛</w:t>
      </w:r>
      <w:r>
        <w:rPr>
          <w:w w:val="100"/>
        </w:rPr>
        <w:t> </w:t>
      </w:r>
      <w:r>
        <w:rPr>
          <w:spacing w:val="-7"/>
        </w:rPr>
        <w:t>金控的权利不产生实质影响。根据雪松信托目前的资产状况，在人民法院作出终审判决后，如无意外情况，</w:t>
      </w:r>
      <w:r>
        <w:rPr>
          <w:spacing w:val="-17"/>
        </w:rPr>
        <w:t> </w:t>
      </w:r>
      <w:r>
        <w:rPr>
          <w:spacing w:val="-17"/>
        </w:rPr>
      </w:r>
      <w:r>
        <w:rPr/>
        <w:t>国盛金控债权获得足额清偿的可能性极大，天同对本案执行清偿率持乐观态度。</w:t>
      </w:r>
    </w:p>
    <w:p>
      <w:pPr>
        <w:spacing w:after="0" w:line="408" w:lineRule="auto"/>
        <w:jc w:val="both"/>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408" w:lineRule="auto" w:before="36"/>
        <w:ind w:right="1126" w:firstLine="420"/>
        <w:jc w:val="both"/>
      </w:pPr>
      <w:r>
        <w:rPr>
          <w:spacing w:val="-2"/>
        </w:rPr>
        <w:t>最后，关于本案的主管机构。雪松信托以侵权为由在江西高院一审起诉，国盛金控、杜力、张巍均认</w:t>
      </w:r>
      <w:r>
        <w:rPr>
          <w:w w:val="100"/>
        </w:rPr>
        <w:t> </w:t>
      </w:r>
      <w:r>
        <w:rPr>
          <w:spacing w:val="-2"/>
        </w:rPr>
        <w:t>可江西高院的管辖权，且国盛金控另行提出反诉，江西高院业已受理；国盛金控和雪松信托亦曾共同向江</w:t>
      </w:r>
      <w:r>
        <w:rPr>
          <w:spacing w:val="-43"/>
        </w:rPr>
        <w:t> </w:t>
      </w:r>
      <w:r>
        <w:rPr>
          <w:spacing w:val="-43"/>
        </w:rPr>
      </w:r>
      <w:r>
        <w:rPr>
          <w:spacing w:val="-2"/>
        </w:rPr>
        <w:t>西高院申请延期审理；在江西高院一审驳回雪松信托起诉和国盛金控反诉后，各方当事人均向最高法院上</w:t>
      </w:r>
      <w:r>
        <w:rPr>
          <w:spacing w:val="-44"/>
        </w:rPr>
        <w:t> </w:t>
      </w:r>
      <w:r>
        <w:rPr>
          <w:spacing w:val="-44"/>
        </w:rPr>
      </w:r>
      <w:r>
        <w:rPr>
          <w:spacing w:val="-2"/>
        </w:rPr>
        <w:t>诉要求本案在法院系统解决。基于上述情况，我们认为各方当事人均有意通过诉讼方式解决本案争议，并</w:t>
      </w:r>
      <w:r>
        <w:rPr>
          <w:spacing w:val="-44"/>
        </w:rPr>
        <w:t> </w:t>
      </w:r>
      <w:r>
        <w:rPr>
          <w:spacing w:val="-44"/>
        </w:rPr>
      </w:r>
      <w:r>
        <w:rPr/>
        <w:t>明确通过诉讼行为变更了原仲裁条款，本案本诉、反诉均应由江西高院一并审理。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对趣店投资的会计核算方法转换</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w:t>
      </w:r>
      <w:r>
        <w:rPr>
          <w:rFonts w:ascii="Times New Roman" w:hAnsi="Times New Roman" w:cs="Times New Roman" w:eastAsia="Times New Roman" w:hint="default"/>
        </w:rPr>
        <w:t>1</w:t>
      </w:r>
      <w:r>
        <w:rPr/>
        <w:t>）公司取得趣店股权过程及趣店的董事会权力</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月，国盛金控的全资子公司深圳投资以</w:t>
      </w:r>
      <w:r>
        <w:rPr>
          <w:spacing w:val="-49"/>
        </w:rPr>
        <w:t> </w:t>
      </w:r>
      <w:r>
        <w:rPr>
          <w:rFonts w:ascii="Times New Roman" w:hAnsi="Times New Roman" w:cs="Times New Roman" w:eastAsia="Times New Roman" w:hint="default"/>
        </w:rPr>
        <w:t>3.75</w:t>
      </w:r>
      <w:r>
        <w:rPr>
          <w:rFonts w:ascii="Times New Roman" w:hAnsi="Times New Roman" w:cs="Times New Roman" w:eastAsia="Times New Roman" w:hint="default"/>
          <w:spacing w:val="4"/>
        </w:rPr>
        <w:t> </w:t>
      </w:r>
      <w:r>
        <w:rPr/>
        <w:t>亿元购买取得北京快乐时代科技发展有限公司</w:t>
      </w:r>
    </w:p>
    <w:p>
      <w:pPr>
        <w:pStyle w:val="BodyText"/>
        <w:spacing w:line="386" w:lineRule="auto" w:before="177"/>
        <w:ind w:right="1126"/>
        <w:jc w:val="both"/>
      </w:pPr>
      <w:r>
        <w:rPr>
          <w:spacing w:val="-2"/>
          <w:w w:val="100"/>
        </w:rPr>
        <w:t>（以下简称北京快乐时代）</w:t>
      </w:r>
      <w:r>
        <w:rPr>
          <w:rFonts w:ascii="Times New Roman" w:hAnsi="Times New Roman" w:cs="Times New Roman" w:eastAsia="Times New Roman" w:hint="default"/>
          <w:spacing w:val="-2"/>
          <w:w w:val="100"/>
        </w:rPr>
        <w:t>5%</w:t>
      </w:r>
      <w:r>
        <w:rPr>
          <w:spacing w:val="-2"/>
          <w:w w:val="100"/>
        </w:rPr>
        <w:t>股权。</w:t>
      </w:r>
      <w:r>
        <w:rPr>
          <w:rFonts w:ascii="Times New Roman" w:hAnsi="Times New Roman" w:cs="Times New Roman" w:eastAsia="Times New Roman" w:hint="default"/>
          <w:spacing w:val="-2"/>
          <w:w w:val="100"/>
        </w:rPr>
        <w:t>2016</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 </w:t>
      </w:r>
      <w:r>
        <w:rPr>
          <w:spacing w:val="-10"/>
          <w:w w:val="100"/>
        </w:rPr>
        <w:t>月，北京快乐时代搭建境外上市的协议控制架构（</w:t>
      </w:r>
      <w:r>
        <w:rPr>
          <w:rFonts w:ascii="Times New Roman" w:hAnsi="Times New Roman" w:cs="Times New Roman" w:eastAsia="Times New Roman" w:hint="default"/>
          <w:spacing w:val="-10"/>
          <w:w w:val="100"/>
        </w:rPr>
        <w:t>VIE</w:t>
      </w:r>
      <w:r>
        <w:rPr>
          <w:spacing w:val="-10"/>
          <w:w w:val="100"/>
        </w:rPr>
        <w:t>），</w:t>
      </w:r>
      <w:r>
        <w:rPr>
          <w:spacing w:val="-101"/>
          <w:w w:val="100"/>
        </w:rPr>
        <w:t> </w:t>
      </w:r>
      <w:r>
        <w:rPr>
          <w:spacing w:val="-3"/>
        </w:rPr>
        <w:t>趣店是协议控制北京快乐时代的境外主体。按照 </w:t>
      </w:r>
      <w:r>
        <w:rPr>
          <w:rFonts w:ascii="Times New Roman" w:hAnsi="Times New Roman" w:cs="Times New Roman" w:eastAsia="Times New Roman" w:hint="default"/>
        </w:rPr>
        <w:t>VIE </w:t>
      </w:r>
      <w:r>
        <w:rPr>
          <w:spacing w:val="-3"/>
        </w:rPr>
        <w:t>架构相关合同，公司全资子公司香港投资成为持有趣</w:t>
      </w:r>
      <w:r>
        <w:rPr>
          <w:spacing w:val="-89"/>
        </w:rPr>
        <w:t> </w:t>
      </w:r>
      <w:r>
        <w:rPr>
          <w:spacing w:val="-89"/>
        </w:rPr>
      </w:r>
      <w:r>
        <w:rPr/>
        <w:t>店</w:t>
      </w:r>
      <w:r>
        <w:rPr>
          <w:spacing w:val="-32"/>
        </w:rPr>
        <w:t> </w:t>
      </w:r>
      <w:r>
        <w:rPr>
          <w:rFonts w:ascii="Times New Roman" w:hAnsi="Times New Roman" w:cs="Times New Roman" w:eastAsia="Times New Roman" w:hint="default"/>
          <w:spacing w:val="-4"/>
        </w:rPr>
        <w:t>5%</w:t>
      </w:r>
      <w:r>
        <w:rPr>
          <w:spacing w:val="-4"/>
        </w:rPr>
        <w:t>股权的股东，深圳投资放弃与北京快乐时代有关的所有股东权益。</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6"/>
        </w:rPr>
        <w:t> </w:t>
      </w:r>
      <w:r>
        <w:rPr/>
        <w:t>年</w:t>
      </w:r>
      <w:r>
        <w:rPr>
          <w:spacing w:val="-33"/>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spacing w:val="-5"/>
        </w:rPr>
        <w:t>月，趣店存托凭证在纽</w:t>
      </w:r>
      <w:r>
        <w:rPr>
          <w:spacing w:val="-95"/>
        </w:rPr>
        <w:t> </w:t>
      </w:r>
      <w:r>
        <w:rPr>
          <w:spacing w:val="-95"/>
        </w:rPr>
      </w:r>
      <w:r>
        <w:rPr/>
        <w:t>约证券交易所上市。</w:t>
      </w:r>
    </w:p>
    <w:p>
      <w:pPr>
        <w:pStyle w:val="BodyText"/>
        <w:spacing w:line="408" w:lineRule="auto" w:before="103"/>
        <w:ind w:right="1126" w:firstLine="420"/>
        <w:jc w:val="both"/>
      </w:pPr>
      <w:r>
        <w:rPr>
          <w:spacing w:val="-7"/>
          <w:w w:val="100"/>
        </w:rPr>
        <w:t>趣店是根据开曼群岛（简称开曼）《公司法》在开曼注册的企业。根据趣店《公司章程》，该公司董事</w:t>
      </w:r>
      <w:r>
        <w:rPr>
          <w:w w:val="100"/>
        </w:rPr>
        <w:t> </w:t>
      </w:r>
      <w:r>
        <w:rPr>
          <w:spacing w:val="-2"/>
        </w:rPr>
        <w:t>会负责管理和实施公司的业务，可行使法律或公司章程未要求股东在股东大会上行使的所有权力，包括与</w:t>
      </w:r>
      <w:r>
        <w:rPr>
          <w:spacing w:val="-43"/>
        </w:rPr>
        <w:t> </w:t>
      </w:r>
      <w:r>
        <w:rPr>
          <w:spacing w:val="-43"/>
        </w:rPr>
      </w:r>
      <w:r>
        <w:rPr>
          <w:spacing w:val="-2"/>
        </w:rPr>
        <w:t>公司业务管理有关的权利和其他方面的权利。趣店股东大会除审议开曼法律规定和《公司章程》约定的有</w:t>
      </w:r>
      <w:r>
        <w:rPr>
          <w:spacing w:val="-43"/>
        </w:rPr>
        <w:t> </w:t>
      </w:r>
      <w:r>
        <w:rPr>
          <w:spacing w:val="-43"/>
        </w:rPr>
      </w:r>
      <w:r>
        <w:rPr/>
        <w:t>限事项外，公司绝大多数决策权力都归董事会享有。</w:t>
      </w:r>
    </w:p>
    <w:p>
      <w:pPr>
        <w:pStyle w:val="BodyText"/>
        <w:spacing w:line="240" w:lineRule="auto" w:before="87"/>
        <w:ind w:left="573" w:right="0"/>
        <w:jc w:val="left"/>
      </w:pPr>
      <w:r>
        <w:rPr/>
        <w:t>（</w:t>
      </w:r>
      <w:r>
        <w:rPr>
          <w:rFonts w:ascii="Times New Roman" w:hAnsi="Times New Roman" w:cs="Times New Roman" w:eastAsia="Times New Roman" w:hint="default"/>
        </w:rPr>
        <w:t>2</w:t>
      </w:r>
      <w:r>
        <w:rPr/>
        <w:t>）自</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日起公司转换对趣店股权的核算方法</w:t>
      </w:r>
    </w:p>
    <w:p>
      <w:pPr>
        <w:spacing w:line="240" w:lineRule="auto" w:before="9"/>
        <w:rPr>
          <w:rFonts w:ascii="宋体" w:hAnsi="宋体" w:cs="宋体" w:eastAsia="宋体" w:hint="default"/>
          <w:sz w:val="16"/>
          <w:szCs w:val="16"/>
        </w:rPr>
      </w:pPr>
    </w:p>
    <w:p>
      <w:pPr>
        <w:pStyle w:val="BodyText"/>
        <w:spacing w:line="393" w:lineRule="auto"/>
        <w:ind w:right="1019" w:firstLine="420"/>
        <w:jc w:val="left"/>
      </w:pPr>
      <w:r>
        <w:rPr/>
        <w:t>自</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月起至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日并及至下述转换日，公司及公司的下属子公司未曾向北京快</w:t>
      </w:r>
      <w:r>
        <w:rPr>
          <w:w w:val="100"/>
        </w:rPr>
        <w:t> </w:t>
      </w:r>
      <w:r>
        <w:rPr>
          <w:spacing w:val="-2"/>
        </w:rPr>
        <w:t>乐时代和趣店派出董事。因公司不具有充分的参与趣店财务和经营政策决策的权力，公司对趣店不具有重</w:t>
      </w:r>
      <w:r>
        <w:rPr>
          <w:spacing w:val="-43"/>
        </w:rPr>
        <w:t> </w:t>
      </w:r>
      <w:r>
        <w:rPr>
          <w:spacing w:val="-43"/>
        </w:rPr>
      </w:r>
      <w:r>
        <w:rPr/>
        <w:t>大影响。公司对所持趣店股权初始按照可供出售金融资产核算，</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日执行新金融工具准则后，</w:t>
      </w:r>
      <w:r>
        <w:rPr>
          <w:w w:val="100"/>
        </w:rPr>
        <w:t> </w:t>
      </w:r>
      <w:r>
        <w:rPr/>
        <w:t>将该资产分类为以公允价值计量且其变动计入当期损益的金融资产，作为交易性金融资产进行核算。</w:t>
      </w:r>
    </w:p>
    <w:p>
      <w:pPr>
        <w:pStyle w:val="BodyText"/>
        <w:spacing w:line="240" w:lineRule="auto" w:before="97"/>
        <w:ind w:left="573" w:right="0"/>
        <w:jc w:val="left"/>
      </w:pPr>
      <w:r>
        <w:rPr>
          <w:rFonts w:ascii="Times New Roman" w:hAnsi="Times New Roman" w:cs="Times New Roman" w:eastAsia="Times New Roman" w:hint="default"/>
        </w:rPr>
        <w:t>2019  </w:t>
      </w:r>
      <w:r>
        <w:rPr>
          <w:spacing w:val="-8"/>
        </w:rPr>
        <w:t>年以来，趣店股权结构等情况发生重大变化。在趣店实施股份回购计划、其他</w:t>
      </w:r>
      <w:r>
        <w:rPr>
          <w:spacing w:val="-39"/>
        </w:rPr>
        <w:t> </w:t>
      </w:r>
      <w:r>
        <w:rPr>
          <w:rFonts w:ascii="Times New Roman" w:hAnsi="Times New Roman" w:cs="Times New Roman" w:eastAsia="Times New Roman" w:hint="default"/>
        </w:rPr>
        <w:t>5%</w:t>
      </w:r>
      <w:r>
        <w:rPr/>
        <w:t>以上股东减持、</w:t>
      </w:r>
    </w:p>
    <w:p>
      <w:pPr>
        <w:pStyle w:val="BodyText"/>
        <w:spacing w:line="386" w:lineRule="auto" w:before="177"/>
        <w:ind w:right="1128"/>
        <w:jc w:val="both"/>
      </w:pPr>
      <w:r>
        <w:rPr/>
        <w:t>趣店业务经过快速发展后业务方向将要发生重要转变的阶段，公司主动选择继续持有。</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月至</w:t>
      </w:r>
      <w:r>
        <w:rPr>
          <w:spacing w:val="-22"/>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spacing w:val="-8"/>
          <w:w w:val="100"/>
        </w:rPr>
        <w:t> </w:t>
      </w:r>
      <w:r>
        <w:rPr/>
        <w:t>月，公司对趣店的持股从 </w:t>
      </w:r>
      <w:r>
        <w:rPr>
          <w:rFonts w:ascii="Times New Roman" w:hAnsi="Times New Roman" w:cs="Times New Roman" w:eastAsia="Times New Roman" w:hint="default"/>
        </w:rPr>
        <w:t>4.49%</w:t>
      </w:r>
      <w:r>
        <w:rPr/>
        <w:t>升至</w:t>
      </w:r>
      <w:r>
        <w:rPr>
          <w:spacing w:val="-67"/>
        </w:rPr>
        <w:t> </w:t>
      </w:r>
      <w:r>
        <w:rPr>
          <w:rFonts w:ascii="Times New Roman" w:hAnsi="Times New Roman" w:cs="Times New Roman" w:eastAsia="Times New Roman" w:hint="default"/>
        </w:rPr>
        <w:t>5.03%</w:t>
      </w:r>
      <w:r>
        <w:rPr/>
        <w:t>，股东位次从第六名升至第二名，成为趣店除其实际控制人以</w:t>
      </w:r>
      <w:r>
        <w:rPr>
          <w:w w:val="100"/>
        </w:rPr>
        <w:t> </w:t>
      </w:r>
      <w:r>
        <w:rPr/>
        <w:t>外的唯一</w:t>
      </w:r>
      <w:r>
        <w:rPr>
          <w:spacing w:val="-54"/>
        </w:rPr>
        <w:t> </w:t>
      </w:r>
      <w:r>
        <w:rPr>
          <w:rFonts w:ascii="Times New Roman" w:hAnsi="Times New Roman" w:cs="Times New Roman" w:eastAsia="Times New Roman" w:hint="default"/>
        </w:rPr>
        <w:t>5%</w:t>
      </w:r>
      <w:r>
        <w:rPr/>
        <w:t>以上股东。</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13 </w:t>
      </w:r>
      <w:r>
        <w:rPr/>
        <w:t>日公司派出人员成为趣店董事，作为其</w:t>
      </w:r>
      <w:r>
        <w:rPr>
          <w:spacing w:val="-55"/>
        </w:rPr>
        <w:t> </w:t>
      </w:r>
      <w:r>
        <w:rPr>
          <w:rFonts w:ascii="Times New Roman" w:hAnsi="Times New Roman" w:cs="Times New Roman" w:eastAsia="Times New Roman" w:hint="default"/>
        </w:rPr>
        <w:t>6 </w:t>
      </w:r>
      <w:r>
        <w:rPr/>
        <w:t>人董事会成员之一，参</w:t>
      </w:r>
    </w:p>
    <w:p>
      <w:pPr>
        <w:pStyle w:val="BodyText"/>
        <w:spacing w:line="240" w:lineRule="auto" w:before="35"/>
        <w:ind w:right="0"/>
        <w:jc w:val="both"/>
      </w:pPr>
      <w:r>
        <w:rPr/>
        <w:t>与趣店财务和经营政策的决策，以实现更直接、深入地参与趣店管理的目的。公司于</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月签署无</w:t>
      </w:r>
    </w:p>
    <w:p>
      <w:pPr>
        <w:pStyle w:val="BodyText"/>
        <w:spacing w:line="240" w:lineRule="auto" w:before="177"/>
        <w:ind w:right="0"/>
        <w:jc w:val="both"/>
      </w:pPr>
      <w:r>
        <w:rPr/>
        <w:t>约束力意向书，自愿锁定趣店所持趣店股份</w:t>
      </w:r>
      <w:r>
        <w:rPr>
          <w:spacing w:val="-52"/>
        </w:rPr>
        <w:t> </w:t>
      </w:r>
      <w:r>
        <w:rPr>
          <w:rFonts w:ascii="Times New Roman" w:hAnsi="Times New Roman" w:cs="Times New Roman" w:eastAsia="Times New Roman" w:hint="default"/>
        </w:rPr>
        <w:t>360 </w:t>
      </w:r>
      <w:r>
        <w:rPr>
          <w:spacing w:val="-3"/>
        </w:rPr>
        <w:t>天。</w:t>
      </w:r>
      <w:r>
        <w:rPr/>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基于上述业务变化，公司决定自</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13</w:t>
      </w:r>
      <w:r>
        <w:rPr>
          <w:rFonts w:ascii="Times New Roman" w:hAnsi="Times New Roman" w:cs="Times New Roman" w:eastAsia="Times New Roman" w:hint="default"/>
          <w:spacing w:val="11"/>
        </w:rPr>
        <w:t> </w:t>
      </w:r>
      <w:r>
        <w:rPr/>
        <w:t>日派出董事生效日起将对趣店投资的核算科目由交</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pPr>
      <w:r>
        <w:rPr/>
        <w:t>易性金融资产转换为权益法核算的长期股权投资。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rFonts w:ascii="微软雅黑" w:hAnsi="微软雅黑" w:cs="微软雅黑" w:eastAsia="微软雅黑" w:hint="default"/>
        </w:rPr>
        <w:t>十六、</w:t>
      </w:r>
      <w:r>
        <w:rPr>
          <w:rFonts w:ascii="微软雅黑" w:hAnsi="微软雅黑" w:cs="微软雅黑" w:eastAsia="微软雅黑" w:hint="default"/>
          <w:spacing w:val="58"/>
        </w:rPr>
        <w:t> </w:t>
      </w:r>
      <w:r>
        <w:rPr/>
        <w:t>母公司财务报表主要项目注释</w:t>
      </w:r>
      <w:r>
        <w:rPr>
          <w:b w:val="0"/>
          <w:bCs w:val="0"/>
        </w:rPr>
      </w:r>
    </w:p>
    <w:p>
      <w:pPr>
        <w:pStyle w:val="Heading4"/>
        <w:spacing w:line="240" w:lineRule="auto" w:before="102"/>
        <w:ind w:left="575" w:right="0"/>
        <w:jc w:val="left"/>
        <w:rPr>
          <w:b w:val="0"/>
          <w:bCs w:val="0"/>
        </w:rPr>
      </w:pPr>
      <w:r>
        <w:rPr/>
        <w:t>注释</w:t>
      </w:r>
      <w:r>
        <w:rPr>
          <w:rFonts w:ascii="Times New Roman" w:hAnsi="Times New Roman" w:cs="Times New Roman" w:eastAsia="Times New Roman" w:hint="default"/>
        </w:rPr>
        <w:t>1</w:t>
      </w:r>
      <w:r>
        <w:rPr/>
        <w:t>． </w:t>
      </w:r>
      <w:r>
        <w:rPr>
          <w:spacing w:val="2"/>
        </w:rPr>
        <w:t> </w:t>
      </w:r>
      <w:r>
        <w:rPr/>
        <w:t>其他应收款</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3963"/>
        <w:gridCol w:w="2633"/>
        <w:gridCol w:w="3058"/>
      </w:tblGrid>
      <w:tr>
        <w:trPr>
          <w:trHeight w:val="360" w:hRule="exact"/>
        </w:trPr>
        <w:tc>
          <w:tcPr>
            <w:tcW w:w="396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790"/>
              <w:jc w:val="right"/>
              <w:rPr>
                <w:rFonts w:ascii="宋体" w:hAnsi="宋体" w:cs="宋体" w:eastAsia="宋体" w:hint="default"/>
                <w:sz w:val="18"/>
                <w:szCs w:val="18"/>
              </w:rPr>
            </w:pPr>
            <w:r>
              <w:rPr>
                <w:rFonts w:ascii="宋体" w:hAnsi="宋体" w:cs="宋体" w:eastAsia="宋体" w:hint="default"/>
                <w:sz w:val="18"/>
                <w:szCs w:val="18"/>
              </w:rPr>
              <w:t>项目</w:t>
            </w:r>
          </w:p>
        </w:tc>
        <w:tc>
          <w:tcPr>
            <w:tcW w:w="26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9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633" w:type="dxa"/>
            <w:tcBorders>
              <w:top w:val="dotted" w:sz="4" w:space="0" w:color="000000"/>
              <w:left w:val="dotted" w:sz="4" w:space="0" w:color="000000"/>
              <w:bottom w:val="dotted" w:sz="4" w:space="0" w:color="000000"/>
              <w:right w:val="dotted" w:sz="4" w:space="0" w:color="000000"/>
            </w:tcBorders>
          </w:tcPr>
          <w:p>
            <w:pPr/>
          </w:p>
        </w:tc>
        <w:tc>
          <w:tcPr>
            <w:tcW w:w="305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39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6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190,000,000.00</w:t>
            </w:r>
          </w:p>
        </w:tc>
        <w:tc>
          <w:tcPr>
            <w:tcW w:w="30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350" w:hRule="exact"/>
        </w:trPr>
        <w:tc>
          <w:tcPr>
            <w:tcW w:w="39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959,919,464.33</w:t>
            </w:r>
          </w:p>
        </w:tc>
        <w:tc>
          <w:tcPr>
            <w:tcW w:w="30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1,106,748,560.86</w:t>
            </w:r>
          </w:p>
        </w:tc>
      </w:tr>
      <w:tr>
        <w:trPr>
          <w:trHeight w:val="361" w:hRule="exact"/>
        </w:trPr>
        <w:tc>
          <w:tcPr>
            <w:tcW w:w="396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790"/>
              <w:jc w:val="right"/>
              <w:rPr>
                <w:rFonts w:ascii="宋体" w:hAnsi="宋体" w:cs="宋体" w:eastAsia="宋体" w:hint="default"/>
                <w:sz w:val="18"/>
                <w:szCs w:val="18"/>
              </w:rPr>
            </w:pPr>
            <w:r>
              <w:rPr>
                <w:rFonts w:ascii="宋体" w:hAnsi="宋体" w:cs="宋体" w:eastAsia="宋体" w:hint="default"/>
                <w:sz w:val="18"/>
                <w:szCs w:val="18"/>
              </w:rPr>
              <w:t>合计</w:t>
            </w:r>
          </w:p>
        </w:tc>
        <w:tc>
          <w:tcPr>
            <w:tcW w:w="26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1,149,919,464.33</w:t>
            </w:r>
          </w:p>
        </w:tc>
        <w:tc>
          <w:tcPr>
            <w:tcW w:w="30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1,386,748,560.86</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注：因执行新金融工具准则，该项目期初余额与上年末余额存在差异。差异情况详见附注四（四十二）</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pStyle w:val="Heading4"/>
        <w:spacing w:line="240" w:lineRule="auto" w:before="132"/>
        <w:ind w:left="578" w:right="0"/>
        <w:jc w:val="left"/>
        <w:rPr>
          <w:b w:val="0"/>
          <w:bCs w:val="0"/>
        </w:rPr>
      </w:pPr>
      <w:r>
        <w:rPr/>
        <w:t>（一）</w:t>
      </w:r>
      <w:r>
        <w:rPr>
          <w:spacing w:val="-23"/>
        </w:rPr>
        <w:t> </w:t>
      </w:r>
      <w:r>
        <w:rPr/>
        <w:t>应收股利</w:t>
      </w:r>
      <w:r>
        <w:rPr>
          <w:b w:val="0"/>
          <w:bCs w:val="0"/>
        </w:rPr>
      </w:r>
    </w:p>
    <w:p>
      <w:pPr>
        <w:spacing w:before="83"/>
        <w:ind w:left="599"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37"/>
          <w:sz w:val="18"/>
          <w:szCs w:val="18"/>
        </w:rPr>
        <w:t> </w:t>
      </w:r>
      <w:r>
        <w:rPr>
          <w:rFonts w:ascii="Microsoft JhengHei" w:hAnsi="Microsoft JhengHei" w:cs="Microsoft JhengHei" w:eastAsia="Microsoft JhengHei" w:hint="default"/>
          <w:b/>
          <w:bCs/>
          <w:sz w:val="21"/>
          <w:szCs w:val="21"/>
        </w:rPr>
        <w:t>应收股利</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4590"/>
        <w:gridCol w:w="2614"/>
        <w:gridCol w:w="2451"/>
      </w:tblGrid>
      <w:tr>
        <w:trPr>
          <w:trHeight w:val="360" w:hRule="exact"/>
        </w:trPr>
        <w:tc>
          <w:tcPr>
            <w:tcW w:w="459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6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5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45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国盛证券有限责任公司</w:t>
            </w:r>
          </w:p>
        </w:tc>
        <w:tc>
          <w:tcPr>
            <w:tcW w:w="26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190,000,000.00</w:t>
            </w:r>
          </w:p>
        </w:tc>
        <w:tc>
          <w:tcPr>
            <w:tcW w:w="24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280,000,000.00</w:t>
            </w:r>
          </w:p>
        </w:tc>
      </w:tr>
      <w:tr>
        <w:trPr>
          <w:trHeight w:val="360" w:hRule="exact"/>
        </w:trPr>
        <w:tc>
          <w:tcPr>
            <w:tcW w:w="45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190,000,000.00</w:t>
            </w:r>
          </w:p>
        </w:tc>
        <w:tc>
          <w:tcPr>
            <w:tcW w:w="245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280,000,000.00</w:t>
            </w: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left="578" w:right="0"/>
        <w:jc w:val="left"/>
        <w:rPr>
          <w:b w:val="0"/>
          <w:bCs w:val="0"/>
        </w:rPr>
      </w:pPr>
      <w:r>
        <w:rPr/>
        <w:t>（二）</w:t>
      </w:r>
      <w:r>
        <w:rPr>
          <w:spacing w:val="-22"/>
        </w:rPr>
        <w:t> </w:t>
      </w:r>
      <w:r>
        <w:rPr/>
        <w:t>其他应收款</w:t>
      </w:r>
      <w:r>
        <w:rPr>
          <w:b w:val="0"/>
          <w:bCs w:val="0"/>
        </w:rPr>
      </w:r>
    </w:p>
    <w:p>
      <w:pPr>
        <w:pStyle w:val="Heading4"/>
        <w:spacing w:line="240" w:lineRule="auto" w:before="83"/>
        <w:ind w:left="575"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2"/>
        </w:rPr>
        <w:t> </w:t>
      </w:r>
      <w:r>
        <w:rPr/>
        <w:t>按坏账准备计提方法分类披露</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767" w:type="dxa"/>
        <w:tblLayout w:type="fixed"/>
        <w:tblCellMar>
          <w:top w:w="0" w:type="dxa"/>
          <w:left w:w="0" w:type="dxa"/>
          <w:bottom w:w="0" w:type="dxa"/>
          <w:right w:w="0" w:type="dxa"/>
        </w:tblCellMar>
        <w:tblLook w:val="01E0"/>
      </w:tblPr>
      <w:tblGrid>
        <w:gridCol w:w="2314"/>
        <w:gridCol w:w="1558"/>
        <w:gridCol w:w="850"/>
        <w:gridCol w:w="1560"/>
        <w:gridCol w:w="785"/>
        <w:gridCol w:w="1304"/>
      </w:tblGrid>
      <w:tr>
        <w:trPr>
          <w:trHeight w:val="360" w:hRule="exact"/>
        </w:trPr>
        <w:tc>
          <w:tcPr>
            <w:tcW w:w="231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05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314" w:type="dxa"/>
            <w:vMerge/>
            <w:tcBorders>
              <w:left w:val="nil" w:sz="6" w:space="0" w:color="auto"/>
              <w:right w:val="dotted" w:sz="4" w:space="0" w:color="000000"/>
            </w:tcBorders>
          </w:tcPr>
          <w:p>
            <w:pPr/>
          </w:p>
        </w:tc>
        <w:tc>
          <w:tcPr>
            <w:tcW w:w="240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4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04" w:type="dxa"/>
            <w:vMerge w:val="restart"/>
            <w:tcBorders>
              <w:top w:val="dotted" w:sz="4" w:space="0" w:color="000000"/>
              <w:left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314" w:type="dxa"/>
            <w:vMerge/>
            <w:tcBorders>
              <w:left w:val="nil" w:sz="6" w:space="0" w:color="auto"/>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75"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5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2"/>
              <w:ind w:left="50" w:right="53" w:firstLine="67"/>
              <w:jc w:val="left"/>
              <w:rPr>
                <w:rFonts w:ascii="宋体" w:hAnsi="宋体" w:cs="宋体" w:eastAsia="宋体" w:hint="default"/>
                <w:sz w:val="18"/>
                <w:szCs w:val="18"/>
              </w:rPr>
            </w:pPr>
            <w:r>
              <w:rPr>
                <w:rFonts w:ascii="宋体" w:hAnsi="宋体" w:cs="宋体" w:eastAsia="宋体" w:hint="default"/>
                <w:sz w:val="18"/>
                <w:szCs w:val="18"/>
              </w:rPr>
              <w:t>计提比 </w:t>
            </w:r>
            <w:r>
              <w:rPr>
                <w:rFonts w:ascii="宋体" w:hAnsi="宋体" w:cs="宋体" w:eastAsia="宋体" w:hint="default"/>
                <w:w w:val="95"/>
                <w:sz w:val="18"/>
                <w:szCs w:val="18"/>
              </w:rPr>
              <w:t>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304" w:type="dxa"/>
            <w:vMerge/>
            <w:tcBorders>
              <w:left w:val="dotted" w:sz="4" w:space="0" w:color="000000"/>
              <w:bottom w:val="dotted" w:sz="4" w:space="0" w:color="000000"/>
              <w:right w:val="nil" w:sz="6" w:space="0" w:color="auto"/>
            </w:tcBorders>
          </w:tcPr>
          <w:p>
            <w:pPr/>
          </w:p>
        </w:tc>
      </w:tr>
      <w:tr>
        <w:trPr>
          <w:trHeight w:val="350" w:hRule="exact"/>
        </w:trPr>
        <w:tc>
          <w:tcPr>
            <w:tcW w:w="23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按“一般方法”计提：</w:t>
            </w:r>
          </w:p>
        </w:tc>
        <w:tc>
          <w:tcPr>
            <w:tcW w:w="1558"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785"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31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0" w:firstLine="179"/>
              <w:jc w:val="left"/>
              <w:rPr>
                <w:rFonts w:ascii="宋体" w:hAnsi="宋体" w:cs="宋体" w:eastAsia="宋体" w:hint="default"/>
                <w:sz w:val="18"/>
                <w:szCs w:val="18"/>
              </w:rPr>
            </w:pPr>
            <w:r>
              <w:rPr>
                <w:rFonts w:ascii="宋体" w:hAnsi="宋体" w:cs="宋体" w:eastAsia="宋体" w:hint="default"/>
                <w:spacing w:val="9"/>
                <w:sz w:val="18"/>
                <w:szCs w:val="18"/>
              </w:rPr>
              <w:t>单项计提预期信用损失</w:t>
            </w:r>
            <w:r>
              <w:rPr>
                <w:rFonts w:ascii="宋体" w:hAnsi="宋体" w:cs="宋体" w:eastAsia="宋体" w:hint="default"/>
                <w:sz w:val="18"/>
                <w:szCs w:val="18"/>
              </w:rPr>
              <w:t> 的其他应收款</w:t>
            </w:r>
          </w:p>
        </w:tc>
        <w:tc>
          <w:tcPr>
            <w:tcW w:w="1558"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785"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3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按“简化方法”计提：</w:t>
            </w:r>
          </w:p>
        </w:tc>
        <w:tc>
          <w:tcPr>
            <w:tcW w:w="1558"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785"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31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00" w:firstLine="179"/>
              <w:jc w:val="left"/>
              <w:rPr>
                <w:rFonts w:ascii="宋体" w:hAnsi="宋体" w:cs="宋体" w:eastAsia="宋体" w:hint="default"/>
                <w:sz w:val="18"/>
                <w:szCs w:val="18"/>
              </w:rPr>
            </w:pPr>
            <w:r>
              <w:rPr>
                <w:rFonts w:ascii="宋体" w:hAnsi="宋体" w:cs="宋体" w:eastAsia="宋体" w:hint="default"/>
                <w:spacing w:val="9"/>
                <w:sz w:val="18"/>
                <w:szCs w:val="18"/>
              </w:rPr>
              <w:t>按组合计提预期信用损</w:t>
            </w:r>
            <w:r>
              <w:rPr>
                <w:rFonts w:ascii="宋体" w:hAnsi="宋体" w:cs="宋体" w:eastAsia="宋体" w:hint="default"/>
                <w:sz w:val="18"/>
                <w:szCs w:val="18"/>
              </w:rPr>
              <w:t> 失的其他应收款</w:t>
            </w:r>
          </w:p>
        </w:tc>
        <w:tc>
          <w:tcPr>
            <w:tcW w:w="1558"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785"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3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Arial" w:hAnsi="Arial" w:cs="Arial" w:eastAsia="Arial" w:hint="default"/>
                <w:sz w:val="18"/>
                <w:szCs w:val="18"/>
              </w:rPr>
            </w:pPr>
            <w:r>
              <w:rPr>
                <w:rFonts w:ascii="宋体" w:hAnsi="宋体" w:cs="宋体" w:eastAsia="宋体" w:hint="default"/>
                <w:sz w:val="18"/>
                <w:szCs w:val="18"/>
              </w:rPr>
              <w:t>其中：组合</w:t>
            </w:r>
            <w:r>
              <w:rPr>
                <w:rFonts w:ascii="宋体" w:hAnsi="宋体" w:cs="宋体" w:eastAsia="宋体" w:hint="default"/>
                <w:spacing w:val="-63"/>
                <w:sz w:val="18"/>
                <w:szCs w:val="18"/>
              </w:rPr>
              <w:t> </w:t>
            </w:r>
            <w:r>
              <w:rPr>
                <w:rFonts w:ascii="Arial" w:hAnsi="Arial" w:cs="Arial" w:eastAsia="Arial" w:hint="default"/>
                <w:sz w:val="18"/>
                <w:szCs w:val="18"/>
              </w:rPr>
              <w:t>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960,165,628.70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45"/>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636" w:right="0"/>
              <w:jc w:val="left"/>
              <w:rPr>
                <w:rFonts w:ascii="Times New Roman" w:hAnsi="Times New Roman" w:cs="Times New Roman" w:eastAsia="Times New Roman" w:hint="default"/>
                <w:sz w:val="18"/>
                <w:szCs w:val="18"/>
              </w:rPr>
            </w:pPr>
            <w:r>
              <w:rPr>
                <w:rFonts w:ascii="Times New Roman"/>
                <w:sz w:val="18"/>
              </w:rPr>
              <w:t>246,164.37</w:t>
            </w:r>
          </w:p>
        </w:tc>
        <w:tc>
          <w:tcPr>
            <w:tcW w:w="7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0.03</w:t>
            </w:r>
          </w:p>
        </w:tc>
        <w:tc>
          <w:tcPr>
            <w:tcW w:w="13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53"/>
              <w:jc w:val="right"/>
              <w:rPr>
                <w:rFonts w:ascii="Times New Roman" w:hAnsi="Times New Roman" w:cs="Times New Roman" w:eastAsia="Times New Roman" w:hint="default"/>
                <w:sz w:val="18"/>
                <w:szCs w:val="18"/>
              </w:rPr>
            </w:pPr>
            <w:r>
              <w:rPr>
                <w:rFonts w:ascii="Times New Roman"/>
                <w:spacing w:val="-1"/>
                <w:sz w:val="18"/>
              </w:rPr>
              <w:t>959,919,464.33</w:t>
            </w:r>
          </w:p>
        </w:tc>
      </w:tr>
      <w:tr>
        <w:trPr>
          <w:trHeight w:val="350" w:hRule="exact"/>
        </w:trPr>
        <w:tc>
          <w:tcPr>
            <w:tcW w:w="23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662"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63"/>
                <w:sz w:val="18"/>
                <w:szCs w:val="18"/>
              </w:rPr>
              <w:t> </w:t>
            </w:r>
            <w:r>
              <w:rPr>
                <w:rFonts w:ascii="Arial" w:hAnsi="Arial" w:cs="Arial" w:eastAsia="Arial" w:hint="default"/>
                <w:sz w:val="18"/>
                <w:szCs w:val="18"/>
              </w:rPr>
              <w:t>2</w:t>
            </w:r>
          </w:p>
        </w:tc>
        <w:tc>
          <w:tcPr>
            <w:tcW w:w="1558"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785" w:type="dxa"/>
            <w:tcBorders>
              <w:top w:val="dotted" w:sz="4" w:space="0" w:color="000000"/>
              <w:left w:val="dotted" w:sz="4" w:space="0" w:color="000000"/>
              <w:bottom w:val="dotted" w:sz="4" w:space="0" w:color="000000"/>
              <w:right w:val="dotted" w:sz="4" w:space="0" w:color="000000"/>
            </w:tcBorders>
          </w:tcPr>
          <w:p>
            <w:pPr/>
          </w:p>
        </w:tc>
        <w:tc>
          <w:tcPr>
            <w:tcW w:w="1304"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3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960,165,628.70</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636" w:right="0"/>
              <w:jc w:val="left"/>
              <w:rPr>
                <w:rFonts w:ascii="Times New Roman" w:hAnsi="Times New Roman" w:cs="Times New Roman" w:eastAsia="Times New Roman" w:hint="default"/>
                <w:sz w:val="18"/>
                <w:szCs w:val="18"/>
              </w:rPr>
            </w:pPr>
            <w:r>
              <w:rPr>
                <w:rFonts w:ascii="Times New Roman"/>
                <w:sz w:val="18"/>
              </w:rPr>
              <w:t>246,164.37</w:t>
            </w:r>
          </w:p>
        </w:tc>
        <w:tc>
          <w:tcPr>
            <w:tcW w:w="7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0.03</w:t>
            </w:r>
          </w:p>
        </w:tc>
        <w:tc>
          <w:tcPr>
            <w:tcW w:w="13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53"/>
              <w:jc w:val="right"/>
              <w:rPr>
                <w:rFonts w:ascii="Times New Roman" w:hAnsi="Times New Roman" w:cs="Times New Roman" w:eastAsia="Times New Roman" w:hint="default"/>
                <w:sz w:val="18"/>
                <w:szCs w:val="18"/>
              </w:rPr>
            </w:pPr>
            <w:r>
              <w:rPr>
                <w:rFonts w:ascii="Times New Roman"/>
                <w:spacing w:val="-1"/>
                <w:sz w:val="18"/>
              </w:rPr>
              <w:t>959,919,464.33</w:t>
            </w:r>
          </w:p>
        </w:tc>
      </w:tr>
    </w:tbl>
    <w:p>
      <w:pPr>
        <w:pStyle w:val="Heading4"/>
        <w:spacing w:line="303" w:lineRule="exact"/>
        <w:ind w:left="573" w:right="0"/>
        <w:jc w:val="left"/>
        <w:rPr>
          <w:b w:val="0"/>
          <w:bCs w:val="0"/>
        </w:rPr>
      </w:pPr>
      <w:r>
        <w:rPr/>
        <w:t>续：</w:t>
      </w:r>
      <w:r>
        <w:rPr>
          <w:b w:val="0"/>
          <w:bCs w:val="0"/>
        </w:rPr>
      </w:r>
    </w:p>
    <w:p>
      <w:pPr>
        <w:spacing w:after="0" w:line="303" w:lineRule="exact"/>
        <w:jc w:val="left"/>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r>
        <w:rPr/>
        <w:pict>
          <v:group style="position:absolute;margin-left:91.848pt;margin-top:152.859985pt;width:9.2pt;height:.1pt;mso-position-horizontal-relative:page;mso-position-vertical-relative:page;z-index:-1326664" coordorigin="1837,3057" coordsize="184,2">
            <v:shape style="position:absolute;left:1837;top:3057;width:184;height:2" coordorigin="1837,3057" coordsize="184,0" path="m1837,3057l2020,3057e" filled="false" stroked="true" strokeweight=".48pt" strokecolor="#000000">
              <v:path arrowok="t"/>
              <v:stroke dashstyle="dash"/>
            </v:shape>
            <w10:wrap type="none"/>
          </v:group>
        </w:pict>
      </w:r>
    </w:p>
    <w:tbl>
      <w:tblPr>
        <w:tblW w:w="0" w:type="auto"/>
        <w:jc w:val="left"/>
        <w:tblInd w:w="820" w:type="dxa"/>
        <w:tblLayout w:type="fixed"/>
        <w:tblCellMar>
          <w:top w:w="0" w:type="dxa"/>
          <w:left w:w="0" w:type="dxa"/>
          <w:bottom w:w="0" w:type="dxa"/>
          <w:right w:w="0" w:type="dxa"/>
        </w:tblCellMar>
        <w:tblLook w:val="01E0"/>
      </w:tblPr>
      <w:tblGrid>
        <w:gridCol w:w="2122"/>
        <w:gridCol w:w="1560"/>
        <w:gridCol w:w="850"/>
        <w:gridCol w:w="1394"/>
        <w:gridCol w:w="763"/>
        <w:gridCol w:w="1577"/>
      </w:tblGrid>
      <w:tr>
        <w:trPr>
          <w:trHeight w:val="360" w:hRule="exact"/>
        </w:trPr>
        <w:tc>
          <w:tcPr>
            <w:tcW w:w="212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4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2122" w:type="dxa"/>
            <w:vMerge/>
            <w:tcBorders>
              <w:left w:val="nil" w:sz="6" w:space="0" w:color="auto"/>
              <w:right w:val="dotted" w:sz="4" w:space="0" w:color="000000"/>
            </w:tcBorders>
          </w:tcPr>
          <w:p>
            <w:pPr/>
          </w:p>
        </w:tc>
        <w:tc>
          <w:tcPr>
            <w:tcW w:w="241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7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7" w:type="dxa"/>
            <w:vMerge w:val="restart"/>
            <w:tcBorders>
              <w:top w:val="dotted" w:sz="4" w:space="0" w:color="000000"/>
              <w:left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4"/>
                <w:szCs w:val="2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90" w:hRule="exact"/>
        </w:trPr>
        <w:tc>
          <w:tcPr>
            <w:tcW w:w="2122" w:type="dxa"/>
            <w:vMerge/>
            <w:tcBorders>
              <w:left w:val="nil" w:sz="6" w:space="0" w:color="auto"/>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125"/>
              <w:ind w:left="2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7" w:lineRule="exact"/>
              <w:ind w:left="17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p>
            <w:pPr>
              <w:pStyle w:val="TableParagraph"/>
              <w:spacing w:line="243"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77" w:type="dxa"/>
            <w:vMerge/>
            <w:tcBorders>
              <w:left w:val="dotted" w:sz="4" w:space="0" w:color="000000"/>
              <w:bottom w:val="dotted" w:sz="4" w:space="0" w:color="000000"/>
              <w:right w:val="nil" w:sz="6" w:space="0" w:color="auto"/>
            </w:tcBorders>
          </w:tcPr>
          <w:p>
            <w:pPr/>
          </w:p>
        </w:tc>
      </w:tr>
      <w:tr>
        <w:trPr>
          <w:trHeight w:val="350" w:hRule="exact"/>
        </w:trPr>
        <w:tc>
          <w:tcPr>
            <w:tcW w:w="21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按“一般方法”计提：</w:t>
            </w:r>
          </w:p>
        </w:tc>
        <w:tc>
          <w:tcPr>
            <w:tcW w:w="156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dotted" w:sz="4" w:space="0" w:color="000000"/>
            </w:tcBorders>
          </w:tcPr>
          <w:p>
            <w:pPr/>
          </w:p>
        </w:tc>
        <w:tc>
          <w:tcPr>
            <w:tcW w:w="763" w:type="dxa"/>
            <w:tcBorders>
              <w:top w:val="dotted" w:sz="4" w:space="0" w:color="000000"/>
              <w:left w:val="dotted" w:sz="4" w:space="0" w:color="000000"/>
              <w:bottom w:val="dotted" w:sz="4" w:space="0" w:color="000000"/>
              <w:right w:val="dotted" w:sz="4" w:space="0" w:color="000000"/>
            </w:tcBorders>
          </w:tcPr>
          <w:p>
            <w:pPr/>
          </w:p>
        </w:tc>
        <w:tc>
          <w:tcPr>
            <w:tcW w:w="1577"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122"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00" w:firstLine="179"/>
              <w:jc w:val="left"/>
              <w:rPr>
                <w:rFonts w:ascii="宋体" w:hAnsi="宋体" w:cs="宋体" w:eastAsia="宋体" w:hint="default"/>
                <w:sz w:val="18"/>
                <w:szCs w:val="18"/>
              </w:rPr>
            </w:pPr>
            <w:r>
              <w:rPr>
                <w:rFonts w:ascii="宋体" w:hAnsi="宋体" w:cs="宋体" w:eastAsia="宋体" w:hint="default"/>
                <w:spacing w:val="9"/>
                <w:sz w:val="18"/>
                <w:szCs w:val="18"/>
              </w:rPr>
              <w:t>单项计提预期信用损</w:t>
            </w:r>
            <w:r>
              <w:rPr>
                <w:rFonts w:ascii="宋体" w:hAnsi="宋体" w:cs="宋体" w:eastAsia="宋体" w:hint="default"/>
                <w:sz w:val="18"/>
                <w:szCs w:val="18"/>
              </w:rPr>
              <w:t> 失的其他应收款</w:t>
            </w:r>
          </w:p>
        </w:tc>
        <w:tc>
          <w:tcPr>
            <w:tcW w:w="156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dotted" w:sz="4" w:space="0" w:color="000000"/>
            </w:tcBorders>
          </w:tcPr>
          <w:p>
            <w:pPr/>
          </w:p>
        </w:tc>
        <w:tc>
          <w:tcPr>
            <w:tcW w:w="763" w:type="dxa"/>
            <w:tcBorders>
              <w:top w:val="dotted" w:sz="4" w:space="0" w:color="000000"/>
              <w:left w:val="dotted" w:sz="4" w:space="0" w:color="000000"/>
              <w:bottom w:val="dotted" w:sz="4" w:space="0" w:color="000000"/>
              <w:right w:val="dotted" w:sz="4" w:space="0" w:color="000000"/>
            </w:tcBorders>
          </w:tcPr>
          <w:p>
            <w:pPr/>
          </w:p>
        </w:tc>
        <w:tc>
          <w:tcPr>
            <w:tcW w:w="15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按“简化方法”计提：</w:t>
            </w:r>
          </w:p>
        </w:tc>
        <w:tc>
          <w:tcPr>
            <w:tcW w:w="156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dotted" w:sz="4" w:space="0" w:color="000000"/>
            </w:tcBorders>
          </w:tcPr>
          <w:p>
            <w:pPr/>
          </w:p>
        </w:tc>
        <w:tc>
          <w:tcPr>
            <w:tcW w:w="763" w:type="dxa"/>
            <w:tcBorders>
              <w:top w:val="dotted" w:sz="4" w:space="0" w:color="000000"/>
              <w:left w:val="dotted" w:sz="4" w:space="0" w:color="000000"/>
              <w:bottom w:val="dotted" w:sz="4" w:space="0" w:color="000000"/>
              <w:right w:val="dotted" w:sz="4" w:space="0" w:color="000000"/>
            </w:tcBorders>
          </w:tcPr>
          <w:p>
            <w:pPr/>
          </w:p>
        </w:tc>
        <w:tc>
          <w:tcPr>
            <w:tcW w:w="1577"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122"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00" w:firstLine="179"/>
              <w:jc w:val="left"/>
              <w:rPr>
                <w:rFonts w:ascii="宋体" w:hAnsi="宋体" w:cs="宋体" w:eastAsia="宋体" w:hint="default"/>
                <w:sz w:val="18"/>
                <w:szCs w:val="18"/>
              </w:rPr>
            </w:pPr>
            <w:r>
              <w:rPr>
                <w:rFonts w:ascii="宋体" w:hAnsi="宋体" w:cs="宋体" w:eastAsia="宋体" w:hint="default"/>
                <w:spacing w:val="9"/>
                <w:sz w:val="18"/>
                <w:szCs w:val="18"/>
              </w:rPr>
              <w:t>按组合计提预期信用</w:t>
            </w:r>
            <w:r>
              <w:rPr>
                <w:rFonts w:ascii="宋体" w:hAnsi="宋体" w:cs="宋体" w:eastAsia="宋体" w:hint="default"/>
                <w:sz w:val="18"/>
                <w:szCs w:val="18"/>
              </w:rPr>
              <w:t> 损失的其他应收款</w:t>
            </w:r>
          </w:p>
        </w:tc>
        <w:tc>
          <w:tcPr>
            <w:tcW w:w="156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dotted" w:sz="4" w:space="0" w:color="000000"/>
            </w:tcBorders>
          </w:tcPr>
          <w:p>
            <w:pPr/>
          </w:p>
        </w:tc>
        <w:tc>
          <w:tcPr>
            <w:tcW w:w="763" w:type="dxa"/>
            <w:tcBorders>
              <w:top w:val="dotted" w:sz="4" w:space="0" w:color="000000"/>
              <w:left w:val="dotted" w:sz="4" w:space="0" w:color="000000"/>
              <w:bottom w:val="dotted" w:sz="4" w:space="0" w:color="000000"/>
              <w:right w:val="dotted" w:sz="4" w:space="0" w:color="000000"/>
            </w:tcBorders>
          </w:tcPr>
          <w:p>
            <w:pPr/>
          </w:p>
        </w:tc>
        <w:tc>
          <w:tcPr>
            <w:tcW w:w="1577"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1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Arial" w:hAnsi="Arial" w:cs="Arial" w:eastAsia="Arial" w:hint="default"/>
                <w:sz w:val="18"/>
                <w:szCs w:val="18"/>
              </w:rPr>
            </w:pPr>
            <w:r>
              <w:rPr>
                <w:rFonts w:ascii="宋体" w:hAnsi="宋体" w:cs="宋体" w:eastAsia="宋体" w:hint="default"/>
                <w:sz w:val="18"/>
                <w:szCs w:val="18"/>
              </w:rPr>
              <w:t>其中：组合</w:t>
            </w:r>
            <w:r>
              <w:rPr>
                <w:rFonts w:ascii="宋体" w:hAnsi="宋体" w:cs="宋体" w:eastAsia="宋体" w:hint="default"/>
                <w:spacing w:val="-63"/>
                <w:sz w:val="18"/>
                <w:szCs w:val="18"/>
              </w:rPr>
              <w:t> </w:t>
            </w:r>
            <w:r>
              <w:rPr>
                <w:rFonts w:ascii="Arial" w:hAnsi="Arial" w:cs="Arial" w:eastAsia="Arial" w:hint="default"/>
                <w:sz w:val="18"/>
                <w:szCs w:val="18"/>
              </w:rPr>
              <w:t>1</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83" w:right="0"/>
              <w:jc w:val="center"/>
              <w:rPr>
                <w:rFonts w:ascii="Times New Roman" w:hAnsi="Times New Roman" w:cs="Times New Roman" w:eastAsia="Times New Roman" w:hint="default"/>
                <w:sz w:val="18"/>
                <w:szCs w:val="18"/>
              </w:rPr>
            </w:pPr>
            <w:r>
              <w:rPr>
                <w:rFonts w:ascii="Times New Roman"/>
                <w:sz w:val="18"/>
              </w:rPr>
              <w:t>1,107,705,102.20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956,541.34</w:t>
            </w: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0.09</w:t>
            </w:r>
          </w:p>
        </w:tc>
        <w:tc>
          <w:tcPr>
            <w:tcW w:w="15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9"/>
              <w:jc w:val="right"/>
              <w:rPr>
                <w:rFonts w:ascii="Times New Roman" w:hAnsi="Times New Roman" w:cs="Times New Roman" w:eastAsia="Times New Roman" w:hint="default"/>
                <w:sz w:val="18"/>
                <w:szCs w:val="18"/>
              </w:rPr>
            </w:pPr>
            <w:r>
              <w:rPr>
                <w:rFonts w:ascii="Times New Roman"/>
                <w:spacing w:val="-1"/>
                <w:sz w:val="18"/>
              </w:rPr>
              <w:t>1,106,748,560.86</w:t>
            </w:r>
          </w:p>
        </w:tc>
      </w:tr>
      <w:tr>
        <w:trPr>
          <w:trHeight w:val="350" w:hRule="exact"/>
        </w:trPr>
        <w:tc>
          <w:tcPr>
            <w:tcW w:w="21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662" w:right="0"/>
              <w:jc w:val="left"/>
              <w:rPr>
                <w:rFonts w:ascii="Arial" w:hAnsi="Arial" w:cs="Arial" w:eastAsia="Arial" w:hint="default"/>
                <w:sz w:val="18"/>
                <w:szCs w:val="18"/>
              </w:rPr>
            </w:pPr>
            <w:r>
              <w:rPr>
                <w:rFonts w:ascii="宋体" w:hAnsi="宋体" w:cs="宋体" w:eastAsia="宋体" w:hint="default"/>
                <w:sz w:val="18"/>
                <w:szCs w:val="18"/>
              </w:rPr>
              <w:t>组合</w:t>
            </w:r>
            <w:r>
              <w:rPr>
                <w:rFonts w:ascii="宋体" w:hAnsi="宋体" w:cs="宋体" w:eastAsia="宋体" w:hint="default"/>
                <w:spacing w:val="-63"/>
                <w:sz w:val="18"/>
                <w:szCs w:val="18"/>
              </w:rPr>
              <w:t> </w:t>
            </w:r>
            <w:r>
              <w:rPr>
                <w:rFonts w:ascii="Arial" w:hAnsi="Arial" w:cs="Arial" w:eastAsia="Arial" w:hint="default"/>
                <w:sz w:val="18"/>
                <w:szCs w:val="18"/>
              </w:rPr>
              <w:t>2</w:t>
            </w:r>
          </w:p>
        </w:tc>
        <w:tc>
          <w:tcPr>
            <w:tcW w:w="156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dotted" w:sz="4" w:space="0" w:color="000000"/>
            </w:tcBorders>
          </w:tcPr>
          <w:p>
            <w:pPr/>
          </w:p>
        </w:tc>
        <w:tc>
          <w:tcPr>
            <w:tcW w:w="763" w:type="dxa"/>
            <w:tcBorders>
              <w:top w:val="dotted" w:sz="4" w:space="0" w:color="000000"/>
              <w:left w:val="dotted" w:sz="4" w:space="0" w:color="000000"/>
              <w:bottom w:val="dotted" w:sz="4" w:space="0" w:color="000000"/>
              <w:right w:val="dotted" w:sz="4" w:space="0" w:color="000000"/>
            </w:tcBorders>
          </w:tcPr>
          <w:p>
            <w:pPr/>
          </w:p>
        </w:tc>
        <w:tc>
          <w:tcPr>
            <w:tcW w:w="1577"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1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83" w:right="0"/>
              <w:jc w:val="center"/>
              <w:rPr>
                <w:rFonts w:ascii="Times New Roman" w:hAnsi="Times New Roman" w:cs="Times New Roman" w:eastAsia="Times New Roman" w:hint="default"/>
                <w:sz w:val="18"/>
                <w:szCs w:val="18"/>
              </w:rPr>
            </w:pPr>
            <w:r>
              <w:rPr>
                <w:rFonts w:ascii="Times New Roman"/>
                <w:sz w:val="18"/>
              </w:rPr>
              <w:t>1,107,705,102.20</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467" w:right="0"/>
              <w:jc w:val="left"/>
              <w:rPr>
                <w:rFonts w:ascii="Times New Roman" w:hAnsi="Times New Roman" w:cs="Times New Roman" w:eastAsia="Times New Roman" w:hint="default"/>
                <w:sz w:val="18"/>
                <w:szCs w:val="18"/>
              </w:rPr>
            </w:pPr>
            <w:r>
              <w:rPr>
                <w:rFonts w:ascii="Times New Roman"/>
                <w:sz w:val="18"/>
              </w:rPr>
              <w:t>956,541.34</w:t>
            </w:r>
          </w:p>
        </w:tc>
        <w:tc>
          <w:tcPr>
            <w:tcW w:w="7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0.09</w:t>
            </w:r>
          </w:p>
        </w:tc>
        <w:tc>
          <w:tcPr>
            <w:tcW w:w="15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9"/>
              <w:jc w:val="right"/>
              <w:rPr>
                <w:rFonts w:ascii="Times New Roman" w:hAnsi="Times New Roman" w:cs="Times New Roman" w:eastAsia="Times New Roman" w:hint="default"/>
                <w:sz w:val="18"/>
                <w:szCs w:val="18"/>
              </w:rPr>
            </w:pPr>
            <w:r>
              <w:rPr>
                <w:rFonts w:ascii="Times New Roman"/>
                <w:spacing w:val="-1"/>
                <w:sz w:val="18"/>
              </w:rPr>
              <w:t>1,106,748,560.86</w:t>
            </w: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870" w:right="0"/>
        <w:jc w:val="left"/>
        <w:rPr>
          <w:b w:val="0"/>
          <w:bCs w:val="0"/>
        </w:rPr>
      </w:pPr>
      <w:r>
        <w:rPr/>
        <w:t>（</w:t>
      </w:r>
      <w:r>
        <w:rPr>
          <w:rFonts w:ascii="Times New Roman" w:hAnsi="Times New Roman" w:cs="Times New Roman" w:eastAsia="Times New Roman" w:hint="default"/>
        </w:rPr>
        <w:t>1</w:t>
      </w:r>
      <w:r>
        <w:rPr/>
        <w:t>）按组合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计提预期信用损失的其他应收款</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813" w:type="dxa"/>
        <w:tblLayout w:type="fixed"/>
        <w:tblCellMar>
          <w:top w:w="0" w:type="dxa"/>
          <w:left w:w="0" w:type="dxa"/>
          <w:bottom w:w="0" w:type="dxa"/>
          <w:right w:w="0" w:type="dxa"/>
        </w:tblCellMar>
        <w:tblLook w:val="01E0"/>
      </w:tblPr>
      <w:tblGrid>
        <w:gridCol w:w="2441"/>
        <w:gridCol w:w="1992"/>
        <w:gridCol w:w="1990"/>
        <w:gridCol w:w="1858"/>
      </w:tblGrid>
      <w:tr>
        <w:trPr>
          <w:trHeight w:val="360" w:hRule="exact"/>
        </w:trPr>
        <w:tc>
          <w:tcPr>
            <w:tcW w:w="2441"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40"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441" w:type="dxa"/>
            <w:vMerge/>
            <w:tcBorders>
              <w:left w:val="nil" w:sz="6" w:space="0" w:color="auto"/>
              <w:bottom w:val="dotted" w:sz="4" w:space="0" w:color="000000"/>
              <w:right w:val="dotted" w:sz="4" w:space="0" w:color="000000"/>
            </w:tcBorders>
          </w:tcPr>
          <w:p>
            <w:pP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1"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92" w:type="dxa"/>
            <w:tcBorders>
              <w:top w:val="dotted" w:sz="4" w:space="0" w:color="000000"/>
              <w:left w:val="dotted" w:sz="4" w:space="0" w:color="000000"/>
              <w:bottom w:val="dotted" w:sz="4" w:space="0" w:color="000000"/>
              <w:right w:val="dotted" w:sz="4" w:space="0" w:color="000000"/>
            </w:tcBorders>
          </w:tcPr>
          <w:p>
            <w:pPr/>
          </w:p>
        </w:tc>
        <w:tc>
          <w:tcPr>
            <w:tcW w:w="1990" w:type="dxa"/>
            <w:tcBorders>
              <w:top w:val="dotted" w:sz="4" w:space="0" w:color="000000"/>
              <w:left w:val="dotted" w:sz="4" w:space="0" w:color="000000"/>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nil" w:sz="6" w:space="0" w:color="auto"/>
            </w:tcBorders>
          </w:tcPr>
          <w:p>
            <w:pPr/>
          </w:p>
        </w:tc>
      </w:tr>
      <w:tr>
        <w:trPr>
          <w:trHeight w:val="404"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187,523,015.70</w:t>
            </w:r>
          </w:p>
        </w:tc>
        <w:tc>
          <w:tcPr>
            <w:tcW w:w="1990" w:type="dxa"/>
            <w:tcBorders>
              <w:top w:val="dotted" w:sz="4" w:space="0" w:color="000000"/>
              <w:left w:val="dotted" w:sz="4" w:space="0" w:color="000000"/>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93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30,196,189.82</w:t>
            </w:r>
          </w:p>
        </w:tc>
        <w:tc>
          <w:tcPr>
            <w:tcW w:w="1990" w:type="dxa"/>
            <w:tcBorders>
              <w:top w:val="dotted" w:sz="4" w:space="0" w:color="000000"/>
              <w:left w:val="dotted" w:sz="4" w:space="0" w:color="000000"/>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93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54,897,169.65</w:t>
            </w:r>
          </w:p>
        </w:tc>
        <w:tc>
          <w:tcPr>
            <w:tcW w:w="19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230,739.54</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1"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161,643,883.70</w:t>
            </w:r>
          </w:p>
        </w:tc>
        <w:tc>
          <w:tcPr>
            <w:tcW w:w="19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6,455.00</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525,897,800.00</w:t>
            </w:r>
          </w:p>
        </w:tc>
        <w:tc>
          <w:tcPr>
            <w:tcW w:w="19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1,400.00</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w w:val="95"/>
                <w:sz w:val="18"/>
              </w:rPr>
              <w:t>7,569.83</w:t>
            </w:r>
          </w:p>
        </w:tc>
        <w:tc>
          <w:tcPr>
            <w:tcW w:w="19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7,569.83</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24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960,165,628.70</w:t>
            </w:r>
          </w:p>
        </w:tc>
        <w:tc>
          <w:tcPr>
            <w:tcW w:w="19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246,164.37</w:t>
            </w:r>
          </w:p>
        </w:tc>
        <w:tc>
          <w:tcPr>
            <w:tcW w:w="185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575" w:right="0"/>
        <w:jc w:val="left"/>
        <w:rPr>
          <w:b w:val="0"/>
          <w:bCs w:val="0"/>
        </w:rPr>
      </w:pPr>
      <w:r>
        <w:rPr/>
        <w:pict>
          <v:group style="position:absolute;margin-left:307.130005pt;margin-top:48.785pt;width:.5pt;height:.1pt;mso-position-horizontal-relative:page;mso-position-vertical-relative:paragraph;z-index:-1326736" coordorigin="6143,976" coordsize="10,2">
            <v:shape style="position:absolute;left:6143;top:976;width:10;height:2" coordorigin="6143,976" coordsize="10,0" path="m6143,976l6152,976e" filled="false" stroked="true" strokeweight=".72pt" strokecolor="#000000">
              <v:path arrowok="t"/>
              <v:stroke dashstyle="dash"/>
            </v:shape>
            <w10:wrap type="none"/>
          </v:group>
        </w:pict>
      </w:r>
      <w:r>
        <w:rPr/>
        <w:pict>
          <v:group style="position:absolute;margin-left:362.230011pt;margin-top:48.785pt;width:.5pt;height:.1pt;mso-position-horizontal-relative:page;mso-position-vertical-relative:paragraph;z-index:-1326712" coordorigin="7245,976" coordsize="10,2">
            <v:shape style="position:absolute;left:7245;top:976;width:10;height:2" coordorigin="7245,976" coordsize="10,0" path="m7245,976l7254,976e" filled="false" stroked="true" strokeweight=".72pt" strokecolor="#000000">
              <v:path arrowok="t"/>
              <v:stroke dashstyle="dash"/>
            </v:shape>
            <w10:wrap type="none"/>
          </v:group>
        </w:pict>
      </w:r>
      <w:r>
        <w:rPr/>
        <w:pict>
          <v:group style="position:absolute;margin-left:409.149994pt;margin-top:48.785pt;width:.5pt;height:.1pt;mso-position-horizontal-relative:page;mso-position-vertical-relative:paragraph;z-index:-1326688" coordorigin="8183,976" coordsize="10,2">
            <v:shape style="position:absolute;left:8183;top:976;width:10;height:2" coordorigin="8183,976" coordsize="10,0" path="m8183,976l8193,976e" filled="false" stroked="true" strokeweight=".72pt" strokecolor="#000000">
              <v:path arrowok="t"/>
              <v:stroke dashstyle="dash"/>
            </v:shape>
            <w10:wrap type="none"/>
          </v:group>
        </w:pict>
      </w:r>
      <w:r>
        <w:rPr>
          <w:rFonts w:ascii="Times New Roman" w:hAnsi="Times New Roman" w:cs="Times New Roman" w:eastAsia="Times New Roman" w:hint="default"/>
        </w:rPr>
        <w:t>2. </w:t>
      </w:r>
      <w:r>
        <w:rPr>
          <w:rFonts w:ascii="Times New Roman" w:hAnsi="Times New Roman" w:cs="Times New Roman" w:eastAsia="Times New Roman" w:hint="default"/>
          <w:spacing w:val="12"/>
        </w:rPr>
        <w:t> </w:t>
      </w:r>
      <w:r>
        <w:rPr/>
        <w:t>本期计提、核销的坏账准备情况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794" w:type="dxa"/>
        <w:tblLayout w:type="fixed"/>
        <w:tblCellMar>
          <w:top w:w="0" w:type="dxa"/>
          <w:left w:w="0" w:type="dxa"/>
          <w:bottom w:w="0" w:type="dxa"/>
          <w:right w:w="0" w:type="dxa"/>
        </w:tblCellMar>
        <w:tblLook w:val="01E0"/>
      </w:tblPr>
      <w:tblGrid>
        <w:gridCol w:w="1934"/>
        <w:gridCol w:w="1232"/>
        <w:gridCol w:w="1193"/>
        <w:gridCol w:w="1102"/>
        <w:gridCol w:w="938"/>
        <w:gridCol w:w="994"/>
        <w:gridCol w:w="922"/>
      </w:tblGrid>
      <w:tr>
        <w:trPr>
          <w:trHeight w:val="427" w:hRule="exact"/>
        </w:trPr>
        <w:tc>
          <w:tcPr>
            <w:tcW w:w="1934"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32" w:type="dxa"/>
            <w:vMerge w:val="restart"/>
            <w:tcBorders>
              <w:top w:val="single" w:sz="12" w:space="0" w:color="000000"/>
              <w:left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227"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本期变动情况</w:t>
            </w:r>
          </w:p>
        </w:tc>
        <w:tc>
          <w:tcPr>
            <w:tcW w:w="922" w:type="dxa"/>
            <w:vMerge w:val="restart"/>
            <w:tcBorders>
              <w:top w:val="single" w:sz="12" w:space="0" w:color="000000"/>
              <w:left w:val="dotted"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8" w:hRule="exact"/>
        </w:trPr>
        <w:tc>
          <w:tcPr>
            <w:tcW w:w="1934" w:type="dxa"/>
            <w:vMerge/>
            <w:tcBorders>
              <w:left w:val="nil" w:sz="6" w:space="0" w:color="auto"/>
              <w:bottom w:val="dotted" w:sz="4" w:space="0" w:color="000000"/>
              <w:right w:val="dotted" w:sz="4" w:space="0" w:color="000000"/>
            </w:tcBorders>
          </w:tcPr>
          <w:p>
            <w:pPr/>
          </w:p>
        </w:tc>
        <w:tc>
          <w:tcPr>
            <w:tcW w:w="1232" w:type="dxa"/>
            <w:vMerge/>
            <w:tcBorders>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85"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3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22" w:type="dxa"/>
            <w:vMerge/>
            <w:tcBorders>
              <w:left w:val="dotted" w:sz="4" w:space="0" w:color="000000"/>
              <w:bottom w:val="dotted" w:sz="4" w:space="0" w:color="000000"/>
              <w:right w:val="nil" w:sz="6" w:space="0" w:color="auto"/>
            </w:tcBorders>
          </w:tcPr>
          <w:p>
            <w:pPr/>
          </w:p>
        </w:tc>
      </w:tr>
      <w:tr>
        <w:trPr>
          <w:trHeight w:val="415"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按“一般方法”计提：</w:t>
            </w:r>
          </w:p>
        </w:tc>
        <w:tc>
          <w:tcPr>
            <w:tcW w:w="1232"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102"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nil" w:sz="6" w:space="0" w:color="auto"/>
            </w:tcBorders>
          </w:tcPr>
          <w:p>
            <w:pPr/>
          </w:p>
        </w:tc>
      </w:tr>
      <w:tr>
        <w:trPr>
          <w:trHeight w:val="730"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314" w:lineRule="auto" w:before="65"/>
              <w:ind w:left="28" w:right="6" w:firstLine="180"/>
              <w:jc w:val="left"/>
              <w:rPr>
                <w:rFonts w:ascii="宋体" w:hAnsi="宋体" w:cs="宋体" w:eastAsia="宋体" w:hint="default"/>
                <w:sz w:val="18"/>
                <w:szCs w:val="18"/>
              </w:rPr>
            </w:pPr>
            <w:r>
              <w:rPr>
                <w:rFonts w:ascii="宋体" w:hAnsi="宋体" w:cs="宋体" w:eastAsia="宋体" w:hint="default"/>
                <w:spacing w:val="9"/>
                <w:sz w:val="18"/>
                <w:szCs w:val="18"/>
              </w:rPr>
              <w:t>单项金额重大并已单</w:t>
            </w:r>
            <w:r>
              <w:rPr>
                <w:rFonts w:ascii="宋体" w:hAnsi="宋体" w:cs="宋体" w:eastAsia="宋体" w:hint="default"/>
                <w:sz w:val="18"/>
                <w:szCs w:val="18"/>
              </w:rPr>
              <w:t> 独计提坏账准备的款项</w:t>
            </w:r>
          </w:p>
        </w:tc>
        <w:tc>
          <w:tcPr>
            <w:tcW w:w="1232"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102"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nil" w:sz="6" w:space="0" w:color="auto"/>
            </w:tcBorders>
          </w:tcPr>
          <w:p>
            <w:pPr/>
          </w:p>
        </w:tc>
      </w:tr>
      <w:tr>
        <w:trPr>
          <w:trHeight w:val="1042"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5"/>
              <w:ind w:left="28" w:right="0" w:firstLine="180"/>
              <w:jc w:val="both"/>
              <w:rPr>
                <w:rFonts w:ascii="宋体" w:hAnsi="宋体" w:cs="宋体" w:eastAsia="宋体" w:hint="default"/>
                <w:sz w:val="18"/>
                <w:szCs w:val="18"/>
              </w:rPr>
            </w:pPr>
            <w:r>
              <w:rPr>
                <w:rFonts w:ascii="宋体" w:hAnsi="宋体" w:cs="宋体" w:eastAsia="宋体" w:hint="default"/>
                <w:spacing w:val="9"/>
                <w:sz w:val="18"/>
                <w:szCs w:val="18"/>
              </w:rPr>
              <w:t>单项金额非重大并已</w:t>
            </w:r>
            <w:r>
              <w:rPr>
                <w:rFonts w:ascii="宋体" w:hAnsi="宋体" w:cs="宋体" w:eastAsia="宋体" w:hint="default"/>
                <w:sz w:val="18"/>
                <w:szCs w:val="18"/>
              </w:rPr>
              <w:t> </w:t>
            </w:r>
            <w:r>
              <w:rPr>
                <w:rFonts w:ascii="宋体" w:hAnsi="宋体" w:cs="宋体" w:eastAsia="宋体" w:hint="default"/>
                <w:spacing w:val="9"/>
                <w:sz w:val="18"/>
                <w:szCs w:val="18"/>
              </w:rPr>
              <w:t>单独计提坏账准备的款</w:t>
            </w:r>
            <w:r>
              <w:rPr>
                <w:rFonts w:ascii="宋体" w:hAnsi="宋体" w:cs="宋体" w:eastAsia="宋体" w:hint="default"/>
                <w:spacing w:val="9"/>
                <w:sz w:val="18"/>
                <w:szCs w:val="18"/>
              </w:rPr>
              <w:t> </w:t>
            </w:r>
            <w:r>
              <w:rPr>
                <w:rFonts w:ascii="宋体" w:hAnsi="宋体" w:cs="宋体" w:eastAsia="宋体" w:hint="default"/>
                <w:sz w:val="18"/>
                <w:szCs w:val="18"/>
              </w:rPr>
              <w:t>项</w:t>
            </w:r>
          </w:p>
        </w:tc>
        <w:tc>
          <w:tcPr>
            <w:tcW w:w="1232"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102"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nil" w:sz="6" w:space="0" w:color="auto"/>
            </w:tcBorders>
          </w:tcPr>
          <w:p>
            <w:pPr/>
          </w:p>
        </w:tc>
      </w:tr>
      <w:tr>
        <w:trPr>
          <w:trHeight w:val="701"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按“简化方法”计提：</w:t>
            </w:r>
          </w:p>
        </w:tc>
        <w:tc>
          <w:tcPr>
            <w:tcW w:w="1232"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102"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nil" w:sz="6" w:space="0" w:color="auto"/>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r>
        <w:rPr/>
        <w:pict>
          <v:group style="position:absolute;margin-left:307.130005pt;margin-top:94.699982pt;width:.5pt;height:.1pt;mso-position-horizontal-relative:page;mso-position-vertical-relative:page;z-index:-1326640" coordorigin="6143,1894" coordsize="10,2">
            <v:shape style="position:absolute;left:6143;top:1894;width:10;height:2" coordorigin="6143,1894" coordsize="10,0" path="m6143,1894l6152,1894e" filled="false" stroked="true" strokeweight=".72pt" strokecolor="#000000">
              <v:path arrowok="t"/>
              <v:stroke dashstyle="dash"/>
            </v:shape>
            <w10:wrap type="none"/>
          </v:group>
        </w:pict>
      </w:r>
      <w:r>
        <w:rPr/>
        <w:pict>
          <v:group style="position:absolute;margin-left:362.230011pt;margin-top:94.699982pt;width:.5pt;height:.1pt;mso-position-horizontal-relative:page;mso-position-vertical-relative:page;z-index:-1326616" coordorigin="7245,1894" coordsize="10,2">
            <v:shape style="position:absolute;left:7245;top:1894;width:10;height:2" coordorigin="7245,1894" coordsize="10,0" path="m7245,1894l7254,1894e" filled="false" stroked="true" strokeweight=".72pt" strokecolor="#000000">
              <v:path arrowok="t"/>
              <v:stroke dashstyle="dash"/>
            </v:shape>
            <w10:wrap type="none"/>
          </v:group>
        </w:pict>
      </w:r>
      <w:r>
        <w:rPr/>
        <w:pict>
          <v:group style="position:absolute;margin-left:409.149994pt;margin-top:94.699982pt;width:.5pt;height:.1pt;mso-position-horizontal-relative:page;mso-position-vertical-relative:page;z-index:-1326592" coordorigin="8183,1894" coordsize="10,2">
            <v:shape style="position:absolute;left:8183;top:1894;width:10;height:2" coordorigin="8183,1894" coordsize="10,0" path="m8183,1894l8193,1894e" filled="false" stroked="true" strokeweight=".72pt" strokecolor="#000000">
              <v:path arrowok="t"/>
              <v:stroke dashstyle="dash"/>
            </v:shape>
            <w10:wrap type="none"/>
          </v:group>
        </w:pict>
      </w:r>
    </w:p>
    <w:tbl>
      <w:tblPr>
        <w:tblW w:w="0" w:type="auto"/>
        <w:jc w:val="left"/>
        <w:tblInd w:w="794" w:type="dxa"/>
        <w:tblLayout w:type="fixed"/>
        <w:tblCellMar>
          <w:top w:w="0" w:type="dxa"/>
          <w:left w:w="0" w:type="dxa"/>
          <w:bottom w:w="0" w:type="dxa"/>
          <w:right w:w="0" w:type="dxa"/>
        </w:tblCellMar>
        <w:tblLook w:val="01E0"/>
      </w:tblPr>
      <w:tblGrid>
        <w:gridCol w:w="1934"/>
        <w:gridCol w:w="1232"/>
        <w:gridCol w:w="1193"/>
        <w:gridCol w:w="1102"/>
        <w:gridCol w:w="938"/>
        <w:gridCol w:w="994"/>
        <w:gridCol w:w="922"/>
      </w:tblGrid>
      <w:tr>
        <w:trPr>
          <w:trHeight w:val="428" w:hRule="exact"/>
        </w:trPr>
        <w:tc>
          <w:tcPr>
            <w:tcW w:w="1934" w:type="dxa"/>
            <w:vMerge w:val="restart"/>
            <w:tcBorders>
              <w:top w:val="single" w:sz="12" w:space="0" w:color="000000"/>
              <w:left w:val="nil" w:sz="6" w:space="0" w:color="auto"/>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32" w:type="dxa"/>
            <w:vMerge w:val="restart"/>
            <w:tcBorders>
              <w:top w:val="single" w:sz="12" w:space="0" w:color="000000"/>
              <w:left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227"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本期变动情况</w:t>
            </w:r>
          </w:p>
        </w:tc>
        <w:tc>
          <w:tcPr>
            <w:tcW w:w="922" w:type="dxa"/>
            <w:vMerge w:val="restart"/>
            <w:tcBorders>
              <w:top w:val="single" w:sz="12" w:space="0" w:color="000000"/>
              <w:left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8" w:hRule="exact"/>
        </w:trPr>
        <w:tc>
          <w:tcPr>
            <w:tcW w:w="1934" w:type="dxa"/>
            <w:vMerge/>
            <w:tcBorders>
              <w:left w:val="nil" w:sz="6" w:space="0" w:color="auto"/>
              <w:bottom w:val="dotted" w:sz="4" w:space="0" w:color="000000"/>
              <w:right w:val="dotted" w:sz="4" w:space="0" w:color="000000"/>
            </w:tcBorders>
          </w:tcPr>
          <w:p>
            <w:pPr/>
          </w:p>
        </w:tc>
        <w:tc>
          <w:tcPr>
            <w:tcW w:w="1232" w:type="dxa"/>
            <w:vMerge/>
            <w:tcBorders>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41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285"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13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22" w:type="dxa"/>
            <w:vMerge/>
            <w:tcBorders>
              <w:left w:val="dotted" w:sz="4" w:space="0" w:color="000000"/>
              <w:bottom w:val="dotted" w:sz="4" w:space="0" w:color="000000"/>
              <w:right w:val="nil" w:sz="6" w:space="0" w:color="auto"/>
            </w:tcBorders>
          </w:tcPr>
          <w:p>
            <w:pPr/>
          </w:p>
        </w:tc>
      </w:tr>
      <w:tr>
        <w:trPr>
          <w:trHeight w:val="418"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按“一般方法”计提：</w:t>
            </w:r>
          </w:p>
        </w:tc>
        <w:tc>
          <w:tcPr>
            <w:tcW w:w="1232"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102"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nil" w:sz="6" w:space="0" w:color="auto"/>
            </w:tcBorders>
          </w:tcPr>
          <w:p>
            <w:pPr/>
          </w:p>
        </w:tc>
      </w:tr>
      <w:tr>
        <w:trPr>
          <w:trHeight w:val="727"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63"/>
              <w:ind w:left="28" w:right="6" w:firstLine="180"/>
              <w:jc w:val="left"/>
              <w:rPr>
                <w:rFonts w:ascii="宋体" w:hAnsi="宋体" w:cs="宋体" w:eastAsia="宋体" w:hint="default"/>
                <w:sz w:val="18"/>
                <w:szCs w:val="18"/>
              </w:rPr>
            </w:pPr>
            <w:r>
              <w:rPr>
                <w:rFonts w:ascii="宋体" w:hAnsi="宋体" w:cs="宋体" w:eastAsia="宋体" w:hint="default"/>
                <w:spacing w:val="9"/>
                <w:sz w:val="18"/>
                <w:szCs w:val="18"/>
              </w:rPr>
              <w:t>按组合计提预期信用</w:t>
            </w:r>
            <w:r>
              <w:rPr>
                <w:rFonts w:ascii="宋体" w:hAnsi="宋体" w:cs="宋体" w:eastAsia="宋体" w:hint="default"/>
                <w:sz w:val="18"/>
                <w:szCs w:val="18"/>
              </w:rPr>
              <w:t> 损失的应收账款</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956,541.34</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512,619.56</w:t>
            </w:r>
          </w:p>
        </w:tc>
        <w:tc>
          <w:tcPr>
            <w:tcW w:w="1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1,222,996.53</w:t>
            </w: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246,164.37</w:t>
            </w:r>
          </w:p>
        </w:tc>
      </w:tr>
      <w:tr>
        <w:trPr>
          <w:trHeight w:val="418"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其中：组合</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2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pacing w:val="-1"/>
                <w:sz w:val="18"/>
              </w:rPr>
              <w:t>956,541.34</w:t>
            </w:r>
          </w:p>
        </w:tc>
        <w:tc>
          <w:tcPr>
            <w:tcW w:w="11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362" w:right="0"/>
              <w:jc w:val="left"/>
              <w:rPr>
                <w:rFonts w:ascii="Times New Roman" w:hAnsi="Times New Roman" w:cs="Times New Roman" w:eastAsia="Times New Roman" w:hint="default"/>
                <w:sz w:val="18"/>
                <w:szCs w:val="18"/>
              </w:rPr>
            </w:pPr>
            <w:r>
              <w:rPr>
                <w:rFonts w:ascii="Times New Roman"/>
                <w:sz w:val="18"/>
              </w:rPr>
              <w:t>512,619.56</w:t>
            </w:r>
          </w:p>
        </w:tc>
        <w:tc>
          <w:tcPr>
            <w:tcW w:w="1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left="136" w:right="0"/>
              <w:jc w:val="left"/>
              <w:rPr>
                <w:rFonts w:ascii="Times New Roman" w:hAnsi="Times New Roman" w:cs="Times New Roman" w:eastAsia="Times New Roman" w:hint="default"/>
                <w:sz w:val="18"/>
                <w:szCs w:val="18"/>
              </w:rPr>
            </w:pPr>
            <w:r>
              <w:rPr>
                <w:rFonts w:ascii="Times New Roman"/>
                <w:sz w:val="18"/>
              </w:rPr>
              <w:t>1,222,996.53</w:t>
            </w: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246,164.37</w:t>
            </w:r>
          </w:p>
        </w:tc>
      </w:tr>
      <w:tr>
        <w:trPr>
          <w:trHeight w:val="418" w:hRule="exact"/>
        </w:trPr>
        <w:tc>
          <w:tcPr>
            <w:tcW w:w="1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571"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宋体" w:hAnsi="宋体" w:cs="宋体" w:eastAsia="宋体" w:hint="default"/>
                <w:sz w:val="18"/>
                <w:szCs w:val="18"/>
              </w:rPr>
              <w:t>2</w:t>
            </w:r>
          </w:p>
        </w:tc>
        <w:tc>
          <w:tcPr>
            <w:tcW w:w="1232" w:type="dxa"/>
            <w:tcBorders>
              <w:top w:val="dotted" w:sz="4" w:space="0" w:color="000000"/>
              <w:left w:val="dotted" w:sz="4" w:space="0" w:color="000000"/>
              <w:bottom w:val="dotted" w:sz="4" w:space="0" w:color="000000"/>
              <w:right w:val="dotted" w:sz="4" w:space="0" w:color="000000"/>
            </w:tcBorders>
          </w:tcPr>
          <w:p>
            <w:pPr/>
          </w:p>
        </w:tc>
        <w:tc>
          <w:tcPr>
            <w:tcW w:w="1193" w:type="dxa"/>
            <w:tcBorders>
              <w:top w:val="dotted" w:sz="4" w:space="0" w:color="000000"/>
              <w:left w:val="dotted" w:sz="4" w:space="0" w:color="000000"/>
              <w:bottom w:val="dotted" w:sz="4" w:space="0" w:color="000000"/>
              <w:right w:val="dotted" w:sz="4" w:space="0" w:color="000000"/>
            </w:tcBorders>
          </w:tcPr>
          <w:p>
            <w:pPr/>
          </w:p>
        </w:tc>
        <w:tc>
          <w:tcPr>
            <w:tcW w:w="1102" w:type="dxa"/>
            <w:tcBorders>
              <w:top w:val="dotted" w:sz="4" w:space="0" w:color="000000"/>
              <w:left w:val="dotted" w:sz="4" w:space="0" w:color="000000"/>
              <w:bottom w:val="dotted" w:sz="4" w:space="0" w:color="000000"/>
              <w:right w:val="dotted" w:sz="4" w:space="0" w:color="000000"/>
            </w:tcBorders>
          </w:tcPr>
          <w:p>
            <w:pPr/>
          </w:p>
        </w:tc>
        <w:tc>
          <w:tcPr>
            <w:tcW w:w="93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22" w:type="dxa"/>
            <w:tcBorders>
              <w:top w:val="dotted" w:sz="4" w:space="0" w:color="000000"/>
              <w:left w:val="dotted" w:sz="4" w:space="0" w:color="000000"/>
              <w:bottom w:val="dotted" w:sz="4" w:space="0" w:color="000000"/>
              <w:right w:val="nil" w:sz="6" w:space="0" w:color="auto"/>
            </w:tcBorders>
          </w:tcPr>
          <w:p>
            <w:pPr/>
          </w:p>
        </w:tc>
      </w:tr>
      <w:tr>
        <w:trPr>
          <w:trHeight w:val="427" w:hRule="exact"/>
        </w:trPr>
        <w:tc>
          <w:tcPr>
            <w:tcW w:w="19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956,541.34</w:t>
            </w:r>
          </w:p>
        </w:tc>
        <w:tc>
          <w:tcPr>
            <w:tcW w:w="11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512,619.56</w:t>
            </w:r>
          </w:p>
        </w:tc>
        <w:tc>
          <w:tcPr>
            <w:tcW w:w="11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1,222,996.53</w:t>
            </w:r>
          </w:p>
        </w:tc>
        <w:tc>
          <w:tcPr>
            <w:tcW w:w="938"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9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246,164.37</w:t>
            </w:r>
          </w:p>
        </w:tc>
      </w:tr>
    </w:tbl>
    <w:p>
      <w:pPr>
        <w:spacing w:line="240" w:lineRule="auto" w:before="4"/>
        <w:rPr>
          <w:rFonts w:ascii="Microsoft JhengHei" w:hAnsi="Microsoft JhengHei" w:cs="Microsoft JhengHei" w:eastAsia="Microsoft JhengHei" w:hint="default"/>
          <w:b/>
          <w:bCs/>
          <w:sz w:val="21"/>
          <w:szCs w:val="21"/>
        </w:rPr>
      </w:pPr>
    </w:p>
    <w:p>
      <w:pPr>
        <w:pStyle w:val="Heading4"/>
        <w:spacing w:line="335" w:lineRule="exact"/>
        <w:ind w:left="575"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9"/>
        </w:rPr>
        <w:t> </w:t>
      </w:r>
      <w:r>
        <w:rPr/>
        <w:t>按款项性质分类情况</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3138"/>
        <w:gridCol w:w="3269"/>
        <w:gridCol w:w="3248"/>
      </w:tblGrid>
      <w:tr>
        <w:trPr>
          <w:trHeight w:val="427" w:hRule="exact"/>
        </w:trPr>
        <w:tc>
          <w:tcPr>
            <w:tcW w:w="313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2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31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955,406,539.60</w:t>
            </w:r>
          </w:p>
        </w:tc>
        <w:tc>
          <w:tcPr>
            <w:tcW w:w="32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1,101,708,520.57</w:t>
            </w:r>
          </w:p>
        </w:tc>
      </w:tr>
      <w:tr>
        <w:trPr>
          <w:trHeight w:val="418" w:hRule="exact"/>
        </w:trPr>
        <w:tc>
          <w:tcPr>
            <w:tcW w:w="31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4,682,140.86</w:t>
            </w:r>
          </w:p>
        </w:tc>
        <w:tc>
          <w:tcPr>
            <w:tcW w:w="32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4,931,140.86</w:t>
            </w:r>
          </w:p>
        </w:tc>
      </w:tr>
      <w:tr>
        <w:trPr>
          <w:trHeight w:val="418" w:hRule="exact"/>
        </w:trPr>
        <w:tc>
          <w:tcPr>
            <w:tcW w:w="31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76,948.24</w:t>
            </w:r>
          </w:p>
        </w:tc>
        <w:tc>
          <w:tcPr>
            <w:tcW w:w="32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65,440.77</w:t>
            </w:r>
          </w:p>
        </w:tc>
      </w:tr>
      <w:tr>
        <w:trPr>
          <w:trHeight w:val="415" w:hRule="exact"/>
        </w:trPr>
        <w:tc>
          <w:tcPr>
            <w:tcW w:w="31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269" w:type="dxa"/>
            <w:tcBorders>
              <w:top w:val="dotted" w:sz="4" w:space="0" w:color="000000"/>
              <w:left w:val="dotted" w:sz="4" w:space="0" w:color="000000"/>
              <w:bottom w:val="dotted" w:sz="4" w:space="0" w:color="000000"/>
              <w:right w:val="dotted" w:sz="4" w:space="0" w:color="000000"/>
            </w:tcBorders>
          </w:tcPr>
          <w:p>
            <w:pPr/>
          </w:p>
        </w:tc>
        <w:tc>
          <w:tcPr>
            <w:tcW w:w="32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30" w:hRule="exact"/>
        </w:trPr>
        <w:tc>
          <w:tcPr>
            <w:tcW w:w="31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pacing w:val="-1"/>
                <w:sz w:val="18"/>
              </w:rPr>
              <w:t>960,165,628.70</w:t>
            </w:r>
          </w:p>
        </w:tc>
        <w:tc>
          <w:tcPr>
            <w:tcW w:w="32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1,107,705,102.20</w:t>
            </w:r>
          </w:p>
        </w:tc>
      </w:tr>
    </w:tbl>
    <w:p>
      <w:pPr>
        <w:spacing w:line="240" w:lineRule="auto" w:before="15"/>
        <w:rPr>
          <w:rFonts w:ascii="Microsoft JhengHei" w:hAnsi="Microsoft JhengHei" w:cs="Microsoft JhengHei" w:eastAsia="Microsoft JhengHei" w:hint="default"/>
          <w:b/>
          <w:bCs/>
          <w:sz w:val="23"/>
          <w:szCs w:val="23"/>
        </w:rPr>
      </w:pPr>
    </w:p>
    <w:p>
      <w:pPr>
        <w:pStyle w:val="Heading4"/>
        <w:spacing w:line="335" w:lineRule="exact"/>
        <w:ind w:left="575"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16"/>
        </w:rPr>
        <w:t> </w:t>
      </w:r>
      <w:r>
        <w:rPr/>
        <w:t>按欠款方归集的期末余额前五名的其他应收款</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2540"/>
        <w:gridCol w:w="1121"/>
        <w:gridCol w:w="1601"/>
        <w:gridCol w:w="1673"/>
        <w:gridCol w:w="1126"/>
        <w:gridCol w:w="1594"/>
      </w:tblGrid>
      <w:tr>
        <w:trPr>
          <w:trHeight w:val="821" w:hRule="exact"/>
        </w:trPr>
        <w:tc>
          <w:tcPr>
            <w:tcW w:w="254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60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26" w:type="dxa"/>
            <w:tcBorders>
              <w:top w:val="single" w:sz="12" w:space="0" w:color="000000"/>
              <w:left w:val="dotted" w:sz="4" w:space="0" w:color="000000"/>
              <w:bottom w:val="dotted" w:sz="4" w:space="0" w:color="000000"/>
              <w:right w:val="dotted" w:sz="4" w:space="0" w:color="000000"/>
            </w:tcBorders>
          </w:tcPr>
          <w:p>
            <w:pPr>
              <w:pStyle w:val="TableParagraph"/>
              <w:spacing w:line="244" w:lineRule="auto" w:before="20"/>
              <w:ind w:left="16" w:right="17"/>
              <w:jc w:val="center"/>
              <w:rPr>
                <w:rFonts w:ascii="Arial" w:hAnsi="Arial" w:cs="Arial" w:eastAsia="Arial" w:hint="default"/>
                <w:sz w:val="18"/>
                <w:szCs w:val="18"/>
              </w:rPr>
            </w:pPr>
            <w:r>
              <w:rPr>
                <w:rFonts w:ascii="宋体" w:hAnsi="宋体" w:cs="宋体" w:eastAsia="宋体" w:hint="default"/>
                <w:sz w:val="18"/>
                <w:szCs w:val="18"/>
              </w:rPr>
              <w:t>占其他应收款 期末余额的比 例</w:t>
            </w:r>
            <w:r>
              <w:rPr>
                <w:rFonts w:ascii="Arial" w:hAnsi="Arial" w:cs="Arial" w:eastAsia="Arial" w:hint="default"/>
                <w:sz w:val="18"/>
                <w:szCs w:val="18"/>
              </w:rPr>
              <w:t>(%)</w:t>
            </w:r>
          </w:p>
        </w:tc>
        <w:tc>
          <w:tcPr>
            <w:tcW w:w="1594" w:type="dxa"/>
            <w:tcBorders>
              <w:top w:val="single" w:sz="12" w:space="0" w:color="000000"/>
              <w:left w:val="dotted" w:sz="4" w:space="0" w:color="000000"/>
              <w:bottom w:val="dotted" w:sz="4" w:space="0" w:color="000000"/>
              <w:right w:val="nil" w:sz="6" w:space="0" w:color="auto"/>
            </w:tcBorders>
          </w:tcPr>
          <w:p>
            <w:pPr>
              <w:pStyle w:val="TableParagraph"/>
              <w:spacing w:line="283" w:lineRule="auto" w:before="121"/>
              <w:ind w:left="431" w:right="434"/>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1"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763,155,730.08</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79.48</w:t>
            </w: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180,190,100.88</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18.77</w:t>
            </w: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11,326,283.28</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1.17</w:t>
            </w: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04"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3,852,746.40</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0.4</w:t>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192,637.32</w:t>
            </w:r>
          </w:p>
        </w:tc>
      </w:tr>
      <w:tr>
        <w:trPr>
          <w:trHeight w:val="401" w:hRule="exact"/>
        </w:trPr>
        <w:tc>
          <w:tcPr>
            <w:tcW w:w="25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734,425.36</w:t>
            </w:r>
          </w:p>
        </w:tc>
        <w:tc>
          <w:tcPr>
            <w:tcW w:w="16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0.08</w:t>
            </w:r>
          </w:p>
        </w:tc>
        <w:tc>
          <w:tcPr>
            <w:tcW w:w="1594"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25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dotted" w:sz="4" w:space="0" w:color="000000"/>
              <w:left w:val="dotted" w:sz="4" w:space="0" w:color="000000"/>
              <w:bottom w:val="single" w:sz="12" w:space="0" w:color="000000"/>
              <w:right w:val="dotted" w:sz="4" w:space="0" w:color="000000"/>
            </w:tcBorders>
          </w:tcPr>
          <w:p>
            <w:pPr/>
          </w:p>
        </w:tc>
        <w:tc>
          <w:tcPr>
            <w:tcW w:w="16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99"/>
              <w:jc w:val="right"/>
              <w:rPr>
                <w:rFonts w:ascii="Times New Roman" w:hAnsi="Times New Roman" w:cs="Times New Roman" w:eastAsia="Times New Roman" w:hint="default"/>
                <w:sz w:val="18"/>
                <w:szCs w:val="18"/>
              </w:rPr>
            </w:pPr>
            <w:r>
              <w:rPr>
                <w:rFonts w:ascii="Times New Roman"/>
                <w:spacing w:val="-1"/>
                <w:sz w:val="18"/>
              </w:rPr>
              <w:t>959,259,286.00</w:t>
            </w:r>
          </w:p>
        </w:tc>
        <w:tc>
          <w:tcPr>
            <w:tcW w:w="1673" w:type="dxa"/>
            <w:tcBorders>
              <w:top w:val="dotted" w:sz="4" w:space="0" w:color="000000"/>
              <w:left w:val="dotted" w:sz="4" w:space="0" w:color="000000"/>
              <w:bottom w:val="single" w:sz="12" w:space="0" w:color="000000"/>
              <w:right w:val="dotted" w:sz="4" w:space="0" w:color="000000"/>
            </w:tcBorders>
          </w:tcPr>
          <w:p>
            <w:pPr/>
          </w:p>
        </w:tc>
        <w:tc>
          <w:tcPr>
            <w:tcW w:w="1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z w:val="18"/>
              </w:rPr>
              <w:t>99.90</w:t>
            </w:r>
          </w:p>
        </w:tc>
        <w:tc>
          <w:tcPr>
            <w:tcW w:w="15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192,637.32</w:t>
            </w:r>
          </w:p>
        </w:tc>
      </w:tr>
    </w:tbl>
    <w:p>
      <w:pPr>
        <w:spacing w:line="240" w:lineRule="auto" w:before="6"/>
        <w:rPr>
          <w:rFonts w:ascii="Microsoft JhengHei" w:hAnsi="Microsoft JhengHei" w:cs="Microsoft JhengHei" w:eastAsia="Microsoft JhengHei" w:hint="default"/>
          <w:b/>
          <w:bCs/>
          <w:sz w:val="21"/>
          <w:szCs w:val="21"/>
        </w:rPr>
      </w:pPr>
    </w:p>
    <w:p>
      <w:pPr>
        <w:pStyle w:val="Heading4"/>
        <w:spacing w:line="335" w:lineRule="exact"/>
        <w:ind w:left="575" w:right="0"/>
        <w:jc w:val="left"/>
        <w:rPr>
          <w:b w:val="0"/>
          <w:bCs w:val="0"/>
        </w:rPr>
      </w:pPr>
      <w:r>
        <w:rPr/>
        <w:t>注释 </w:t>
      </w: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t>长期股权投资</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1529"/>
        <w:gridCol w:w="1853"/>
        <w:gridCol w:w="686"/>
        <w:gridCol w:w="1580"/>
        <w:gridCol w:w="1704"/>
        <w:gridCol w:w="581"/>
        <w:gridCol w:w="1721"/>
      </w:tblGrid>
      <w:tr>
        <w:trPr>
          <w:trHeight w:val="413" w:hRule="exact"/>
        </w:trPr>
        <w:tc>
          <w:tcPr>
            <w:tcW w:w="1529"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3"/>
                <w:szCs w:val="23"/>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411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0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1529" w:type="dxa"/>
            <w:vMerge/>
            <w:tcBorders>
              <w:left w:val="nil" w:sz="6" w:space="0" w:color="auto"/>
              <w:bottom w:val="dotted" w:sz="4" w:space="0" w:color="000000"/>
              <w:right w:val="dotted" w:sz="4" w:space="0" w:color="000000"/>
            </w:tcBorders>
          </w:tcPr>
          <w:p>
            <w:pP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81"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49"/>
              <w:ind w:left="105" w:right="10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5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12,482,269,331.98</w:t>
            </w:r>
          </w:p>
        </w:tc>
        <w:tc>
          <w:tcPr>
            <w:tcW w:w="686" w:type="dxa"/>
            <w:tcBorders>
              <w:top w:val="dotted" w:sz="4" w:space="0" w:color="000000"/>
              <w:left w:val="dotted" w:sz="4" w:space="0" w:color="000000"/>
              <w:bottom w:val="dotted" w:sz="4" w:space="0" w:color="000000"/>
              <w:right w:val="dotted" w:sz="4" w:space="0" w:color="000000"/>
            </w:tcBorders>
          </w:tcPr>
          <w:p>
            <w:pP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12,482,269,331.98</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12,464,269,331.98</w:t>
            </w:r>
          </w:p>
        </w:tc>
        <w:tc>
          <w:tcPr>
            <w:tcW w:w="581" w:type="dxa"/>
            <w:tcBorders>
              <w:top w:val="dotted" w:sz="4" w:space="0" w:color="000000"/>
              <w:left w:val="dotted" w:sz="4" w:space="0" w:color="000000"/>
              <w:bottom w:val="dotted" w:sz="4" w:space="0" w:color="000000"/>
              <w:right w:val="dotted" w:sz="4" w:space="0" w:color="000000"/>
            </w:tcBorders>
          </w:tcPr>
          <w:p>
            <w:pP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12,464,269,331.98</w:t>
            </w:r>
          </w:p>
        </w:tc>
      </w:tr>
      <w:tr>
        <w:trPr>
          <w:trHeight w:val="569" w:hRule="exact"/>
        </w:trPr>
        <w:tc>
          <w:tcPr>
            <w:tcW w:w="1529" w:type="dxa"/>
            <w:tcBorders>
              <w:top w:val="dotted" w:sz="4" w:space="0" w:color="000000"/>
              <w:left w:val="nil" w:sz="6" w:space="0" w:color="auto"/>
              <w:bottom w:val="single" w:sz="12" w:space="0" w:color="000000"/>
              <w:right w:val="dotted" w:sz="4" w:space="0" w:color="000000"/>
            </w:tcBorders>
          </w:tcPr>
          <w:p>
            <w:pPr>
              <w:pStyle w:val="TableParagraph"/>
              <w:spacing w:line="232" w:lineRule="exact" w:before="32"/>
              <w:ind w:left="43" w:right="21"/>
              <w:jc w:val="left"/>
              <w:rPr>
                <w:rFonts w:ascii="宋体" w:hAnsi="宋体" w:cs="宋体" w:eastAsia="宋体" w:hint="default"/>
                <w:sz w:val="18"/>
                <w:szCs w:val="18"/>
              </w:rPr>
            </w:pPr>
            <w:r>
              <w:rPr>
                <w:rFonts w:ascii="宋体" w:hAnsi="宋体" w:cs="宋体" w:eastAsia="宋体" w:hint="default"/>
                <w:sz w:val="18"/>
                <w:szCs w:val="18"/>
              </w:rPr>
              <w:t>对联营、合营企业</w:t>
            </w:r>
            <w:r>
              <w:rPr>
                <w:rFonts w:ascii="宋体" w:hAnsi="宋体" w:cs="宋体" w:eastAsia="宋体" w:hint="default"/>
                <w:spacing w:val="-75"/>
                <w:sz w:val="18"/>
                <w:szCs w:val="18"/>
              </w:rPr>
              <w:t> </w:t>
            </w:r>
            <w:r>
              <w:rPr>
                <w:rFonts w:ascii="宋体" w:hAnsi="宋体" w:cs="宋体" w:eastAsia="宋体" w:hint="default"/>
                <w:sz w:val="18"/>
                <w:szCs w:val="18"/>
              </w:rPr>
              <w:t>投资</w:t>
            </w:r>
          </w:p>
        </w:tc>
        <w:tc>
          <w:tcPr>
            <w:tcW w:w="18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45,275,703.68</w:t>
            </w:r>
          </w:p>
        </w:tc>
        <w:tc>
          <w:tcPr>
            <w:tcW w:w="686" w:type="dxa"/>
            <w:tcBorders>
              <w:top w:val="dotted" w:sz="4" w:space="0" w:color="000000"/>
              <w:left w:val="dotted" w:sz="4" w:space="0" w:color="000000"/>
              <w:bottom w:val="single" w:sz="12" w:space="0" w:color="000000"/>
              <w:right w:val="dotted" w:sz="4" w:space="0" w:color="000000"/>
            </w:tcBorders>
          </w:tcPr>
          <w:p>
            <w:pPr/>
          </w:p>
        </w:tc>
        <w:tc>
          <w:tcPr>
            <w:tcW w:w="15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45,275,703.68</w:t>
            </w: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44,954,024.25</w:t>
            </w:r>
          </w:p>
        </w:tc>
        <w:tc>
          <w:tcPr>
            <w:tcW w:w="581" w:type="dxa"/>
            <w:tcBorders>
              <w:top w:val="dotted" w:sz="4" w:space="0" w:color="000000"/>
              <w:left w:val="dotted" w:sz="4" w:space="0" w:color="000000"/>
              <w:bottom w:val="single" w:sz="12" w:space="0" w:color="000000"/>
              <w:right w:val="dotted" w:sz="4" w:space="0" w:color="000000"/>
            </w:tcBorders>
          </w:tcPr>
          <w:p>
            <w:pPr/>
          </w:p>
        </w:tc>
        <w:tc>
          <w:tcPr>
            <w:tcW w:w="17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44,954,024.25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1529"/>
        <w:gridCol w:w="1853"/>
        <w:gridCol w:w="686"/>
        <w:gridCol w:w="1580"/>
        <w:gridCol w:w="1704"/>
        <w:gridCol w:w="581"/>
        <w:gridCol w:w="1721"/>
      </w:tblGrid>
      <w:tr>
        <w:trPr>
          <w:trHeight w:val="413" w:hRule="exact"/>
        </w:trPr>
        <w:tc>
          <w:tcPr>
            <w:tcW w:w="1529"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4119"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0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1529" w:type="dxa"/>
            <w:vMerge/>
            <w:tcBorders>
              <w:left w:val="nil" w:sz="6" w:space="0" w:color="auto"/>
              <w:bottom w:val="dotted" w:sz="4" w:space="0" w:color="000000"/>
              <w:right w:val="dotted" w:sz="4" w:space="0" w:color="000000"/>
            </w:tcBorders>
          </w:tcPr>
          <w:p>
            <w:pP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86"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81" w:type="dxa"/>
            <w:tcBorders>
              <w:top w:val="dotted" w:sz="4" w:space="0" w:color="000000"/>
              <w:left w:val="dotted" w:sz="4" w:space="0" w:color="000000"/>
              <w:bottom w:val="dotted" w:sz="4" w:space="0" w:color="000000"/>
              <w:right w:val="dotted" w:sz="4" w:space="0" w:color="000000"/>
            </w:tcBorders>
          </w:tcPr>
          <w:p>
            <w:pPr>
              <w:pStyle w:val="TableParagraph"/>
              <w:spacing w:line="316" w:lineRule="auto" w:before="49"/>
              <w:ind w:left="105" w:right="10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3" w:hRule="exact"/>
        </w:trPr>
        <w:tc>
          <w:tcPr>
            <w:tcW w:w="15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7"/>
              <w:ind w:left="2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468" w:right="0"/>
              <w:jc w:val="left"/>
              <w:rPr>
                <w:rFonts w:ascii="Times New Roman" w:hAnsi="Times New Roman" w:cs="Times New Roman" w:eastAsia="Times New Roman" w:hint="default"/>
                <w:sz w:val="18"/>
                <w:szCs w:val="18"/>
              </w:rPr>
            </w:pPr>
            <w:r>
              <w:rPr>
                <w:rFonts w:ascii="Times New Roman"/>
                <w:sz w:val="18"/>
              </w:rPr>
              <w:t>12,527,545,035.66</w:t>
            </w:r>
          </w:p>
        </w:tc>
        <w:tc>
          <w:tcPr>
            <w:tcW w:w="686" w:type="dxa"/>
            <w:tcBorders>
              <w:top w:val="dotted" w:sz="4" w:space="0" w:color="000000"/>
              <w:left w:val="dotted" w:sz="4" w:space="0" w:color="000000"/>
              <w:bottom w:val="single" w:sz="12" w:space="0" w:color="000000"/>
              <w:right w:val="dotted" w:sz="4" w:space="0" w:color="000000"/>
            </w:tcBorders>
          </w:tcPr>
          <w:p>
            <w:pPr/>
          </w:p>
        </w:tc>
        <w:tc>
          <w:tcPr>
            <w:tcW w:w="15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12,527,545,035.66</w:t>
            </w: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12,509,223,356.23</w:t>
            </w:r>
          </w:p>
        </w:tc>
        <w:tc>
          <w:tcPr>
            <w:tcW w:w="581" w:type="dxa"/>
            <w:tcBorders>
              <w:top w:val="dotted" w:sz="4" w:space="0" w:color="000000"/>
              <w:left w:val="dotted" w:sz="4" w:space="0" w:color="000000"/>
              <w:bottom w:val="single" w:sz="12" w:space="0" w:color="000000"/>
              <w:right w:val="dotted" w:sz="4" w:space="0" w:color="000000"/>
            </w:tcBorders>
          </w:tcPr>
          <w:p>
            <w:pPr/>
          </w:p>
        </w:tc>
        <w:tc>
          <w:tcPr>
            <w:tcW w:w="17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left="336" w:right="0"/>
              <w:jc w:val="left"/>
              <w:rPr>
                <w:rFonts w:ascii="Times New Roman" w:hAnsi="Times New Roman" w:cs="Times New Roman" w:eastAsia="Times New Roman" w:hint="default"/>
                <w:sz w:val="18"/>
                <w:szCs w:val="18"/>
              </w:rPr>
            </w:pPr>
            <w:r>
              <w:rPr>
                <w:rFonts w:ascii="Times New Roman"/>
                <w:sz w:val="18"/>
              </w:rPr>
              <w:t>12,509,223,356.23</w:t>
            </w:r>
          </w:p>
        </w:tc>
      </w:tr>
    </w:tbl>
    <w:p>
      <w:pPr>
        <w:spacing w:line="240" w:lineRule="auto" w:before="6"/>
        <w:rPr>
          <w:rFonts w:ascii="Microsoft JhengHei" w:hAnsi="Microsoft JhengHei" w:cs="Microsoft JhengHei" w:eastAsia="Microsoft JhengHei" w:hint="default"/>
          <w:b/>
          <w:bCs/>
          <w:sz w:val="21"/>
          <w:szCs w:val="21"/>
        </w:rPr>
      </w:pPr>
    </w:p>
    <w:p>
      <w:pPr>
        <w:pStyle w:val="Heading4"/>
        <w:tabs>
          <w:tab w:pos="993" w:val="left" w:leader="none"/>
        </w:tabs>
        <w:spacing w:line="335" w:lineRule="exact"/>
        <w:ind w:left="573" w:right="0"/>
        <w:jc w:val="left"/>
        <w:rPr>
          <w:b w:val="0"/>
          <w:bCs w:val="0"/>
        </w:rPr>
      </w:pPr>
      <w:r>
        <w:rPr>
          <w:rFonts w:ascii="Times New Roman" w:hAnsi="Times New Roman" w:cs="Times New Roman" w:eastAsia="Times New Roman" w:hint="default"/>
        </w:rPr>
        <w:t>1.</w:t>
        <w:tab/>
      </w:r>
      <w:r>
        <w:rPr/>
        <w:t>对子公司投资</w:t>
      </w:r>
      <w:r>
        <w:rPr>
          <w:b w:val="0"/>
          <w:bCs w:val="0"/>
        </w:rPr>
      </w: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2487"/>
        <w:gridCol w:w="1541"/>
        <w:gridCol w:w="1234"/>
        <w:gridCol w:w="694"/>
        <w:gridCol w:w="1699"/>
        <w:gridCol w:w="961"/>
        <w:gridCol w:w="1039"/>
      </w:tblGrid>
      <w:tr>
        <w:trPr>
          <w:trHeight w:val="569" w:hRule="exact"/>
        </w:trPr>
        <w:tc>
          <w:tcPr>
            <w:tcW w:w="24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8"/>
              <w:ind w:left="79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4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694"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163" w:right="15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6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4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61"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115" w:right="113"/>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39"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153" w:right="158"/>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1" w:hRule="exact"/>
        </w:trPr>
        <w:tc>
          <w:tcPr>
            <w:tcW w:w="24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深圳国盛前海投资有限公司</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29,500,000.00</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694"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39,500,000.00</w:t>
            </w:r>
          </w:p>
        </w:tc>
        <w:tc>
          <w:tcPr>
            <w:tcW w:w="961"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716" w:hRule="exact"/>
        </w:trPr>
        <w:tc>
          <w:tcPr>
            <w:tcW w:w="2487" w:type="dxa"/>
            <w:tcBorders>
              <w:top w:val="dotted" w:sz="4" w:space="0" w:color="000000"/>
              <w:left w:val="nil" w:sz="6" w:space="0" w:color="auto"/>
              <w:bottom w:val="dotted" w:sz="4" w:space="0" w:color="000000"/>
              <w:right w:val="dotted" w:sz="4" w:space="0" w:color="000000"/>
            </w:tcBorders>
          </w:tcPr>
          <w:p>
            <w:pPr>
              <w:pStyle w:val="TableParagraph"/>
              <w:tabs>
                <w:tab w:pos="1982" w:val="left" w:leader="none"/>
              </w:tabs>
              <w:spacing w:line="345" w:lineRule="auto" w:before="49"/>
              <w:ind w:left="122" w:right="102"/>
              <w:jc w:val="left"/>
              <w:rPr>
                <w:rFonts w:ascii="Arial" w:hAnsi="Arial" w:cs="Arial" w:eastAsia="Arial" w:hint="default"/>
                <w:sz w:val="18"/>
                <w:szCs w:val="18"/>
              </w:rPr>
            </w:pPr>
            <w:r>
              <w:rPr>
                <w:rFonts w:ascii="Arial" w:hAnsi="Arial" w:cs="Arial" w:eastAsia="Arial" w:hint="default"/>
                <w:w w:val="95"/>
                <w:sz w:val="18"/>
                <w:szCs w:val="18"/>
              </w:rPr>
              <w:t>Guosheng  </w:t>
            </w:r>
            <w:r>
              <w:rPr>
                <w:rFonts w:ascii="宋体" w:hAnsi="宋体" w:cs="宋体" w:eastAsia="宋体" w:hint="default"/>
                <w:w w:val="95"/>
                <w:sz w:val="18"/>
                <w:szCs w:val="18"/>
              </w:rPr>
              <w:t>（</w:t>
            </w:r>
            <w:r>
              <w:rPr>
                <w:rFonts w:ascii="宋体" w:hAnsi="宋体" w:cs="宋体" w:eastAsia="宋体" w:hint="default"/>
                <w:spacing w:val="52"/>
                <w:w w:val="95"/>
                <w:sz w:val="18"/>
                <w:szCs w:val="18"/>
              </w:rPr>
              <w:t> </w:t>
            </w:r>
            <w:r>
              <w:rPr>
                <w:rFonts w:ascii="Arial" w:hAnsi="Arial" w:cs="Arial" w:eastAsia="Arial" w:hint="default"/>
                <w:w w:val="95"/>
                <w:sz w:val="18"/>
                <w:szCs w:val="18"/>
              </w:rPr>
              <w:t>Hong</w:t>
              <w:tab/>
            </w:r>
            <w:r>
              <w:rPr>
                <w:rFonts w:ascii="Arial" w:hAnsi="Arial" w:cs="Arial" w:eastAsia="Arial" w:hint="default"/>
                <w:w w:val="80"/>
                <w:sz w:val="18"/>
                <w:szCs w:val="18"/>
              </w:rPr>
              <w:t>Kong)</w:t>
            </w:r>
            <w:r>
              <w:rPr>
                <w:rFonts w:ascii="Arial" w:hAnsi="Arial" w:cs="Arial" w:eastAsia="Arial" w:hint="default"/>
                <w:spacing w:val="-31"/>
                <w:w w:val="80"/>
                <w:sz w:val="18"/>
                <w:szCs w:val="18"/>
              </w:rPr>
              <w:t> </w:t>
            </w:r>
            <w:r>
              <w:rPr>
                <w:rFonts w:ascii="Arial" w:hAnsi="Arial" w:cs="Arial" w:eastAsia="Arial" w:hint="default"/>
                <w:spacing w:val="-31"/>
                <w:w w:val="80"/>
                <w:sz w:val="18"/>
                <w:szCs w:val="18"/>
              </w:rPr>
            </w:r>
            <w:r>
              <w:rPr>
                <w:rFonts w:ascii="Arial" w:hAnsi="Arial" w:cs="Arial" w:eastAsia="Arial" w:hint="default"/>
                <w:w w:val="80"/>
                <w:sz w:val="18"/>
                <w:szCs w:val="18"/>
              </w:rPr>
              <w:t>Investment</w:t>
            </w:r>
            <w:r>
              <w:rPr>
                <w:rFonts w:ascii="Arial" w:hAnsi="Arial" w:cs="Arial" w:eastAsia="Arial" w:hint="default"/>
                <w:spacing w:val="24"/>
                <w:w w:val="80"/>
                <w:sz w:val="18"/>
                <w:szCs w:val="18"/>
              </w:rPr>
              <w:t> </w:t>
            </w:r>
            <w:r>
              <w:rPr>
                <w:rFonts w:ascii="Arial" w:hAnsi="Arial" w:cs="Arial" w:eastAsia="Arial" w:hint="default"/>
                <w:w w:val="80"/>
                <w:sz w:val="18"/>
                <w:szCs w:val="18"/>
              </w:rPr>
              <w:t>Limited</w:t>
            </w:r>
            <w:r>
              <w:rPr>
                <w:rFonts w:ascii="Arial" w:hAnsi="Arial" w:cs="Arial" w:eastAsia="Arial" w:hint="default"/>
                <w:sz w:val="18"/>
                <w:szCs w:val="18"/>
              </w:rPr>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4,265,199.98</w:t>
            </w:r>
          </w:p>
        </w:tc>
        <w:tc>
          <w:tcPr>
            <w:tcW w:w="123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4,265,199.98</w:t>
            </w:r>
          </w:p>
        </w:tc>
        <w:tc>
          <w:tcPr>
            <w:tcW w:w="961"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4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国盛证券有限责任公司</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12,226,000,000.00</w:t>
            </w:r>
          </w:p>
        </w:tc>
        <w:tc>
          <w:tcPr>
            <w:tcW w:w="123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12,226,000,000.00</w:t>
            </w:r>
          </w:p>
        </w:tc>
        <w:tc>
          <w:tcPr>
            <w:tcW w:w="961"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24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珠海横琴极盛科技有限公司</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9,000,000.00</w:t>
            </w:r>
          </w:p>
        </w:tc>
        <w:tc>
          <w:tcPr>
            <w:tcW w:w="123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9,000,000.00</w:t>
            </w:r>
          </w:p>
        </w:tc>
        <w:tc>
          <w:tcPr>
            <w:tcW w:w="961"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24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天津国盛信安科技有限公司</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195,504,131.00</w:t>
            </w:r>
          </w:p>
        </w:tc>
        <w:tc>
          <w:tcPr>
            <w:tcW w:w="1234" w:type="dxa"/>
            <w:tcBorders>
              <w:top w:val="dotted" w:sz="4" w:space="0" w:color="000000"/>
              <w:left w:val="dotted" w:sz="4" w:space="0" w:color="000000"/>
              <w:bottom w:val="dotted" w:sz="4" w:space="0" w:color="000000"/>
              <w:right w:val="dotted" w:sz="4" w:space="0" w:color="000000"/>
            </w:tcBorders>
          </w:tcPr>
          <w:p>
            <w:pPr/>
          </w:p>
        </w:tc>
        <w:tc>
          <w:tcPr>
            <w:tcW w:w="694"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195,504,131.00</w:t>
            </w:r>
          </w:p>
        </w:tc>
        <w:tc>
          <w:tcPr>
            <w:tcW w:w="961"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715" w:hRule="exact"/>
        </w:trPr>
        <w:tc>
          <w:tcPr>
            <w:tcW w:w="2487" w:type="dxa"/>
            <w:tcBorders>
              <w:top w:val="dotted" w:sz="4" w:space="0" w:color="000000"/>
              <w:left w:val="nil" w:sz="6" w:space="0" w:color="auto"/>
              <w:bottom w:val="dotted" w:sz="4" w:space="0" w:color="000000"/>
              <w:right w:val="dotted" w:sz="4" w:space="0" w:color="000000"/>
            </w:tcBorders>
          </w:tcPr>
          <w:p>
            <w:pPr>
              <w:pStyle w:val="TableParagraph"/>
              <w:spacing w:line="316" w:lineRule="auto" w:before="49"/>
              <w:ind w:left="122" w:right="101"/>
              <w:jc w:val="left"/>
              <w:rPr>
                <w:rFonts w:ascii="宋体" w:hAnsi="宋体" w:cs="宋体" w:eastAsia="宋体" w:hint="default"/>
                <w:sz w:val="18"/>
                <w:szCs w:val="18"/>
              </w:rPr>
            </w:pPr>
            <w:r>
              <w:rPr>
                <w:rFonts w:ascii="宋体" w:hAnsi="宋体" w:cs="宋体" w:eastAsia="宋体" w:hint="default"/>
                <w:spacing w:val="7"/>
                <w:sz w:val="18"/>
                <w:szCs w:val="18"/>
              </w:rPr>
              <w:t>深圳前海弘大嘉豪资本管理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8,000,000.00</w:t>
            </w:r>
          </w:p>
        </w:tc>
        <w:tc>
          <w:tcPr>
            <w:tcW w:w="694"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8,000,001.00</w:t>
            </w:r>
          </w:p>
        </w:tc>
        <w:tc>
          <w:tcPr>
            <w:tcW w:w="961" w:type="dxa"/>
            <w:tcBorders>
              <w:top w:val="dotted" w:sz="4" w:space="0" w:color="000000"/>
              <w:left w:val="dotted" w:sz="4" w:space="0" w:color="000000"/>
              <w:bottom w:val="dotted" w:sz="4" w:space="0" w:color="000000"/>
              <w:right w:val="dotted" w:sz="4" w:space="0" w:color="000000"/>
            </w:tcBorders>
          </w:tcPr>
          <w:p>
            <w:pPr/>
          </w:p>
        </w:tc>
        <w:tc>
          <w:tcPr>
            <w:tcW w:w="1039"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24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12,464,269,331.98</w:t>
            </w:r>
          </w:p>
        </w:tc>
        <w:tc>
          <w:tcPr>
            <w:tcW w:w="12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18,000,000.00</w:t>
            </w:r>
          </w:p>
        </w:tc>
        <w:tc>
          <w:tcPr>
            <w:tcW w:w="694" w:type="dxa"/>
            <w:tcBorders>
              <w:top w:val="dotted" w:sz="4" w:space="0" w:color="000000"/>
              <w:left w:val="dotted" w:sz="4" w:space="0" w:color="000000"/>
              <w:bottom w:val="single" w:sz="12" w:space="0" w:color="000000"/>
              <w:right w:val="dotted" w:sz="4" w:space="0" w:color="000000"/>
            </w:tcBorders>
          </w:tcPr>
          <w:p>
            <w:pP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9"/>
              <w:ind w:right="98"/>
              <w:jc w:val="right"/>
              <w:rPr>
                <w:rFonts w:ascii="Times New Roman" w:hAnsi="Times New Roman" w:cs="Times New Roman" w:eastAsia="Times New Roman" w:hint="default"/>
                <w:sz w:val="15"/>
                <w:szCs w:val="15"/>
              </w:rPr>
            </w:pPr>
            <w:r>
              <w:rPr>
                <w:rFonts w:ascii="Times New Roman"/>
                <w:spacing w:val="-1"/>
                <w:sz w:val="15"/>
              </w:rPr>
              <w:t>12,482,269,331.98</w:t>
            </w:r>
          </w:p>
        </w:tc>
        <w:tc>
          <w:tcPr>
            <w:tcW w:w="961" w:type="dxa"/>
            <w:tcBorders>
              <w:top w:val="dotted" w:sz="4" w:space="0" w:color="000000"/>
              <w:left w:val="dotted" w:sz="4" w:space="0" w:color="000000"/>
              <w:bottom w:val="single" w:sz="12" w:space="0" w:color="000000"/>
              <w:right w:val="dotted" w:sz="4" w:space="0" w:color="000000"/>
            </w:tcBorders>
          </w:tcPr>
          <w:p>
            <w:pPr/>
          </w:p>
        </w:tc>
        <w:tc>
          <w:tcPr>
            <w:tcW w:w="103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4"/>
        <w:rPr>
          <w:rFonts w:ascii="Microsoft JhengHei" w:hAnsi="Microsoft JhengHei" w:cs="Microsoft JhengHei" w:eastAsia="Microsoft JhengHei" w:hint="default"/>
          <w:b/>
          <w:bCs/>
          <w:sz w:val="21"/>
          <w:szCs w:val="21"/>
        </w:rPr>
      </w:pPr>
    </w:p>
    <w:p>
      <w:pPr>
        <w:pStyle w:val="Heading4"/>
        <w:tabs>
          <w:tab w:pos="993" w:val="left" w:leader="none"/>
        </w:tabs>
        <w:spacing w:line="335" w:lineRule="exact"/>
        <w:ind w:left="573" w:right="0"/>
        <w:jc w:val="left"/>
        <w:rPr>
          <w:b w:val="0"/>
          <w:bCs w:val="0"/>
        </w:rPr>
      </w:pPr>
      <w:r>
        <w:rPr>
          <w:rFonts w:ascii="Times New Roman" w:hAnsi="Times New Roman" w:cs="Times New Roman" w:eastAsia="Times New Roman" w:hint="default"/>
        </w:rPr>
        <w:t>2.</w:t>
        <w:tab/>
      </w:r>
      <w:r>
        <w:rPr/>
        <w:t>对联营、合营企业投资</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2699"/>
        <w:gridCol w:w="1922"/>
        <w:gridCol w:w="903"/>
        <w:gridCol w:w="1375"/>
        <w:gridCol w:w="1378"/>
        <w:gridCol w:w="1378"/>
      </w:tblGrid>
      <w:tr>
        <w:trPr>
          <w:trHeight w:val="360" w:hRule="exact"/>
        </w:trPr>
        <w:tc>
          <w:tcPr>
            <w:tcW w:w="2699"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90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922"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3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557" w:hRule="exact"/>
        </w:trPr>
        <w:tc>
          <w:tcPr>
            <w:tcW w:w="2699" w:type="dxa"/>
            <w:vMerge/>
            <w:tcBorders>
              <w:left w:val="nil" w:sz="6" w:space="0" w:color="auto"/>
              <w:bottom w:val="dotted" w:sz="4" w:space="0" w:color="000000"/>
              <w:right w:val="dotted" w:sz="4" w:space="0" w:color="000000"/>
            </w:tcBorders>
          </w:tcPr>
          <w:p>
            <w:pPr/>
          </w:p>
        </w:tc>
        <w:tc>
          <w:tcPr>
            <w:tcW w:w="1922" w:type="dxa"/>
            <w:vMerge/>
            <w:tcBorders>
              <w:left w:val="dotted" w:sz="4" w:space="0" w:color="000000"/>
              <w:bottom w:val="dotted" w:sz="4" w:space="0" w:color="000000"/>
              <w:right w:val="dotted" w:sz="4" w:space="0" w:color="000000"/>
            </w:tcBorders>
          </w:tcPr>
          <w:p>
            <w:pPr/>
          </w:p>
        </w:tc>
        <w:tc>
          <w:tcPr>
            <w:tcW w:w="9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8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3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2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33"/>
              <w:ind w:left="326" w:right="140" w:hanging="180"/>
              <w:jc w:val="left"/>
              <w:rPr>
                <w:rFonts w:ascii="宋体" w:hAnsi="宋体" w:cs="宋体" w:eastAsia="宋体" w:hint="default"/>
                <w:sz w:val="18"/>
                <w:szCs w:val="18"/>
              </w:rPr>
            </w:pPr>
            <w:r>
              <w:rPr>
                <w:rFonts w:ascii="宋体" w:hAnsi="宋体" w:cs="宋体" w:eastAsia="宋体" w:hint="default"/>
                <w:sz w:val="18"/>
                <w:szCs w:val="18"/>
              </w:rPr>
              <w:t>权益法确认的 投资损益</w:t>
            </w:r>
          </w:p>
        </w:tc>
        <w:tc>
          <w:tcPr>
            <w:tcW w:w="1378"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506" w:right="144"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r>
      <w:tr>
        <w:trPr>
          <w:trHeight w:val="350" w:hRule="exact"/>
        </w:trPr>
        <w:tc>
          <w:tcPr>
            <w:tcW w:w="26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一．联营企业</w:t>
            </w:r>
          </w:p>
        </w:tc>
        <w:tc>
          <w:tcPr>
            <w:tcW w:w="1922" w:type="dxa"/>
            <w:tcBorders>
              <w:top w:val="dotted" w:sz="4" w:space="0" w:color="000000"/>
              <w:left w:val="dotted" w:sz="4" w:space="0" w:color="000000"/>
              <w:bottom w:val="dotted" w:sz="4" w:space="0" w:color="000000"/>
              <w:right w:val="dotted" w:sz="4" w:space="0" w:color="000000"/>
            </w:tcBorders>
          </w:tcPr>
          <w:p>
            <w:pPr/>
          </w:p>
        </w:tc>
        <w:tc>
          <w:tcPr>
            <w:tcW w:w="903"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699"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04"/>
              <w:jc w:val="left"/>
              <w:rPr>
                <w:rFonts w:ascii="宋体" w:hAnsi="宋体" w:cs="宋体" w:eastAsia="宋体" w:hint="default"/>
                <w:sz w:val="18"/>
                <w:szCs w:val="18"/>
              </w:rPr>
            </w:pPr>
            <w:r>
              <w:rPr>
                <w:rFonts w:ascii="宋体" w:hAnsi="宋体" w:cs="宋体" w:eastAsia="宋体" w:hint="default"/>
                <w:spacing w:val="9"/>
                <w:sz w:val="18"/>
                <w:szCs w:val="18"/>
              </w:rPr>
              <w:t>广州仁诺互联网小额贷款有限</w:t>
            </w:r>
            <w:r>
              <w:rPr>
                <w:rFonts w:ascii="宋体" w:hAnsi="宋体" w:cs="宋体" w:eastAsia="宋体" w:hint="default"/>
                <w:sz w:val="18"/>
                <w:szCs w:val="18"/>
              </w:rPr>
              <w:t> 公司</w:t>
            </w:r>
          </w:p>
        </w:tc>
        <w:tc>
          <w:tcPr>
            <w:tcW w:w="19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44,954,024.25</w:t>
            </w:r>
          </w:p>
        </w:tc>
        <w:tc>
          <w:tcPr>
            <w:tcW w:w="903" w:type="dxa"/>
            <w:tcBorders>
              <w:top w:val="dotted" w:sz="4" w:space="0" w:color="000000"/>
              <w:left w:val="dotted" w:sz="4" w:space="0" w:color="000000"/>
              <w:bottom w:val="dotted" w:sz="4" w:space="0" w:color="000000"/>
              <w:right w:val="dotted" w:sz="4" w:space="0" w:color="000000"/>
            </w:tcBorders>
          </w:tcPr>
          <w:p>
            <w:pPr/>
          </w:p>
        </w:tc>
        <w:tc>
          <w:tcPr>
            <w:tcW w:w="1375" w:type="dxa"/>
            <w:tcBorders>
              <w:top w:val="dotted" w:sz="4" w:space="0" w:color="000000"/>
              <w:left w:val="dotted" w:sz="4" w:space="0" w:color="000000"/>
              <w:bottom w:val="dotted" w:sz="4" w:space="0" w:color="000000"/>
              <w:right w:val="dotted" w:sz="4" w:space="0" w:color="000000"/>
            </w:tcBorders>
          </w:tcPr>
          <w:p>
            <w:pPr/>
          </w:p>
        </w:tc>
        <w:tc>
          <w:tcPr>
            <w:tcW w:w="13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321,679.43</w:t>
            </w:r>
          </w:p>
        </w:tc>
        <w:tc>
          <w:tcPr>
            <w:tcW w:w="1378"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6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44,954,024.25</w:t>
            </w:r>
          </w:p>
        </w:tc>
        <w:tc>
          <w:tcPr>
            <w:tcW w:w="903" w:type="dxa"/>
            <w:tcBorders>
              <w:top w:val="dotted" w:sz="4" w:space="0" w:color="000000"/>
              <w:left w:val="dotted" w:sz="4" w:space="0" w:color="000000"/>
              <w:bottom w:val="single" w:sz="12" w:space="0" w:color="000000"/>
              <w:right w:val="dotted" w:sz="4" w:space="0" w:color="000000"/>
            </w:tcBorders>
          </w:tcPr>
          <w:p>
            <w:pPr/>
          </w:p>
        </w:tc>
        <w:tc>
          <w:tcPr>
            <w:tcW w:w="1375" w:type="dxa"/>
            <w:tcBorders>
              <w:top w:val="dotted" w:sz="4" w:space="0" w:color="000000"/>
              <w:left w:val="dotted" w:sz="4" w:space="0" w:color="000000"/>
              <w:bottom w:val="single" w:sz="12" w:space="0" w:color="000000"/>
              <w:right w:val="dotted" w:sz="4" w:space="0" w:color="000000"/>
            </w:tcBorders>
          </w:tcPr>
          <w:p>
            <w:pPr/>
          </w:p>
        </w:tc>
        <w:tc>
          <w:tcPr>
            <w:tcW w:w="13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321,679.43</w:t>
            </w:r>
          </w:p>
        </w:tc>
        <w:tc>
          <w:tcPr>
            <w:tcW w:w="137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6"/>
        <w:rPr>
          <w:rFonts w:ascii="Microsoft JhengHei" w:hAnsi="Microsoft JhengHei" w:cs="Microsoft JhengHei" w:eastAsia="Microsoft JhengHei" w:hint="default"/>
          <w:b/>
          <w:bCs/>
          <w:sz w:val="4"/>
          <w:szCs w:val="4"/>
        </w:rPr>
      </w:pPr>
    </w:p>
    <w:p>
      <w:pPr>
        <w:pStyle w:val="BodyText"/>
        <w:spacing w:line="240" w:lineRule="auto" w:before="36"/>
        <w:ind w:left="573" w:right="0"/>
        <w:jc w:val="left"/>
      </w:pPr>
      <w:r>
        <w:rPr/>
        <w:t>续：</w:t>
      </w:r>
    </w:p>
    <w:p>
      <w:pPr>
        <w:spacing w:line="240" w:lineRule="auto" w:before="0"/>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701"/>
        <w:gridCol w:w="1229"/>
        <w:gridCol w:w="1229"/>
        <w:gridCol w:w="1227"/>
        <w:gridCol w:w="962"/>
        <w:gridCol w:w="1441"/>
        <w:gridCol w:w="866"/>
      </w:tblGrid>
      <w:tr>
        <w:trPr>
          <w:trHeight w:val="360" w:hRule="exact"/>
        </w:trPr>
        <w:tc>
          <w:tcPr>
            <w:tcW w:w="270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647"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4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66"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exact"/>
              <w:ind w:left="69" w:right="7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90" w:hRule="exact"/>
        </w:trPr>
        <w:tc>
          <w:tcPr>
            <w:tcW w:w="2701" w:type="dxa"/>
            <w:vMerge/>
            <w:tcBorders>
              <w:left w:val="nil" w:sz="6" w:space="0" w:color="auto"/>
              <w:bottom w:val="dotted" w:sz="4" w:space="0" w:color="000000"/>
              <w:right w:val="dotted" w:sz="4" w:space="0" w:color="000000"/>
            </w:tcBorders>
          </w:tcPr>
          <w:p>
            <w:pP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0"/>
              <w:ind w:left="179" w:right="137"/>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1227" w:type="dxa"/>
            <w:tcBorders>
              <w:top w:val="dotted" w:sz="4" w:space="0" w:color="000000"/>
              <w:left w:val="dotted" w:sz="4" w:space="0" w:color="000000"/>
              <w:bottom w:val="dotted" w:sz="4" w:space="0" w:color="000000"/>
              <w:right w:val="dotted" w:sz="4" w:space="0" w:color="000000"/>
            </w:tcBorders>
          </w:tcPr>
          <w:p>
            <w:pPr>
              <w:pStyle w:val="TableParagraph"/>
              <w:spacing w:line="230" w:lineRule="exact" w:before="152"/>
              <w:ind w:left="540" w:right="134"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9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1" w:type="dxa"/>
            <w:vMerge/>
            <w:tcBorders>
              <w:left w:val="dotted" w:sz="4" w:space="0" w:color="000000"/>
              <w:bottom w:val="dotted" w:sz="4" w:space="0" w:color="000000"/>
              <w:right w:val="dotted" w:sz="4" w:space="0" w:color="000000"/>
            </w:tcBorders>
          </w:tcPr>
          <w:p>
            <w:pPr/>
          </w:p>
        </w:tc>
        <w:tc>
          <w:tcPr>
            <w:tcW w:w="866" w:type="dxa"/>
            <w:vMerge/>
            <w:tcBorders>
              <w:left w:val="dotted" w:sz="4" w:space="0" w:color="000000"/>
              <w:bottom w:val="dotted" w:sz="4" w:space="0" w:color="000000"/>
              <w:right w:val="nil" w:sz="6" w:space="0" w:color="auto"/>
            </w:tcBorders>
          </w:tcPr>
          <w:p>
            <w:pPr/>
          </w:p>
        </w:tc>
      </w:tr>
      <w:tr>
        <w:trPr>
          <w:trHeight w:val="350"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一．联营企业</w:t>
            </w:r>
          </w:p>
        </w:tc>
        <w:tc>
          <w:tcPr>
            <w:tcW w:w="1229" w:type="dxa"/>
            <w:tcBorders>
              <w:top w:val="dotted" w:sz="4" w:space="0" w:color="000000"/>
              <w:left w:val="dotted" w:sz="4" w:space="0" w:color="000000"/>
              <w:bottom w:val="dotted" w:sz="4" w:space="0" w:color="000000"/>
              <w:right w:val="dotted" w:sz="4" w:space="0" w:color="000000"/>
            </w:tcBorders>
          </w:tcPr>
          <w:p>
            <w:pPr/>
          </w:p>
        </w:tc>
        <w:tc>
          <w:tcPr>
            <w:tcW w:w="1229" w:type="dxa"/>
            <w:tcBorders>
              <w:top w:val="dotted" w:sz="4" w:space="0" w:color="000000"/>
              <w:left w:val="dotted" w:sz="4" w:space="0" w:color="000000"/>
              <w:bottom w:val="dotted" w:sz="4" w:space="0" w:color="000000"/>
              <w:right w:val="dotted" w:sz="4" w:space="0" w:color="000000"/>
            </w:tcBorders>
          </w:tcPr>
          <w:p>
            <w:pPr/>
          </w:p>
        </w:tc>
        <w:tc>
          <w:tcPr>
            <w:tcW w:w="1227" w:type="dxa"/>
            <w:tcBorders>
              <w:top w:val="dotted" w:sz="4" w:space="0" w:color="000000"/>
              <w:left w:val="dotted" w:sz="4" w:space="0" w:color="000000"/>
              <w:bottom w:val="dotted" w:sz="4" w:space="0" w:color="000000"/>
              <w:right w:val="dotted" w:sz="4" w:space="0" w:color="000000"/>
            </w:tcBorders>
          </w:tcPr>
          <w:p>
            <w:pPr/>
          </w:p>
        </w:tc>
        <w:tc>
          <w:tcPr>
            <w:tcW w:w="962" w:type="dxa"/>
            <w:tcBorders>
              <w:top w:val="dotted" w:sz="4" w:space="0" w:color="000000"/>
              <w:left w:val="dotted" w:sz="4" w:space="0" w:color="000000"/>
              <w:bottom w:val="dotted" w:sz="4" w:space="0" w:color="000000"/>
              <w:right w:val="dotted" w:sz="4" w:space="0" w:color="000000"/>
            </w:tcBorders>
          </w:tcPr>
          <w:p>
            <w:pPr/>
          </w:p>
        </w:tc>
        <w:tc>
          <w:tcPr>
            <w:tcW w:w="1441" w:type="dxa"/>
            <w:tcBorders>
              <w:top w:val="dotted" w:sz="4" w:space="0" w:color="000000"/>
              <w:left w:val="dotted" w:sz="4" w:space="0" w:color="000000"/>
              <w:bottom w:val="dotted" w:sz="4" w:space="0" w:color="000000"/>
              <w:right w:val="dotted" w:sz="4" w:space="0" w:color="000000"/>
            </w:tcBorders>
          </w:tcPr>
          <w:p>
            <w:pPr/>
          </w:p>
        </w:tc>
        <w:tc>
          <w:tcPr>
            <w:tcW w:w="866"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2701"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04"/>
              <w:jc w:val="left"/>
              <w:rPr>
                <w:rFonts w:ascii="宋体" w:hAnsi="宋体" w:cs="宋体" w:eastAsia="宋体" w:hint="default"/>
                <w:sz w:val="18"/>
                <w:szCs w:val="18"/>
              </w:rPr>
            </w:pPr>
            <w:r>
              <w:rPr>
                <w:rFonts w:ascii="宋体" w:hAnsi="宋体" w:cs="宋体" w:eastAsia="宋体" w:hint="default"/>
                <w:spacing w:val="9"/>
                <w:sz w:val="18"/>
                <w:szCs w:val="18"/>
              </w:rPr>
              <w:t>广州仁诺互联网小额贷款有限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229" w:type="dxa"/>
            <w:tcBorders>
              <w:top w:val="dotted" w:sz="4" w:space="0" w:color="000000"/>
              <w:left w:val="dotted" w:sz="4" w:space="0" w:color="000000"/>
              <w:bottom w:val="dotted" w:sz="4" w:space="0" w:color="000000"/>
              <w:right w:val="dotted" w:sz="4" w:space="0" w:color="000000"/>
            </w:tcBorders>
          </w:tcPr>
          <w:p>
            <w:pPr/>
          </w:p>
        </w:tc>
        <w:tc>
          <w:tcPr>
            <w:tcW w:w="1229" w:type="dxa"/>
            <w:tcBorders>
              <w:top w:val="dotted" w:sz="4" w:space="0" w:color="000000"/>
              <w:left w:val="dotted" w:sz="4" w:space="0" w:color="000000"/>
              <w:bottom w:val="dotted" w:sz="4" w:space="0" w:color="000000"/>
              <w:right w:val="dotted" w:sz="4" w:space="0" w:color="000000"/>
            </w:tcBorders>
          </w:tcPr>
          <w:p>
            <w:pPr/>
          </w:p>
        </w:tc>
        <w:tc>
          <w:tcPr>
            <w:tcW w:w="1227" w:type="dxa"/>
            <w:tcBorders>
              <w:top w:val="dotted" w:sz="4" w:space="0" w:color="000000"/>
              <w:left w:val="dotted" w:sz="4" w:space="0" w:color="000000"/>
              <w:bottom w:val="dotted" w:sz="4" w:space="0" w:color="000000"/>
              <w:right w:val="dotted" w:sz="4" w:space="0" w:color="000000"/>
            </w:tcBorders>
          </w:tcPr>
          <w:p>
            <w:pPr/>
          </w:p>
        </w:tc>
        <w:tc>
          <w:tcPr>
            <w:tcW w:w="962" w:type="dxa"/>
            <w:tcBorders>
              <w:top w:val="dotted" w:sz="4" w:space="0" w:color="000000"/>
              <w:left w:val="dotted" w:sz="4" w:space="0" w:color="000000"/>
              <w:bottom w:val="dotted" w:sz="4" w:space="0" w:color="000000"/>
              <w:right w:val="dotted" w:sz="4" w:space="0" w:color="000000"/>
            </w:tcBorders>
          </w:tcPr>
          <w:p>
            <w:pPr/>
          </w:p>
        </w:tc>
        <w:tc>
          <w:tcPr>
            <w:tcW w:w="1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45,275,703.68</w:t>
            </w:r>
          </w:p>
        </w:tc>
        <w:tc>
          <w:tcPr>
            <w:tcW w:w="866"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7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dotted" w:sz="4" w:space="0" w:color="000000"/>
              <w:left w:val="dotted" w:sz="4" w:space="0" w:color="000000"/>
              <w:bottom w:val="single" w:sz="12" w:space="0" w:color="000000"/>
              <w:right w:val="dotted" w:sz="4" w:space="0" w:color="000000"/>
            </w:tcBorders>
          </w:tcPr>
          <w:p>
            <w:pPr/>
          </w:p>
        </w:tc>
        <w:tc>
          <w:tcPr>
            <w:tcW w:w="1229" w:type="dxa"/>
            <w:tcBorders>
              <w:top w:val="dotted" w:sz="4" w:space="0" w:color="000000"/>
              <w:left w:val="dotted" w:sz="4" w:space="0" w:color="000000"/>
              <w:bottom w:val="single" w:sz="12" w:space="0" w:color="000000"/>
              <w:right w:val="dotted" w:sz="4" w:space="0" w:color="000000"/>
            </w:tcBorders>
          </w:tcPr>
          <w:p>
            <w:pPr/>
          </w:p>
        </w:tc>
        <w:tc>
          <w:tcPr>
            <w:tcW w:w="1227" w:type="dxa"/>
            <w:tcBorders>
              <w:top w:val="dotted" w:sz="4" w:space="0" w:color="000000"/>
              <w:left w:val="dotted" w:sz="4" w:space="0" w:color="000000"/>
              <w:bottom w:val="single" w:sz="12" w:space="0" w:color="000000"/>
              <w:right w:val="dotted" w:sz="4" w:space="0" w:color="000000"/>
            </w:tcBorders>
          </w:tcPr>
          <w:p>
            <w:pPr/>
          </w:p>
        </w:tc>
        <w:tc>
          <w:tcPr>
            <w:tcW w:w="962" w:type="dxa"/>
            <w:tcBorders>
              <w:top w:val="dotted" w:sz="4" w:space="0" w:color="000000"/>
              <w:left w:val="dotted" w:sz="4" w:space="0" w:color="000000"/>
              <w:bottom w:val="single" w:sz="12" w:space="0" w:color="000000"/>
              <w:right w:val="dotted" w:sz="4" w:space="0" w:color="000000"/>
            </w:tcBorders>
          </w:tcPr>
          <w:p>
            <w:pPr/>
          </w:p>
        </w:tc>
        <w:tc>
          <w:tcPr>
            <w:tcW w:w="14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45,275,703.68</w:t>
            </w:r>
          </w:p>
        </w:tc>
        <w:tc>
          <w:tcPr>
            <w:tcW w:w="86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28"/>
          <w:szCs w:val="28"/>
        </w:rPr>
      </w:pPr>
    </w:p>
    <w:p>
      <w:pPr>
        <w:pStyle w:val="Heading4"/>
        <w:spacing w:line="335" w:lineRule="exact"/>
        <w:ind w:left="575" w:right="0"/>
        <w:jc w:val="left"/>
        <w:rPr>
          <w:b w:val="0"/>
          <w:bCs w:val="0"/>
        </w:rPr>
      </w:pPr>
      <w:r>
        <w:rPr/>
        <w:t>注释 </w:t>
      </w:r>
      <w:r>
        <w:rPr>
          <w:rFonts w:ascii="Times New Roman" w:hAnsi="Times New Roman" w:cs="Times New Roman" w:eastAsia="Times New Roman" w:hint="default"/>
        </w:rPr>
        <w:t>3. </w:t>
      </w:r>
      <w:r>
        <w:rPr>
          <w:rFonts w:ascii="Times New Roman" w:hAnsi="Times New Roman" w:cs="Times New Roman" w:eastAsia="Times New Roman" w:hint="default"/>
          <w:spacing w:val="9"/>
        </w:rPr>
        <w:t> </w:t>
      </w:r>
      <w:r>
        <w:rPr/>
        <w:t>营业收入及营业成本</w:t>
      </w:r>
      <w:r>
        <w:rPr>
          <w:b w:val="0"/>
          <w:bCs w:val="0"/>
        </w:rPr>
      </w:r>
    </w:p>
    <w:p>
      <w:pPr>
        <w:pStyle w:val="Heading4"/>
        <w:spacing w:line="240" w:lineRule="auto" w:before="83"/>
        <w:ind w:left="575" w:right="0"/>
        <w:jc w:val="left"/>
        <w:rPr>
          <w:b w:val="0"/>
          <w:bCs w:val="0"/>
        </w:rPr>
      </w:pPr>
      <w:r>
        <w:rPr>
          <w:rFonts w:ascii="Trebuchet MS" w:hAnsi="Trebuchet MS" w:cs="Trebuchet MS" w:eastAsia="Trebuchet MS" w:hint="default"/>
        </w:rPr>
        <w:t>1</w:t>
      </w:r>
      <w:r>
        <w:rPr/>
        <w:t>．</w:t>
      </w:r>
      <w:r>
        <w:rPr>
          <w:spacing w:val="42"/>
        </w:rPr>
        <w:t> </w:t>
      </w:r>
      <w:r>
        <w:rPr/>
        <w:t>营业收入、营业成本</w:t>
      </w:r>
      <w:r>
        <w:rPr>
          <w:b w:val="0"/>
          <w:bCs w:val="0"/>
        </w:rPr>
      </w:r>
    </w:p>
    <w:p>
      <w:pPr>
        <w:spacing w:after="0" w:line="240" w:lineRule="auto"/>
        <w:jc w:val="left"/>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1942"/>
        <w:gridCol w:w="1928"/>
        <w:gridCol w:w="1928"/>
        <w:gridCol w:w="1930"/>
        <w:gridCol w:w="1928"/>
      </w:tblGrid>
      <w:tr>
        <w:trPr>
          <w:trHeight w:val="360" w:hRule="exact"/>
        </w:trPr>
        <w:tc>
          <w:tcPr>
            <w:tcW w:w="1942"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5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1942" w:type="dxa"/>
            <w:vMerge/>
            <w:tcBorders>
              <w:left w:val="nil" w:sz="6" w:space="0" w:color="auto"/>
              <w:bottom w:val="dotted" w:sz="4" w:space="0" w:color="000000"/>
              <w:right w:val="dotted" w:sz="4" w:space="0" w:color="000000"/>
            </w:tcBorders>
          </w:tcPr>
          <w:p>
            <w:pPr/>
          </w:p>
        </w:tc>
        <w:tc>
          <w:tcPr>
            <w:tcW w:w="19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778"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779"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19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dotted" w:sz="4" w:space="0" w:color="000000"/>
              <w:left w:val="dotted" w:sz="4" w:space="0" w:color="000000"/>
              <w:bottom w:val="dotted" w:sz="4" w:space="0" w:color="000000"/>
              <w:right w:val="dotted" w:sz="4" w:space="0" w:color="000000"/>
            </w:tcBorders>
          </w:tcPr>
          <w:p>
            <w:pPr/>
          </w:p>
        </w:tc>
        <w:tc>
          <w:tcPr>
            <w:tcW w:w="1928" w:type="dxa"/>
            <w:tcBorders>
              <w:top w:val="dotted" w:sz="4" w:space="0" w:color="000000"/>
              <w:left w:val="dotted" w:sz="4" w:space="0" w:color="000000"/>
              <w:bottom w:val="dotted" w:sz="4" w:space="0" w:color="000000"/>
              <w:right w:val="dotted" w:sz="4" w:space="0" w:color="000000"/>
            </w:tcBorders>
          </w:tcPr>
          <w:p>
            <w:pPr/>
          </w:p>
        </w:tc>
        <w:tc>
          <w:tcPr>
            <w:tcW w:w="1930" w:type="dxa"/>
            <w:tcBorders>
              <w:top w:val="dotted" w:sz="4" w:space="0" w:color="000000"/>
              <w:left w:val="dotted" w:sz="4" w:space="0" w:color="000000"/>
              <w:bottom w:val="dotted" w:sz="4" w:space="0" w:color="000000"/>
              <w:right w:val="dotted" w:sz="4" w:space="0" w:color="000000"/>
            </w:tcBorders>
          </w:tcPr>
          <w:p>
            <w:pPr/>
          </w:p>
        </w:tc>
        <w:tc>
          <w:tcPr>
            <w:tcW w:w="192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9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780" w:right="0"/>
              <w:jc w:val="left"/>
              <w:rPr>
                <w:rFonts w:ascii="Times New Roman" w:hAnsi="Times New Roman" w:cs="Times New Roman" w:eastAsia="Times New Roman" w:hint="default"/>
                <w:sz w:val="18"/>
                <w:szCs w:val="18"/>
              </w:rPr>
            </w:pPr>
            <w:r>
              <w:rPr>
                <w:rFonts w:ascii="Times New Roman"/>
                <w:sz w:val="18"/>
              </w:rPr>
              <w:t>65,863,102.35</w:t>
            </w:r>
          </w:p>
        </w:tc>
        <w:tc>
          <w:tcPr>
            <w:tcW w:w="19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9,782,003.22</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782" w:right="0"/>
              <w:jc w:val="left"/>
              <w:rPr>
                <w:rFonts w:ascii="Times New Roman" w:hAnsi="Times New Roman" w:cs="Times New Roman" w:eastAsia="Times New Roman" w:hint="default"/>
                <w:sz w:val="18"/>
                <w:szCs w:val="18"/>
              </w:rPr>
            </w:pPr>
            <w:r>
              <w:rPr>
                <w:rFonts w:ascii="Times New Roman"/>
                <w:sz w:val="18"/>
              </w:rPr>
              <w:t>58,732,900.41</w:t>
            </w:r>
          </w:p>
        </w:tc>
        <w:tc>
          <w:tcPr>
            <w:tcW w:w="1928"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9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780" w:right="0"/>
              <w:jc w:val="left"/>
              <w:rPr>
                <w:rFonts w:ascii="Times New Roman" w:hAnsi="Times New Roman" w:cs="Times New Roman" w:eastAsia="Times New Roman" w:hint="default"/>
                <w:sz w:val="18"/>
                <w:szCs w:val="18"/>
              </w:rPr>
            </w:pPr>
            <w:r>
              <w:rPr>
                <w:rFonts w:ascii="Times New Roman"/>
                <w:sz w:val="18"/>
              </w:rPr>
              <w:t>65,863,102.35</w:t>
            </w:r>
          </w:p>
        </w:tc>
        <w:tc>
          <w:tcPr>
            <w:tcW w:w="19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9,782,003.22</w:t>
            </w:r>
          </w:p>
        </w:tc>
        <w:tc>
          <w:tcPr>
            <w:tcW w:w="19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782" w:right="0"/>
              <w:jc w:val="left"/>
              <w:rPr>
                <w:rFonts w:ascii="Times New Roman" w:hAnsi="Times New Roman" w:cs="Times New Roman" w:eastAsia="Times New Roman" w:hint="default"/>
                <w:sz w:val="18"/>
                <w:szCs w:val="18"/>
              </w:rPr>
            </w:pPr>
            <w:r>
              <w:rPr>
                <w:rFonts w:ascii="Times New Roman"/>
                <w:sz w:val="18"/>
              </w:rPr>
              <w:t>58,732,900.41</w:t>
            </w:r>
          </w:p>
        </w:tc>
        <w:tc>
          <w:tcPr>
            <w:tcW w:w="192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spacing w:line="335" w:lineRule="exact"/>
        <w:ind w:left="544" w:right="0"/>
        <w:jc w:val="left"/>
        <w:rPr>
          <w:b w:val="0"/>
          <w:bCs w:val="0"/>
        </w:rPr>
      </w:pPr>
      <w:r>
        <w:rPr/>
        <w:t>注释 </w:t>
      </w:r>
      <w:r>
        <w:rPr>
          <w:rFonts w:ascii="Times New Roman" w:hAnsi="Times New Roman" w:cs="Times New Roman" w:eastAsia="Times New Roman" w:hint="default"/>
        </w:rPr>
        <w:t>4. </w:t>
      </w:r>
      <w:r>
        <w:rPr>
          <w:rFonts w:ascii="Times New Roman" w:hAnsi="Times New Roman" w:cs="Times New Roman" w:eastAsia="Times New Roman" w:hint="default"/>
          <w:spacing w:val="5"/>
        </w:rPr>
        <w:t> </w:t>
      </w:r>
      <w:r>
        <w:rPr/>
        <w:t>投资收益</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3572"/>
        <w:gridCol w:w="2799"/>
        <w:gridCol w:w="3284"/>
      </w:tblGrid>
      <w:tr>
        <w:trPr>
          <w:trHeight w:val="427" w:hRule="exact"/>
        </w:trPr>
        <w:tc>
          <w:tcPr>
            <w:tcW w:w="35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36"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321,679.43</w:t>
            </w: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192,588.10</w:t>
            </w:r>
          </w:p>
        </w:tc>
      </w:tr>
      <w:tr>
        <w:trPr>
          <w:trHeight w:val="418"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金融工具投资收益</w:t>
            </w:r>
          </w:p>
        </w:tc>
        <w:tc>
          <w:tcPr>
            <w:tcW w:w="2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92,563,150.65</w:t>
            </w: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133,509,409.47</w:t>
            </w:r>
          </w:p>
        </w:tc>
      </w:tr>
      <w:tr>
        <w:trPr>
          <w:trHeight w:val="418"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其中：持有期间取得的收益</w:t>
            </w:r>
          </w:p>
        </w:tc>
        <w:tc>
          <w:tcPr>
            <w:tcW w:w="2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89,562,328.74</w:t>
            </w: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122,500,509.22</w:t>
            </w:r>
          </w:p>
        </w:tc>
      </w:tr>
      <w:tr>
        <w:trPr>
          <w:trHeight w:val="415"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可供出售金融资产</w:t>
            </w:r>
          </w:p>
        </w:tc>
        <w:tc>
          <w:tcPr>
            <w:tcW w:w="2799" w:type="dxa"/>
            <w:tcBorders>
              <w:top w:val="dotted" w:sz="4" w:space="0" w:color="000000"/>
              <w:left w:val="dotted" w:sz="4" w:space="0" w:color="000000"/>
              <w:bottom w:val="dotted" w:sz="4" w:space="0" w:color="000000"/>
              <w:right w:val="dotted" w:sz="4" w:space="0" w:color="000000"/>
            </w:tcBorders>
          </w:tcPr>
          <w:p>
            <w:pP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3,269,002.33</w:t>
            </w:r>
          </w:p>
        </w:tc>
      </w:tr>
      <w:tr>
        <w:trPr>
          <w:trHeight w:val="418"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position w:val="1"/>
                <w:sz w:val="18"/>
                <w:szCs w:val="18"/>
              </w:rPr>
              <w:t>债权投资</w:t>
            </w:r>
            <w:r>
              <w:rPr>
                <w:rFonts w:ascii="宋体" w:hAnsi="宋体" w:cs="宋体" w:eastAsia="宋体" w:hint="default"/>
                <w:sz w:val="18"/>
                <w:szCs w:val="18"/>
              </w:rPr>
            </w:r>
          </w:p>
        </w:tc>
        <w:tc>
          <w:tcPr>
            <w:tcW w:w="2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89,562,328.74</w:t>
            </w: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119,231,506.89</w:t>
            </w:r>
          </w:p>
        </w:tc>
      </w:tr>
      <w:tr>
        <w:trPr>
          <w:trHeight w:val="535"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其中：处置金融工具取得的收益</w:t>
            </w:r>
          </w:p>
        </w:tc>
        <w:tc>
          <w:tcPr>
            <w:tcW w:w="2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3,000,821.91</w:t>
            </w: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11,008,900.25</w:t>
            </w:r>
          </w:p>
        </w:tc>
      </w:tr>
      <w:tr>
        <w:trPr>
          <w:trHeight w:val="418"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可供出售金融资产</w:t>
            </w:r>
          </w:p>
        </w:tc>
        <w:tc>
          <w:tcPr>
            <w:tcW w:w="2799" w:type="dxa"/>
            <w:tcBorders>
              <w:top w:val="dotted" w:sz="4" w:space="0" w:color="000000"/>
              <w:left w:val="dotted" w:sz="4" w:space="0" w:color="000000"/>
              <w:bottom w:val="dotted" w:sz="4" w:space="0" w:color="000000"/>
              <w:right w:val="dotted" w:sz="4" w:space="0" w:color="000000"/>
            </w:tcBorders>
          </w:tcPr>
          <w:p>
            <w:pPr/>
          </w:p>
        </w:tc>
        <w:tc>
          <w:tcPr>
            <w:tcW w:w="3284"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2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3,000,821.91</w:t>
            </w: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11,008,900.25</w:t>
            </w:r>
          </w:p>
        </w:tc>
      </w:tr>
      <w:tr>
        <w:trPr>
          <w:trHeight w:val="416"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99" w:type="dxa"/>
            <w:tcBorders>
              <w:top w:val="dotted" w:sz="4" w:space="0" w:color="000000"/>
              <w:left w:val="dotted" w:sz="4" w:space="0" w:color="000000"/>
              <w:bottom w:val="dotted" w:sz="4" w:space="0" w:color="000000"/>
              <w:right w:val="dotted" w:sz="4" w:space="0" w:color="000000"/>
            </w:tcBorders>
          </w:tcPr>
          <w:p>
            <w:pP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w w:val="95"/>
                <w:sz w:val="18"/>
              </w:rPr>
              <w:t>2,969.97</w:t>
            </w:r>
          </w:p>
        </w:tc>
      </w:tr>
      <w:tr>
        <w:trPr>
          <w:trHeight w:val="418" w:hRule="exact"/>
        </w:trPr>
        <w:tc>
          <w:tcPr>
            <w:tcW w:w="35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7"/>
              <w:jc w:val="right"/>
              <w:rPr>
                <w:rFonts w:ascii="Times New Roman" w:hAnsi="Times New Roman" w:cs="Times New Roman" w:eastAsia="Times New Roman" w:hint="default"/>
                <w:sz w:val="18"/>
                <w:szCs w:val="18"/>
              </w:rPr>
            </w:pPr>
            <w:r>
              <w:rPr>
                <w:rFonts w:ascii="Times New Roman"/>
                <w:spacing w:val="-1"/>
                <w:sz w:val="18"/>
              </w:rPr>
              <w:t>290,000,000.00</w:t>
            </w:r>
          </w:p>
        </w:tc>
        <w:tc>
          <w:tcPr>
            <w:tcW w:w="328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27" w:hRule="exact"/>
        </w:trPr>
        <w:tc>
          <w:tcPr>
            <w:tcW w:w="35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pacing w:val="-1"/>
                <w:sz w:val="18"/>
              </w:rPr>
              <w:t>382,884,830.08</w:t>
            </w:r>
          </w:p>
        </w:tc>
        <w:tc>
          <w:tcPr>
            <w:tcW w:w="328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313,704,967.54</w:t>
            </w:r>
          </w:p>
        </w:tc>
      </w:tr>
    </w:tbl>
    <w:p>
      <w:pPr>
        <w:spacing w:line="240" w:lineRule="auto" w:before="11"/>
        <w:rPr>
          <w:rFonts w:ascii="Microsoft JhengHei" w:hAnsi="Microsoft JhengHei" w:cs="Microsoft JhengHei" w:eastAsia="Microsoft JhengHei" w:hint="default"/>
          <w:b/>
          <w:bCs/>
          <w:sz w:val="27"/>
          <w:szCs w:val="27"/>
        </w:rPr>
      </w:pPr>
    </w:p>
    <w:p>
      <w:pPr>
        <w:pStyle w:val="Heading2"/>
        <w:spacing w:line="367" w:lineRule="exact"/>
        <w:ind w:right="0"/>
        <w:jc w:val="left"/>
        <w:rPr>
          <w:b w:val="0"/>
          <w:bCs w:val="0"/>
        </w:rPr>
      </w:pPr>
      <w:r>
        <w:rPr/>
        <w:t>十七、 </w:t>
      </w:r>
      <w:r>
        <w:rPr>
          <w:spacing w:val="4"/>
        </w:rPr>
        <w:t> </w:t>
      </w:r>
      <w:r>
        <w:rPr/>
        <w:t>补充资料</w:t>
      </w:r>
      <w:r>
        <w:rPr>
          <w:b w:val="0"/>
          <w:bCs w:val="0"/>
        </w:rPr>
      </w:r>
    </w:p>
    <w:p>
      <w:pPr>
        <w:pStyle w:val="Heading4"/>
        <w:tabs>
          <w:tab w:pos="1413" w:val="left" w:leader="none"/>
        </w:tabs>
        <w:spacing w:line="240" w:lineRule="auto" w:before="102"/>
        <w:ind w:left="575" w:right="0"/>
        <w:jc w:val="left"/>
        <w:rPr>
          <w:b w:val="0"/>
          <w:bCs w:val="0"/>
        </w:rPr>
      </w:pPr>
      <w:r>
        <w:rPr/>
        <w:t>（一）</w:t>
        <w:tab/>
        <w:t>当期非经常性损益明细表</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779" w:type="dxa"/>
        <w:tblLayout w:type="fixed"/>
        <w:tblCellMar>
          <w:top w:w="0" w:type="dxa"/>
          <w:left w:w="0" w:type="dxa"/>
          <w:bottom w:w="0" w:type="dxa"/>
          <w:right w:w="0" w:type="dxa"/>
        </w:tblCellMar>
        <w:tblLook w:val="01E0"/>
      </w:tblPr>
      <w:tblGrid>
        <w:gridCol w:w="5437"/>
        <w:gridCol w:w="1837"/>
        <w:gridCol w:w="1070"/>
      </w:tblGrid>
      <w:tr>
        <w:trPr>
          <w:trHeight w:val="360" w:hRule="exact"/>
        </w:trPr>
        <w:tc>
          <w:tcPr>
            <w:tcW w:w="54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350"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-335,122.18</w:t>
            </w: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43" w:right="2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定额或定量享受的政府补助除外）</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14,182,174.69</w:t>
            </w: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43" w:right="22"/>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享有被投资单位可辨认净资产公允价值产生的收益</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200,565,802.38</w:t>
            </w: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54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37" w:type="dxa"/>
            <w:tcBorders>
              <w:top w:val="dotted" w:sz="4" w:space="0" w:color="000000"/>
              <w:left w:val="dotted" w:sz="4" w:space="0" w:color="000000"/>
              <w:bottom w:val="single" w:sz="12" w:space="0" w:color="000000"/>
              <w:right w:val="dotted" w:sz="4" w:space="0" w:color="000000"/>
            </w:tcBorders>
          </w:tcPr>
          <w:p>
            <w:pPr/>
          </w:p>
        </w:tc>
        <w:tc>
          <w:tcPr>
            <w:tcW w:w="107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779" w:type="dxa"/>
        <w:tblLayout w:type="fixed"/>
        <w:tblCellMar>
          <w:top w:w="0" w:type="dxa"/>
          <w:left w:w="0" w:type="dxa"/>
          <w:bottom w:w="0" w:type="dxa"/>
          <w:right w:w="0" w:type="dxa"/>
        </w:tblCellMar>
        <w:tblLook w:val="01E0"/>
      </w:tblPr>
      <w:tblGrid>
        <w:gridCol w:w="5437"/>
        <w:gridCol w:w="1837"/>
        <w:gridCol w:w="1070"/>
      </w:tblGrid>
      <w:tr>
        <w:trPr>
          <w:trHeight w:val="360" w:hRule="exact"/>
        </w:trPr>
        <w:tc>
          <w:tcPr>
            <w:tcW w:w="54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left="350"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790"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10"/>
              <w:ind w:left="43" w:right="2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资产、交易性金融负债产生的公允价值变动损益，以及处置交易性金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融资产、交易性金融负债、债权投资和其他债权投资取得的投资收益</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-10,686.94</w:t>
            </w: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43" w:right="19"/>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采用公允价值模式进行后续计量的投资性房地产公允价值变动产生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的损益</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559"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43" w:right="2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期损益的影响</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1"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37" w:type="dxa"/>
            <w:tcBorders>
              <w:top w:val="dotted" w:sz="4" w:space="0" w:color="000000"/>
              <w:left w:val="dotted" w:sz="4" w:space="0" w:color="000000"/>
              <w:bottom w:val="dotted" w:sz="4" w:space="0" w:color="000000"/>
              <w:right w:val="dotted" w:sz="4" w:space="0" w:color="000000"/>
            </w:tcBorders>
          </w:tcPr>
          <w:p>
            <w:pP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3"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-7,231,445.56</w:t>
            </w: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4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6,310,184.46</w:t>
            </w:r>
          </w:p>
        </w:tc>
        <w:tc>
          <w:tcPr>
            <w:tcW w:w="1070"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2"/>
              <w:ind w:left="23" w:right="-3"/>
              <w:jc w:val="left"/>
              <w:rPr>
                <w:rFonts w:ascii="宋体" w:hAnsi="宋体" w:cs="宋体" w:eastAsia="宋体" w:hint="default"/>
                <w:sz w:val="18"/>
                <w:szCs w:val="18"/>
              </w:rPr>
            </w:pPr>
            <w:r>
              <w:rPr>
                <w:rFonts w:ascii="宋体" w:hAnsi="宋体" w:cs="宋体" w:eastAsia="宋体" w:hint="default"/>
                <w:spacing w:val="22"/>
                <w:sz w:val="18"/>
                <w:szCs w:val="18"/>
              </w:rPr>
              <w:t>三代手续费</w:t>
            </w:r>
            <w:r>
              <w:rPr>
                <w:rFonts w:ascii="宋体" w:hAnsi="宋体" w:cs="宋体" w:eastAsia="宋体" w:hint="default"/>
                <w:spacing w:val="-62"/>
                <w:sz w:val="18"/>
                <w:szCs w:val="18"/>
              </w:rPr>
              <w:t> </w:t>
            </w:r>
            <w:r>
              <w:rPr>
                <w:rFonts w:ascii="宋体" w:hAnsi="宋体" w:cs="宋体" w:eastAsia="宋体" w:hint="default"/>
                <w:sz w:val="18"/>
                <w:szCs w:val="18"/>
              </w:rPr>
              <w:t>返还</w:t>
            </w:r>
          </w:p>
        </w:tc>
      </w:tr>
      <w:tr>
        <w:trPr>
          <w:trHeight w:val="401"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4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3,936,982.14</w:t>
            </w: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04" w:hRule="exact"/>
        </w:trPr>
        <w:tc>
          <w:tcPr>
            <w:tcW w:w="54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-2,629.16</w:t>
            </w:r>
          </w:p>
        </w:tc>
        <w:tc>
          <w:tcPr>
            <w:tcW w:w="1070" w:type="dxa"/>
            <w:tcBorders>
              <w:top w:val="dotted" w:sz="4" w:space="0" w:color="000000"/>
              <w:left w:val="dotted" w:sz="4" w:space="0" w:color="000000"/>
              <w:bottom w:val="dotted" w:sz="4" w:space="0" w:color="000000"/>
              <w:right w:val="nil" w:sz="6" w:space="0" w:color="auto"/>
            </w:tcBorders>
          </w:tcPr>
          <w:p>
            <w:pPr/>
          </w:p>
        </w:tc>
      </w:tr>
      <w:tr>
        <w:trPr>
          <w:trHeight w:val="413" w:hRule="exact"/>
        </w:trPr>
        <w:tc>
          <w:tcPr>
            <w:tcW w:w="54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209,546,553.87</w:t>
            </w:r>
          </w:p>
        </w:tc>
        <w:tc>
          <w:tcPr>
            <w:tcW w:w="107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1"/>
          <w:szCs w:val="21"/>
        </w:rPr>
      </w:pPr>
    </w:p>
    <w:p>
      <w:pPr>
        <w:pStyle w:val="Heading4"/>
        <w:tabs>
          <w:tab w:pos="1413" w:val="left" w:leader="none"/>
        </w:tabs>
        <w:spacing w:line="335" w:lineRule="exact"/>
        <w:ind w:left="575" w:right="0"/>
        <w:jc w:val="left"/>
        <w:rPr>
          <w:b w:val="0"/>
          <w:bCs w:val="0"/>
        </w:rPr>
      </w:pPr>
      <w:r>
        <w:rPr/>
        <w:t>（二）</w:t>
        <w:tab/>
        <w:t>净资产收益率及每股收益</w:t>
      </w:r>
      <w:r>
        <w:rPr>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786" w:type="dxa"/>
        <w:tblLayout w:type="fixed"/>
        <w:tblCellMar>
          <w:top w:w="0" w:type="dxa"/>
          <w:left w:w="0" w:type="dxa"/>
          <w:bottom w:w="0" w:type="dxa"/>
          <w:right w:w="0" w:type="dxa"/>
        </w:tblCellMar>
        <w:tblLook w:val="01E0"/>
      </w:tblPr>
      <w:tblGrid>
        <w:gridCol w:w="3322"/>
        <w:gridCol w:w="1440"/>
        <w:gridCol w:w="1858"/>
        <w:gridCol w:w="1712"/>
      </w:tblGrid>
      <w:tr>
        <w:trPr>
          <w:trHeight w:val="823" w:hRule="exact"/>
        </w:trPr>
        <w:tc>
          <w:tcPr>
            <w:tcW w:w="332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40"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8"/>
                <w:szCs w:val="18"/>
              </w:rPr>
            </w:pPr>
          </w:p>
          <w:p>
            <w:pPr>
              <w:pStyle w:val="TableParagraph"/>
              <w:spacing w:line="316" w:lineRule="auto"/>
              <w:ind w:left="218" w:right="84" w:hanging="135"/>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r>
              <w:rPr>
                <w:rFonts w:ascii="宋体" w:hAnsi="宋体" w:cs="宋体" w:eastAsia="宋体" w:hint="default"/>
                <w:sz w:val="18"/>
                <w:szCs w:val="18"/>
              </w:rPr>
              <w:t>）</w:t>
            </w:r>
          </w:p>
        </w:tc>
        <w:tc>
          <w:tcPr>
            <w:tcW w:w="356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37" w:hRule="exact"/>
        </w:trPr>
        <w:tc>
          <w:tcPr>
            <w:tcW w:w="3322" w:type="dxa"/>
            <w:vMerge/>
            <w:tcBorders>
              <w:left w:val="nil" w:sz="6" w:space="0" w:color="auto"/>
              <w:bottom w:val="dotted" w:sz="4" w:space="0" w:color="000000"/>
              <w:right w:val="dotted" w:sz="4" w:space="0" w:color="000000"/>
            </w:tcBorders>
          </w:tcPr>
          <w:p>
            <w:pPr/>
          </w:p>
        </w:tc>
        <w:tc>
          <w:tcPr>
            <w:tcW w:w="1440" w:type="dxa"/>
            <w:vMerge/>
            <w:tcBorders>
              <w:left w:val="dotted" w:sz="4" w:space="0" w:color="000000"/>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2"/>
              <w:ind w:left="38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2"/>
              <w:ind w:left="309"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18" w:hRule="exact"/>
        </w:trPr>
        <w:tc>
          <w:tcPr>
            <w:tcW w:w="33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pacing w:val="-1"/>
                <w:sz w:val="18"/>
              </w:rPr>
              <w:t>0.8338</w:t>
            </w:r>
            <w:r>
              <w:rPr>
                <w:rFonts w:ascii="Times New Roman"/>
                <w:sz w:val="18"/>
              </w:rPr>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8"/>
              <w:ind w:right="6"/>
              <w:jc w:val="right"/>
              <w:rPr>
                <w:rFonts w:ascii="Times New Roman" w:hAnsi="Times New Roman" w:cs="Times New Roman" w:eastAsia="Times New Roman" w:hint="default"/>
                <w:sz w:val="18"/>
                <w:szCs w:val="18"/>
              </w:rPr>
            </w:pPr>
            <w:r>
              <w:rPr>
                <w:rFonts w:ascii="Times New Roman"/>
                <w:spacing w:val="-1"/>
                <w:sz w:val="18"/>
              </w:rPr>
              <w:t>0.0492</w:t>
            </w:r>
          </w:p>
        </w:tc>
        <w:tc>
          <w:tcPr>
            <w:tcW w:w="17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pacing w:val="-1"/>
                <w:sz w:val="18"/>
              </w:rPr>
              <w:t>0.0492</w:t>
            </w:r>
          </w:p>
        </w:tc>
      </w:tr>
      <w:tr>
        <w:trPr>
          <w:trHeight w:val="740" w:hRule="exact"/>
        </w:trPr>
        <w:tc>
          <w:tcPr>
            <w:tcW w:w="3322" w:type="dxa"/>
            <w:tcBorders>
              <w:top w:val="dotted" w:sz="4" w:space="0" w:color="000000"/>
              <w:left w:val="nil" w:sz="6" w:space="0" w:color="auto"/>
              <w:bottom w:val="single" w:sz="12" w:space="0" w:color="000000"/>
              <w:right w:val="dotted" w:sz="4" w:space="0" w:color="000000"/>
            </w:tcBorders>
          </w:tcPr>
          <w:p>
            <w:pPr>
              <w:pStyle w:val="TableParagraph"/>
              <w:spacing w:line="316" w:lineRule="auto" w:before="61"/>
              <w:ind w:left="28" w:right="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东的净利润</w:t>
            </w:r>
          </w:p>
        </w:tc>
        <w:tc>
          <w:tcPr>
            <w:tcW w:w="14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-1.0014</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-0.0591</w:t>
            </w:r>
          </w:p>
        </w:tc>
        <w:tc>
          <w:tcPr>
            <w:tcW w:w="17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-0.0591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2"/>
          <w:szCs w:val="22"/>
        </w:rPr>
      </w:pPr>
    </w:p>
    <w:p>
      <w:pPr>
        <w:pStyle w:val="Heading1"/>
        <w:spacing w:line="456" w:lineRule="exact"/>
        <w:ind w:left="3285" w:right="0"/>
        <w:jc w:val="left"/>
        <w:rPr>
          <w:b w:val="0"/>
          <w:bCs w:val="0"/>
        </w:rPr>
      </w:pPr>
      <w:bookmarkStart w:name="_TOC_250000" w:id="13"/>
      <w:r>
        <w:rPr/>
        <w:t>第十三节 </w:t>
      </w:r>
      <w:r>
        <w:rPr>
          <w:spacing w:val="8"/>
        </w:rPr>
        <w:t> </w:t>
      </w:r>
      <w:r>
        <w:rPr/>
        <w:t>备查文件目录</w:t>
      </w:r>
      <w:bookmarkEnd w:id="13"/>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Heading3"/>
        <w:spacing w:line="312" w:lineRule="exact"/>
        <w:ind w:right="1394"/>
        <w:jc w:val="left"/>
      </w:pPr>
      <w:r>
        <w:rPr/>
        <w:t>一、载有公司法定代表人、主管会计工作的负责人、会计机构负责人签名并盖章的财务报 表。</w:t>
      </w:r>
    </w:p>
    <w:p>
      <w:pPr>
        <w:pStyle w:val="Heading3"/>
        <w:spacing w:line="312" w:lineRule="exact"/>
        <w:ind w:right="1394"/>
        <w:jc w:val="left"/>
      </w:pPr>
      <w:r>
        <w:rPr/>
        <w:t>二、载有会计师事务所盖章、注册会计师签名并盖章的审计报告原件。 三、报告期内在中国证监会指定网站上公开披露过的所有公司文件的正本及公告的原稿。 四、其他有关资料。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Heading2"/>
        <w:spacing w:line="352" w:lineRule="auto"/>
        <w:ind w:left="6154" w:right="1368" w:firstLine="24"/>
        <w:jc w:val="left"/>
        <w:rPr>
          <w:b w:val="0"/>
          <w:bCs w:val="0"/>
        </w:rPr>
      </w:pPr>
      <w:r>
        <w:rPr/>
        <w:t>国盛金融控股集团股份有限公司 董事长：杜力</w:t>
      </w:r>
      <w:r>
        <w:rPr>
          <w:spacing w:val="-56"/>
        </w:rPr>
        <w:t> </w:t>
      </w:r>
      <w:r>
        <w:rPr>
          <w:spacing w:val="-56"/>
        </w:rPr>
      </w:r>
      <w:r>
        <w:rPr/>
        <w:t>二〇二〇年四月二十九日</w:t>
      </w:r>
      <w:r>
        <w:rPr>
          <w:b w:val="0"/>
          <w:bCs w:val="0"/>
        </w:rPr>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1536" type="#_x0000_t75" stroked="false">
          <v:imagedata r:id="rId1" o:title=""/>
        </v:shape>
      </w:pict>
    </w:r>
    <w:r>
      <w:rPr/>
      <w:pict>
        <v:shape style="position:absolute;margin-left:533.099976pt;margin-top:795.637939pt;width:6.5pt;height:11pt;mso-position-horizontal-relative:page;mso-position-vertical-relative:page;z-index:-1331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30984" type="#_x0000_t75" stroked="false">
          <v:imagedata r:id="rId1" o:title=""/>
        </v:shape>
      </w:pict>
    </w:r>
    <w:r>
      <w:rPr/>
      <w:pict>
        <v:shape style="position:absolute;margin-left:759.039978pt;margin-top:535.333923pt;width:13.15pt;height:11pt;mso-position-horizontal-relative:page;mso-position-vertical-relative:page;z-index:-1330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888" type="#_x0000_t75" stroked="false">
          <v:imagedata r:id="rId1" o:title=""/>
        </v:shape>
      </w:pict>
    </w:r>
    <w:r>
      <w:rPr/>
      <w:pict>
        <v:shape style="position:absolute;margin-left:527.659973pt;margin-top:781.957947pt;width:13.15pt;height:11pt;mso-position-horizontal-relative:page;mso-position-vertical-relative:page;z-index:-1330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840" type="#_x0000_t75" stroked="false">
          <v:imagedata r:id="rId1" o:title=""/>
        </v:shape>
      </w:pict>
    </w:r>
    <w:r>
      <w:rPr/>
      <w:pict>
        <v:shape style="position:absolute;margin-left:524.099976pt;margin-top:781.957947pt;width:15.7pt;height:11pt;mso-position-horizontal-relative:page;mso-position-vertical-relative:page;z-index:-1330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792" type="#_x0000_t75" stroked="false">
          <v:imagedata r:id="rId1" o:title=""/>
        </v:shape>
      </w:pict>
    </w:r>
    <w:r>
      <w:rPr/>
      <w:pict>
        <v:shape style="position:absolute;margin-left:523.099976pt;margin-top:781.957947pt;width:17.7pt;height:11pt;mso-position-horizontal-relative:page;mso-position-vertical-relative:page;z-index:-1330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30720" type="#_x0000_t75" stroked="false">
          <v:imagedata r:id="rId1" o:title=""/>
        </v:shape>
      </w:pict>
    </w:r>
    <w:r>
      <w:rPr/>
      <w:pict>
        <v:shape style="position:absolute;margin-left:754.47998pt;margin-top:535.333923pt;width:17.7pt;height:11pt;mso-position-horizontal-relative:page;mso-position-vertical-relative:page;z-index:-1330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30672" type="#_x0000_t75" stroked="false">
          <v:imagedata r:id="rId1" o:title=""/>
        </v:shape>
      </w:pict>
    </w:r>
    <w:r>
      <w:rPr/>
      <w:pict>
        <v:shape style="position:absolute;margin-left:754.840027pt;margin-top:535.333923pt;width:17.3pt;height:11pt;mso-position-horizontal-relative:page;mso-position-vertical-relative:page;z-index:-1330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576" type="#_x0000_t75" stroked="false">
          <v:imagedata r:id="rId1" o:title=""/>
        </v:shape>
      </w:pict>
    </w:r>
    <w:r>
      <w:rPr/>
      <w:pict>
        <v:shape style="position:absolute;margin-left:523.460022pt;margin-top:781.957947pt;width:17.3pt;height:11pt;mso-position-horizontal-relative:page;mso-position-vertical-relative:page;z-index:-1330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528" type="#_x0000_t75" stroked="false">
          <v:imagedata r:id="rId1" o:title=""/>
        </v:shape>
      </w:pict>
    </w:r>
    <w:r>
      <w:rPr/>
      <w:pict>
        <v:shape style="position:absolute;margin-left:523.099976pt;margin-top:781.957947pt;width:17.7pt;height:11pt;mso-position-horizontal-relative:page;mso-position-vertical-relative:page;z-index:-1330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480" type="#_x0000_t75" stroked="false">
          <v:imagedata r:id="rId1" o:title=""/>
        </v:shape>
      </w:pict>
    </w:r>
    <w:r>
      <w:rPr/>
      <w:pict>
        <v:shape style="position:absolute;margin-left:523.099976pt;margin-top:781.957947pt;width:17.7pt;height:11pt;mso-position-horizontal-relative:page;mso-position-vertical-relative:page;z-index:-1330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30384" type="#_x0000_t75" stroked="false">
          <v:imagedata r:id="rId1" o:title=""/>
        </v:shape>
      </w:pict>
    </w:r>
    <w:r>
      <w:rPr/>
      <w:pict>
        <v:shape style="position:absolute;margin-left:754.47998pt;margin-top:535.333923pt;width:17.7pt;height:11pt;mso-position-horizontal-relative:page;mso-position-vertical-relative:page;z-index:-1330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159</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1488" type="#_x0000_t75" stroked="false">
          <v:imagedata r:id="rId1" o:title=""/>
        </v:shape>
      </w:pict>
    </w:r>
    <w:r>
      <w:rPr/>
      <w:pict>
        <v:shape style="position:absolute;margin-left:527.659973pt;margin-top:781.957947pt;width:13.15pt;height:11pt;mso-position-horizontal-relative:page;mso-position-vertical-relative:page;z-index:-1331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264" type="#_x0000_t75" stroked="false">
          <v:imagedata r:id="rId1" o:title=""/>
        </v:shape>
      </w:pict>
    </w:r>
    <w:r>
      <w:rPr/>
      <w:pict>
        <v:shape style="position:absolute;margin-left:523.099976pt;margin-top:781.957947pt;width:17.7pt;height:11pt;mso-position-horizontal-relative:page;mso-position-vertical-relative:page;z-index:-1330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162</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168" type="#_x0000_t75" stroked="false">
          <v:imagedata r:id="rId1" o:title=""/>
        </v:shape>
      </w:pict>
    </w:r>
    <w:r>
      <w:rPr/>
      <w:pict>
        <v:shape style="position:absolute;margin-left:489.980011pt;margin-top:781.957947pt;width:17.7pt;height:11pt;mso-position-horizontal-relative:page;mso-position-vertical-relative:page;z-index:-1330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0120" type="#_x0000_t75" stroked="false">
          <v:imagedata r:id="rId1" o:title=""/>
        </v:shape>
      </w:pict>
    </w:r>
    <w:r>
      <w:rPr/>
      <w:pict>
        <v:shape style="position:absolute;margin-left:489.980011pt;margin-top:781.957947pt;width:17.7pt;height:11pt;mso-position-horizontal-relative:page;mso-position-vertical-relative:page;z-index:-1330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183</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30024" type="#_x0000_t75" stroked="false">
          <v:imagedata r:id="rId1" o:title=""/>
        </v:shape>
      </w:pict>
    </w:r>
    <w:r>
      <w:rPr/>
      <w:pict>
        <v:shape style="position:absolute;margin-left:718.700012pt;margin-top:535.333923pt;width:17.7pt;height:11pt;mso-position-horizontal-relative:page;mso-position-vertical-relative:page;z-index:-1330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185</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9928" type="#_x0000_t75" stroked="false">
          <v:imagedata r:id="rId1" o:title=""/>
        </v:shape>
      </w:pict>
    </w:r>
    <w:r>
      <w:rPr/>
      <w:pict>
        <v:shape style="position:absolute;margin-left:489.980011pt;margin-top:781.957947pt;width:17.7pt;height:11pt;mso-position-horizontal-relative:page;mso-position-vertical-relative:page;z-index:-1329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187</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29832" type="#_x0000_t75" stroked="false">
          <v:imagedata r:id="rId1" o:title=""/>
        </v:shape>
      </w:pict>
    </w:r>
    <w:r>
      <w:rPr/>
      <w:pict>
        <v:shape style="position:absolute;margin-left:718.700012pt;margin-top:535.333923pt;width:16.7pt;height:11pt;mso-position-horizontal-relative:page;mso-position-vertical-relative:page;z-index:-1329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z w:val="18"/>
                  </w:rPr>
                  <w:t>9</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9736" type="#_x0000_t75" stroked="false">
          <v:imagedata r:id="rId1" o:title=""/>
        </v:shape>
      </w:pict>
    </w:r>
    <w:r>
      <w:rPr/>
      <w:pict>
        <v:shape style="position:absolute;margin-left:489.980011pt;margin-top:781.957947pt;width:17.7pt;height:11pt;mso-position-horizontal-relative:page;mso-position-vertical-relative:page;z-index:-1329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29592" type="#_x0000_t75" stroked="false">
          <v:imagedata r:id="rId1" o:title=""/>
        </v:shape>
      </w:pict>
    </w:r>
    <w:r>
      <w:rPr/>
      <w:pict>
        <v:shape style="position:absolute;margin-left:718.700012pt;margin-top:535.333923pt;width:17.7pt;height:11pt;mso-position-horizontal-relative:page;mso-position-vertical-relative:page;z-index:-1329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205</w:t>
                </w:r>
                <w:r>
                  <w:rPr/>
                  <w:fldChar w:fldCharType="end"/>
                </w:r>
                <w:r>
                  <w:rPr>
                    <w:rFonts w:ascii="Times New Roman"/>
                    <w:spacing w:val="1"/>
                    <w:sz w:val="18"/>
                  </w:rPr>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9496" type="#_x0000_t75" stroked="false">
          <v:imagedata r:id="rId1" o:title=""/>
        </v:shape>
      </w:pict>
    </w:r>
    <w:r>
      <w:rPr/>
      <w:pict>
        <v:shape style="position:absolute;margin-left:489.980011pt;margin-top:781.957947pt;width:17.7pt;height:11pt;mso-position-horizontal-relative:page;mso-position-vertical-relative:page;z-index:-1329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208</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29400" type="#_x0000_t75" stroked="false">
          <v:imagedata r:id="rId1" o:title=""/>
        </v:shape>
      </w:pict>
    </w:r>
    <w:r>
      <w:rPr/>
      <w:pict>
        <v:shape style="position:absolute;margin-left:718.700012pt;margin-top:535.333923pt;width:17.7pt;height:11pt;mso-position-horizontal-relative:page;mso-position-vertical-relative:page;z-index:-1329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241</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9304" type="#_x0000_t75" stroked="false">
          <v:imagedata r:id="rId1" o:title=""/>
        </v:shape>
      </w:pict>
    </w:r>
    <w:r>
      <w:rPr/>
      <w:pict>
        <v:shape style="position:absolute;margin-left:489.980011pt;margin-top:781.957947pt;width:17.7pt;height:11pt;mso-position-horizontal-relative:page;mso-position-vertical-relative:page;z-index:-1329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243</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29208" type="#_x0000_t75" stroked="false">
          <v:imagedata r:id="rId1" o:title=""/>
        </v:shape>
      </w:pict>
    </w:r>
    <w:r>
      <w:rPr/>
      <w:pict>
        <v:shape style="position:absolute;margin-left:718.700012pt;margin-top:535.333923pt;width:17.7pt;height:11pt;mso-position-horizontal-relative:page;mso-position-vertical-relative:page;z-index:-1329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251</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9112" type="#_x0000_t75" stroked="false">
          <v:imagedata r:id="rId1" o:title=""/>
        </v:shape>
      </w:pict>
    </w:r>
    <w:r>
      <w:rPr/>
      <w:pict>
        <v:shape style="position:absolute;margin-left:523.099976pt;margin-top:781.957947pt;width:17.7pt;height:11pt;mso-position-horizontal-relative:page;mso-position-vertical-relative:page;z-index:-1329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1440" type="#_x0000_t75" stroked="false">
          <v:imagedata r:id="rId1" o:title=""/>
        </v:shape>
      </w:pict>
    </w:r>
    <w:r>
      <w:rPr/>
      <w:pict>
        <v:shape style="position:absolute;margin-left:527.659973pt;margin-top:781.957947pt;width:13.15pt;height:11pt;mso-position-horizontal-relative:page;mso-position-vertical-relative:page;z-index:-1331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31368" type="#_x0000_t75" stroked="false">
          <v:imagedata r:id="rId1" o:title=""/>
        </v:shape>
      </w:pict>
    </w:r>
    <w:r>
      <w:rPr/>
      <w:pict>
        <v:shape style="position:absolute;margin-left:759.039978pt;margin-top:535.333923pt;width:13.15pt;height:11pt;mso-position-horizontal-relative:page;mso-position-vertical-relative:page;z-index:-1331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1272" type="#_x0000_t75" stroked="false">
          <v:imagedata r:id="rId1" o:title=""/>
        </v:shape>
      </w:pict>
    </w:r>
    <w:r>
      <w:rPr/>
      <w:pict>
        <v:shape style="position:absolute;margin-left:527.659973pt;margin-top:781.957947pt;width:13.15pt;height:11pt;mso-position-horizontal-relative:page;mso-position-vertical-relative:page;z-index:-1331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31200" type="#_x0000_t75" stroked="false">
          <v:imagedata r:id="rId1" o:title=""/>
        </v:shape>
      </w:pict>
    </w:r>
    <w:r>
      <w:rPr/>
      <w:pict>
        <v:shape style="position:absolute;margin-left:759.039978pt;margin-top:535.333923pt;width:13.15pt;height:11pt;mso-position-horizontal-relative:page;mso-position-vertical-relative:page;z-index:-1331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31152" type="#_x0000_t75" stroked="false">
          <v:imagedata r:id="rId1" o:title=""/>
        </v:shape>
      </w:pict>
    </w:r>
    <w:r>
      <w:rPr/>
      <w:pict>
        <v:shape style="position:absolute;margin-left:759.039978pt;margin-top:535.333923pt;width:13.15pt;height:11pt;mso-position-horizontal-relative:page;mso-position-vertical-relative:page;z-index:-1331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31056" type="#_x0000_t75" stroked="false">
          <v:imagedata r:id="rId1" o:title=""/>
        </v:shape>
      </w:pict>
    </w:r>
    <w:r>
      <w:rPr/>
      <w:pict>
        <v:shape style="position:absolute;margin-left:527.659973pt;margin-top:781.957947pt;width:13.15pt;height:11pt;mso-position-horizontal-relative:page;mso-position-vertical-relative:page;z-index:-1331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331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306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330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330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r>
      <w:rPr/>
      <w:pict>
        <v:shape style="position:absolute;margin-left:71pt;margin-top:57.145008pt;width:243.75pt;height:12.6pt;mso-position-horizontal-relative:page;mso-position-vertical-relative:page;z-index:-1330408" type="#_x0000_t202" filled="false" stroked="false">
          <v:textbox inset="0,0,0,0">
            <w:txbxContent>
              <w:p>
                <w:pPr>
                  <w:pStyle w:val="BodyText"/>
                  <w:spacing w:line="231" w:lineRule="exact"/>
                  <w:ind w:left="20" w:right="0"/>
                  <w:jc w:val="left"/>
                </w:pPr>
                <w:r>
                  <w:rPr>
                    <w:spacing w:val="-2"/>
                  </w:rPr>
                  <w:t>①新旧金融工具准则下公司资产负债余额转换调节表</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330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303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330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1330216"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01.929993pt;margin-top:42.865608pt;width:204.75pt;height:11.5pt;mso-position-horizontal-relative:page;mso-position-vertical-relative:page;z-index:-1330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65.2pt;height:.1pt;mso-position-horizontal-relative:page;mso-position-vertical-relative:page;z-index:-1330072" coordorigin="1411,1111" coordsize="13304,2">
          <v:shape style="position:absolute;left:1411;top:1111;width:13304;height:2" coordorigin="1411,1111" coordsize="13304,0" path="m1411,1111l14714,1111e" filled="false" stroked="true" strokeweight=".72pt" strokecolor="#000000">
            <v:path arrowok="t"/>
          </v:shape>
          <w10:wrap type="none"/>
        </v:group>
      </w:pict>
    </w:r>
    <w:r>
      <w:rPr/>
      <w:pict>
        <v:shape style="position:absolute;margin-left:530.669983pt;margin-top:42.865631pt;width:204.75pt;height:11.5pt;mso-position-horizontal-relative:page;mso-position-vertical-relative:page;z-index:-1330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1329976"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01.929993pt;margin-top:42.865608pt;width:204.75pt;height:11.5pt;mso-position-horizontal-relative:page;mso-position-vertical-relative:page;z-index:-1329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65.2pt;height:.1pt;mso-position-horizontal-relative:page;mso-position-vertical-relative:page;z-index:-1329880" coordorigin="1411,1111" coordsize="13304,2">
          <v:shape style="position:absolute;left:1411;top:1111;width:13304;height:2" coordorigin="1411,1111" coordsize="13304,0" path="m1411,1111l14714,1111e" filled="false" stroked="true" strokeweight=".72pt" strokecolor="#000000">
            <v:path arrowok="t"/>
          </v:shape>
          <w10:wrap type="none"/>
        </v:group>
      </w:pict>
    </w:r>
    <w:r>
      <w:rPr/>
      <w:pict>
        <v:shape style="position:absolute;margin-left:530.669983pt;margin-top:42.865631pt;width:204.75pt;height:11.5pt;mso-position-horizontal-relative:page;mso-position-vertical-relative:page;z-index:-1329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1329784"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01.929993pt;margin-top:42.865608pt;width:204.75pt;height:11.5pt;mso-position-horizontal-relative:page;mso-position-vertical-relative:page;z-index:-1329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1329688"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01.929993pt;margin-top:42.865608pt;width:204.75pt;height:11.5pt;mso-position-horizontal-relative:page;mso-position-vertical-relative:page;z-index:-1329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65.2pt;height:.1pt;mso-position-horizontal-relative:page;mso-position-vertical-relative:page;z-index:-1329640" coordorigin="1411,1111" coordsize="13304,2">
          <v:shape style="position:absolute;left:1411;top:1111;width:13304;height:2" coordorigin="1411,1111" coordsize="13304,0" path="m1411,1111l14714,1111e" filled="false" stroked="true" strokeweight=".72pt" strokecolor="#000000">
            <v:path arrowok="t"/>
          </v:shape>
          <w10:wrap type="none"/>
        </v:group>
      </w:pict>
    </w:r>
    <w:r>
      <w:rPr/>
      <w:pict>
        <v:shape style="position:absolute;margin-left:530.669983pt;margin-top:42.865631pt;width:204.75pt;height:11.5pt;mso-position-horizontal-relative:page;mso-position-vertical-relative:page;z-index:-1329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1329544"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01.929993pt;margin-top:42.865608pt;width:204.75pt;height:11.5pt;mso-position-horizontal-relative:page;mso-position-vertical-relative:page;z-index:-1329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65.2pt;height:.1pt;mso-position-horizontal-relative:page;mso-position-vertical-relative:page;z-index:-1329448" coordorigin="1411,1111" coordsize="13304,2">
          <v:shape style="position:absolute;left:1411;top:1111;width:13304;height:2" coordorigin="1411,1111" coordsize="13304,0" path="m1411,1111l14714,1111e" filled="false" stroked="true" strokeweight=".72pt" strokecolor="#000000">
            <v:path arrowok="t"/>
          </v:shape>
          <w10:wrap type="none"/>
        </v:group>
      </w:pict>
    </w:r>
    <w:r>
      <w:rPr/>
      <w:pict>
        <v:shape style="position:absolute;margin-left:530.669983pt;margin-top:42.865631pt;width:204.75pt;height:11.5pt;mso-position-horizontal-relative:page;mso-position-vertical-relative:page;z-index:-1329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1329352"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01.929993pt;margin-top:42.865608pt;width:204.75pt;height:11.5pt;mso-position-horizontal-relative:page;mso-position-vertical-relative:page;z-index:-1329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65.2pt;height:.1pt;mso-position-horizontal-relative:page;mso-position-vertical-relative:page;z-index:-1329256" coordorigin="1411,1111" coordsize="13304,2">
          <v:shape style="position:absolute;left:1411;top:1111;width:13304;height:2" coordorigin="1411,1111" coordsize="13304,0" path="m1411,1111l14714,1111e" filled="false" stroked="true" strokeweight=".72pt" strokecolor="#000000">
            <v:path arrowok="t"/>
          </v:shape>
          <w10:wrap type="none"/>
        </v:group>
      </w:pict>
    </w:r>
    <w:r>
      <w:rPr/>
      <w:pict>
        <v:shape style="position:absolute;margin-left:530.669983pt;margin-top:42.865631pt;width:204.75pt;height:11.5pt;mso-position-horizontal-relative:page;mso-position-vertical-relative:page;z-index:-1329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291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329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331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31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331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331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311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331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331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309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330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330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国盛金融控股集团股份有限公司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82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560"/>
      <w:outlineLvl w:val="4"/>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sfins.com/" TargetMode="External"/><Relationship Id="rId10" Type="http://schemas.openxmlformats.org/officeDocument/2006/relationships/hyperlink" Target="mailto:zqb@gsfins.com" TargetMode="External"/><Relationship Id="rId11" Type="http://schemas.openxmlformats.org/officeDocument/2006/relationships/hyperlink" Target="http://www.szse.cn/"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header" Target="header4.xml"/><Relationship Id="rId20" Type="http://schemas.openxmlformats.org/officeDocument/2006/relationships/footer" Target="footer6.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footer" Target="footer10.xml"/><Relationship Id="rId28" Type="http://schemas.openxmlformats.org/officeDocument/2006/relationships/header" Target="header8.xml"/><Relationship Id="rId29" Type="http://schemas.openxmlformats.org/officeDocument/2006/relationships/footer" Target="footer11.xml"/><Relationship Id="rId30" Type="http://schemas.openxmlformats.org/officeDocument/2006/relationships/image" Target="media/image3.png"/><Relationship Id="rId31" Type="http://schemas.openxmlformats.org/officeDocument/2006/relationships/hyperlink" Target="http://www.szse.com.cn/" TargetMode="Externa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header" Target="header9.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header" Target="header10.xml"/><Relationship Id="rId38" Type="http://schemas.openxmlformats.org/officeDocument/2006/relationships/footer" Target="footer16.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image" Target="media/image4.png"/><Relationship Id="rId42" Type="http://schemas.openxmlformats.org/officeDocument/2006/relationships/header" Target="header11.xml"/><Relationship Id="rId43" Type="http://schemas.openxmlformats.org/officeDocument/2006/relationships/footer" Target="footer19.xml"/><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20.xml"/><Relationship Id="rId47" Type="http://schemas.openxmlformats.org/officeDocument/2006/relationships/header" Target="header14.xml"/><Relationship Id="rId48" Type="http://schemas.openxmlformats.org/officeDocument/2006/relationships/footer" Target="footer21.xml"/><Relationship Id="rId49" Type="http://schemas.openxmlformats.org/officeDocument/2006/relationships/header" Target="header15.xml"/><Relationship Id="rId50" Type="http://schemas.openxmlformats.org/officeDocument/2006/relationships/footer" Target="footer22.xml"/><Relationship Id="rId51" Type="http://schemas.openxmlformats.org/officeDocument/2006/relationships/header" Target="header16.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header" Target="header17.xml"/><Relationship Id="rId55" Type="http://schemas.openxmlformats.org/officeDocument/2006/relationships/footer" Target="footer25.xml"/><Relationship Id="rId56" Type="http://schemas.openxmlformats.org/officeDocument/2006/relationships/header" Target="header18.xml"/><Relationship Id="rId57" Type="http://schemas.openxmlformats.org/officeDocument/2006/relationships/footer" Target="footer26.xml"/><Relationship Id="rId58" Type="http://schemas.openxmlformats.org/officeDocument/2006/relationships/header" Target="header19.xml"/><Relationship Id="rId59" Type="http://schemas.openxmlformats.org/officeDocument/2006/relationships/footer" Target="footer27.xml"/><Relationship Id="rId60" Type="http://schemas.openxmlformats.org/officeDocument/2006/relationships/header" Target="header20.xml"/><Relationship Id="rId61" Type="http://schemas.openxmlformats.org/officeDocument/2006/relationships/footer" Target="footer28.xml"/><Relationship Id="rId62" Type="http://schemas.openxmlformats.org/officeDocument/2006/relationships/header" Target="header21.xml"/><Relationship Id="rId63" Type="http://schemas.openxmlformats.org/officeDocument/2006/relationships/footer" Target="footer29.xml"/><Relationship Id="rId64" Type="http://schemas.openxmlformats.org/officeDocument/2006/relationships/header" Target="header22.xml"/><Relationship Id="rId65" Type="http://schemas.openxmlformats.org/officeDocument/2006/relationships/footer" Target="footer30.xml"/><Relationship Id="rId66" Type="http://schemas.openxmlformats.org/officeDocument/2006/relationships/header" Target="header23.xml"/><Relationship Id="rId67" Type="http://schemas.openxmlformats.org/officeDocument/2006/relationships/footer" Target="footer31.xml"/><Relationship Id="rId68" Type="http://schemas.openxmlformats.org/officeDocument/2006/relationships/header" Target="header24.xml"/><Relationship Id="rId69" Type="http://schemas.openxmlformats.org/officeDocument/2006/relationships/footer" Target="footer32.xml"/><Relationship Id="rId70" Type="http://schemas.openxmlformats.org/officeDocument/2006/relationships/header" Target="header25.xml"/><Relationship Id="rId71" Type="http://schemas.openxmlformats.org/officeDocument/2006/relationships/footer" Target="footer33.xml"/><Relationship Id="rId72" Type="http://schemas.openxmlformats.org/officeDocument/2006/relationships/header" Target="header26.xml"/><Relationship Id="rId73" Type="http://schemas.openxmlformats.org/officeDocument/2006/relationships/footer" Target="footer34.xml"/><Relationship Id="rId74" Type="http://schemas.openxmlformats.org/officeDocument/2006/relationships/header" Target="header27.xml"/><Relationship Id="rId75" Type="http://schemas.openxmlformats.org/officeDocument/2006/relationships/footer" Target="footer35.xml"/><Relationship Id="rId76" Type="http://schemas.openxmlformats.org/officeDocument/2006/relationships/header" Target="header28.xml"/><Relationship Id="rId77" Type="http://schemas.openxmlformats.org/officeDocument/2006/relationships/footer" Target="footer3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国盛金融控股集团股份有限公司</dc:creator>
  <dc:title>国盛金融控股集团股份有限公司2019年年度报告全文</dc:title>
  <dcterms:created xsi:type="dcterms:W3CDTF">2020-05-19T23:28:31Z</dcterms:created>
  <dcterms:modified xsi:type="dcterms:W3CDTF">2020-05-19T23:28:31Z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2013</vt:lpwstr>
  </property>
  <property fmtid="{D5CDD505-2E9C-101B-9397-08002B2CF9AE}" pid="4" name="LastSaved">
    <vt:filetime>2020-05-19T00:00:00Z</vt:filetime>
  </property>
</Properties>
</file>